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bidiVisual/>
        <w:tblW w:w="8363" w:type="dxa"/>
        <w:tblInd w:w="9" w:type="dxa"/>
        <w:tblLook w:val="0000" w:firstRow="0" w:lastRow="0" w:firstColumn="0" w:lastColumn="0" w:noHBand="0" w:noVBand="0"/>
      </w:tblPr>
      <w:tblGrid>
        <w:gridCol w:w="8363"/>
      </w:tblGrid>
      <w:tr w:rsidR="00036227" w:rsidTr="00E067F0">
        <w:tc>
          <w:tcPr>
            <w:tcW w:w="8363" w:type="dxa"/>
          </w:tcPr>
          <w:p w:rsidR="00916FF8" w:rsidRPr="00624A42" w:rsidRDefault="00A66E0E" w:rsidP="004C7868">
            <w:pPr>
              <w:pStyle w:val="FileNumber0"/>
              <w:rPr>
                <w:sz w:val="28"/>
                <w:u w:val="single"/>
                <w:rtl/>
              </w:rPr>
            </w:pPr>
            <w:r>
              <w:rPr>
                <w:u w:val="single"/>
                <w:rtl/>
              </w:rPr>
              <w:t>בבית המשפט העליון בשבתו כבית משפט לערעורים אזרחיים</w:t>
            </w:r>
          </w:p>
        </w:tc>
      </w:tr>
    </w:tbl>
    <w:p w:rsidR="00916FF8" w:rsidRDefault="00916FF8">
      <w:pPr>
        <w:jc w:val="right"/>
        <w:rPr>
          <w:rFonts w:cs="Miriam"/>
          <w:b/>
          <w:bCs/>
          <w:u w:val="single"/>
        </w:rPr>
      </w:pPr>
    </w:p>
    <w:tbl>
      <w:tblPr>
        <w:bidiVisual/>
        <w:tblW w:w="8363" w:type="dxa"/>
        <w:tblLook w:val="0000" w:firstRow="0" w:lastRow="0" w:firstColumn="0" w:lastColumn="0" w:noHBand="0" w:noVBand="0"/>
      </w:tblPr>
      <w:tblGrid>
        <w:gridCol w:w="8363"/>
      </w:tblGrid>
      <w:tr w:rsidR="00036227" w:rsidTr="0039709B">
        <w:trPr>
          <w:trHeight w:val="342"/>
        </w:trPr>
        <w:tc>
          <w:tcPr>
            <w:tcW w:w="9828" w:type="dxa"/>
          </w:tcPr>
          <w:p w:rsidR="00916FF8" w:rsidRPr="00810894" w:rsidRDefault="00A66E0E">
            <w:pPr>
              <w:pStyle w:val="FileNumber"/>
              <w:rPr>
                <w:sz w:val="28"/>
                <w:szCs w:val="28"/>
              </w:rPr>
            </w:pPr>
            <w:bookmarkStart w:id="0" w:name="casename_body"/>
            <w:r>
              <w:rPr>
                <w:sz w:val="28"/>
                <w:szCs w:val="28"/>
                <w:rtl/>
              </w:rPr>
              <w:t>ע"א  3136/17</w:t>
            </w:r>
          </w:p>
        </w:tc>
      </w:tr>
      <w:tr w:rsidR="00A66E0E" w:rsidTr="0039709B">
        <w:trPr>
          <w:trHeight w:val="342"/>
        </w:trPr>
        <w:tc>
          <w:tcPr>
            <w:tcW w:w="9828" w:type="dxa"/>
          </w:tcPr>
          <w:p w:rsidR="00A66E0E" w:rsidRPr="00810894" w:rsidRDefault="00A66E0E">
            <w:pPr>
              <w:pStyle w:val="FileNumber"/>
              <w:rPr>
                <w:sz w:val="28"/>
                <w:szCs w:val="28"/>
              </w:rPr>
            </w:pPr>
            <w:r>
              <w:rPr>
                <w:sz w:val="28"/>
                <w:szCs w:val="28"/>
                <w:rtl/>
              </w:rPr>
              <w:t>ע"א  3146/17</w:t>
            </w:r>
          </w:p>
        </w:tc>
      </w:tr>
      <w:bookmarkEnd w:id="0"/>
    </w:tbl>
    <w:p w:rsidR="00916FF8" w:rsidRDefault="00916FF8">
      <w:pPr>
        <w:jc w:val="right"/>
        <w:rPr>
          <w:rFonts w:cs="Miriam"/>
          <w:b/>
          <w:bCs/>
          <w:u w:val="single"/>
        </w:rPr>
      </w:pPr>
    </w:p>
    <w:tbl>
      <w:tblPr>
        <w:bidiVisual/>
        <w:tblW w:w="8364" w:type="dxa"/>
        <w:tblLayout w:type="fixed"/>
        <w:tblLook w:val="0000" w:firstRow="0" w:lastRow="0" w:firstColumn="0" w:lastColumn="0" w:noHBand="0" w:noVBand="0"/>
      </w:tblPr>
      <w:tblGrid>
        <w:gridCol w:w="3210"/>
        <w:gridCol w:w="5154"/>
      </w:tblGrid>
      <w:tr w:rsidR="00036227" w:rsidTr="00EC23AC">
        <w:trPr>
          <w:trHeight w:val="287"/>
        </w:trPr>
        <w:tc>
          <w:tcPr>
            <w:tcW w:w="3261" w:type="dxa"/>
          </w:tcPr>
          <w:p w:rsidR="00036227" w:rsidRDefault="00CB7600">
            <w:pPr>
              <w:pStyle w:val="BodyRuller"/>
              <w:rPr>
                <w:rFonts w:cs="Miriam"/>
                <w:b/>
                <w:bCs/>
                <w:u w:val="single"/>
              </w:rPr>
            </w:pPr>
            <w:r>
              <w:rPr>
                <w:rFonts w:hint="cs"/>
                <w:rtl/>
              </w:rPr>
              <w:t>ל</w:t>
            </w:r>
            <w:r w:rsidR="00036227">
              <w:rPr>
                <w:rtl/>
              </w:rPr>
              <w:t>פני:</w:t>
            </w:r>
            <w:r w:rsidR="00036227">
              <w:rPr>
                <w:rtl/>
              </w:rPr>
              <w:tab/>
            </w:r>
          </w:p>
        </w:tc>
        <w:tc>
          <w:tcPr>
            <w:tcW w:w="5239" w:type="dxa"/>
          </w:tcPr>
          <w:p w:rsidR="00036227" w:rsidRDefault="00A66E0E">
            <w:pPr>
              <w:pStyle w:val="BodyRuller"/>
            </w:pPr>
            <w:r>
              <w:rPr>
                <w:rtl/>
              </w:rPr>
              <w:t>כבוד השופט נ' סולברג</w:t>
            </w:r>
          </w:p>
        </w:tc>
      </w:tr>
      <w:tr w:rsidR="00A66E0E" w:rsidTr="00EC23AC">
        <w:trPr>
          <w:trHeight w:val="287"/>
        </w:trPr>
        <w:tc>
          <w:tcPr>
            <w:tcW w:w="3261" w:type="dxa"/>
          </w:tcPr>
          <w:p w:rsidR="00A66E0E" w:rsidRDefault="00A66E0E">
            <w:pPr>
              <w:pStyle w:val="BodyRuller"/>
              <w:rPr>
                <w:rtl/>
              </w:rPr>
            </w:pPr>
          </w:p>
        </w:tc>
        <w:tc>
          <w:tcPr>
            <w:tcW w:w="5239" w:type="dxa"/>
          </w:tcPr>
          <w:p w:rsidR="00A66E0E" w:rsidRDefault="00A66E0E">
            <w:pPr>
              <w:pStyle w:val="BodyRuller"/>
              <w:rPr>
                <w:rtl/>
              </w:rPr>
            </w:pPr>
            <w:r>
              <w:rPr>
                <w:rtl/>
              </w:rPr>
              <w:t>כבוד השופט י' אלרון</w:t>
            </w:r>
          </w:p>
        </w:tc>
      </w:tr>
      <w:tr w:rsidR="00A66E0E" w:rsidTr="00EC23AC">
        <w:trPr>
          <w:trHeight w:val="287"/>
        </w:trPr>
        <w:tc>
          <w:tcPr>
            <w:tcW w:w="3261" w:type="dxa"/>
          </w:tcPr>
          <w:p w:rsidR="00A66E0E" w:rsidRDefault="00A66E0E">
            <w:pPr>
              <w:pStyle w:val="BodyRuller"/>
              <w:rPr>
                <w:rtl/>
              </w:rPr>
            </w:pPr>
          </w:p>
        </w:tc>
        <w:tc>
          <w:tcPr>
            <w:tcW w:w="5239" w:type="dxa"/>
          </w:tcPr>
          <w:p w:rsidR="00A66E0E" w:rsidRDefault="00A66E0E">
            <w:pPr>
              <w:pStyle w:val="BodyRuller"/>
              <w:rPr>
                <w:rtl/>
              </w:rPr>
            </w:pPr>
            <w:r>
              <w:rPr>
                <w:rtl/>
              </w:rPr>
              <w:t>כבוד השופט ע' גרוסקופף</w:t>
            </w:r>
          </w:p>
        </w:tc>
      </w:tr>
    </w:tbl>
    <w:p w:rsidR="00916FF8" w:rsidRDefault="00916FF8">
      <w:pPr>
        <w:pStyle w:val="Ruller3"/>
        <w:rPr>
          <w:rFonts w:cs="Miriam"/>
          <w:b/>
          <w:bCs/>
          <w:u w:val="single"/>
          <w:rtl/>
        </w:rPr>
      </w:pPr>
    </w:p>
    <w:tbl>
      <w:tblPr>
        <w:bidiVisual/>
        <w:tblW w:w="8363" w:type="dxa"/>
        <w:tblLook w:val="0000" w:firstRow="0" w:lastRow="0" w:firstColumn="0" w:lastColumn="0" w:noHBand="0" w:noVBand="0"/>
      </w:tblPr>
      <w:tblGrid>
        <w:gridCol w:w="3233"/>
        <w:gridCol w:w="5130"/>
      </w:tblGrid>
      <w:tr w:rsidR="00036227" w:rsidTr="0039709B">
        <w:tc>
          <w:tcPr>
            <w:tcW w:w="3284" w:type="dxa"/>
          </w:tcPr>
          <w:p w:rsidR="00036227" w:rsidRDefault="00A66E0E">
            <w:pPr>
              <w:pStyle w:val="BodyRuller"/>
            </w:pPr>
            <w:r>
              <w:rPr>
                <w:rtl/>
              </w:rPr>
              <w:t>המערער</w:t>
            </w:r>
            <w:r w:rsidR="009519E3">
              <w:rPr>
                <w:rFonts w:hint="cs"/>
                <w:rtl/>
              </w:rPr>
              <w:t xml:space="preserve"> בע"א 3136/17 והמשיב </w:t>
            </w:r>
            <w:r w:rsidR="006E59A8">
              <w:rPr>
                <w:rFonts w:hint="cs"/>
                <w:rtl/>
              </w:rPr>
              <w:t xml:space="preserve">1 </w:t>
            </w:r>
            <w:r w:rsidR="009519E3">
              <w:rPr>
                <w:rFonts w:hint="cs"/>
                <w:rtl/>
              </w:rPr>
              <w:t>בע"א 3146/17</w:t>
            </w:r>
            <w:r>
              <w:rPr>
                <w:rtl/>
              </w:rPr>
              <w:t>:</w:t>
            </w:r>
          </w:p>
        </w:tc>
        <w:tc>
          <w:tcPr>
            <w:tcW w:w="5238" w:type="dxa"/>
          </w:tcPr>
          <w:p w:rsidR="009519E3" w:rsidRDefault="009519E3">
            <w:pPr>
              <w:pStyle w:val="BodyRuller"/>
              <w:rPr>
                <w:rtl/>
              </w:rPr>
            </w:pPr>
          </w:p>
          <w:p w:rsidR="00036227" w:rsidRDefault="00A66E0E">
            <w:pPr>
              <w:pStyle w:val="BodyRuller"/>
            </w:pPr>
            <w:r>
              <w:rPr>
                <w:rtl/>
              </w:rPr>
              <w:t>פקיד שומה רמלה</w:t>
            </w:r>
          </w:p>
        </w:tc>
      </w:tr>
    </w:tbl>
    <w:p w:rsidR="00916FF8" w:rsidRDefault="00916FF8">
      <w:pPr>
        <w:pStyle w:val="Ruller3"/>
      </w:pPr>
      <w:r>
        <w:tab/>
      </w:r>
    </w:p>
    <w:tbl>
      <w:tblPr>
        <w:bidiVisual/>
        <w:tblW w:w="8363" w:type="dxa"/>
        <w:tblLook w:val="0000" w:firstRow="0" w:lastRow="0" w:firstColumn="0" w:lastColumn="0" w:noHBand="0" w:noVBand="0"/>
      </w:tblPr>
      <w:tblGrid>
        <w:gridCol w:w="3222"/>
        <w:gridCol w:w="5141"/>
      </w:tblGrid>
      <w:tr w:rsidR="00036227" w:rsidTr="0039709B">
        <w:tc>
          <w:tcPr>
            <w:tcW w:w="3284" w:type="dxa"/>
          </w:tcPr>
          <w:p w:rsidR="00036227" w:rsidRDefault="00036227">
            <w:pPr>
              <w:pStyle w:val="BodyRuller"/>
            </w:pPr>
          </w:p>
        </w:tc>
        <w:tc>
          <w:tcPr>
            <w:tcW w:w="5238" w:type="dxa"/>
          </w:tcPr>
          <w:p w:rsidR="00036227" w:rsidRDefault="00036227">
            <w:pPr>
              <w:pStyle w:val="BodyRuller"/>
            </w:pPr>
            <w:r>
              <w:rPr>
                <w:rFonts w:hint="cs"/>
                <w:rtl/>
              </w:rPr>
              <w:t>נ</w:t>
            </w:r>
            <w:r>
              <w:t xml:space="preserve">  </w:t>
            </w:r>
            <w:r>
              <w:rPr>
                <w:rFonts w:hint="cs"/>
                <w:rtl/>
              </w:rPr>
              <w:t>ג</w:t>
            </w:r>
            <w:r>
              <w:t xml:space="preserve">  </w:t>
            </w:r>
            <w:r>
              <w:rPr>
                <w:rFonts w:hint="cs"/>
                <w:rtl/>
              </w:rPr>
              <w:t>ד</w:t>
            </w:r>
          </w:p>
        </w:tc>
      </w:tr>
    </w:tbl>
    <w:p w:rsidR="00916FF8" w:rsidRDefault="00916FF8">
      <w:pPr>
        <w:pStyle w:val="Ruller3"/>
        <w:rPr>
          <w:rtl/>
        </w:rPr>
      </w:pPr>
      <w:r>
        <w:tab/>
      </w:r>
      <w:r>
        <w:tab/>
      </w:r>
      <w:r>
        <w:tab/>
        <w:t xml:space="preserve">     </w:t>
      </w:r>
    </w:p>
    <w:tbl>
      <w:tblPr>
        <w:bidiVisual/>
        <w:tblW w:w="8363" w:type="dxa"/>
        <w:tblLook w:val="0000" w:firstRow="0" w:lastRow="0" w:firstColumn="0" w:lastColumn="0" w:noHBand="0" w:noVBand="0"/>
      </w:tblPr>
      <w:tblGrid>
        <w:gridCol w:w="3233"/>
        <w:gridCol w:w="5130"/>
      </w:tblGrid>
      <w:tr w:rsidR="00036227" w:rsidTr="0039709B">
        <w:tc>
          <w:tcPr>
            <w:tcW w:w="3284" w:type="dxa"/>
          </w:tcPr>
          <w:p w:rsidR="00036227" w:rsidRDefault="00A66E0E" w:rsidP="00CA32C4">
            <w:pPr>
              <w:pStyle w:val="BodyRuller"/>
              <w:rPr>
                <w:rtl/>
              </w:rPr>
            </w:pPr>
            <w:r>
              <w:rPr>
                <w:rtl/>
              </w:rPr>
              <w:t>המשיב</w:t>
            </w:r>
            <w:r w:rsidR="009519E3">
              <w:rPr>
                <w:rFonts w:hint="cs"/>
                <w:rtl/>
              </w:rPr>
              <w:t xml:space="preserve">ה 1 בע"א 3136/17 והמשיבה הפורמאלית </w:t>
            </w:r>
            <w:r w:rsidR="00CA32C4">
              <w:rPr>
                <w:rFonts w:hint="cs"/>
                <w:rtl/>
              </w:rPr>
              <w:t>2</w:t>
            </w:r>
            <w:r w:rsidR="009519E3">
              <w:rPr>
                <w:rFonts w:hint="cs"/>
                <w:rtl/>
              </w:rPr>
              <w:t xml:space="preserve"> בע"א 3146/17:</w:t>
            </w:r>
          </w:p>
          <w:p w:rsidR="00233FE3" w:rsidRDefault="00233FE3" w:rsidP="00CA32C4">
            <w:pPr>
              <w:pStyle w:val="BodyRuller"/>
            </w:pPr>
          </w:p>
        </w:tc>
        <w:tc>
          <w:tcPr>
            <w:tcW w:w="5238" w:type="dxa"/>
          </w:tcPr>
          <w:p w:rsidR="006F1984" w:rsidRDefault="006F1984" w:rsidP="006F1984">
            <w:pPr>
              <w:pStyle w:val="BodyRuller"/>
              <w:rPr>
                <w:rtl/>
              </w:rPr>
            </w:pPr>
          </w:p>
          <w:p w:rsidR="006F1984" w:rsidRDefault="006F1984" w:rsidP="006F1984">
            <w:pPr>
              <w:pStyle w:val="BodyRuller"/>
              <w:rPr>
                <w:rtl/>
              </w:rPr>
            </w:pPr>
          </w:p>
          <w:p w:rsidR="00036227" w:rsidRDefault="00A66E0E" w:rsidP="006F1984">
            <w:pPr>
              <w:pStyle w:val="BodyRuller"/>
            </w:pPr>
            <w:r>
              <w:rPr>
                <w:rtl/>
              </w:rPr>
              <w:t>פליינג קרגו בע"מ</w:t>
            </w:r>
          </w:p>
        </w:tc>
      </w:tr>
      <w:tr w:rsidR="00A66E0E" w:rsidTr="0039709B">
        <w:tc>
          <w:tcPr>
            <w:tcW w:w="3284" w:type="dxa"/>
          </w:tcPr>
          <w:p w:rsidR="00A66E0E" w:rsidRDefault="009519E3" w:rsidP="00CA32C4">
            <w:pPr>
              <w:pStyle w:val="BodyRuller"/>
              <w:rPr>
                <w:rtl/>
              </w:rPr>
            </w:pPr>
            <w:r>
              <w:rPr>
                <w:rFonts w:hint="cs"/>
                <w:rtl/>
              </w:rPr>
              <w:t xml:space="preserve">המשיב 2 בע"א 3136/17 והמשיב הפורמאלי </w:t>
            </w:r>
            <w:r w:rsidR="00CA32C4">
              <w:rPr>
                <w:rFonts w:hint="cs"/>
                <w:rtl/>
              </w:rPr>
              <w:t>3</w:t>
            </w:r>
            <w:r>
              <w:rPr>
                <w:rFonts w:hint="cs"/>
                <w:rtl/>
              </w:rPr>
              <w:t xml:space="preserve"> בע"א 3146/17:</w:t>
            </w:r>
          </w:p>
          <w:p w:rsidR="00233FE3" w:rsidRDefault="00233FE3" w:rsidP="00CA32C4">
            <w:pPr>
              <w:pStyle w:val="BodyRuller"/>
              <w:rPr>
                <w:rtl/>
              </w:rPr>
            </w:pPr>
          </w:p>
        </w:tc>
        <w:tc>
          <w:tcPr>
            <w:tcW w:w="5238" w:type="dxa"/>
          </w:tcPr>
          <w:p w:rsidR="006F1984" w:rsidRDefault="006F1984">
            <w:pPr>
              <w:pStyle w:val="BodyRuller"/>
              <w:rPr>
                <w:rtl/>
              </w:rPr>
            </w:pPr>
          </w:p>
          <w:p w:rsidR="006F1984" w:rsidRDefault="006F1984">
            <w:pPr>
              <w:pStyle w:val="BodyRuller"/>
              <w:rPr>
                <w:rtl/>
              </w:rPr>
            </w:pPr>
          </w:p>
          <w:p w:rsidR="00A66E0E" w:rsidRDefault="00A66E0E">
            <w:pPr>
              <w:pStyle w:val="BodyRuller"/>
              <w:rPr>
                <w:rtl/>
              </w:rPr>
            </w:pPr>
            <w:r>
              <w:rPr>
                <w:rtl/>
              </w:rPr>
              <w:t>דניאל רייק</w:t>
            </w:r>
          </w:p>
        </w:tc>
      </w:tr>
      <w:tr w:rsidR="00A66E0E" w:rsidTr="0039709B">
        <w:tc>
          <w:tcPr>
            <w:tcW w:w="3284" w:type="dxa"/>
          </w:tcPr>
          <w:p w:rsidR="00A66E0E" w:rsidRDefault="009519E3">
            <w:pPr>
              <w:pStyle w:val="BodyRuller"/>
              <w:rPr>
                <w:rtl/>
              </w:rPr>
            </w:pPr>
            <w:r>
              <w:rPr>
                <w:rFonts w:hint="cs"/>
                <w:rtl/>
              </w:rPr>
              <w:t>המשיב</w:t>
            </w:r>
            <w:r w:rsidR="00CA32C4">
              <w:rPr>
                <w:rFonts w:hint="cs"/>
                <w:rtl/>
              </w:rPr>
              <w:t>ה</w:t>
            </w:r>
            <w:r>
              <w:rPr>
                <w:rFonts w:hint="cs"/>
                <w:rtl/>
              </w:rPr>
              <w:t xml:space="preserve"> 3 בע"א 3136/17 והמערערת בע"א 3146/17:</w:t>
            </w:r>
          </w:p>
        </w:tc>
        <w:tc>
          <w:tcPr>
            <w:tcW w:w="5238" w:type="dxa"/>
          </w:tcPr>
          <w:p w:rsidR="006F1984" w:rsidRDefault="006F1984">
            <w:pPr>
              <w:pStyle w:val="BodyRuller"/>
              <w:rPr>
                <w:rtl/>
              </w:rPr>
            </w:pPr>
          </w:p>
          <w:p w:rsidR="00A66E0E" w:rsidRDefault="00A66E0E">
            <w:pPr>
              <w:pStyle w:val="BodyRuller"/>
              <w:rPr>
                <w:rtl/>
              </w:rPr>
            </w:pPr>
            <w:r>
              <w:rPr>
                <w:rtl/>
              </w:rPr>
              <w:t>אף. סי (פליינג קרגו) תובלה בינלאומית בע"מ</w:t>
            </w:r>
          </w:p>
        </w:tc>
      </w:tr>
    </w:tbl>
    <w:p w:rsidR="00E067F0" w:rsidRDefault="00E36FE9" w:rsidP="00233FE3">
      <w:pPr>
        <w:pStyle w:val="Ruller3"/>
      </w:pPr>
      <w:r>
        <w:rPr>
          <w:rFonts w:hint="cs"/>
          <w:rtl/>
        </w:rPr>
        <w:tab/>
      </w:r>
    </w:p>
    <w:tbl>
      <w:tblPr>
        <w:bidiVisual/>
        <w:tblW w:w="0" w:type="auto"/>
        <w:tblInd w:w="3209" w:type="dxa"/>
        <w:tblLook w:val="0000" w:firstRow="0" w:lastRow="0" w:firstColumn="0" w:lastColumn="0" w:noHBand="0" w:noVBand="0"/>
      </w:tblPr>
      <w:tblGrid>
        <w:gridCol w:w="5103"/>
      </w:tblGrid>
      <w:tr w:rsidR="00036227" w:rsidTr="00CA1444">
        <w:tc>
          <w:tcPr>
            <w:tcW w:w="5103" w:type="dxa"/>
          </w:tcPr>
          <w:p w:rsidR="00916FF8" w:rsidRPr="00265F6E" w:rsidRDefault="00A66E0E" w:rsidP="006F1984">
            <w:pPr>
              <w:pStyle w:val="BodyRuller"/>
              <w:jc w:val="both"/>
              <w:rPr>
                <w:sz w:val="24"/>
                <w:szCs w:val="24"/>
              </w:rPr>
            </w:pPr>
            <w:r>
              <w:rPr>
                <w:sz w:val="24"/>
                <w:szCs w:val="24"/>
                <w:rtl/>
              </w:rPr>
              <w:t>ערעור</w:t>
            </w:r>
            <w:r w:rsidR="009519E3">
              <w:rPr>
                <w:rFonts w:hint="cs"/>
                <w:sz w:val="24"/>
                <w:szCs w:val="24"/>
                <w:rtl/>
              </w:rPr>
              <w:t>ים</w:t>
            </w:r>
            <w:r>
              <w:rPr>
                <w:sz w:val="24"/>
                <w:szCs w:val="24"/>
                <w:rtl/>
              </w:rPr>
              <w:t xml:space="preserve"> על פסק דינו של בית המשפט המחוזי מרכז</w:t>
            </w:r>
            <w:r w:rsidR="009519E3">
              <w:rPr>
                <w:rFonts w:hint="cs"/>
                <w:sz w:val="24"/>
                <w:szCs w:val="24"/>
                <w:rtl/>
              </w:rPr>
              <w:t xml:space="preserve"> ב</w:t>
            </w:r>
            <w:r>
              <w:rPr>
                <w:sz w:val="24"/>
                <w:szCs w:val="24"/>
                <w:rtl/>
              </w:rPr>
              <w:t xml:space="preserve">לוד מיום </w:t>
            </w:r>
            <w:r w:rsidR="009519E3">
              <w:rPr>
                <w:rFonts w:hint="cs"/>
                <w:sz w:val="24"/>
                <w:szCs w:val="24"/>
                <w:rtl/>
              </w:rPr>
              <w:t xml:space="preserve">6.11.2016 בע"מ </w:t>
            </w:r>
            <w:r w:rsidR="006F1984" w:rsidRPr="006F1984">
              <w:rPr>
                <w:sz w:val="24"/>
                <w:szCs w:val="24"/>
                <w:rtl/>
              </w:rPr>
              <w:t>56940-07-12</w:t>
            </w:r>
            <w:r w:rsidR="009519E3">
              <w:rPr>
                <w:rFonts w:hint="cs"/>
                <w:sz w:val="24"/>
                <w:szCs w:val="24"/>
                <w:rtl/>
              </w:rPr>
              <w:t>, ע"מ 23248-09-12 וע"מ 23285-09-12 שניתן על ידי כבוד השופט אחיקם ס</w:t>
            </w:r>
            <w:r w:rsidR="006F1984">
              <w:rPr>
                <w:rFonts w:hint="cs"/>
                <w:sz w:val="24"/>
                <w:szCs w:val="24"/>
                <w:rtl/>
              </w:rPr>
              <w:t>טו</w:t>
            </w:r>
            <w:r w:rsidR="009519E3">
              <w:rPr>
                <w:rFonts w:hint="cs"/>
                <w:sz w:val="24"/>
                <w:szCs w:val="24"/>
                <w:rtl/>
              </w:rPr>
              <w:t>לר</w:t>
            </w:r>
          </w:p>
        </w:tc>
      </w:tr>
    </w:tbl>
    <w:p w:rsidR="00E067F0" w:rsidRDefault="00E36FE9" w:rsidP="00233FE3">
      <w:pPr>
        <w:pStyle w:val="Ruller3"/>
        <w:rPr>
          <w:rtl/>
        </w:rPr>
      </w:pPr>
      <w:r>
        <w:rPr>
          <w:rFonts w:hint="cs"/>
          <w:rtl/>
        </w:rPr>
        <w:tab/>
      </w: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30"/>
        <w:gridCol w:w="2423"/>
        <w:gridCol w:w="2710"/>
      </w:tblGrid>
      <w:tr w:rsidR="008C2F11" w:rsidTr="00D00B1D">
        <w:tc>
          <w:tcPr>
            <w:tcW w:w="3212" w:type="dxa"/>
            <w:tcBorders>
              <w:top w:val="nil"/>
              <w:left w:val="nil"/>
              <w:bottom w:val="nil"/>
              <w:right w:val="nil"/>
            </w:tcBorders>
          </w:tcPr>
          <w:p w:rsidR="008C2F11" w:rsidRPr="00265F6E" w:rsidRDefault="008C2F11">
            <w:pPr>
              <w:pStyle w:val="BodyRuller"/>
              <w:rPr>
                <w:sz w:val="24"/>
                <w:szCs w:val="24"/>
              </w:rPr>
            </w:pPr>
            <w:r w:rsidRPr="00265F6E">
              <w:rPr>
                <w:sz w:val="24"/>
                <w:szCs w:val="24"/>
                <w:rtl/>
              </w:rPr>
              <w:t>תאריך הישיבה:</w:t>
            </w:r>
          </w:p>
        </w:tc>
        <w:tc>
          <w:tcPr>
            <w:tcW w:w="2409" w:type="dxa"/>
            <w:tcBorders>
              <w:top w:val="nil"/>
              <w:left w:val="nil"/>
              <w:bottom w:val="nil"/>
              <w:right w:val="nil"/>
            </w:tcBorders>
          </w:tcPr>
          <w:p w:rsidR="008C2F11" w:rsidRDefault="009519E3">
            <w:pPr>
              <w:pStyle w:val="BodyRuller"/>
              <w:rPr>
                <w:rtl/>
              </w:rPr>
            </w:pPr>
            <w:r>
              <w:rPr>
                <w:rFonts w:hint="cs"/>
                <w:sz w:val="24"/>
                <w:szCs w:val="24"/>
                <w:rtl/>
              </w:rPr>
              <w:t>כ"ז בניסן התשע"ח</w:t>
            </w:r>
          </w:p>
        </w:tc>
        <w:tc>
          <w:tcPr>
            <w:tcW w:w="2694" w:type="dxa"/>
            <w:tcBorders>
              <w:top w:val="nil"/>
              <w:left w:val="nil"/>
              <w:bottom w:val="nil"/>
              <w:right w:val="nil"/>
            </w:tcBorders>
          </w:tcPr>
          <w:p w:rsidR="008C2F11" w:rsidRDefault="009519E3">
            <w:pPr>
              <w:pStyle w:val="BodyRuller"/>
              <w:rPr>
                <w:sz w:val="24"/>
                <w:szCs w:val="24"/>
                <w:rtl/>
              </w:rPr>
            </w:pPr>
            <w:r>
              <w:rPr>
                <w:rFonts w:hint="cs"/>
                <w:sz w:val="24"/>
                <w:szCs w:val="24"/>
                <w:rtl/>
              </w:rPr>
              <w:t>(12.4.18)</w:t>
            </w:r>
          </w:p>
        </w:tc>
      </w:tr>
    </w:tbl>
    <w:p w:rsidR="00916FF8" w:rsidRDefault="00916FF8">
      <w:pPr>
        <w:pStyle w:val="Ruller3"/>
        <w:rPr>
          <w:sz w:val="12"/>
          <w:szCs w:val="16"/>
          <w:rtl/>
        </w:rPr>
      </w:pPr>
    </w:p>
    <w:p w:rsidR="00E067F0" w:rsidRPr="00CA32C4" w:rsidRDefault="00E067F0">
      <w:pPr>
        <w:pStyle w:val="Ruller3"/>
        <w:rPr>
          <w:sz w:val="12"/>
          <w:szCs w:val="16"/>
        </w:rPr>
      </w:pPr>
    </w:p>
    <w:tbl>
      <w:tblPr>
        <w:bidiVisual/>
        <w:tblW w:w="8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4"/>
        <w:gridCol w:w="5149"/>
      </w:tblGrid>
      <w:tr w:rsidR="00036227" w:rsidTr="00D00B1D">
        <w:tc>
          <w:tcPr>
            <w:tcW w:w="3257" w:type="dxa"/>
            <w:tcBorders>
              <w:top w:val="nil"/>
              <w:left w:val="nil"/>
              <w:bottom w:val="nil"/>
              <w:right w:val="nil"/>
            </w:tcBorders>
          </w:tcPr>
          <w:p w:rsidR="00036227" w:rsidRDefault="00A66E0E">
            <w:pPr>
              <w:pStyle w:val="BodyRuller"/>
            </w:pPr>
            <w:r>
              <w:rPr>
                <w:rtl/>
              </w:rPr>
              <w:t>בשם המערער</w:t>
            </w:r>
            <w:r w:rsidR="009519E3">
              <w:rPr>
                <w:rFonts w:hint="cs"/>
                <w:rtl/>
              </w:rPr>
              <w:t xml:space="preserve"> בע"א 3136/17 והמשיב בע"א 3146/17</w:t>
            </w:r>
            <w:r>
              <w:rPr>
                <w:rtl/>
              </w:rPr>
              <w:t>:</w:t>
            </w:r>
          </w:p>
        </w:tc>
        <w:tc>
          <w:tcPr>
            <w:tcW w:w="5238" w:type="dxa"/>
            <w:tcBorders>
              <w:top w:val="nil"/>
              <w:left w:val="nil"/>
              <w:bottom w:val="nil"/>
              <w:right w:val="nil"/>
            </w:tcBorders>
          </w:tcPr>
          <w:p w:rsidR="006F1984" w:rsidRDefault="006F1984">
            <w:pPr>
              <w:pStyle w:val="BodyRuller"/>
              <w:rPr>
                <w:rtl/>
              </w:rPr>
            </w:pPr>
          </w:p>
          <w:p w:rsidR="00036227" w:rsidRDefault="009519E3">
            <w:pPr>
              <w:pStyle w:val="BodyRuller"/>
            </w:pPr>
            <w:r>
              <w:rPr>
                <w:rFonts w:hint="cs"/>
                <w:rtl/>
              </w:rPr>
              <w:t>עו"ד עמנואל לינדר</w:t>
            </w:r>
          </w:p>
        </w:tc>
      </w:tr>
    </w:tbl>
    <w:p w:rsidR="00916FF8" w:rsidRPr="00CA32C4" w:rsidRDefault="00916FF8">
      <w:pPr>
        <w:pStyle w:val="Ruller3"/>
        <w:rPr>
          <w:sz w:val="10"/>
          <w:szCs w:val="14"/>
        </w:rPr>
      </w:pPr>
    </w:p>
    <w:tbl>
      <w:tblPr>
        <w:bidiVisual/>
        <w:tblW w:w="8363"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8"/>
        <w:gridCol w:w="5145"/>
      </w:tblGrid>
      <w:tr w:rsidR="00036227" w:rsidTr="00D00B1D">
        <w:tc>
          <w:tcPr>
            <w:tcW w:w="3257" w:type="dxa"/>
            <w:tcBorders>
              <w:top w:val="nil"/>
              <w:left w:val="nil"/>
              <w:bottom w:val="nil"/>
              <w:right w:val="nil"/>
            </w:tcBorders>
          </w:tcPr>
          <w:p w:rsidR="00036227" w:rsidRDefault="009519E3" w:rsidP="006F1984">
            <w:pPr>
              <w:pStyle w:val="BodyRuller"/>
            </w:pPr>
            <w:r>
              <w:rPr>
                <w:rtl/>
              </w:rPr>
              <w:t>בשם המש</w:t>
            </w:r>
            <w:r>
              <w:rPr>
                <w:rFonts w:hint="cs"/>
                <w:rtl/>
              </w:rPr>
              <w:t>יב</w:t>
            </w:r>
            <w:r w:rsidR="006F1984">
              <w:rPr>
                <w:rFonts w:hint="cs"/>
                <w:rtl/>
              </w:rPr>
              <w:t>ים</w:t>
            </w:r>
            <w:r>
              <w:rPr>
                <w:rFonts w:hint="cs"/>
                <w:rtl/>
              </w:rPr>
              <w:t xml:space="preserve"> 3-2 3136/17 והמשיבים הפורמאליים 2-1 בע"א 3146/17:</w:t>
            </w:r>
          </w:p>
        </w:tc>
        <w:tc>
          <w:tcPr>
            <w:tcW w:w="5238" w:type="dxa"/>
            <w:tcBorders>
              <w:top w:val="nil"/>
              <w:left w:val="nil"/>
              <w:bottom w:val="nil"/>
              <w:right w:val="nil"/>
            </w:tcBorders>
          </w:tcPr>
          <w:p w:rsidR="006F1984" w:rsidRDefault="006F1984" w:rsidP="009519E3">
            <w:pPr>
              <w:pStyle w:val="BodyRuller"/>
              <w:rPr>
                <w:rtl/>
              </w:rPr>
            </w:pPr>
          </w:p>
          <w:p w:rsidR="009519E3" w:rsidRDefault="009519E3" w:rsidP="009519E3">
            <w:pPr>
              <w:pStyle w:val="BodyRuller"/>
              <w:rPr>
                <w:rtl/>
              </w:rPr>
            </w:pPr>
            <w:r>
              <w:rPr>
                <w:rFonts w:hint="cs"/>
                <w:rtl/>
              </w:rPr>
              <w:t xml:space="preserve">עו"ד פנחס רובין; עו"ד דניאל פסרמן; </w:t>
            </w:r>
          </w:p>
          <w:p w:rsidR="009519E3" w:rsidRDefault="009519E3" w:rsidP="009519E3">
            <w:pPr>
              <w:pStyle w:val="BodyRuller"/>
            </w:pPr>
            <w:r>
              <w:rPr>
                <w:rFonts w:hint="cs"/>
                <w:rtl/>
              </w:rPr>
              <w:t>עו"ד שלמה אביעד זידר; עו"ד ענבר ברק-בילו</w:t>
            </w:r>
          </w:p>
        </w:tc>
      </w:tr>
      <w:tr w:rsidR="00A66E0E" w:rsidTr="00D00B1D">
        <w:tc>
          <w:tcPr>
            <w:tcW w:w="3257" w:type="dxa"/>
            <w:tcBorders>
              <w:top w:val="nil"/>
              <w:left w:val="nil"/>
              <w:bottom w:val="nil"/>
              <w:right w:val="nil"/>
            </w:tcBorders>
          </w:tcPr>
          <w:p w:rsidR="00A66E0E" w:rsidRDefault="00A66E0E">
            <w:pPr>
              <w:pStyle w:val="BodyRuller"/>
            </w:pPr>
          </w:p>
        </w:tc>
        <w:tc>
          <w:tcPr>
            <w:tcW w:w="5238" w:type="dxa"/>
            <w:tcBorders>
              <w:top w:val="nil"/>
              <w:left w:val="nil"/>
              <w:bottom w:val="nil"/>
              <w:right w:val="nil"/>
            </w:tcBorders>
          </w:tcPr>
          <w:p w:rsidR="00A66E0E" w:rsidRDefault="00A66E0E">
            <w:pPr>
              <w:pStyle w:val="BodyRuller"/>
              <w:rPr>
                <w:rtl/>
              </w:rPr>
            </w:pPr>
          </w:p>
        </w:tc>
      </w:tr>
      <w:tr w:rsidR="00A66E0E" w:rsidTr="00D00B1D">
        <w:tc>
          <w:tcPr>
            <w:tcW w:w="3257" w:type="dxa"/>
            <w:tcBorders>
              <w:top w:val="nil"/>
              <w:left w:val="nil"/>
              <w:bottom w:val="nil"/>
              <w:right w:val="nil"/>
            </w:tcBorders>
          </w:tcPr>
          <w:p w:rsidR="00A66E0E" w:rsidRDefault="009519E3">
            <w:pPr>
              <w:pStyle w:val="BodyRuller"/>
            </w:pPr>
            <w:r>
              <w:rPr>
                <w:rFonts w:hint="cs"/>
                <w:rtl/>
              </w:rPr>
              <w:t>בשם המשיב 3 בע"א 3136/17 והמערערת בע"א 3146/17</w:t>
            </w:r>
            <w:r w:rsidR="006F1984">
              <w:rPr>
                <w:rFonts w:hint="cs"/>
                <w:rtl/>
              </w:rPr>
              <w:t>:</w:t>
            </w:r>
          </w:p>
        </w:tc>
        <w:tc>
          <w:tcPr>
            <w:tcW w:w="5238" w:type="dxa"/>
            <w:tcBorders>
              <w:top w:val="nil"/>
              <w:left w:val="nil"/>
              <w:bottom w:val="nil"/>
              <w:right w:val="nil"/>
            </w:tcBorders>
          </w:tcPr>
          <w:p w:rsidR="006F1984" w:rsidRDefault="006F1984">
            <w:pPr>
              <w:pStyle w:val="BodyRuller"/>
              <w:rPr>
                <w:rtl/>
              </w:rPr>
            </w:pPr>
          </w:p>
          <w:p w:rsidR="00A66E0E" w:rsidRDefault="009519E3">
            <w:pPr>
              <w:pStyle w:val="BodyRuller"/>
              <w:rPr>
                <w:rtl/>
              </w:rPr>
            </w:pPr>
            <w:r>
              <w:rPr>
                <w:rFonts w:hint="cs"/>
                <w:rtl/>
              </w:rPr>
              <w:t>עו"ד אמנון רפאל; עו"ד שלומי לזר</w:t>
            </w:r>
          </w:p>
        </w:tc>
      </w:tr>
    </w:tbl>
    <w:p w:rsidR="009519E3" w:rsidRDefault="009519E3">
      <w:pPr>
        <w:tabs>
          <w:tab w:val="left" w:pos="2552"/>
        </w:tabs>
        <w:rPr>
          <w:rtl/>
        </w:rPr>
      </w:pPr>
    </w:p>
    <w:p w:rsidR="00E067F0" w:rsidRDefault="00E067F0">
      <w:pPr>
        <w:tabs>
          <w:tab w:val="left" w:pos="2552"/>
        </w:tabs>
        <w:rPr>
          <w:rtl/>
        </w:rPr>
      </w:pPr>
    </w:p>
    <w:p w:rsidR="00233FE3" w:rsidRDefault="00233FE3">
      <w:pPr>
        <w:tabs>
          <w:tab w:val="left" w:pos="2552"/>
        </w:tabs>
      </w:pPr>
    </w:p>
    <w:tbl>
      <w:tblPr>
        <w:bidiVisual/>
        <w:tblW w:w="8363" w:type="dxa"/>
        <w:tblLook w:val="0000" w:firstRow="0" w:lastRow="0" w:firstColumn="0" w:lastColumn="0" w:noHBand="0" w:noVBand="0"/>
      </w:tblPr>
      <w:tblGrid>
        <w:gridCol w:w="8363"/>
      </w:tblGrid>
      <w:tr w:rsidR="00036227" w:rsidTr="00D00B1D">
        <w:tc>
          <w:tcPr>
            <w:tcW w:w="9837" w:type="dxa"/>
          </w:tcPr>
          <w:p w:rsidR="00916FF8" w:rsidRDefault="00A66E0E">
            <w:pPr>
              <w:pStyle w:val="DocumentHead"/>
            </w:pPr>
            <w:bookmarkStart w:id="1" w:name="secretary"/>
            <w:bookmarkStart w:id="2" w:name="BeginProtocol"/>
            <w:bookmarkEnd w:id="1"/>
            <w:bookmarkEnd w:id="2"/>
            <w:r>
              <w:rPr>
                <w:rtl/>
              </w:rPr>
              <w:lastRenderedPageBreak/>
              <w:t>פסק-דין</w:t>
            </w:r>
          </w:p>
        </w:tc>
      </w:tr>
    </w:tbl>
    <w:p w:rsidR="004F458D" w:rsidRDefault="004F458D">
      <w:pPr>
        <w:pStyle w:val="BODYVERDICT"/>
        <w:rPr>
          <w:rtl/>
        </w:rPr>
      </w:pPr>
      <w:bookmarkStart w:id="3" w:name="Writer_Name"/>
      <w:bookmarkEnd w:id="3"/>
    </w:p>
    <w:p w:rsidR="00916FF8" w:rsidRPr="00503A3E" w:rsidRDefault="00A66E0E">
      <w:pPr>
        <w:pStyle w:val="BODYVERDICT"/>
        <w:rPr>
          <w:rFonts w:cs="Miriam"/>
          <w:sz w:val="24"/>
          <w:szCs w:val="24"/>
          <w:u w:val="single"/>
          <w:rtl/>
        </w:rPr>
      </w:pPr>
      <w:r>
        <w:rPr>
          <w:rFonts w:cs="Miriam"/>
          <w:sz w:val="24"/>
          <w:szCs w:val="24"/>
          <w:u w:val="single"/>
          <w:rtl/>
        </w:rPr>
        <w:t>השופט ע' גרוסקופף:</w:t>
      </w:r>
    </w:p>
    <w:p w:rsidR="000B1478" w:rsidRDefault="000B1478" w:rsidP="00A51FAE">
      <w:pPr>
        <w:pStyle w:val="Ruller41"/>
        <w:rPr>
          <w:rtl/>
        </w:rPr>
      </w:pPr>
      <w:bookmarkStart w:id="4" w:name="Start_Write"/>
      <w:bookmarkEnd w:id="4"/>
    </w:p>
    <w:p w:rsidR="009519E3" w:rsidRPr="002F1185" w:rsidRDefault="009519E3" w:rsidP="009519E3">
      <w:pPr>
        <w:pStyle w:val="Ruller41"/>
        <w:rPr>
          <w:rtl/>
        </w:rPr>
      </w:pPr>
      <w:r w:rsidRPr="002F1185">
        <w:rPr>
          <w:rtl/>
        </w:rPr>
        <w:tab/>
      </w:r>
      <w:r w:rsidRPr="002F1185">
        <w:rPr>
          <w:rFonts w:hint="cs"/>
          <w:rtl/>
        </w:rPr>
        <w:t xml:space="preserve">לפנינו ערעורים על פסק דינו של בית המשפט המחוזי מרכז בלוד (השופט </w:t>
      </w:r>
      <w:r w:rsidRPr="002F1185">
        <w:rPr>
          <w:rFonts w:ascii="Century" w:hAnsi="Century" w:cs="Miriam" w:hint="cs"/>
          <w:b/>
          <w:spacing w:val="0"/>
          <w:szCs w:val="24"/>
          <w:rtl/>
        </w:rPr>
        <w:t>אחיקם סטולר</w:t>
      </w:r>
      <w:r w:rsidRPr="002F1185">
        <w:rPr>
          <w:rFonts w:hint="cs"/>
          <w:rtl/>
        </w:rPr>
        <w:t xml:space="preserve">) מיום 6.11.2016 במסגרתו נדונו שלושה ערעורי מס הכנסה (ע"מ 56940-07-12; ע"מ 23248-09-12; ע"מ 23285-09-12) (להלן: </w:t>
      </w:r>
      <w:r w:rsidRPr="002F1185">
        <w:rPr>
          <w:rFonts w:ascii="Century" w:hAnsi="Century" w:cs="Miriam" w:hint="cs"/>
          <w:b/>
          <w:spacing w:val="0"/>
          <w:szCs w:val="24"/>
          <w:rtl/>
        </w:rPr>
        <w:t>"פסק הדין"</w:t>
      </w:r>
      <w:r w:rsidRPr="002F1185">
        <w:rPr>
          <w:rFonts w:hint="cs"/>
          <w:rtl/>
        </w:rPr>
        <w:t>). במרכזם של הערעורים עומדת שאלת אופן המיסוי של עסקה שהוצגה כמכר נפרד של מניות חברת הבת ושל מוניטין השייך לחברת האם.</w:t>
      </w:r>
    </w:p>
    <w:p w:rsidR="009519E3" w:rsidRPr="002F1185" w:rsidRDefault="009519E3" w:rsidP="009519E3">
      <w:pPr>
        <w:pStyle w:val="Ruller41"/>
        <w:rPr>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רקע והליכים קודמים</w:t>
      </w:r>
    </w:p>
    <w:p w:rsidR="009519E3" w:rsidRPr="002F1185" w:rsidRDefault="009519E3" w:rsidP="009519E3">
      <w:pPr>
        <w:pStyle w:val="Ruller41"/>
        <w:rPr>
          <w:rFonts w:ascii="Century" w:hAnsi="Century" w:cs="Miriam"/>
          <w:b/>
          <w:spacing w:val="0"/>
          <w:szCs w:val="24"/>
          <w:rtl/>
        </w:rPr>
      </w:pPr>
    </w:p>
    <w:p w:rsidR="009519E3" w:rsidRPr="002F1185" w:rsidRDefault="009519E3" w:rsidP="00CA32C4">
      <w:pPr>
        <w:pStyle w:val="Ruller4"/>
        <w:rPr>
          <w:rtl/>
        </w:rPr>
      </w:pPr>
      <w:r w:rsidRPr="002F1185">
        <w:rPr>
          <w:rFonts w:hint="cs"/>
          <w:rtl/>
        </w:rPr>
        <w:t xml:space="preserve">המשיבה 1 בע"א 3136/17 והמשיבה </w:t>
      </w:r>
      <w:r w:rsidR="00CA32C4">
        <w:rPr>
          <w:rFonts w:hint="cs"/>
          <w:rtl/>
        </w:rPr>
        <w:t>2</w:t>
      </w:r>
      <w:r w:rsidRPr="002F1185">
        <w:rPr>
          <w:rFonts w:hint="cs"/>
          <w:rtl/>
        </w:rPr>
        <w:t xml:space="preserve"> (פורמאלית) בע"א 3146/17, חברת פליינג קרגו בע"מ (להלן: </w:t>
      </w:r>
      <w:r w:rsidRPr="002F1185">
        <w:rPr>
          <w:rFonts w:ascii="Century" w:hAnsi="Century" w:cs="Miriam" w:hint="cs"/>
          <w:b/>
          <w:spacing w:val="0"/>
          <w:sz w:val="22"/>
          <w:szCs w:val="24"/>
          <w:rtl/>
        </w:rPr>
        <w:t>"</w:t>
      </w:r>
      <w:r w:rsidR="006C3CFE">
        <w:rPr>
          <w:rFonts w:ascii="Century" w:hAnsi="Century" w:cs="Miriam" w:hint="cs"/>
          <w:b/>
          <w:spacing w:val="0"/>
          <w:sz w:val="22"/>
          <w:szCs w:val="24"/>
          <w:rtl/>
        </w:rPr>
        <w:t xml:space="preserve">חברת </w:t>
      </w:r>
      <w:r w:rsidRPr="002F1185">
        <w:rPr>
          <w:rFonts w:ascii="Century" w:hAnsi="Century" w:cs="Miriam" w:hint="cs"/>
          <w:b/>
          <w:spacing w:val="0"/>
          <w:sz w:val="22"/>
          <w:szCs w:val="24"/>
          <w:rtl/>
        </w:rPr>
        <w:t>פליינג קרגו"</w:t>
      </w:r>
      <w:r w:rsidRPr="002F1185">
        <w:rPr>
          <w:rFonts w:hint="cs"/>
          <w:rtl/>
        </w:rPr>
        <w:t xml:space="preserve"> או "</w:t>
      </w:r>
      <w:r w:rsidRPr="002F1185">
        <w:rPr>
          <w:rFonts w:ascii="Century" w:hAnsi="Century" w:cs="Miriam" w:hint="cs"/>
          <w:b/>
          <w:spacing w:val="0"/>
          <w:sz w:val="22"/>
          <w:szCs w:val="24"/>
          <w:rtl/>
        </w:rPr>
        <w:t>חברת האם</w:t>
      </w:r>
      <w:r w:rsidRPr="002F1185">
        <w:rPr>
          <w:rFonts w:hint="cs"/>
          <w:rtl/>
        </w:rPr>
        <w:t xml:space="preserve">") היא חלק מקבוצת חברות (להלן: </w:t>
      </w:r>
      <w:r w:rsidRPr="002F1185">
        <w:rPr>
          <w:rFonts w:ascii="Century" w:hAnsi="Century" w:cs="Miriam" w:hint="cs"/>
          <w:b/>
          <w:spacing w:val="0"/>
          <w:sz w:val="22"/>
          <w:szCs w:val="24"/>
          <w:rtl/>
        </w:rPr>
        <w:t>"קבוצת פליינג קרגו"</w:t>
      </w:r>
      <w:r w:rsidRPr="002F1185">
        <w:rPr>
          <w:rFonts w:hint="cs"/>
          <w:rtl/>
        </w:rPr>
        <w:t xml:space="preserve">) בבעלות מר דניאל רייק, הוא המשיב 2 בע"א 3136/17 והמשיב </w:t>
      </w:r>
      <w:r w:rsidR="00CA32C4">
        <w:rPr>
          <w:rFonts w:hint="cs"/>
          <w:rtl/>
        </w:rPr>
        <w:t>3</w:t>
      </w:r>
      <w:r w:rsidRPr="002F1185">
        <w:rPr>
          <w:rFonts w:hint="cs"/>
          <w:rtl/>
        </w:rPr>
        <w:t xml:space="preserve"> (פורמאלי) בע"א 3146/17 (להלן: </w:t>
      </w:r>
      <w:r w:rsidRPr="002F1185">
        <w:rPr>
          <w:rFonts w:ascii="Century" w:hAnsi="Century" w:cs="Miriam" w:hint="cs"/>
          <w:b/>
          <w:spacing w:val="0"/>
          <w:sz w:val="22"/>
          <w:szCs w:val="24"/>
          <w:rtl/>
        </w:rPr>
        <w:t>"מר רייק"</w:t>
      </w:r>
      <w:r w:rsidRPr="002F1185">
        <w:rPr>
          <w:rFonts w:hint="cs"/>
          <w:rtl/>
        </w:rPr>
        <w:t xml:space="preserve">), ואחיו אברהם רייק (להלן, יכונו יחדיו: </w:t>
      </w:r>
      <w:r w:rsidRPr="002F1185">
        <w:rPr>
          <w:rFonts w:ascii="Century" w:hAnsi="Century" w:cs="Miriam" w:hint="cs"/>
          <w:b/>
          <w:spacing w:val="0"/>
          <w:sz w:val="22"/>
          <w:szCs w:val="24"/>
          <w:rtl/>
        </w:rPr>
        <w:t>"האחים רייק"</w:t>
      </w:r>
      <w:r w:rsidRPr="002F1185">
        <w:rPr>
          <w:rFonts w:hint="cs"/>
          <w:rtl/>
        </w:rPr>
        <w:t xml:space="preserve">). </w:t>
      </w:r>
    </w:p>
    <w:p w:rsidR="009519E3" w:rsidRPr="002F1185" w:rsidRDefault="009519E3" w:rsidP="009519E3">
      <w:pPr>
        <w:pStyle w:val="Ruller41"/>
      </w:pPr>
    </w:p>
    <w:p w:rsidR="009519E3" w:rsidRDefault="006C3CFE" w:rsidP="009519E3">
      <w:pPr>
        <w:pStyle w:val="Ruller4"/>
        <w:rPr>
          <w:rtl/>
        </w:rPr>
      </w:pPr>
      <w:r>
        <w:rPr>
          <w:rFonts w:hint="cs"/>
          <w:rtl/>
        </w:rPr>
        <w:t xml:space="preserve">חברת </w:t>
      </w:r>
      <w:r w:rsidR="009519E3" w:rsidRPr="002F1185">
        <w:rPr>
          <w:rFonts w:hint="cs"/>
          <w:rtl/>
        </w:rPr>
        <w:t xml:space="preserve">פליינג קרגו הוקמה בשנת 1982 והחל ממועד זה עסקה בשני תחומי פעילות: שילוח בינלאומי ובלדרות. </w:t>
      </w:r>
      <w:r>
        <w:rPr>
          <w:rFonts w:hint="cs"/>
          <w:rtl/>
        </w:rPr>
        <w:t xml:space="preserve">חברת </w:t>
      </w:r>
      <w:r w:rsidR="009519E3" w:rsidRPr="002F1185">
        <w:rPr>
          <w:rFonts w:hint="cs"/>
          <w:rtl/>
        </w:rPr>
        <w:t xml:space="preserve">פליינג קרגו היא החברה הראשונה שהוקמה בקבוצת פליינג קרגו, כאשר עם השנים הוקמו חברות נוספות בקבוצה, רובן תחת השם "פליינג קרגו", אשר כל אחת מהן התמחתה בתחום פעילות מסוים של הקבוצה. כך למשל, בשנת 1993 הוקמה </w:t>
      </w:r>
      <w:r w:rsidR="009519E3" w:rsidRPr="002F1185">
        <w:rPr>
          <w:rFonts w:hint="eastAsia"/>
          <w:rtl/>
        </w:rPr>
        <w:t>צומת</w:t>
      </w:r>
      <w:r w:rsidR="009519E3" w:rsidRPr="002F1185">
        <w:rPr>
          <w:rtl/>
        </w:rPr>
        <w:t xml:space="preserve"> </w:t>
      </w:r>
      <w:r w:rsidR="009519E3" w:rsidRPr="002F1185">
        <w:rPr>
          <w:rFonts w:hint="eastAsia"/>
          <w:rtl/>
        </w:rPr>
        <w:t>מידע</w:t>
      </w:r>
      <w:r w:rsidR="009519E3" w:rsidRPr="002F1185">
        <w:rPr>
          <w:rtl/>
        </w:rPr>
        <w:t xml:space="preserve"> </w:t>
      </w:r>
      <w:r w:rsidR="009519E3" w:rsidRPr="002F1185">
        <w:rPr>
          <w:rFonts w:hint="eastAsia"/>
          <w:rtl/>
        </w:rPr>
        <w:t>מחשוב</w:t>
      </w:r>
      <w:r w:rsidR="009519E3" w:rsidRPr="002F1185">
        <w:rPr>
          <w:rtl/>
        </w:rPr>
        <w:t xml:space="preserve"> </w:t>
      </w:r>
      <w:r w:rsidR="009519E3" w:rsidRPr="002F1185">
        <w:rPr>
          <w:rFonts w:hint="eastAsia"/>
          <w:rtl/>
        </w:rPr>
        <w:t>סחר</w:t>
      </w:r>
      <w:r w:rsidR="009519E3" w:rsidRPr="002F1185">
        <w:rPr>
          <w:rtl/>
        </w:rPr>
        <w:t xml:space="preserve"> </w:t>
      </w:r>
      <w:r w:rsidR="009519E3" w:rsidRPr="002F1185">
        <w:rPr>
          <w:rFonts w:hint="eastAsia"/>
          <w:rtl/>
        </w:rPr>
        <w:t>חוץ</w:t>
      </w:r>
      <w:r w:rsidR="009519E3" w:rsidRPr="002F1185">
        <w:rPr>
          <w:rtl/>
        </w:rPr>
        <w:t xml:space="preserve"> </w:t>
      </w:r>
      <w:r w:rsidR="009519E3" w:rsidRPr="002F1185">
        <w:rPr>
          <w:rFonts w:hint="eastAsia"/>
          <w:rtl/>
        </w:rPr>
        <w:t>בע</w:t>
      </w:r>
      <w:r w:rsidR="009519E3" w:rsidRPr="002F1185">
        <w:rPr>
          <w:rtl/>
        </w:rPr>
        <w:t>"</w:t>
      </w:r>
      <w:r w:rsidR="009519E3" w:rsidRPr="002F1185">
        <w:rPr>
          <w:rFonts w:hint="eastAsia"/>
          <w:rtl/>
        </w:rPr>
        <w:t>מ</w:t>
      </w:r>
      <w:r w:rsidR="009519E3" w:rsidRPr="002F1185">
        <w:rPr>
          <w:rFonts w:hint="cs"/>
          <w:rtl/>
        </w:rPr>
        <w:t xml:space="preserve"> המתמחה </w:t>
      </w:r>
      <w:r w:rsidR="009519E3" w:rsidRPr="002F1185">
        <w:rPr>
          <w:rFonts w:hint="eastAsia"/>
          <w:rtl/>
        </w:rPr>
        <w:t>בהקמ</w:t>
      </w:r>
      <w:r w:rsidR="009519E3" w:rsidRPr="002F1185">
        <w:rPr>
          <w:rFonts w:hint="cs"/>
          <w:rtl/>
        </w:rPr>
        <w:t>ה</w:t>
      </w:r>
      <w:r w:rsidR="009519E3" w:rsidRPr="002F1185">
        <w:rPr>
          <w:rtl/>
        </w:rPr>
        <w:t xml:space="preserve"> </w:t>
      </w:r>
      <w:r w:rsidR="009519E3" w:rsidRPr="002F1185">
        <w:rPr>
          <w:rFonts w:hint="eastAsia"/>
          <w:rtl/>
        </w:rPr>
        <w:t>וניהול</w:t>
      </w:r>
      <w:r w:rsidR="009519E3" w:rsidRPr="002F1185">
        <w:rPr>
          <w:rtl/>
        </w:rPr>
        <w:t xml:space="preserve"> </w:t>
      </w:r>
      <w:r w:rsidR="009519E3" w:rsidRPr="002F1185">
        <w:rPr>
          <w:rFonts w:hint="eastAsia"/>
          <w:rtl/>
        </w:rPr>
        <w:t>תשתיות</w:t>
      </w:r>
      <w:r w:rsidR="009519E3" w:rsidRPr="002F1185">
        <w:rPr>
          <w:rtl/>
        </w:rPr>
        <w:t xml:space="preserve"> </w:t>
      </w:r>
      <w:r w:rsidR="009519E3" w:rsidRPr="002F1185">
        <w:rPr>
          <w:rFonts w:hint="eastAsia"/>
          <w:rtl/>
        </w:rPr>
        <w:t>מיחשוב</w:t>
      </w:r>
      <w:r w:rsidR="009519E3" w:rsidRPr="002F1185">
        <w:rPr>
          <w:rtl/>
        </w:rPr>
        <w:t xml:space="preserve"> </w:t>
      </w:r>
      <w:r w:rsidR="009519E3" w:rsidRPr="002F1185">
        <w:rPr>
          <w:rFonts w:hint="eastAsia"/>
          <w:rtl/>
        </w:rPr>
        <w:t>ותקשורת</w:t>
      </w:r>
      <w:r w:rsidR="009519E3" w:rsidRPr="002F1185">
        <w:rPr>
          <w:rFonts w:hint="cs"/>
          <w:rtl/>
        </w:rPr>
        <w:t xml:space="preserve">; בשנת 1994 הוקמה </w:t>
      </w:r>
      <w:r w:rsidR="009519E3" w:rsidRPr="002F1185">
        <w:rPr>
          <w:rFonts w:hint="eastAsia"/>
          <w:rtl/>
        </w:rPr>
        <w:t>פליינג</w:t>
      </w:r>
      <w:r w:rsidR="009519E3" w:rsidRPr="002F1185">
        <w:rPr>
          <w:rtl/>
        </w:rPr>
        <w:t xml:space="preserve"> </w:t>
      </w:r>
      <w:r w:rsidR="009519E3" w:rsidRPr="002F1185">
        <w:rPr>
          <w:rFonts w:hint="eastAsia"/>
          <w:rtl/>
        </w:rPr>
        <w:t>קרגו</w:t>
      </w:r>
      <w:r w:rsidR="009519E3" w:rsidRPr="002F1185">
        <w:rPr>
          <w:rtl/>
        </w:rPr>
        <w:t xml:space="preserve"> </w:t>
      </w:r>
      <w:r w:rsidR="009519E3" w:rsidRPr="002F1185">
        <w:rPr>
          <w:rFonts w:hint="eastAsia"/>
          <w:rtl/>
        </w:rPr>
        <w:t>סוכנות</w:t>
      </w:r>
      <w:r w:rsidR="009519E3" w:rsidRPr="002F1185">
        <w:rPr>
          <w:rtl/>
        </w:rPr>
        <w:t xml:space="preserve"> </w:t>
      </w:r>
      <w:r w:rsidR="009519E3" w:rsidRPr="002F1185">
        <w:rPr>
          <w:rFonts w:hint="eastAsia"/>
          <w:rtl/>
        </w:rPr>
        <w:t>לביטוח</w:t>
      </w:r>
      <w:r w:rsidR="009519E3" w:rsidRPr="002F1185">
        <w:rPr>
          <w:rtl/>
        </w:rPr>
        <w:t xml:space="preserve"> (1994) </w:t>
      </w:r>
      <w:r w:rsidR="009519E3" w:rsidRPr="002F1185">
        <w:rPr>
          <w:rFonts w:hint="eastAsia"/>
          <w:rtl/>
        </w:rPr>
        <w:t>בע</w:t>
      </w:r>
      <w:r w:rsidR="009519E3" w:rsidRPr="002F1185">
        <w:rPr>
          <w:rtl/>
        </w:rPr>
        <w:t>"</w:t>
      </w:r>
      <w:r w:rsidR="009519E3" w:rsidRPr="002F1185">
        <w:rPr>
          <w:rFonts w:hint="eastAsia"/>
          <w:rtl/>
        </w:rPr>
        <w:t>מ</w:t>
      </w:r>
      <w:r w:rsidR="009519E3" w:rsidRPr="002F1185">
        <w:rPr>
          <w:rFonts w:hint="cs"/>
          <w:rtl/>
        </w:rPr>
        <w:t xml:space="preserve"> ה</w:t>
      </w:r>
      <w:r w:rsidR="009519E3" w:rsidRPr="002F1185">
        <w:rPr>
          <w:rFonts w:hint="eastAsia"/>
          <w:rtl/>
        </w:rPr>
        <w:t>מתמחה</w:t>
      </w:r>
      <w:r w:rsidR="009519E3" w:rsidRPr="002F1185">
        <w:rPr>
          <w:rtl/>
        </w:rPr>
        <w:t xml:space="preserve"> </w:t>
      </w:r>
      <w:r w:rsidR="009519E3" w:rsidRPr="002F1185">
        <w:rPr>
          <w:rFonts w:hint="eastAsia"/>
          <w:rtl/>
        </w:rPr>
        <w:t>בביטוח</w:t>
      </w:r>
      <w:r w:rsidR="009519E3" w:rsidRPr="002F1185">
        <w:rPr>
          <w:rtl/>
        </w:rPr>
        <w:t xml:space="preserve"> </w:t>
      </w:r>
      <w:r w:rsidR="009519E3" w:rsidRPr="002F1185">
        <w:rPr>
          <w:rFonts w:hint="eastAsia"/>
          <w:rtl/>
        </w:rPr>
        <w:t>מטענים</w:t>
      </w:r>
      <w:r w:rsidR="009519E3" w:rsidRPr="002F1185">
        <w:rPr>
          <w:rFonts w:hint="cs"/>
          <w:rtl/>
        </w:rPr>
        <w:t xml:space="preserve">; בשנת 1995 הוקמה </w:t>
      </w:r>
      <w:r w:rsidR="009519E3" w:rsidRPr="002F1185">
        <w:rPr>
          <w:rFonts w:hint="eastAsia"/>
          <w:rtl/>
        </w:rPr>
        <w:t>אף</w:t>
      </w:r>
      <w:r w:rsidR="009519E3" w:rsidRPr="002F1185">
        <w:rPr>
          <w:rtl/>
        </w:rPr>
        <w:t>.</w:t>
      </w:r>
      <w:r w:rsidR="009519E3" w:rsidRPr="002F1185">
        <w:rPr>
          <w:rFonts w:hint="eastAsia"/>
          <w:rtl/>
        </w:rPr>
        <w:t>סי</w:t>
      </w:r>
      <w:r w:rsidR="00A03B3A">
        <w:rPr>
          <w:rFonts w:hint="cs"/>
          <w:rtl/>
        </w:rPr>
        <w:t>.</w:t>
      </w:r>
      <w:r w:rsidR="009519E3" w:rsidRPr="002F1185">
        <w:rPr>
          <w:rtl/>
        </w:rPr>
        <w:t xml:space="preserve"> (</w:t>
      </w:r>
      <w:r w:rsidR="009519E3" w:rsidRPr="002F1185">
        <w:rPr>
          <w:rFonts w:hint="eastAsia"/>
          <w:rtl/>
        </w:rPr>
        <w:t>פליינג</w:t>
      </w:r>
      <w:r w:rsidR="009519E3" w:rsidRPr="002F1185">
        <w:rPr>
          <w:rtl/>
        </w:rPr>
        <w:t xml:space="preserve"> </w:t>
      </w:r>
      <w:r w:rsidR="009519E3" w:rsidRPr="002F1185">
        <w:rPr>
          <w:rFonts w:hint="eastAsia"/>
          <w:rtl/>
        </w:rPr>
        <w:t>קרגו</w:t>
      </w:r>
      <w:r w:rsidR="009519E3" w:rsidRPr="002F1185">
        <w:rPr>
          <w:rtl/>
        </w:rPr>
        <w:t xml:space="preserve">) </w:t>
      </w:r>
      <w:r w:rsidR="009519E3" w:rsidRPr="002F1185">
        <w:rPr>
          <w:rFonts w:hint="eastAsia"/>
          <w:rtl/>
        </w:rPr>
        <w:t>שירותים</w:t>
      </w:r>
      <w:r w:rsidR="009519E3" w:rsidRPr="002F1185">
        <w:rPr>
          <w:rtl/>
        </w:rPr>
        <w:t xml:space="preserve"> </w:t>
      </w:r>
      <w:r w:rsidR="009519E3" w:rsidRPr="002F1185">
        <w:rPr>
          <w:rFonts w:hint="eastAsia"/>
          <w:rtl/>
        </w:rPr>
        <w:t>לוגיסטיים</w:t>
      </w:r>
      <w:r w:rsidR="009519E3" w:rsidRPr="002F1185">
        <w:rPr>
          <w:rtl/>
        </w:rPr>
        <w:t xml:space="preserve"> </w:t>
      </w:r>
      <w:r w:rsidR="009519E3" w:rsidRPr="002F1185">
        <w:rPr>
          <w:rFonts w:hint="eastAsia"/>
          <w:rtl/>
        </w:rPr>
        <w:t>בע</w:t>
      </w:r>
      <w:r w:rsidR="009519E3" w:rsidRPr="002F1185">
        <w:rPr>
          <w:rtl/>
        </w:rPr>
        <w:t>"</w:t>
      </w:r>
      <w:r w:rsidR="009519E3" w:rsidRPr="002F1185">
        <w:rPr>
          <w:rFonts w:hint="eastAsia"/>
          <w:rtl/>
        </w:rPr>
        <w:t>מ</w:t>
      </w:r>
      <w:r w:rsidR="009519E3" w:rsidRPr="002F1185">
        <w:rPr>
          <w:rtl/>
        </w:rPr>
        <w:t xml:space="preserve"> </w:t>
      </w:r>
      <w:r w:rsidR="009519E3" w:rsidRPr="002F1185">
        <w:rPr>
          <w:rFonts w:hint="cs"/>
          <w:rtl/>
        </w:rPr>
        <w:t>ה</w:t>
      </w:r>
      <w:r w:rsidR="009519E3" w:rsidRPr="002F1185">
        <w:rPr>
          <w:rFonts w:hint="eastAsia"/>
          <w:rtl/>
        </w:rPr>
        <w:t>מתמחה</w:t>
      </w:r>
      <w:r w:rsidR="009519E3" w:rsidRPr="002F1185">
        <w:rPr>
          <w:rtl/>
        </w:rPr>
        <w:t xml:space="preserve"> </w:t>
      </w:r>
      <w:r w:rsidR="009519E3" w:rsidRPr="002F1185">
        <w:rPr>
          <w:rFonts w:hint="eastAsia"/>
          <w:rtl/>
        </w:rPr>
        <w:t>בניהול</w:t>
      </w:r>
      <w:r w:rsidR="009519E3" w:rsidRPr="002F1185">
        <w:rPr>
          <w:rtl/>
        </w:rPr>
        <w:t xml:space="preserve"> </w:t>
      </w:r>
      <w:r w:rsidR="009519E3" w:rsidRPr="002F1185">
        <w:rPr>
          <w:rFonts w:hint="eastAsia"/>
          <w:rtl/>
        </w:rPr>
        <w:t>מרכזים</w:t>
      </w:r>
      <w:r w:rsidR="009519E3" w:rsidRPr="002F1185">
        <w:rPr>
          <w:rtl/>
        </w:rPr>
        <w:t xml:space="preserve"> </w:t>
      </w:r>
      <w:r w:rsidR="009519E3" w:rsidRPr="002F1185">
        <w:rPr>
          <w:rFonts w:hint="eastAsia"/>
          <w:rtl/>
        </w:rPr>
        <w:t>לוגיסטיים</w:t>
      </w:r>
      <w:r w:rsidR="009519E3" w:rsidRPr="002F1185">
        <w:rPr>
          <w:rFonts w:hint="cs"/>
          <w:rtl/>
        </w:rPr>
        <w:t xml:space="preserve">; ובשנת 2002 הוקמו </w:t>
      </w:r>
      <w:r w:rsidR="009519E3" w:rsidRPr="002F1185">
        <w:rPr>
          <w:rFonts w:hint="eastAsia"/>
          <w:rtl/>
        </w:rPr>
        <w:t>אף</w:t>
      </w:r>
      <w:r w:rsidR="009519E3" w:rsidRPr="002F1185">
        <w:rPr>
          <w:rtl/>
        </w:rPr>
        <w:t>.</w:t>
      </w:r>
      <w:r w:rsidR="009519E3" w:rsidRPr="002F1185">
        <w:rPr>
          <w:rFonts w:hint="eastAsia"/>
          <w:rtl/>
        </w:rPr>
        <w:t>סי</w:t>
      </w:r>
      <w:r w:rsidR="00A03B3A">
        <w:rPr>
          <w:rFonts w:hint="cs"/>
          <w:rtl/>
        </w:rPr>
        <w:t>.</w:t>
      </w:r>
      <w:r w:rsidR="009519E3" w:rsidRPr="002F1185">
        <w:rPr>
          <w:rtl/>
        </w:rPr>
        <w:t xml:space="preserve"> (</w:t>
      </w:r>
      <w:r w:rsidR="009519E3" w:rsidRPr="002F1185">
        <w:rPr>
          <w:rFonts w:hint="eastAsia"/>
          <w:rtl/>
        </w:rPr>
        <w:t>פליינג</w:t>
      </w:r>
      <w:r w:rsidR="009519E3" w:rsidRPr="002F1185">
        <w:rPr>
          <w:rtl/>
        </w:rPr>
        <w:t xml:space="preserve"> </w:t>
      </w:r>
      <w:r w:rsidR="009519E3" w:rsidRPr="002F1185">
        <w:rPr>
          <w:rFonts w:hint="eastAsia"/>
          <w:rtl/>
        </w:rPr>
        <w:t>קרגו</w:t>
      </w:r>
      <w:r w:rsidR="009519E3" w:rsidRPr="002F1185">
        <w:rPr>
          <w:rtl/>
        </w:rPr>
        <w:t xml:space="preserve">) </w:t>
      </w:r>
      <w:r w:rsidR="009519E3" w:rsidRPr="002F1185">
        <w:rPr>
          <w:rFonts w:hint="eastAsia"/>
          <w:rtl/>
        </w:rPr>
        <w:t>תובלה</w:t>
      </w:r>
      <w:r w:rsidR="009519E3" w:rsidRPr="002F1185">
        <w:rPr>
          <w:rtl/>
        </w:rPr>
        <w:t xml:space="preserve"> </w:t>
      </w:r>
      <w:r w:rsidR="009519E3" w:rsidRPr="002F1185">
        <w:rPr>
          <w:rFonts w:hint="eastAsia"/>
          <w:rtl/>
        </w:rPr>
        <w:t>יבשתית</w:t>
      </w:r>
      <w:r w:rsidR="009519E3" w:rsidRPr="002F1185">
        <w:rPr>
          <w:rtl/>
        </w:rPr>
        <w:t xml:space="preserve"> </w:t>
      </w:r>
      <w:r w:rsidR="009519E3" w:rsidRPr="002F1185">
        <w:rPr>
          <w:rFonts w:hint="eastAsia"/>
          <w:rtl/>
        </w:rPr>
        <w:t>בע</w:t>
      </w:r>
      <w:r w:rsidR="009519E3" w:rsidRPr="002F1185">
        <w:rPr>
          <w:rtl/>
        </w:rPr>
        <w:t>"</w:t>
      </w:r>
      <w:r w:rsidR="009519E3" w:rsidRPr="002F1185">
        <w:rPr>
          <w:rFonts w:hint="eastAsia"/>
          <w:rtl/>
        </w:rPr>
        <w:t>מ</w:t>
      </w:r>
      <w:r w:rsidR="009519E3" w:rsidRPr="002F1185">
        <w:rPr>
          <w:rFonts w:hint="cs"/>
          <w:rtl/>
        </w:rPr>
        <w:t xml:space="preserve"> המתמחה </w:t>
      </w:r>
      <w:r w:rsidR="009519E3" w:rsidRPr="002F1185">
        <w:rPr>
          <w:rFonts w:hint="eastAsia"/>
          <w:rtl/>
        </w:rPr>
        <w:t>בהובלה</w:t>
      </w:r>
      <w:r w:rsidR="009519E3" w:rsidRPr="002F1185">
        <w:rPr>
          <w:rtl/>
        </w:rPr>
        <w:t xml:space="preserve"> </w:t>
      </w:r>
      <w:r w:rsidR="009519E3" w:rsidRPr="002F1185">
        <w:rPr>
          <w:rFonts w:hint="eastAsia"/>
          <w:rtl/>
        </w:rPr>
        <w:t>יבשתית</w:t>
      </w:r>
      <w:r w:rsidR="009519E3" w:rsidRPr="002F1185">
        <w:rPr>
          <w:rtl/>
        </w:rPr>
        <w:t xml:space="preserve"> </w:t>
      </w:r>
      <w:r w:rsidR="009519E3" w:rsidRPr="002F1185">
        <w:rPr>
          <w:rFonts w:hint="eastAsia"/>
          <w:rtl/>
        </w:rPr>
        <w:t>של</w:t>
      </w:r>
      <w:r w:rsidR="009519E3" w:rsidRPr="002F1185">
        <w:rPr>
          <w:rtl/>
        </w:rPr>
        <w:t xml:space="preserve"> </w:t>
      </w:r>
      <w:r w:rsidR="009519E3" w:rsidRPr="002F1185">
        <w:rPr>
          <w:rFonts w:hint="eastAsia"/>
          <w:rtl/>
        </w:rPr>
        <w:t>מטענים</w:t>
      </w:r>
      <w:r w:rsidR="009519E3" w:rsidRPr="002F1185">
        <w:rPr>
          <w:rtl/>
        </w:rPr>
        <w:t xml:space="preserve"> </w:t>
      </w:r>
      <w:r w:rsidR="009519E3" w:rsidRPr="002F1185">
        <w:rPr>
          <w:rFonts w:hint="eastAsia"/>
          <w:rtl/>
        </w:rPr>
        <w:t>ומכולות</w:t>
      </w:r>
      <w:r w:rsidR="009519E3" w:rsidRPr="002F1185">
        <w:rPr>
          <w:rtl/>
        </w:rPr>
        <w:t xml:space="preserve"> </w:t>
      </w:r>
      <w:r w:rsidR="009519E3" w:rsidRPr="002F1185">
        <w:rPr>
          <w:rFonts w:hint="eastAsia"/>
          <w:rtl/>
        </w:rPr>
        <w:t>בישראל</w:t>
      </w:r>
      <w:r w:rsidR="009519E3" w:rsidRPr="002F1185">
        <w:rPr>
          <w:rFonts w:hint="cs"/>
          <w:rtl/>
        </w:rPr>
        <w:t>, ו</w:t>
      </w:r>
      <w:r w:rsidR="009519E3" w:rsidRPr="002F1185">
        <w:rPr>
          <w:rFonts w:hint="eastAsia"/>
          <w:rtl/>
        </w:rPr>
        <w:t>אף</w:t>
      </w:r>
      <w:r w:rsidR="009519E3" w:rsidRPr="002F1185">
        <w:rPr>
          <w:rtl/>
        </w:rPr>
        <w:t>.</w:t>
      </w:r>
      <w:r w:rsidR="009519E3" w:rsidRPr="002F1185">
        <w:rPr>
          <w:rFonts w:hint="eastAsia"/>
          <w:rtl/>
        </w:rPr>
        <w:t>סי</w:t>
      </w:r>
      <w:r w:rsidR="00A03B3A">
        <w:rPr>
          <w:rFonts w:hint="cs"/>
          <w:rtl/>
        </w:rPr>
        <w:t xml:space="preserve">. </w:t>
      </w:r>
      <w:r w:rsidR="009519E3" w:rsidRPr="002F1185">
        <w:rPr>
          <w:rtl/>
        </w:rPr>
        <w:t>(</w:t>
      </w:r>
      <w:r w:rsidR="009519E3" w:rsidRPr="002F1185">
        <w:rPr>
          <w:rFonts w:hint="eastAsia"/>
          <w:rtl/>
        </w:rPr>
        <w:t>פליינג</w:t>
      </w:r>
      <w:r w:rsidR="009519E3" w:rsidRPr="002F1185">
        <w:rPr>
          <w:rtl/>
        </w:rPr>
        <w:t xml:space="preserve"> </w:t>
      </w:r>
      <w:r w:rsidR="009519E3" w:rsidRPr="002F1185">
        <w:rPr>
          <w:rFonts w:hint="eastAsia"/>
          <w:rtl/>
        </w:rPr>
        <w:t>קרגו</w:t>
      </w:r>
      <w:r w:rsidR="009519E3" w:rsidRPr="002F1185">
        <w:rPr>
          <w:rtl/>
        </w:rPr>
        <w:t xml:space="preserve">) </w:t>
      </w:r>
      <w:r w:rsidR="009519E3" w:rsidRPr="002F1185">
        <w:rPr>
          <w:rFonts w:hint="eastAsia"/>
          <w:rtl/>
        </w:rPr>
        <w:t>תובלה</w:t>
      </w:r>
      <w:r w:rsidR="009519E3" w:rsidRPr="002F1185">
        <w:rPr>
          <w:rtl/>
        </w:rPr>
        <w:t xml:space="preserve"> </w:t>
      </w:r>
      <w:r w:rsidR="009519E3" w:rsidRPr="002F1185">
        <w:rPr>
          <w:rFonts w:hint="eastAsia"/>
          <w:rtl/>
        </w:rPr>
        <w:t>קריטית</w:t>
      </w:r>
      <w:r w:rsidR="009519E3" w:rsidRPr="002F1185">
        <w:rPr>
          <w:rtl/>
        </w:rPr>
        <w:t xml:space="preserve"> </w:t>
      </w:r>
      <w:r w:rsidR="009519E3" w:rsidRPr="002F1185">
        <w:rPr>
          <w:rFonts w:hint="eastAsia"/>
          <w:rtl/>
        </w:rPr>
        <w:t>בע</w:t>
      </w:r>
      <w:r w:rsidR="009519E3" w:rsidRPr="002F1185">
        <w:rPr>
          <w:rtl/>
        </w:rPr>
        <w:t>"</w:t>
      </w:r>
      <w:r w:rsidR="009519E3" w:rsidRPr="002F1185">
        <w:rPr>
          <w:rFonts w:hint="eastAsia"/>
          <w:rtl/>
        </w:rPr>
        <w:t>מ</w:t>
      </w:r>
      <w:r w:rsidR="009519E3" w:rsidRPr="002F1185">
        <w:rPr>
          <w:rFonts w:hint="cs"/>
          <w:rtl/>
        </w:rPr>
        <w:t xml:space="preserve"> המתמחה בשילוח מטענים דחופים ורגישים.</w:t>
      </w:r>
    </w:p>
    <w:p w:rsidR="00CA32C4" w:rsidRPr="00CA32C4" w:rsidRDefault="00CA32C4" w:rsidP="00CA32C4">
      <w:pPr>
        <w:pStyle w:val="Ruller41"/>
      </w:pPr>
    </w:p>
    <w:p w:rsidR="009519E3" w:rsidRPr="002F1185" w:rsidRDefault="009519E3" w:rsidP="00E067F0">
      <w:pPr>
        <w:pStyle w:val="Ruller4"/>
        <w:rPr>
          <w:rtl/>
        </w:rPr>
      </w:pPr>
      <w:r w:rsidRPr="002F1185">
        <w:rPr>
          <w:rFonts w:hint="cs"/>
          <w:rtl/>
        </w:rPr>
        <w:t xml:space="preserve">בסוף שנת 2000 ביצעה </w:t>
      </w:r>
      <w:r w:rsidR="006C3CFE">
        <w:rPr>
          <w:rFonts w:hint="cs"/>
          <w:rtl/>
        </w:rPr>
        <w:t xml:space="preserve">חברת </w:t>
      </w:r>
      <w:r w:rsidRPr="002F1185">
        <w:rPr>
          <w:rFonts w:hint="cs"/>
          <w:rtl/>
        </w:rPr>
        <w:t>פליינג קרגו שינוי מבנה (להלן: "</w:t>
      </w:r>
      <w:r w:rsidRPr="002F1185">
        <w:rPr>
          <w:rFonts w:ascii="Century" w:hAnsi="Century" w:cs="Miriam" w:hint="cs"/>
          <w:b/>
          <w:spacing w:val="0"/>
          <w:sz w:val="22"/>
          <w:szCs w:val="24"/>
          <w:rtl/>
        </w:rPr>
        <w:t>שינוי המבנה</w:t>
      </w:r>
      <w:r w:rsidRPr="002F1185">
        <w:rPr>
          <w:rFonts w:hint="cs"/>
          <w:rtl/>
        </w:rPr>
        <w:t xml:space="preserve">") כך שהקימה שתי חברות בנות: </w:t>
      </w:r>
      <w:r w:rsidRPr="002F1185">
        <w:rPr>
          <w:rFonts w:hint="eastAsia"/>
          <w:rtl/>
        </w:rPr>
        <w:t>אף</w:t>
      </w:r>
      <w:r w:rsidRPr="002F1185">
        <w:rPr>
          <w:rtl/>
        </w:rPr>
        <w:t>.</w:t>
      </w:r>
      <w:r w:rsidRPr="002F1185">
        <w:rPr>
          <w:rFonts w:hint="eastAsia"/>
          <w:rtl/>
        </w:rPr>
        <w:t>סי</w:t>
      </w:r>
      <w:r w:rsidRPr="002F1185">
        <w:rPr>
          <w:rtl/>
        </w:rPr>
        <w:t>. (</w:t>
      </w:r>
      <w:r w:rsidRPr="002F1185">
        <w:rPr>
          <w:rFonts w:hint="eastAsia"/>
          <w:rtl/>
        </w:rPr>
        <w:t>פליינג</w:t>
      </w:r>
      <w:r w:rsidRPr="002F1185">
        <w:rPr>
          <w:rtl/>
        </w:rPr>
        <w:t xml:space="preserve"> </w:t>
      </w:r>
      <w:r w:rsidRPr="002F1185">
        <w:rPr>
          <w:rFonts w:hint="eastAsia"/>
          <w:rtl/>
        </w:rPr>
        <w:t>קרגו</w:t>
      </w:r>
      <w:r w:rsidRPr="002F1185">
        <w:rPr>
          <w:rtl/>
        </w:rPr>
        <w:t xml:space="preserve">) </w:t>
      </w:r>
      <w:r w:rsidRPr="002F1185">
        <w:rPr>
          <w:rFonts w:hint="eastAsia"/>
          <w:rtl/>
        </w:rPr>
        <w:t>תובלה</w:t>
      </w:r>
      <w:r w:rsidRPr="002F1185">
        <w:rPr>
          <w:rFonts w:hint="cs"/>
          <w:rtl/>
        </w:rPr>
        <w:t xml:space="preserve"> </w:t>
      </w:r>
      <w:r w:rsidRPr="002F1185">
        <w:rPr>
          <w:rFonts w:hint="eastAsia"/>
          <w:rtl/>
        </w:rPr>
        <w:t>בינלאומית</w:t>
      </w:r>
      <w:r w:rsidRPr="002F1185">
        <w:rPr>
          <w:rFonts w:hint="cs"/>
          <w:rtl/>
        </w:rPr>
        <w:t xml:space="preserve"> </w:t>
      </w:r>
      <w:r w:rsidRPr="002F1185">
        <w:rPr>
          <w:rFonts w:hint="eastAsia"/>
          <w:rtl/>
        </w:rPr>
        <w:t>בע</w:t>
      </w:r>
      <w:r w:rsidRPr="002F1185">
        <w:rPr>
          <w:rtl/>
        </w:rPr>
        <w:t>"</w:t>
      </w:r>
      <w:r w:rsidRPr="002F1185">
        <w:rPr>
          <w:rFonts w:hint="cs"/>
          <w:rtl/>
        </w:rPr>
        <w:t xml:space="preserve">מ </w:t>
      </w:r>
      <w:r w:rsidRPr="002F1185">
        <w:rPr>
          <w:rtl/>
        </w:rPr>
        <w:t>(</w:t>
      </w:r>
      <w:r w:rsidR="00CA32C4">
        <w:rPr>
          <w:rFonts w:hint="cs"/>
          <w:rtl/>
        </w:rPr>
        <w:t xml:space="preserve">היא </w:t>
      </w:r>
      <w:r w:rsidR="00CA32C4" w:rsidRPr="00CA32C4">
        <w:rPr>
          <w:rtl/>
        </w:rPr>
        <w:t>המשיבה 3 בע"א 3136/17 והמערערת בע"א 3146/17</w:t>
      </w:r>
      <w:r w:rsidR="00CA32C4">
        <w:rPr>
          <w:rFonts w:hint="cs"/>
          <w:rtl/>
        </w:rPr>
        <w:t xml:space="preserve">. </w:t>
      </w:r>
      <w:r w:rsidRPr="002F1185">
        <w:rPr>
          <w:rFonts w:hint="eastAsia"/>
          <w:rtl/>
        </w:rPr>
        <w:t>להלן</w:t>
      </w:r>
      <w:r w:rsidRPr="002F1185">
        <w:rPr>
          <w:rFonts w:hint="cs"/>
          <w:rtl/>
        </w:rPr>
        <w:t xml:space="preserve">: </w:t>
      </w:r>
      <w:r w:rsidRPr="002F1185">
        <w:rPr>
          <w:rFonts w:ascii="Century" w:hAnsi="Century" w:cs="Miriam"/>
          <w:b/>
          <w:spacing w:val="0"/>
          <w:sz w:val="22"/>
          <w:szCs w:val="24"/>
          <w:rtl/>
        </w:rPr>
        <w:t>"</w:t>
      </w:r>
      <w:r w:rsidRPr="002F1185">
        <w:rPr>
          <w:rFonts w:ascii="Century" w:hAnsi="Century" w:cs="Miriam" w:hint="cs"/>
          <w:b/>
          <w:spacing w:val="0"/>
          <w:sz w:val="22"/>
          <w:szCs w:val="24"/>
          <w:rtl/>
        </w:rPr>
        <w:t>אף.סי תובלה בינלאומית</w:t>
      </w:r>
      <w:r w:rsidRPr="002F1185">
        <w:rPr>
          <w:rFonts w:ascii="Century" w:hAnsi="Century" w:cs="Miriam"/>
          <w:b/>
          <w:spacing w:val="0"/>
          <w:sz w:val="22"/>
          <w:szCs w:val="24"/>
          <w:rtl/>
        </w:rPr>
        <w:t>"</w:t>
      </w:r>
      <w:r w:rsidRPr="002F1185">
        <w:rPr>
          <w:rFonts w:hint="cs"/>
          <w:rtl/>
        </w:rPr>
        <w:t xml:space="preserve"> או "</w:t>
      </w:r>
      <w:r w:rsidRPr="002F1185">
        <w:rPr>
          <w:rFonts w:ascii="Century" w:hAnsi="Century" w:cs="Miriam" w:hint="cs"/>
          <w:b/>
          <w:spacing w:val="0"/>
          <w:sz w:val="22"/>
          <w:szCs w:val="24"/>
          <w:rtl/>
        </w:rPr>
        <w:t>חברת הבת</w:t>
      </w:r>
      <w:r w:rsidRPr="002F1185">
        <w:rPr>
          <w:rFonts w:hint="cs"/>
          <w:rtl/>
        </w:rPr>
        <w:t>") ו</w:t>
      </w:r>
      <w:r w:rsidRPr="002F1185">
        <w:rPr>
          <w:rFonts w:hint="eastAsia"/>
          <w:rtl/>
        </w:rPr>
        <w:t>אף</w:t>
      </w:r>
      <w:r w:rsidRPr="002F1185">
        <w:rPr>
          <w:rtl/>
        </w:rPr>
        <w:t xml:space="preserve">. </w:t>
      </w:r>
      <w:r w:rsidRPr="002F1185">
        <w:rPr>
          <w:rFonts w:hint="eastAsia"/>
          <w:rtl/>
        </w:rPr>
        <w:t>סי</w:t>
      </w:r>
      <w:r w:rsidRPr="002F1185">
        <w:rPr>
          <w:rtl/>
        </w:rPr>
        <w:t>. (</w:t>
      </w:r>
      <w:r w:rsidRPr="002F1185">
        <w:rPr>
          <w:rFonts w:hint="eastAsia"/>
          <w:rtl/>
        </w:rPr>
        <w:t>פליינג</w:t>
      </w:r>
      <w:r w:rsidRPr="002F1185">
        <w:rPr>
          <w:rtl/>
        </w:rPr>
        <w:t xml:space="preserve"> </w:t>
      </w:r>
      <w:r w:rsidRPr="002F1185">
        <w:rPr>
          <w:rFonts w:hint="eastAsia"/>
          <w:rtl/>
        </w:rPr>
        <w:t>קרגו</w:t>
      </w:r>
      <w:r w:rsidRPr="002F1185">
        <w:rPr>
          <w:rtl/>
        </w:rPr>
        <w:t xml:space="preserve">) </w:t>
      </w:r>
      <w:r w:rsidRPr="002F1185">
        <w:rPr>
          <w:rFonts w:hint="eastAsia"/>
          <w:rtl/>
        </w:rPr>
        <w:t>אקספרס</w:t>
      </w:r>
      <w:r w:rsidRPr="002F1185">
        <w:rPr>
          <w:rtl/>
        </w:rPr>
        <w:t xml:space="preserve"> </w:t>
      </w:r>
      <w:r w:rsidRPr="002F1185">
        <w:rPr>
          <w:rFonts w:hint="eastAsia"/>
          <w:rtl/>
        </w:rPr>
        <w:t>בע</w:t>
      </w:r>
      <w:r w:rsidRPr="002F1185">
        <w:rPr>
          <w:rtl/>
        </w:rPr>
        <w:t>"</w:t>
      </w:r>
      <w:r w:rsidRPr="002F1185">
        <w:rPr>
          <w:rFonts w:hint="eastAsia"/>
          <w:rtl/>
        </w:rPr>
        <w:t>מ</w:t>
      </w:r>
      <w:r w:rsidRPr="002F1185">
        <w:rPr>
          <w:rtl/>
        </w:rPr>
        <w:t xml:space="preserve"> (</w:t>
      </w:r>
      <w:r w:rsidRPr="002F1185">
        <w:rPr>
          <w:rFonts w:hint="eastAsia"/>
          <w:rtl/>
        </w:rPr>
        <w:t>להלן</w:t>
      </w:r>
      <w:r w:rsidRPr="002F1185">
        <w:rPr>
          <w:rFonts w:hint="cs"/>
          <w:rtl/>
        </w:rPr>
        <w:t xml:space="preserve">: </w:t>
      </w:r>
      <w:r w:rsidRPr="002F1185">
        <w:rPr>
          <w:rFonts w:ascii="Century" w:hAnsi="Century" w:cs="Miriam"/>
          <w:b/>
          <w:spacing w:val="0"/>
          <w:sz w:val="22"/>
          <w:szCs w:val="24"/>
          <w:rtl/>
        </w:rPr>
        <w:t>"</w:t>
      </w:r>
      <w:r w:rsidRPr="002F1185">
        <w:rPr>
          <w:rFonts w:ascii="Century" w:hAnsi="Century" w:cs="Miriam" w:hint="cs"/>
          <w:b/>
          <w:spacing w:val="0"/>
          <w:sz w:val="22"/>
          <w:szCs w:val="24"/>
          <w:rtl/>
        </w:rPr>
        <w:t xml:space="preserve">אף.סי </w:t>
      </w:r>
      <w:r w:rsidRPr="002F1185">
        <w:rPr>
          <w:rFonts w:ascii="Century" w:hAnsi="Century" w:cs="Miriam" w:hint="eastAsia"/>
          <w:b/>
          <w:spacing w:val="0"/>
          <w:sz w:val="22"/>
          <w:szCs w:val="24"/>
          <w:rtl/>
        </w:rPr>
        <w:t>אקספרס</w:t>
      </w:r>
      <w:r w:rsidRPr="002F1185">
        <w:rPr>
          <w:rFonts w:ascii="Century" w:hAnsi="Century" w:cs="Miriam"/>
          <w:b/>
          <w:spacing w:val="0"/>
          <w:sz w:val="22"/>
          <w:szCs w:val="24"/>
          <w:rtl/>
        </w:rPr>
        <w:t>"</w:t>
      </w:r>
      <w:r w:rsidRPr="002F1185">
        <w:rPr>
          <w:rtl/>
        </w:rPr>
        <w:t xml:space="preserve">). </w:t>
      </w:r>
      <w:r w:rsidRPr="002F1185">
        <w:rPr>
          <w:rFonts w:hint="eastAsia"/>
          <w:rtl/>
        </w:rPr>
        <w:t>ב</w:t>
      </w:r>
      <w:r w:rsidRPr="002F1185">
        <w:rPr>
          <w:rFonts w:hint="cs"/>
          <w:rtl/>
        </w:rPr>
        <w:t xml:space="preserve">יום </w:t>
      </w:r>
      <w:r w:rsidRPr="002F1185">
        <w:rPr>
          <w:rFonts w:hint="cs"/>
          <w:rtl/>
        </w:rPr>
        <w:lastRenderedPageBreak/>
        <w:t>1.1.2001</w:t>
      </w:r>
      <w:r w:rsidRPr="002F1185">
        <w:rPr>
          <w:rtl/>
        </w:rPr>
        <w:t xml:space="preserve"> </w:t>
      </w:r>
      <w:r w:rsidRPr="002F1185">
        <w:rPr>
          <w:rFonts w:hint="eastAsia"/>
          <w:rtl/>
        </w:rPr>
        <w:t>הועברו</w:t>
      </w:r>
      <w:r w:rsidRPr="002F1185">
        <w:rPr>
          <w:rtl/>
        </w:rPr>
        <w:t xml:space="preserve"> </w:t>
      </w:r>
      <w:r w:rsidRPr="002F1185">
        <w:rPr>
          <w:rFonts w:hint="cs"/>
          <w:rtl/>
        </w:rPr>
        <w:t>מ</w:t>
      </w:r>
      <w:r w:rsidR="006C3CFE">
        <w:rPr>
          <w:rFonts w:hint="cs"/>
          <w:rtl/>
        </w:rPr>
        <w:t xml:space="preserve">חברת </w:t>
      </w:r>
      <w:r w:rsidRPr="002F1185">
        <w:rPr>
          <w:rFonts w:hint="cs"/>
          <w:rtl/>
        </w:rPr>
        <w:t>פליינג קרגו</w:t>
      </w:r>
      <w:r w:rsidRPr="002F1185">
        <w:rPr>
          <w:rtl/>
        </w:rPr>
        <w:t xml:space="preserve"> </w:t>
      </w:r>
      <w:r w:rsidRPr="002F1185">
        <w:rPr>
          <w:rFonts w:hint="eastAsia"/>
          <w:rtl/>
        </w:rPr>
        <w:t>לחברות</w:t>
      </w:r>
      <w:r w:rsidRPr="002F1185">
        <w:rPr>
          <w:rtl/>
        </w:rPr>
        <w:t xml:space="preserve"> </w:t>
      </w:r>
      <w:r w:rsidRPr="002F1185">
        <w:rPr>
          <w:rFonts w:hint="eastAsia"/>
          <w:rtl/>
        </w:rPr>
        <w:t>הבנות</w:t>
      </w:r>
      <w:r w:rsidRPr="002F1185">
        <w:rPr>
          <w:rtl/>
        </w:rPr>
        <w:t xml:space="preserve"> </w:t>
      </w:r>
      <w:r w:rsidRPr="002F1185">
        <w:rPr>
          <w:rFonts w:hint="eastAsia"/>
          <w:rtl/>
        </w:rPr>
        <w:t>נכסים</w:t>
      </w:r>
      <w:r w:rsidRPr="002F1185">
        <w:rPr>
          <w:rtl/>
        </w:rPr>
        <w:t xml:space="preserve"> </w:t>
      </w:r>
      <w:r w:rsidRPr="002F1185">
        <w:rPr>
          <w:rFonts w:hint="eastAsia"/>
          <w:rtl/>
        </w:rPr>
        <w:t>הקשורים</w:t>
      </w:r>
      <w:r w:rsidRPr="002F1185">
        <w:rPr>
          <w:rtl/>
        </w:rPr>
        <w:t xml:space="preserve"> </w:t>
      </w:r>
      <w:r w:rsidRPr="002F1185">
        <w:rPr>
          <w:rFonts w:hint="eastAsia"/>
          <w:rtl/>
        </w:rPr>
        <w:t>לפעילות</w:t>
      </w:r>
      <w:r w:rsidRPr="002F1185">
        <w:rPr>
          <w:rFonts w:hint="cs"/>
          <w:rtl/>
        </w:rPr>
        <w:t>ה</w:t>
      </w:r>
      <w:r w:rsidR="006C3CFE">
        <w:rPr>
          <w:rFonts w:hint="cs"/>
          <w:rtl/>
        </w:rPr>
        <w:t>:</w:t>
      </w:r>
      <w:r w:rsidRPr="002F1185">
        <w:rPr>
          <w:rFonts w:hint="cs"/>
          <w:rtl/>
        </w:rPr>
        <w:t xml:space="preserve"> לאף.סי תובלה בינלאומית הועברו נכסים אשר משמשים לפעילות השילוח הבינלאומי, ולאף.סי אקספרס הועברו נכסים אשר משמשים לפעילות הבלדרות. העברת הנכסים בוצעה במתווה הקבוע בסעיף 104א</w:t>
      </w:r>
      <w:r w:rsidR="006E59A8">
        <w:rPr>
          <w:rFonts w:hint="cs"/>
          <w:rtl/>
        </w:rPr>
        <w:t>.</w:t>
      </w:r>
      <w:r w:rsidRPr="002F1185">
        <w:rPr>
          <w:rFonts w:hint="cs"/>
          <w:rtl/>
        </w:rPr>
        <w:t xml:space="preserve"> לפקודת מס הכנסה [נוסח חדש] (להלן: </w:t>
      </w:r>
      <w:r w:rsidRPr="002F1185">
        <w:rPr>
          <w:rFonts w:ascii="Century" w:hAnsi="Century" w:cs="Miriam" w:hint="cs"/>
          <w:b/>
          <w:spacing w:val="0"/>
          <w:sz w:val="22"/>
          <w:szCs w:val="24"/>
          <w:rtl/>
        </w:rPr>
        <w:t>"הפקודה"</w:t>
      </w:r>
      <w:r w:rsidR="006E59A8">
        <w:rPr>
          <w:rFonts w:hint="cs"/>
          <w:rtl/>
        </w:rPr>
        <w:t xml:space="preserve"> או </w:t>
      </w:r>
      <w:r w:rsidR="006E59A8" w:rsidRPr="006E59A8">
        <w:rPr>
          <w:rFonts w:ascii="Century" w:hAnsi="Century" w:cs="Miriam" w:hint="cs"/>
          <w:b/>
          <w:spacing w:val="0"/>
          <w:sz w:val="22"/>
          <w:szCs w:val="24"/>
          <w:rtl/>
        </w:rPr>
        <w:t>"פקודת מס הכנסה"</w:t>
      </w:r>
      <w:r w:rsidRPr="002F1185">
        <w:rPr>
          <w:rFonts w:hint="cs"/>
          <w:rtl/>
        </w:rPr>
        <w:t xml:space="preserve">), וביום 30.1.2001 נמסרה הודעה לפקיד שומה רמלה, הוא המערער בע"א 3136/17 והמשיב </w:t>
      </w:r>
      <w:r w:rsidR="006E59A8">
        <w:rPr>
          <w:rFonts w:hint="cs"/>
          <w:rtl/>
        </w:rPr>
        <w:t xml:space="preserve">1 </w:t>
      </w:r>
      <w:r w:rsidRPr="002F1185">
        <w:rPr>
          <w:rFonts w:hint="cs"/>
          <w:rtl/>
        </w:rPr>
        <w:t xml:space="preserve">בע"א 3146/17 (להלן: </w:t>
      </w:r>
      <w:r w:rsidRPr="002F1185">
        <w:rPr>
          <w:rFonts w:ascii="Century" w:hAnsi="Century" w:cs="Miriam" w:hint="cs"/>
          <w:b/>
          <w:spacing w:val="0"/>
          <w:sz w:val="22"/>
          <w:szCs w:val="24"/>
          <w:rtl/>
        </w:rPr>
        <w:t>"פקיד השומה"</w:t>
      </w:r>
      <w:r w:rsidRPr="002F1185">
        <w:rPr>
          <w:rFonts w:hint="cs"/>
          <w:rtl/>
        </w:rPr>
        <w:t>), בהתאם להוראות סעיף 104ז</w:t>
      </w:r>
      <w:r w:rsidR="006E59A8">
        <w:rPr>
          <w:rFonts w:hint="cs"/>
          <w:rtl/>
        </w:rPr>
        <w:t>.</w:t>
      </w:r>
      <w:r w:rsidRPr="002F1185">
        <w:rPr>
          <w:rFonts w:hint="cs"/>
          <w:rtl/>
        </w:rPr>
        <w:t xml:space="preserve"> לפקודה. במסגרת ההודעה צורפה רשימת הנכסים שהועברו ואלה כללו רק נכסים מוחשיים. ויובהר, ברשימה האמורה לא נכלל חלק כלשהו מהמוניטין של </w:t>
      </w:r>
      <w:r w:rsidR="006C3CFE">
        <w:rPr>
          <w:rFonts w:hint="cs"/>
          <w:rtl/>
        </w:rPr>
        <w:t xml:space="preserve">חברת </w:t>
      </w:r>
      <w:r w:rsidRPr="002F1185">
        <w:rPr>
          <w:rFonts w:hint="cs"/>
          <w:rtl/>
        </w:rPr>
        <w:t xml:space="preserve">פליינג קרגו. </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 xml:space="preserve">כ-7 שנים לאחר מכן, בחודש אוקטובר 2007 נערך הסכם מכר בין </w:t>
      </w:r>
      <w:r w:rsidR="006C3CFE">
        <w:rPr>
          <w:rFonts w:hint="cs"/>
          <w:rtl/>
        </w:rPr>
        <w:t xml:space="preserve">חברת </w:t>
      </w:r>
      <w:r w:rsidRPr="002F1185">
        <w:rPr>
          <w:rFonts w:hint="cs"/>
          <w:rtl/>
        </w:rPr>
        <w:t xml:space="preserve">פליינג קרגו, אף.סי תובלה בינלאומית, חברת </w:t>
      </w:r>
      <w:r w:rsidRPr="003D549A">
        <w:rPr>
          <w:rFonts w:asciiTheme="majorBidi" w:hAnsiTheme="majorBidi" w:cstheme="majorBidi"/>
          <w:szCs w:val="24"/>
        </w:rPr>
        <w:t>Deutsche Post AG</w:t>
      </w:r>
      <w:r w:rsidRPr="002F1185">
        <w:rPr>
          <w:rFonts w:ascii="Century" w:hAnsi="Century"/>
          <w:sz w:val="22"/>
          <w:szCs w:val="22"/>
          <w:rtl/>
        </w:rPr>
        <w:t xml:space="preserve"> </w:t>
      </w:r>
      <w:r w:rsidRPr="002F1185">
        <w:rPr>
          <w:rFonts w:hint="cs"/>
          <w:rtl/>
        </w:rPr>
        <w:t xml:space="preserve">(להלן: </w:t>
      </w:r>
      <w:r w:rsidRPr="002F1185">
        <w:rPr>
          <w:rFonts w:ascii="Century" w:hAnsi="Century" w:cs="Miriam" w:hint="cs"/>
          <w:b/>
          <w:spacing w:val="0"/>
          <w:sz w:val="22"/>
          <w:szCs w:val="24"/>
          <w:rtl/>
        </w:rPr>
        <w:t>"דויטשה פוסט האם"</w:t>
      </w:r>
      <w:r w:rsidRPr="002F1185">
        <w:rPr>
          <w:rFonts w:hint="cs"/>
          <w:rtl/>
        </w:rPr>
        <w:t xml:space="preserve">) וחברת הבת שלה (בבעלות מלאה) </w:t>
      </w:r>
      <w:r w:rsidRPr="003D549A">
        <w:rPr>
          <w:rFonts w:asciiTheme="majorBidi" w:hAnsiTheme="majorBidi" w:cstheme="majorBidi"/>
          <w:szCs w:val="24"/>
        </w:rPr>
        <w:t>Deutsche Post International BV</w:t>
      </w:r>
      <w:r w:rsidRPr="002F1185">
        <w:rPr>
          <w:rFonts w:hint="cs"/>
          <w:rtl/>
        </w:rPr>
        <w:t xml:space="preserve"> </w:t>
      </w:r>
      <w:r w:rsidRPr="002F1185">
        <w:rPr>
          <w:rFonts w:ascii="Century" w:hAnsi="Century" w:hint="cs"/>
          <w:sz w:val="22"/>
          <w:rtl/>
        </w:rPr>
        <w:t>(להלן:</w:t>
      </w:r>
      <w:r w:rsidRPr="002F1185">
        <w:rPr>
          <w:rFonts w:ascii="Arial" w:hAnsi="Arial" w:cs="Narkisim" w:hint="cs"/>
          <w:spacing w:val="0"/>
          <w:sz w:val="26"/>
          <w:szCs w:val="26"/>
          <w:rtl/>
        </w:rPr>
        <w:t xml:space="preserve"> </w:t>
      </w:r>
      <w:r w:rsidRPr="002F1185">
        <w:rPr>
          <w:rFonts w:ascii="Century" w:hAnsi="Century" w:cs="Miriam" w:hint="cs"/>
          <w:b/>
          <w:spacing w:val="0"/>
          <w:sz w:val="22"/>
          <w:szCs w:val="24"/>
          <w:rtl/>
        </w:rPr>
        <w:t>"דויטשה פוסט"</w:t>
      </w:r>
      <w:r w:rsidRPr="002F1185">
        <w:rPr>
          <w:rFonts w:ascii="Century" w:hAnsi="Century" w:hint="cs"/>
          <w:sz w:val="22"/>
          <w:rtl/>
        </w:rPr>
        <w:t>)</w:t>
      </w:r>
      <w:r w:rsidRPr="002F1185">
        <w:rPr>
          <w:rFonts w:hint="cs"/>
          <w:rtl/>
        </w:rPr>
        <w:t>. על פי הסכם המכר</w:t>
      </w:r>
      <w:r w:rsidR="00CC6089">
        <w:rPr>
          <w:rFonts w:hint="cs"/>
          <w:rtl/>
        </w:rPr>
        <w:t>,</w:t>
      </w:r>
      <w:r w:rsidRPr="002F1185">
        <w:rPr>
          <w:rFonts w:hint="cs"/>
          <w:rtl/>
        </w:rPr>
        <w:t xml:space="preserve"> מכרה </w:t>
      </w:r>
      <w:r w:rsidR="006C3CFE">
        <w:rPr>
          <w:rFonts w:hint="cs"/>
          <w:rtl/>
        </w:rPr>
        <w:t xml:space="preserve">חברת </w:t>
      </w:r>
      <w:r w:rsidRPr="002F1185">
        <w:rPr>
          <w:rFonts w:hint="cs"/>
          <w:rtl/>
        </w:rPr>
        <w:t xml:space="preserve">פליינג קרגו את מניות אף.סי תובלה בינלאומית לחברת דויטשה פוסט בתמורה לסכום של 8.945 מיליון ש"ח, ומיד לאחר מכירת המניות, רכשה אף.סי תובלה בינלאומית את המוניטין של </w:t>
      </w:r>
      <w:r w:rsidR="006C3CFE">
        <w:rPr>
          <w:rFonts w:hint="cs"/>
          <w:rtl/>
        </w:rPr>
        <w:t xml:space="preserve">חברת </w:t>
      </w:r>
      <w:r w:rsidRPr="002F1185">
        <w:rPr>
          <w:rFonts w:hint="cs"/>
          <w:rtl/>
        </w:rPr>
        <w:t xml:space="preserve">פליינג קרגו בתמורה לסכום שהועמד בסופו של דבר על 437.787 מיליון ש"ח (ההסכם למכירת המניות והמוניטין יכונה להלן: </w:t>
      </w:r>
      <w:r w:rsidRPr="002F1185">
        <w:rPr>
          <w:rFonts w:ascii="Century" w:hAnsi="Century" w:cs="Miriam" w:hint="cs"/>
          <w:b/>
          <w:spacing w:val="0"/>
          <w:sz w:val="22"/>
          <w:szCs w:val="24"/>
          <w:rtl/>
        </w:rPr>
        <w:t>"הסכם המכר"</w:t>
      </w:r>
      <w:r w:rsidRPr="002F1185">
        <w:rPr>
          <w:rFonts w:hint="cs"/>
          <w:rtl/>
        </w:rPr>
        <w:t xml:space="preserve">). </w:t>
      </w:r>
    </w:p>
    <w:p w:rsidR="009519E3" w:rsidRPr="002F1185" w:rsidRDefault="009519E3" w:rsidP="009519E3">
      <w:pPr>
        <w:pStyle w:val="Ruller41"/>
      </w:pPr>
    </w:p>
    <w:p w:rsidR="009519E3" w:rsidRPr="002F1185" w:rsidRDefault="009519E3" w:rsidP="009519E3">
      <w:pPr>
        <w:pStyle w:val="Ruller4"/>
        <w:numPr>
          <w:ilvl w:val="0"/>
          <w:numId w:val="0"/>
        </w:numPr>
        <w:rPr>
          <w:rtl/>
        </w:rPr>
      </w:pPr>
      <w:r w:rsidRPr="002F1185">
        <w:rPr>
          <w:rtl/>
        </w:rPr>
        <w:tab/>
      </w:r>
      <w:r w:rsidRPr="002F1185">
        <w:rPr>
          <w:rFonts w:hint="cs"/>
          <w:rtl/>
        </w:rPr>
        <w:t xml:space="preserve">לצורך מימון הרכישה, העמידה דויטשה פוסט לאף.סי תובלה בינלאומית הלוואה בסך של כ-518 מיליון ש"ח (להלן: </w:t>
      </w:r>
      <w:r w:rsidRPr="002F1185">
        <w:rPr>
          <w:rFonts w:ascii="Century" w:hAnsi="Century" w:cs="Miriam" w:hint="cs"/>
          <w:b/>
          <w:spacing w:val="0"/>
          <w:sz w:val="22"/>
          <w:szCs w:val="24"/>
          <w:rtl/>
        </w:rPr>
        <w:t>"ההלוואה"</w:t>
      </w:r>
      <w:r w:rsidRPr="002F1185">
        <w:rPr>
          <w:rFonts w:hint="cs"/>
          <w:rtl/>
        </w:rPr>
        <w:t xml:space="preserve">). בהתאם, אף.סי תובלה בינלאומית העבירה לדויטשה פוסט תשלומי ריבית וסכומים שונים על חשבון פירעון הקרן באופן שוטף. בדוחותיה השנתיים דרשה אף.סי תובלה בינלאומית ניכוי הוצאות המימון שבהן נשאה בגין ההלוואה (להלן: </w:t>
      </w:r>
      <w:r w:rsidRPr="002F1185">
        <w:rPr>
          <w:rFonts w:ascii="Century" w:hAnsi="Century" w:cs="Miriam" w:hint="cs"/>
          <w:b/>
          <w:spacing w:val="0"/>
          <w:sz w:val="22"/>
          <w:szCs w:val="24"/>
          <w:rtl/>
        </w:rPr>
        <w:t>"הוצאות המימון"</w:t>
      </w:r>
      <w:r w:rsidRPr="002F1185">
        <w:rPr>
          <w:rFonts w:hint="cs"/>
          <w:rtl/>
        </w:rPr>
        <w:t xml:space="preserve">) ואת הוצאות הפחת של המוניטין שרכשה מחברת האם (להלן: </w:t>
      </w:r>
      <w:r w:rsidRPr="002F1185">
        <w:rPr>
          <w:rFonts w:ascii="Century" w:hAnsi="Century" w:cs="Miriam" w:hint="cs"/>
          <w:b/>
          <w:spacing w:val="0"/>
          <w:sz w:val="22"/>
          <w:szCs w:val="24"/>
          <w:rtl/>
        </w:rPr>
        <w:t>"הוצאות פחת המוניטין"</w:t>
      </w:r>
      <w:r w:rsidRPr="002F1185">
        <w:rPr>
          <w:rFonts w:hint="cs"/>
          <w:rtl/>
        </w:rPr>
        <w:t>).</w:t>
      </w:r>
    </w:p>
    <w:p w:rsidR="009519E3" w:rsidRPr="002F1185" w:rsidRDefault="009519E3" w:rsidP="009519E3">
      <w:pPr>
        <w:pStyle w:val="Ruller41"/>
        <w:rPr>
          <w:rtl/>
        </w:rPr>
      </w:pPr>
    </w:p>
    <w:p w:rsidR="009519E3" w:rsidRDefault="009519E3" w:rsidP="00CC6089">
      <w:pPr>
        <w:pStyle w:val="Ruller4"/>
        <w:rPr>
          <w:rtl/>
        </w:rPr>
      </w:pPr>
      <w:r w:rsidRPr="002F1185">
        <w:rPr>
          <w:rFonts w:hint="cs"/>
          <w:rtl/>
        </w:rPr>
        <w:t>פקיד השומה לא קיבל את פיצול התמורה שנקבעה בהסכם המכר וקבע כי התמורה הכוללת התקבלה בעבור מניות בלבד. בעקבות זאת, הוגשו ערעורי המס הבאים: חברת פליינג קרגו הגישה ערעור מס בתיק ע"מ 23285-09-12 על צווים שהוצאו לה לשנים 2008-2007 באשר להכנסתה החייבת במס; חברת אף.סי תובלה בינלאומית הגישה ערעור מס בתיק ע"מ 56940-07-12 על צווים שהוצאו לשנים 2010-2007 באשר להכנסתה החייבת במס; ומר רייק הגיש ערעור מס ב</w:t>
      </w:r>
      <w:r w:rsidR="00CC6089">
        <w:rPr>
          <w:rFonts w:hint="cs"/>
          <w:rtl/>
        </w:rPr>
        <w:t>יחס</w:t>
      </w:r>
      <w:r w:rsidRPr="002F1185">
        <w:rPr>
          <w:rFonts w:hint="cs"/>
          <w:rtl/>
        </w:rPr>
        <w:t xml:space="preserve"> לשומותיו במסגרת ע"מ 23248-09-12 על צווים שהוצאו לו לשנים 2008-2007 באשר להכנסתו החייבת במס.</w:t>
      </w:r>
    </w:p>
    <w:p w:rsidR="009519E3" w:rsidRPr="002F1185" w:rsidRDefault="009519E3" w:rsidP="009519E3">
      <w:pPr>
        <w:pStyle w:val="Ruller4"/>
        <w:numPr>
          <w:ilvl w:val="0"/>
          <w:numId w:val="0"/>
        </w:numPr>
      </w:pPr>
    </w:p>
    <w:p w:rsidR="009519E3" w:rsidRPr="002F1185" w:rsidRDefault="009519E3" w:rsidP="00CC6089">
      <w:pPr>
        <w:pStyle w:val="Ruller4"/>
        <w:rPr>
          <w:rtl/>
        </w:rPr>
      </w:pPr>
      <w:r w:rsidRPr="002F1185">
        <w:rPr>
          <w:rFonts w:hint="cs"/>
          <w:rtl/>
        </w:rPr>
        <w:t xml:space="preserve">לוז המחלוקת בין הצדדים היא בדבר סיווג הסכם המכר </w:t>
      </w:r>
      <w:r w:rsidRPr="002F1185">
        <w:rPr>
          <w:rtl/>
        </w:rPr>
        <w:t>–</w:t>
      </w:r>
      <w:r w:rsidRPr="002F1185">
        <w:rPr>
          <w:rFonts w:hint="cs"/>
          <w:rtl/>
        </w:rPr>
        <w:t xml:space="preserve"> האם עסקינן במכר מניות בלבד, כפי שטוען פקיד השומה, או במכר מוניטין ומניות, כטענת </w:t>
      </w:r>
      <w:r w:rsidR="006C3CFE">
        <w:rPr>
          <w:rFonts w:hint="cs"/>
          <w:rtl/>
        </w:rPr>
        <w:t xml:space="preserve">חברת </w:t>
      </w:r>
      <w:r w:rsidRPr="002F1185">
        <w:rPr>
          <w:rFonts w:hint="cs"/>
          <w:rtl/>
        </w:rPr>
        <w:t xml:space="preserve">פליינג קרגו, אף.סי תובלה בינלאומית ומר רייק (להלן, יכונו יחדיו: </w:t>
      </w:r>
      <w:r w:rsidRPr="002F1185">
        <w:rPr>
          <w:rFonts w:ascii="Century" w:hAnsi="Century" w:cs="Miriam" w:hint="cs"/>
          <w:b/>
          <w:spacing w:val="0"/>
          <w:sz w:val="22"/>
          <w:szCs w:val="24"/>
          <w:rtl/>
        </w:rPr>
        <w:t>"הנישומים"</w:t>
      </w:r>
      <w:r w:rsidRPr="002F1185">
        <w:rPr>
          <w:rFonts w:hint="cs"/>
          <w:rtl/>
        </w:rPr>
        <w:t>). להבחנה זו השלכות מיסויות וכספיות לא מבוטלות: ככל שהעסקה תסווג כמכר של מוניטין ומניות, כגישת הנישומים, רכיב מכירת המוניטין יהיה כפוף לשיעורי מס מופחתים (כאשר כמעט כל התמורה תמוסה בשיעור של 20%) ובנסיבות מסוימות יוכלו הנישומים או מי מהם לנכות פחת בגין רכישת המוניטין, וכן הוצאות מימון. ככל שהעסקה תסווג כמכר מניות בלבד, הרי שעד למועד הקובע (1.1.2003) המכירה תמוסה בשיעור המס השולי של ה</w:t>
      </w:r>
      <w:r w:rsidR="00CC6089">
        <w:rPr>
          <w:rFonts w:hint="cs"/>
          <w:rtl/>
        </w:rPr>
        <w:t>חייב במס</w:t>
      </w:r>
      <w:r w:rsidRPr="002F1185">
        <w:rPr>
          <w:rFonts w:hint="cs"/>
          <w:rtl/>
        </w:rPr>
        <w:t>, וממועד זה תמוסה יתרת התמורה בשיעור רווח הון של 25% (שהיה השיעור בשעתו) וללא אפשרות לניכוי פחת בגין הרכישה.</w:t>
      </w:r>
    </w:p>
    <w:p w:rsidR="009519E3" w:rsidRPr="002F1185" w:rsidRDefault="009519E3" w:rsidP="009519E3">
      <w:pPr>
        <w:pStyle w:val="Ruller41"/>
        <w:rPr>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 xml:space="preserve">פסק דינו של בית משפט קמא </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על מנת להכריע במחלוקת בין הצדדים, בחן בית המשפט קמא את שאלת עיתוי ההעברה של המוניטין מחברת פליינג קרגו לחברת אף.סי תובלה בינלאומית, בהתאם לשלוש אפשרויות כפי שיפורטו להלן.</w:t>
      </w:r>
    </w:p>
    <w:p w:rsidR="009519E3" w:rsidRPr="002F1185" w:rsidRDefault="009519E3" w:rsidP="009519E3">
      <w:pPr>
        <w:pStyle w:val="Ruller41"/>
      </w:pPr>
    </w:p>
    <w:p w:rsidR="009519E3" w:rsidRPr="002F1185" w:rsidRDefault="009519E3" w:rsidP="009519E3">
      <w:pPr>
        <w:pStyle w:val="Ruller4"/>
        <w:rPr>
          <w:rtl/>
        </w:rPr>
      </w:pPr>
      <w:r w:rsidRPr="002F1185">
        <w:rPr>
          <w:rFonts w:hint="cs"/>
          <w:rtl/>
        </w:rPr>
        <w:t xml:space="preserve">בשלב הראשון, בית המשפט קמא בחן האם </w:t>
      </w:r>
      <w:r w:rsidRPr="002F1185">
        <w:rPr>
          <w:rFonts w:hint="eastAsia"/>
          <w:rtl/>
        </w:rPr>
        <w:t>המוניטין</w:t>
      </w:r>
      <w:r w:rsidRPr="002F1185">
        <w:rPr>
          <w:rtl/>
        </w:rPr>
        <w:t xml:space="preserve"> </w:t>
      </w:r>
      <w:r w:rsidRPr="002F1185">
        <w:rPr>
          <w:rFonts w:hint="eastAsia"/>
          <w:rtl/>
        </w:rPr>
        <w:t>עבר</w:t>
      </w:r>
      <w:r w:rsidRPr="002F1185">
        <w:rPr>
          <w:rtl/>
        </w:rPr>
        <w:t xml:space="preserve"> </w:t>
      </w:r>
      <w:r w:rsidRPr="002F1185">
        <w:rPr>
          <w:rFonts w:hint="eastAsia"/>
          <w:rtl/>
        </w:rPr>
        <w:t>בשנת</w:t>
      </w:r>
      <w:r w:rsidRPr="002F1185">
        <w:rPr>
          <w:rtl/>
        </w:rPr>
        <w:t xml:space="preserve"> 2001, </w:t>
      </w:r>
      <w:r w:rsidRPr="002F1185">
        <w:rPr>
          <w:rFonts w:hint="eastAsia"/>
          <w:rtl/>
        </w:rPr>
        <w:t>עת</w:t>
      </w:r>
      <w:r w:rsidRPr="002F1185">
        <w:rPr>
          <w:rtl/>
        </w:rPr>
        <w:t xml:space="preserve"> </w:t>
      </w:r>
      <w:r w:rsidRPr="002F1185">
        <w:rPr>
          <w:rFonts w:hint="eastAsia"/>
          <w:rtl/>
        </w:rPr>
        <w:t>ב</w:t>
      </w:r>
      <w:r w:rsidRPr="002F1185">
        <w:rPr>
          <w:rFonts w:hint="cs"/>
          <w:rtl/>
        </w:rPr>
        <w:t>ו</w:t>
      </w:r>
      <w:r w:rsidRPr="002F1185">
        <w:rPr>
          <w:rFonts w:hint="eastAsia"/>
          <w:rtl/>
        </w:rPr>
        <w:t>צע</w:t>
      </w:r>
      <w:r w:rsidRPr="002F1185">
        <w:rPr>
          <w:rtl/>
        </w:rPr>
        <w:t xml:space="preserve"> </w:t>
      </w:r>
      <w:r w:rsidRPr="002F1185">
        <w:rPr>
          <w:rFonts w:hint="eastAsia"/>
          <w:rtl/>
        </w:rPr>
        <w:t>שינוי</w:t>
      </w:r>
      <w:r w:rsidRPr="002F1185">
        <w:rPr>
          <w:rtl/>
        </w:rPr>
        <w:t xml:space="preserve"> </w:t>
      </w:r>
      <w:r w:rsidRPr="002F1185">
        <w:rPr>
          <w:rFonts w:hint="eastAsia"/>
          <w:rtl/>
        </w:rPr>
        <w:t>המבנה</w:t>
      </w:r>
      <w:r w:rsidRPr="002F1185">
        <w:rPr>
          <w:rtl/>
        </w:rPr>
        <w:t xml:space="preserve">, </w:t>
      </w:r>
      <w:r w:rsidRPr="002F1185">
        <w:rPr>
          <w:rFonts w:hint="eastAsia"/>
          <w:rtl/>
        </w:rPr>
        <w:t>כטענת</w:t>
      </w:r>
      <w:r w:rsidRPr="002F1185">
        <w:rPr>
          <w:rtl/>
        </w:rPr>
        <w:t xml:space="preserve"> </w:t>
      </w:r>
      <w:r w:rsidRPr="002F1185">
        <w:rPr>
          <w:rFonts w:hint="eastAsia"/>
          <w:rtl/>
        </w:rPr>
        <w:t>פקיד</w:t>
      </w:r>
      <w:r w:rsidRPr="002F1185">
        <w:rPr>
          <w:rtl/>
        </w:rPr>
        <w:t xml:space="preserve"> </w:t>
      </w:r>
      <w:r w:rsidRPr="002F1185">
        <w:rPr>
          <w:rFonts w:hint="eastAsia"/>
          <w:rtl/>
        </w:rPr>
        <w:t>השומה</w:t>
      </w:r>
      <w:r w:rsidRPr="002F1185">
        <w:rPr>
          <w:rtl/>
        </w:rPr>
        <w:t>.</w:t>
      </w:r>
      <w:r w:rsidRPr="002F1185">
        <w:rPr>
          <w:rFonts w:hint="cs"/>
          <w:rtl/>
        </w:rPr>
        <w:t xml:space="preserve"> לצורך מענה על שאלה זו, בית המשפט בחן את משמעות שינוי המבנה, את השאלה האם חברת אחזקות נטולת פעילות תפעולית יכולה להחזיק במוניטין, והאם העברת מערך הפעילות מחברת פליינג קרגו לחברת אף.סי תובלה בינלאומית מחייבת גם העברת מוניטין. </w:t>
      </w:r>
    </w:p>
    <w:p w:rsidR="009519E3" w:rsidRPr="002F1185" w:rsidRDefault="009519E3" w:rsidP="009519E3">
      <w:pPr>
        <w:pStyle w:val="Ruller41"/>
      </w:pPr>
    </w:p>
    <w:p w:rsidR="009519E3" w:rsidRPr="002F1185" w:rsidRDefault="009519E3" w:rsidP="009519E3">
      <w:pPr>
        <w:pStyle w:val="Ruller4"/>
        <w:numPr>
          <w:ilvl w:val="0"/>
          <w:numId w:val="0"/>
        </w:numPr>
        <w:rPr>
          <w:rtl/>
        </w:rPr>
      </w:pPr>
      <w:r w:rsidRPr="002F1185">
        <w:rPr>
          <w:rtl/>
        </w:rPr>
        <w:tab/>
      </w:r>
      <w:r w:rsidRPr="002F1185">
        <w:rPr>
          <w:rFonts w:hint="cs"/>
          <w:rtl/>
        </w:rPr>
        <w:t xml:space="preserve">באשר למשמעות שינוי המבנה, נקבע כי שינוי המבנה, במהלכו הופרדה הפעילות העסקית של חברת פליינג קרגו והועברה לחברות הבנות, נולד מצורך עסקי ולא בשל צורכי מס, ומדובר בשינוי טכני-פרוצדוראלי ולא מהותי. שכן, לא חל כל שינוי בפעילות העסקית של החברות הבנות וגם לאחר שינוי המבנה המשיכו לפעול כקבוצה עסקית אחת, תוך ניצול קשרי הגומלין והסינרגיה העסקית בין כל החברות. </w:t>
      </w:r>
    </w:p>
    <w:p w:rsidR="009519E3" w:rsidRPr="002F1185" w:rsidRDefault="009519E3" w:rsidP="009519E3">
      <w:pPr>
        <w:pStyle w:val="Ruller41"/>
        <w:rPr>
          <w:rtl/>
        </w:rPr>
      </w:pPr>
    </w:p>
    <w:p w:rsidR="009519E3" w:rsidRDefault="009519E3" w:rsidP="00F276FB">
      <w:pPr>
        <w:pStyle w:val="Ruller4"/>
        <w:numPr>
          <w:ilvl w:val="0"/>
          <w:numId w:val="0"/>
        </w:numPr>
        <w:rPr>
          <w:rtl/>
        </w:rPr>
      </w:pPr>
      <w:r w:rsidRPr="002F1185">
        <w:rPr>
          <w:rtl/>
        </w:rPr>
        <w:tab/>
      </w:r>
      <w:r w:rsidRPr="002F1185">
        <w:rPr>
          <w:rFonts w:hint="cs"/>
          <w:rtl/>
        </w:rPr>
        <w:t>באשר לשאלה האם חברת אחזקות יכולה</w:t>
      </w:r>
      <w:r w:rsidR="004F458D">
        <w:rPr>
          <w:rFonts w:hint="cs"/>
          <w:rtl/>
        </w:rPr>
        <w:t xml:space="preserve"> להחזיק במוניטין, נקבע כי י</w:t>
      </w:r>
      <w:r w:rsidRPr="002F1185">
        <w:rPr>
          <w:rFonts w:hint="cs"/>
          <w:rtl/>
        </w:rPr>
        <w:t xml:space="preserve">תכן מצב בו חברת אחזקות ללא כל פעילות יצרנית מחזיקה במוניטין. עוד נקבע כי בענייננו חברת פליינג קרגו החזיקה במוניטין, שהוא הנכס המרכזי שלה, כאשר לחברות הבנות אין </w:t>
      </w:r>
      <w:r w:rsidRPr="002F1185">
        <w:rPr>
          <w:rFonts w:hint="cs"/>
          <w:rtl/>
        </w:rPr>
        <w:lastRenderedPageBreak/>
        <w:t xml:space="preserve">מוניטין משל עצמן אלא הן עושות שימוש במוניטין של </w:t>
      </w:r>
      <w:r w:rsidR="006C3CFE">
        <w:rPr>
          <w:rFonts w:hint="cs"/>
          <w:rtl/>
        </w:rPr>
        <w:t xml:space="preserve">חברת </w:t>
      </w:r>
      <w:r w:rsidRPr="002F1185">
        <w:rPr>
          <w:rFonts w:hint="cs"/>
          <w:rtl/>
        </w:rPr>
        <w:t xml:space="preserve">פליינג קרגו אשר </w:t>
      </w:r>
      <w:r w:rsidR="00F276FB">
        <w:rPr>
          <w:rFonts w:hint="cs"/>
          <w:rtl/>
        </w:rPr>
        <w:t xml:space="preserve">מתפקדת </w:t>
      </w:r>
      <w:r w:rsidRPr="002F1185">
        <w:rPr>
          <w:rFonts w:hint="cs"/>
          <w:rtl/>
        </w:rPr>
        <w:t xml:space="preserve">במבנה של "חברת קודקוד". </w:t>
      </w:r>
    </w:p>
    <w:p w:rsidR="009519E3" w:rsidRPr="009519E3" w:rsidRDefault="009519E3" w:rsidP="009519E3">
      <w:pPr>
        <w:pStyle w:val="Ruller41"/>
        <w:rPr>
          <w:rtl/>
        </w:rPr>
      </w:pPr>
    </w:p>
    <w:p w:rsidR="009519E3" w:rsidRPr="002F1185" w:rsidRDefault="009519E3" w:rsidP="004C1242">
      <w:pPr>
        <w:pStyle w:val="Ruller4"/>
        <w:numPr>
          <w:ilvl w:val="0"/>
          <w:numId w:val="0"/>
        </w:numPr>
        <w:rPr>
          <w:rtl/>
        </w:rPr>
      </w:pPr>
      <w:r w:rsidRPr="002F1185">
        <w:rPr>
          <w:rtl/>
        </w:rPr>
        <w:tab/>
      </w:r>
      <w:r w:rsidRPr="002F1185">
        <w:rPr>
          <w:rFonts w:hint="cs"/>
          <w:rtl/>
        </w:rPr>
        <w:t>עוד נקבע כי המוניטין לא עבר מחברת פליינג קרגו לחברת אף.סי תובלה בינלאומית בעת שינוי המבנה, ולא הייתה כל כוונה להעבירו, וזאת בהתבסס על הבאים: הטופס הסטטוטורי שהוגש לפקיד השומה לפי סעיף 104א</w:t>
      </w:r>
      <w:r w:rsidR="004C1242">
        <w:rPr>
          <w:rFonts w:hint="cs"/>
          <w:rtl/>
        </w:rPr>
        <w:t>.</w:t>
      </w:r>
      <w:r w:rsidRPr="002F1185">
        <w:rPr>
          <w:rFonts w:hint="cs"/>
          <w:rtl/>
        </w:rPr>
        <w:t xml:space="preserve"> לפקודה ב</w:t>
      </w:r>
      <w:r w:rsidR="004C1242">
        <w:rPr>
          <w:rFonts w:hint="cs"/>
          <w:rtl/>
        </w:rPr>
        <w:t>גדרו לא נמצא כל</w:t>
      </w:r>
      <w:r w:rsidRPr="002F1185">
        <w:rPr>
          <w:rFonts w:hint="cs"/>
          <w:rtl/>
        </w:rPr>
        <w:t xml:space="preserve"> אזכור למוניטין כנכס שהועבר מ</w:t>
      </w:r>
      <w:r w:rsidR="006C3CFE">
        <w:rPr>
          <w:rFonts w:hint="cs"/>
          <w:rtl/>
        </w:rPr>
        <w:t xml:space="preserve">חברת </w:t>
      </w:r>
      <w:r w:rsidRPr="002F1185">
        <w:rPr>
          <w:rFonts w:hint="cs"/>
          <w:rtl/>
        </w:rPr>
        <w:t>פליינג קרגו לחברות הבנות; עדויות רואי החשבון מטעם הצדדים (רו"ח פלדמן, רו"ח לוי ורו"ח ורדי); והדו"חות הכספיים של החברות.</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 xml:space="preserve">בשלב השני, לאחר שנקבע כי המוניטין לא עבר עם שינוי המבנה, בית המשפט קמא בחן האם </w:t>
      </w:r>
      <w:r w:rsidRPr="002F1185">
        <w:rPr>
          <w:rFonts w:hint="eastAsia"/>
          <w:rtl/>
        </w:rPr>
        <w:t>המוניטין</w:t>
      </w:r>
      <w:r w:rsidRPr="002F1185">
        <w:rPr>
          <w:rtl/>
        </w:rPr>
        <w:t xml:space="preserve"> </w:t>
      </w:r>
      <w:r w:rsidRPr="002F1185">
        <w:rPr>
          <w:rFonts w:hint="cs"/>
          <w:rtl/>
        </w:rPr>
        <w:t xml:space="preserve">עבר או </w:t>
      </w:r>
      <w:r w:rsidRPr="002F1185">
        <w:rPr>
          <w:rFonts w:hint="eastAsia"/>
          <w:rtl/>
        </w:rPr>
        <w:t>חלחל</w:t>
      </w:r>
      <w:r w:rsidRPr="002F1185">
        <w:rPr>
          <w:rtl/>
        </w:rPr>
        <w:t xml:space="preserve"> </w:t>
      </w:r>
      <w:r w:rsidRPr="002F1185">
        <w:rPr>
          <w:rFonts w:hint="eastAsia"/>
          <w:rtl/>
        </w:rPr>
        <w:t>מחברת</w:t>
      </w:r>
      <w:r w:rsidRPr="002F1185">
        <w:rPr>
          <w:rtl/>
        </w:rPr>
        <w:t xml:space="preserve"> </w:t>
      </w:r>
      <w:r w:rsidRPr="002F1185">
        <w:rPr>
          <w:rFonts w:hint="cs"/>
          <w:rtl/>
        </w:rPr>
        <w:t>פליינג קרגו</w:t>
      </w:r>
      <w:r w:rsidRPr="002F1185">
        <w:rPr>
          <w:rtl/>
        </w:rPr>
        <w:t xml:space="preserve"> </w:t>
      </w:r>
      <w:r w:rsidRPr="002F1185">
        <w:rPr>
          <w:rFonts w:hint="eastAsia"/>
          <w:rtl/>
        </w:rPr>
        <w:t>לחברת</w:t>
      </w:r>
      <w:r w:rsidRPr="002F1185">
        <w:rPr>
          <w:rtl/>
        </w:rPr>
        <w:t xml:space="preserve"> </w:t>
      </w:r>
      <w:r w:rsidRPr="002F1185">
        <w:rPr>
          <w:rFonts w:hint="eastAsia"/>
          <w:rtl/>
        </w:rPr>
        <w:t>אף</w:t>
      </w:r>
      <w:r w:rsidRPr="002F1185">
        <w:rPr>
          <w:rtl/>
        </w:rPr>
        <w:t>.</w:t>
      </w:r>
      <w:r w:rsidRPr="002F1185">
        <w:rPr>
          <w:rFonts w:hint="eastAsia"/>
          <w:rtl/>
        </w:rPr>
        <w:t>סי</w:t>
      </w:r>
      <w:r w:rsidRPr="002F1185">
        <w:rPr>
          <w:rtl/>
        </w:rPr>
        <w:t xml:space="preserve"> </w:t>
      </w:r>
      <w:r w:rsidRPr="002F1185">
        <w:rPr>
          <w:rFonts w:hint="eastAsia"/>
          <w:rtl/>
        </w:rPr>
        <w:t>תובלה</w:t>
      </w:r>
      <w:r w:rsidRPr="002F1185">
        <w:rPr>
          <w:rtl/>
        </w:rPr>
        <w:t xml:space="preserve"> </w:t>
      </w:r>
      <w:r w:rsidRPr="002F1185">
        <w:rPr>
          <w:rFonts w:hint="eastAsia"/>
          <w:rtl/>
        </w:rPr>
        <w:t>בינלאומית</w:t>
      </w:r>
      <w:r w:rsidRPr="002F1185">
        <w:rPr>
          <w:rtl/>
        </w:rPr>
        <w:t xml:space="preserve"> </w:t>
      </w:r>
      <w:r w:rsidRPr="002F1185">
        <w:rPr>
          <w:rFonts w:hint="eastAsia"/>
          <w:rtl/>
        </w:rPr>
        <w:t>עם</w:t>
      </w:r>
      <w:r w:rsidRPr="002F1185">
        <w:rPr>
          <w:rtl/>
        </w:rPr>
        <w:t xml:space="preserve"> </w:t>
      </w:r>
      <w:r w:rsidRPr="002F1185">
        <w:rPr>
          <w:rFonts w:hint="eastAsia"/>
          <w:rtl/>
        </w:rPr>
        <w:t>הזמן</w:t>
      </w:r>
      <w:r w:rsidRPr="002F1185">
        <w:rPr>
          <w:rtl/>
        </w:rPr>
        <w:t xml:space="preserve">, </w:t>
      </w:r>
      <w:r w:rsidRPr="002F1185">
        <w:rPr>
          <w:rFonts w:hint="eastAsia"/>
          <w:rtl/>
        </w:rPr>
        <w:t>או</w:t>
      </w:r>
      <w:r w:rsidRPr="002F1185">
        <w:rPr>
          <w:rtl/>
        </w:rPr>
        <w:t xml:space="preserve"> </w:t>
      </w:r>
      <w:r w:rsidRPr="002F1185">
        <w:rPr>
          <w:rFonts w:hint="eastAsia"/>
          <w:rtl/>
        </w:rPr>
        <w:t>התפוגג</w:t>
      </w:r>
      <w:r w:rsidRPr="002F1185">
        <w:rPr>
          <w:rtl/>
        </w:rPr>
        <w:t xml:space="preserve"> </w:t>
      </w:r>
      <w:r w:rsidRPr="002F1185">
        <w:rPr>
          <w:rFonts w:hint="eastAsia"/>
          <w:rtl/>
        </w:rPr>
        <w:t>ואיננו</w:t>
      </w:r>
      <w:r w:rsidRPr="002F1185">
        <w:rPr>
          <w:rtl/>
        </w:rPr>
        <w:t xml:space="preserve"> </w:t>
      </w:r>
      <w:r w:rsidRPr="002F1185">
        <w:rPr>
          <w:rFonts w:hint="eastAsia"/>
          <w:rtl/>
        </w:rPr>
        <w:t>במהלך</w:t>
      </w:r>
      <w:r w:rsidRPr="002F1185">
        <w:rPr>
          <w:rtl/>
        </w:rPr>
        <w:t xml:space="preserve"> </w:t>
      </w:r>
      <w:r w:rsidRPr="002F1185">
        <w:rPr>
          <w:rFonts w:hint="eastAsia"/>
          <w:rtl/>
        </w:rPr>
        <w:t>השנים</w:t>
      </w:r>
      <w:r w:rsidRPr="002F1185">
        <w:rPr>
          <w:rtl/>
        </w:rPr>
        <w:t xml:space="preserve"> 2007-2001, </w:t>
      </w:r>
      <w:r w:rsidRPr="002F1185">
        <w:rPr>
          <w:rFonts w:hint="eastAsia"/>
          <w:rtl/>
        </w:rPr>
        <w:t>כטענתו</w:t>
      </w:r>
      <w:r w:rsidRPr="002F1185">
        <w:rPr>
          <w:rtl/>
        </w:rPr>
        <w:t xml:space="preserve"> </w:t>
      </w:r>
      <w:r w:rsidRPr="002F1185">
        <w:rPr>
          <w:rFonts w:hint="eastAsia"/>
          <w:rtl/>
        </w:rPr>
        <w:t>החלופית</w:t>
      </w:r>
      <w:r w:rsidRPr="002F1185">
        <w:rPr>
          <w:rtl/>
        </w:rPr>
        <w:t xml:space="preserve"> </w:t>
      </w:r>
      <w:r w:rsidRPr="002F1185">
        <w:rPr>
          <w:rFonts w:hint="eastAsia"/>
          <w:rtl/>
        </w:rPr>
        <w:t>של</w:t>
      </w:r>
      <w:r w:rsidRPr="002F1185">
        <w:rPr>
          <w:rtl/>
        </w:rPr>
        <w:t xml:space="preserve"> </w:t>
      </w:r>
      <w:r w:rsidRPr="002F1185">
        <w:rPr>
          <w:rFonts w:hint="eastAsia"/>
          <w:rtl/>
        </w:rPr>
        <w:t>פקיד</w:t>
      </w:r>
      <w:r w:rsidRPr="002F1185">
        <w:rPr>
          <w:rtl/>
        </w:rPr>
        <w:t xml:space="preserve"> </w:t>
      </w:r>
      <w:r w:rsidRPr="002F1185">
        <w:rPr>
          <w:rFonts w:hint="eastAsia"/>
          <w:rtl/>
        </w:rPr>
        <w:t>השומה</w:t>
      </w:r>
      <w:r w:rsidRPr="002F1185">
        <w:rPr>
          <w:rtl/>
        </w:rPr>
        <w:t xml:space="preserve">. </w:t>
      </w:r>
      <w:r w:rsidRPr="002F1185">
        <w:rPr>
          <w:rFonts w:hint="cs"/>
          <w:rtl/>
        </w:rPr>
        <w:t xml:space="preserve">בית המשפט קמא קבע כי בתקופה שלאחר שינוי המבנה המשיכו החברות הבנות להתנהל כקבוצה אחת, בסינרגיה מלאה, שנותנת מכלול שירותים משולבים, כאשר </w:t>
      </w:r>
      <w:r w:rsidR="006C3CFE">
        <w:rPr>
          <w:rFonts w:hint="cs"/>
          <w:rtl/>
        </w:rPr>
        <w:t xml:space="preserve">חברת </w:t>
      </w:r>
      <w:r w:rsidRPr="002F1185">
        <w:rPr>
          <w:rFonts w:hint="cs"/>
          <w:rtl/>
        </w:rPr>
        <w:t xml:space="preserve">פליינג קרגו מספקת את ה"מטריה הכוללת" לצורך תיאום בין כל החברות (במודל של </w:t>
      </w:r>
      <w:r w:rsidRPr="003D549A">
        <w:rPr>
          <w:rFonts w:asciiTheme="majorBidi" w:hAnsiTheme="majorBidi" w:cstheme="majorBidi"/>
          <w:szCs w:val="24"/>
        </w:rPr>
        <w:t>One Stop Shop</w:t>
      </w:r>
      <w:r w:rsidRPr="002F1185">
        <w:rPr>
          <w:rFonts w:hint="cs"/>
          <w:rtl/>
        </w:rPr>
        <w:t xml:space="preserve">). כן נקבע כי משמעות קביעה זו היא לא רק שהמוניטין לא עבר בעת שינוי המבנה, או חלחל או התפוגג לאחריו, אלא שממועד שינוי המבנה ועד להסכם המכר בשנת 2007, חברת פליינג קרגו, יחד עם החברות הבנות, </w:t>
      </w:r>
      <w:r w:rsidR="00345CE6" w:rsidRPr="002F1185">
        <w:rPr>
          <w:rFonts w:hint="cs"/>
          <w:rtl/>
        </w:rPr>
        <w:t>תחזקו</w:t>
      </w:r>
      <w:r w:rsidRPr="002F1185">
        <w:rPr>
          <w:rFonts w:hint="cs"/>
          <w:rtl/>
        </w:rPr>
        <w:t xml:space="preserve"> והשביחו את המוניטין של חברת פליינג קרגו.</w:t>
      </w:r>
    </w:p>
    <w:p w:rsidR="009519E3" w:rsidRPr="002F1185" w:rsidRDefault="009519E3" w:rsidP="009519E3">
      <w:pPr>
        <w:pStyle w:val="Ruller41"/>
        <w:rPr>
          <w:rtl/>
        </w:rPr>
      </w:pPr>
    </w:p>
    <w:p w:rsidR="009519E3" w:rsidRPr="002F1185" w:rsidRDefault="009519E3" w:rsidP="00F84333">
      <w:pPr>
        <w:pStyle w:val="Ruller4"/>
        <w:rPr>
          <w:rtl/>
        </w:rPr>
      </w:pPr>
      <w:r w:rsidRPr="002F1185">
        <w:rPr>
          <w:rFonts w:hint="cs"/>
          <w:rtl/>
        </w:rPr>
        <w:t>לבסוף, בית המשפט קמא בחן האם המו</w:t>
      </w:r>
      <w:r w:rsidR="00F84333">
        <w:rPr>
          <w:rFonts w:hint="cs"/>
          <w:rtl/>
        </w:rPr>
        <w:t>ניטין עבר בהסכם המכר בשנת 2007</w:t>
      </w:r>
      <w:r w:rsidRPr="002F1185">
        <w:rPr>
          <w:rFonts w:hint="cs"/>
          <w:rtl/>
        </w:rPr>
        <w:t xml:space="preserve">, כטענת הנישומים. נקבע כי בניגוד לשינוי המבנה שנעשה בשנת 2001 והיה טכני, לאחר </w:t>
      </w:r>
      <w:r w:rsidR="00F84333">
        <w:rPr>
          <w:rFonts w:hint="cs"/>
          <w:rtl/>
        </w:rPr>
        <w:t>הסכם</w:t>
      </w:r>
      <w:r w:rsidRPr="002F1185">
        <w:rPr>
          <w:rFonts w:hint="cs"/>
          <w:rtl/>
        </w:rPr>
        <w:t xml:space="preserve"> המכר בשנת 2007 חלו שינויים מהותיים בהתנהלות החברות אשר מצביעים על כך שנעשה ניסיון להטמיע את המוניטין שנרכש מחברת פליינג קרגו בחברת אף.סי תובלה בינלאומית. לפיכך, נקבע כי בהסכם המכר נמכרו הן מוניטין והן מניות.</w:t>
      </w:r>
    </w:p>
    <w:p w:rsidR="009519E3" w:rsidRPr="002F1185" w:rsidRDefault="009519E3" w:rsidP="009519E3">
      <w:pPr>
        <w:pStyle w:val="Ruller41"/>
        <w:rPr>
          <w:rtl/>
        </w:rPr>
      </w:pPr>
    </w:p>
    <w:p w:rsidR="00E067F0" w:rsidRPr="00E067F0" w:rsidRDefault="009519E3" w:rsidP="004F458D">
      <w:pPr>
        <w:pStyle w:val="Ruller4"/>
        <w:rPr>
          <w:rtl/>
        </w:rPr>
      </w:pPr>
      <w:r w:rsidRPr="002F1185">
        <w:rPr>
          <w:rFonts w:hint="cs"/>
          <w:rtl/>
        </w:rPr>
        <w:t xml:space="preserve">למען שלמות התמונה יצוין כי בית המשפט קמא בחן, כשאלה מקדמית, על מי מוטל נטל ההוכחה והשכנוע הראשוני. נקבע כי מאחר שפקיד השומה טען לעסקה מלאכותית </w:t>
      </w:r>
      <w:r w:rsidRPr="002F1185">
        <w:rPr>
          <w:rtl/>
        </w:rPr>
        <w:t>–</w:t>
      </w:r>
      <w:r w:rsidRPr="002F1185">
        <w:rPr>
          <w:rFonts w:hint="cs"/>
          <w:rtl/>
        </w:rPr>
        <w:t xml:space="preserve"> לפיו בניגוד לכתוב בהסכם המכר, המוניטין לא עבר מ</w:t>
      </w:r>
      <w:r w:rsidR="006C3CFE">
        <w:rPr>
          <w:rFonts w:hint="cs"/>
          <w:rtl/>
        </w:rPr>
        <w:t xml:space="preserve">חברת </w:t>
      </w:r>
      <w:r w:rsidRPr="002F1185">
        <w:rPr>
          <w:rFonts w:hint="cs"/>
          <w:rtl/>
        </w:rPr>
        <w:t xml:space="preserve">פליינג קרגו לדויטשה פוסט בשנת 2007 </w:t>
      </w:r>
      <w:r w:rsidRPr="002F1185">
        <w:rPr>
          <w:rtl/>
        </w:rPr>
        <w:t>–</w:t>
      </w:r>
      <w:r w:rsidRPr="002F1185">
        <w:rPr>
          <w:rFonts w:hint="cs"/>
          <w:rtl/>
        </w:rPr>
        <w:t xml:space="preserve"> נטל השכנוע על פקיד השומה להוכיח טענה זו. עם זאת, הדגיש בית המשפט קמא כי התוצאה אליה הגיע בפסק דינו איננה נגזרת מההכרעה בשאלת הנטלים.</w:t>
      </w:r>
    </w:p>
    <w:p w:rsidR="009519E3" w:rsidRPr="002F1185" w:rsidRDefault="009519E3" w:rsidP="009519E3">
      <w:pPr>
        <w:pStyle w:val="Ruller41"/>
        <w:rPr>
          <w:rtl/>
        </w:rPr>
      </w:pPr>
    </w:p>
    <w:p w:rsidR="009519E3" w:rsidRPr="002F1185" w:rsidRDefault="009519E3" w:rsidP="00A35074">
      <w:pPr>
        <w:pStyle w:val="Ruller4"/>
        <w:rPr>
          <w:rtl/>
        </w:rPr>
      </w:pPr>
      <w:r w:rsidRPr="002F1185">
        <w:rPr>
          <w:rFonts w:hint="cs"/>
          <w:rtl/>
        </w:rPr>
        <w:lastRenderedPageBreak/>
        <w:t xml:space="preserve">שאלות נוספות שבחן בית המשפט קמא הן האם יש להתיר לאף.סי תובלה בינלאומית ניכוי פחת בגין המוניטין שנרכש, והאם יש להתיר בניכוי את הוצאות המימון בגין ההלוואה שנטלה אף.סי תובלה בינלאומית מדויטשה פוסט לצורך </w:t>
      </w:r>
      <w:r w:rsidR="00A35074">
        <w:rPr>
          <w:rFonts w:hint="cs"/>
          <w:rtl/>
        </w:rPr>
        <w:t>מימון הרכישה</w:t>
      </w:r>
      <w:r w:rsidRPr="002F1185">
        <w:rPr>
          <w:rFonts w:hint="cs"/>
          <w:rtl/>
        </w:rPr>
        <w:t>.</w:t>
      </w:r>
    </w:p>
    <w:p w:rsidR="009519E3" w:rsidRPr="002F1185" w:rsidRDefault="009519E3" w:rsidP="009519E3">
      <w:pPr>
        <w:pStyle w:val="Ruller41"/>
        <w:rPr>
          <w:rtl/>
        </w:rPr>
      </w:pPr>
    </w:p>
    <w:p w:rsidR="009519E3" w:rsidRPr="002F1185" w:rsidRDefault="009519E3" w:rsidP="009519E3">
      <w:pPr>
        <w:pStyle w:val="Ruller41"/>
        <w:rPr>
          <w:rtl/>
        </w:rPr>
      </w:pPr>
      <w:r w:rsidRPr="002F1185">
        <w:rPr>
          <w:rtl/>
        </w:rPr>
        <w:tab/>
      </w:r>
      <w:r w:rsidRPr="002F1185">
        <w:rPr>
          <w:rFonts w:hint="cs"/>
          <w:rtl/>
        </w:rPr>
        <w:t xml:space="preserve">באשר לשאלה האם יש לאפשר ניכוי פחת בגין המוניטין, נקבע כי יש לראות בעסקת המכר כעסקה אחת סימולטנית שבה נרכשו מניות ומוניטין יחד, ואפילו אם אחד מהם נרכש קודם לכן הרי שמדובר במוניטין, שהוא העיקר, והמניות נלוות אליו בבחינת הולך הטפל אחרי העיקר. משמעות הדבר היא שהמוניטין נרכש מחברה "קרובה" (היא </w:t>
      </w:r>
      <w:r w:rsidR="006C3CFE">
        <w:rPr>
          <w:rFonts w:hint="cs"/>
          <w:rtl/>
        </w:rPr>
        <w:t xml:space="preserve">חברת </w:t>
      </w:r>
      <w:r w:rsidRPr="002F1185">
        <w:rPr>
          <w:rFonts w:hint="cs"/>
          <w:rtl/>
        </w:rPr>
        <w:t>פליינג קרגו) ולפיכך נקבע כי אין לאפשר לאף.סי תובלה בינלאומית לנכות פחת בגינו.</w:t>
      </w:r>
    </w:p>
    <w:p w:rsidR="009519E3" w:rsidRPr="002F1185" w:rsidRDefault="009519E3" w:rsidP="009519E3">
      <w:pPr>
        <w:pStyle w:val="Ruller41"/>
        <w:rPr>
          <w:rtl/>
        </w:rPr>
      </w:pPr>
    </w:p>
    <w:p w:rsidR="009519E3" w:rsidRPr="002F1185" w:rsidRDefault="009519E3" w:rsidP="009519E3">
      <w:pPr>
        <w:pStyle w:val="Ruller41"/>
        <w:rPr>
          <w:rtl/>
        </w:rPr>
      </w:pPr>
      <w:r w:rsidRPr="002F1185">
        <w:rPr>
          <w:rtl/>
        </w:rPr>
        <w:tab/>
      </w:r>
      <w:r w:rsidRPr="002F1185">
        <w:rPr>
          <w:rFonts w:hint="cs"/>
          <w:rtl/>
        </w:rPr>
        <w:t>באשר לניכוי הוצאות המימון, קבע בית המשפט קמא כי יש להתיר לאף.סי תובלה בינלאומית בניכוי את הוצאות המימון שנטלה על עצמה, מאחר שאלה שימשו אותה בעבור רכישת המוניטין, ולא בעבור רכישת המניות כטענת פקיד השומה.</w:t>
      </w:r>
    </w:p>
    <w:p w:rsidR="009519E3" w:rsidRPr="002F1185" w:rsidRDefault="009519E3" w:rsidP="009519E3">
      <w:pPr>
        <w:pStyle w:val="Ruller41"/>
        <w:rPr>
          <w:rtl/>
        </w:rPr>
      </w:pPr>
    </w:p>
    <w:p w:rsidR="009519E3" w:rsidRPr="002F1185" w:rsidRDefault="009519E3" w:rsidP="009519E3">
      <w:pPr>
        <w:pStyle w:val="Ruller4"/>
        <w:rPr>
          <w:sz w:val="22"/>
          <w:rtl/>
        </w:rPr>
      </w:pPr>
      <w:r w:rsidRPr="002F1185">
        <w:rPr>
          <w:rFonts w:hint="cs"/>
          <w:rtl/>
        </w:rPr>
        <w:t xml:space="preserve">מחלוקת נוספת שהתגלעה בין הצדדים בבית המשפט קמא נוגעת להסכם אשר נחתם בין </w:t>
      </w:r>
      <w:r w:rsidR="006C3CFE">
        <w:rPr>
          <w:rFonts w:hint="cs"/>
          <w:rtl/>
        </w:rPr>
        <w:t xml:space="preserve">חברת </w:t>
      </w:r>
      <w:r w:rsidRPr="002F1185">
        <w:rPr>
          <w:rFonts w:hint="cs"/>
          <w:rtl/>
        </w:rPr>
        <w:t xml:space="preserve">פליינג קרגו לבין פקיד השומה ביום 18.2.2008 וכותרתו היא </w:t>
      </w:r>
      <w:r w:rsidRPr="002F1185">
        <w:rPr>
          <w:rFonts w:ascii="Century" w:hAnsi="Century" w:cs="Miriam" w:hint="cs"/>
          <w:b/>
          <w:spacing w:val="0"/>
          <w:sz w:val="22"/>
          <w:szCs w:val="24"/>
          <w:rtl/>
        </w:rPr>
        <w:t>"הסכם מקדמה ושומה"</w:t>
      </w:r>
      <w:r w:rsidRPr="002F1185">
        <w:rPr>
          <w:rFonts w:hint="cs"/>
          <w:rtl/>
        </w:rPr>
        <w:t xml:space="preserve"> (להלן: </w:t>
      </w:r>
      <w:r w:rsidRPr="002F1185">
        <w:rPr>
          <w:rFonts w:ascii="Century" w:hAnsi="Century" w:cs="Miriam" w:hint="cs"/>
          <w:b/>
          <w:spacing w:val="0"/>
          <w:sz w:val="22"/>
          <w:szCs w:val="24"/>
          <w:rtl/>
        </w:rPr>
        <w:t>"הסכם השומה"</w:t>
      </w:r>
      <w:r w:rsidRPr="002F1185">
        <w:rPr>
          <w:rFonts w:hint="cs"/>
          <w:rtl/>
        </w:rPr>
        <w:t xml:space="preserve">). </w:t>
      </w:r>
      <w:r w:rsidR="006C3CFE">
        <w:rPr>
          <w:rFonts w:hint="cs"/>
          <w:rtl/>
        </w:rPr>
        <w:t xml:space="preserve">חברת </w:t>
      </w:r>
      <w:r w:rsidRPr="002F1185">
        <w:rPr>
          <w:rFonts w:hint="cs"/>
          <w:rtl/>
        </w:rPr>
        <w:t>פליינג קרגו טענה כי תכלית הסכם השומה היא להסדיר את אופן מיסויו של הסכם המכר משנת 2007, ואילו פקיד השומה טען כי מדובר בהסכם שנועד להסדיר רק חלק מהתשלום שהועבר במסגרת העסקה. בית המשפט קמא קבע כי בעניין זה הצדק הוא עם פקיד השומה, שכן הסכם השומה אינו הסכם סופי אלא מדובר בהסדרת המקדמה בקשר רק לאחד מהתשלומים בעסקה.</w:t>
      </w:r>
      <w:r w:rsidRPr="002F1185">
        <w:rPr>
          <w:rFonts w:hint="cs"/>
          <w:sz w:val="22"/>
          <w:rtl/>
        </w:rPr>
        <w:t xml:space="preserve"> בערעור שלפנינו לא השיגו הצדדים על עניין זה, ולכן לא תורחב היריעה על כך. </w:t>
      </w:r>
    </w:p>
    <w:p w:rsidR="009519E3" w:rsidRPr="002F1185" w:rsidRDefault="009519E3" w:rsidP="009519E3">
      <w:pPr>
        <w:pStyle w:val="Ruller41"/>
        <w:rPr>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הערעורים במסגרת ע"א 3136/17 וע"א 3146/17</w:t>
      </w:r>
    </w:p>
    <w:p w:rsidR="009519E3" w:rsidRPr="002F1185" w:rsidRDefault="009519E3" w:rsidP="009519E3">
      <w:pPr>
        <w:pStyle w:val="Ruller41"/>
        <w:rPr>
          <w:rFonts w:ascii="Century" w:hAnsi="Century" w:cs="Miriam"/>
          <w:b/>
          <w:spacing w:val="0"/>
          <w:szCs w:val="24"/>
          <w:rtl/>
        </w:rPr>
      </w:pPr>
    </w:p>
    <w:p w:rsidR="009519E3" w:rsidRDefault="009519E3" w:rsidP="009519E3">
      <w:pPr>
        <w:pStyle w:val="Ruller4"/>
        <w:rPr>
          <w:rtl/>
        </w:rPr>
      </w:pPr>
      <w:r w:rsidRPr="002F1185">
        <w:rPr>
          <w:rFonts w:hint="cs"/>
          <w:rtl/>
        </w:rPr>
        <w:t xml:space="preserve">ביום 6.4.2017 הגישו פקיד השומה ואף.סי תובלה בינלאומית ערעורים על פסק דינו של בית המשפט קמא (ע"א 3136/17 וע"א 3146/17, בהתאמה). להלן יפורטו עיקרי הטענות. </w:t>
      </w:r>
    </w:p>
    <w:p w:rsidR="00E067F0" w:rsidRDefault="00E067F0" w:rsidP="009519E3">
      <w:pPr>
        <w:pStyle w:val="Ruller41"/>
        <w:rPr>
          <w:rFonts w:ascii="Century" w:hAnsi="Century" w:cs="Miriam"/>
          <w:b/>
          <w:spacing w:val="0"/>
          <w:szCs w:val="24"/>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טענות פקיד השומה</w:t>
      </w:r>
    </w:p>
    <w:p w:rsidR="009519E3" w:rsidRPr="002F1185" w:rsidRDefault="009519E3" w:rsidP="009519E3">
      <w:pPr>
        <w:pStyle w:val="Ruller41"/>
        <w:rPr>
          <w:rtl/>
        </w:rPr>
      </w:pPr>
    </w:p>
    <w:p w:rsidR="009519E3" w:rsidRPr="002F1185" w:rsidRDefault="009519E3" w:rsidP="006E0084">
      <w:pPr>
        <w:pStyle w:val="Ruller4"/>
        <w:rPr>
          <w:rtl/>
        </w:rPr>
      </w:pPr>
      <w:r w:rsidRPr="002F1185">
        <w:rPr>
          <w:rFonts w:hint="cs"/>
          <w:rtl/>
        </w:rPr>
        <w:t>לטענת פקיד השומה, שגה בית המשפט קמא באפיון השומה שהוציא פקיד השומה ל</w:t>
      </w:r>
      <w:r w:rsidR="006E0084">
        <w:rPr>
          <w:rFonts w:hint="cs"/>
          <w:rtl/>
        </w:rPr>
        <w:t>הסכם</w:t>
      </w:r>
      <w:r w:rsidRPr="002F1185">
        <w:rPr>
          <w:rFonts w:hint="cs"/>
          <w:rtl/>
        </w:rPr>
        <w:t xml:space="preserve"> המכר, כך שאפיון המחלוקת "מפספס" את העיקר, ובהתאם גם הקביעה </w:t>
      </w:r>
      <w:r w:rsidRPr="002F1185">
        <w:rPr>
          <w:rFonts w:hint="cs"/>
          <w:rtl/>
        </w:rPr>
        <w:lastRenderedPageBreak/>
        <w:t xml:space="preserve">לגבי נטל הראייה הינה שגויה ומנוגדת להלכה הפסוקה. פקיד השומה טוען כי בניגוד לקביעת בית המשפט קמא, לפיה עמדת פקיד השומה מעלה טענה של עסקה מלאכותית או בדויה, טענתו נוגעת לגבי תוכנה הכלכלי ומהותה האמיתית של העסקה; בעוד טענה לגבי המהות האמיתית של העסקה מתייחסת לשאלה "מה שקרה", ובהתאם הנטל על הנישום להוכיח אחרת, טענת עסקה מלאכותית מכוח סעיף 86 לפקודה עניינה "להתעלם ממה שקרה", היות והנישום ניצל לרעה את זכותו לתכנון מס, ולמסות לפי </w:t>
      </w:r>
      <w:r w:rsidR="00E067F0">
        <w:rPr>
          <w:rFonts w:hint="cs"/>
          <w:rtl/>
        </w:rPr>
        <w:t>סמכותו</w:t>
      </w:r>
      <w:r w:rsidRPr="002F1185">
        <w:rPr>
          <w:rFonts w:hint="cs"/>
          <w:rtl/>
        </w:rPr>
        <w:t xml:space="preserve"> באופן שישלול את יתרון המס אותו ביקש הנישום להשיג, ובהתאם הנטל להוכיח שמדובר בעסקה מלאכותית הוא על פקיד השומה. כתוצאה מטעות זו, טוען פקיד השומה, כי בית המשפט קמא לא דן בשומה העיקרית אלא התייחס אליה כטענה לעסקה מלאכותית ומיקד את המחלוקת בין הצדדים סביב השאלה אם ומתי עבר המוניטין מ</w:t>
      </w:r>
      <w:r w:rsidR="006C3CFE">
        <w:rPr>
          <w:rFonts w:hint="cs"/>
          <w:rtl/>
        </w:rPr>
        <w:t xml:space="preserve">חברת </w:t>
      </w:r>
      <w:r w:rsidRPr="002F1185">
        <w:rPr>
          <w:rFonts w:hint="cs"/>
          <w:rtl/>
        </w:rPr>
        <w:t xml:space="preserve">פליינג קרגו לחברת אף.סי תובלה בינלאומית (יצוין כי בסיכומי התשובה בערעור שלפנינו טען פקיד השומה כי טענת המלאכותיות היא טענה חלופית שלו, במידה ולא תתקבל הטענה לסיווג מהותה האמיתית של העסקה, ולשיטתו גם טענה זו לא נדונה בפסק הדין של בית המשפט קמא). </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עוד טוען פקיד השומה כי פירוט המחלוקת והשאלות העומדות לדיון אינו תואם את המחלוקת האמיתית שעמדה להכרעה וכתוצאה מכך פסק הדין של בית משפט קמא עוסק בשאלות שבעיקרן אינן דרושות להכרעה במחלוקת, ולעומת זאת איננו עוסק בשאלות שדרושות לצורך ההכרעה במחלוקת. פקיד השומה סבור כי חסר דיון בשלוש שאלות עיקריות: איפה העסק? מהי הקבוצה? ובאיזה מוניטין מדובר? לשיטת פקיד השומה, בחינת השומה העיקרית שהוציא, לצד בחינת השאלות כפי שיפורטו להלן, מביאים למסקנה כי יש למסות את הסכם המכר כמכירת מניות בלבד.</w:t>
      </w:r>
    </w:p>
    <w:p w:rsidR="009519E3" w:rsidRPr="002F1185" w:rsidRDefault="009519E3" w:rsidP="009519E3">
      <w:pPr>
        <w:pStyle w:val="Ruller4"/>
        <w:numPr>
          <w:ilvl w:val="0"/>
          <w:numId w:val="0"/>
        </w:numPr>
        <w:rPr>
          <w:rtl/>
        </w:rPr>
      </w:pPr>
    </w:p>
    <w:p w:rsidR="009519E3" w:rsidRPr="002F1185" w:rsidRDefault="009519E3" w:rsidP="009519E3">
      <w:pPr>
        <w:pStyle w:val="Ruller4"/>
        <w:rPr>
          <w:rtl/>
        </w:rPr>
      </w:pPr>
      <w:r w:rsidRPr="002F1185">
        <w:rPr>
          <w:rFonts w:hint="cs"/>
          <w:rtl/>
        </w:rPr>
        <w:t xml:space="preserve">באשר לשאלה הראשונה </w:t>
      </w:r>
      <w:r w:rsidRPr="002F1185">
        <w:rPr>
          <w:rtl/>
        </w:rPr>
        <w:t>–</w:t>
      </w:r>
      <w:r w:rsidRPr="002F1185">
        <w:rPr>
          <w:rFonts w:hint="cs"/>
          <w:rtl/>
        </w:rPr>
        <w:t xml:space="preserve"> איפה העסק? </w:t>
      </w:r>
      <w:r w:rsidRPr="002F1185">
        <w:rPr>
          <w:rtl/>
        </w:rPr>
        <w:t>–</w:t>
      </w:r>
      <w:r w:rsidRPr="002F1185">
        <w:rPr>
          <w:rFonts w:hint="cs"/>
          <w:rtl/>
        </w:rPr>
        <w:t xml:space="preserve"> טוען פקיד השומה כי מדובר בדיון מקדים הנחוץ לדיון על מוניטין, שכן ההלכה היא כי ככלל המוניטין נמכר כחלק בלתי נפרד מהעסק, ורק במקרים נדירים תוכר מכירת המוניטין במנותק מהעסק. בהתאם, לשיטת פקיד השומה, בית המשפט קמא לא היה צריך להידרש לשאלה מתי עבר או נצמח או חלחל המוניטין, אלא לשאלה "איפה העסק?". לטענת פקיד השומה העסק הנמכר נמצא באף.סי תובלה בינלאומית מעת הקמתה בשנת 2001, עם שינוי המבנה, וזאת מאחר שהועברו כל הנכסים, ההתחייבויות, העסקאות והעובדים של חטיבת השילוח הבינלאומי, וכן בהתאם למצגים ולדיווחים המפורשים של אף.סי תובלה בינלאומית מדי שנה בשנה לפקיד השומה. ואם כך הדבר, הרי שמתייתר הדיון במכירת המוניטין של </w:t>
      </w:r>
      <w:r w:rsidR="006C3CFE">
        <w:rPr>
          <w:rFonts w:hint="cs"/>
          <w:rtl/>
        </w:rPr>
        <w:t xml:space="preserve">חברת </w:t>
      </w:r>
      <w:r w:rsidRPr="002F1185">
        <w:rPr>
          <w:rFonts w:hint="cs"/>
          <w:rtl/>
        </w:rPr>
        <w:t xml:space="preserve">פליינג קרגו שכן העסק של </w:t>
      </w:r>
      <w:r w:rsidR="006C3CFE">
        <w:rPr>
          <w:rFonts w:hint="cs"/>
          <w:rtl/>
        </w:rPr>
        <w:t xml:space="preserve">חברת </w:t>
      </w:r>
      <w:r w:rsidRPr="002F1185">
        <w:rPr>
          <w:rFonts w:hint="cs"/>
          <w:rtl/>
        </w:rPr>
        <w:t xml:space="preserve">פליינג קרגו לא נמכר במסגרת הסכם המכר, וכן לא מתקיימות הנסיבות החריגות להכרה במכירת המוניטין של </w:t>
      </w:r>
      <w:r w:rsidR="006C3CFE">
        <w:rPr>
          <w:rFonts w:hint="cs"/>
          <w:rtl/>
        </w:rPr>
        <w:t xml:space="preserve">חברת </w:t>
      </w:r>
      <w:r w:rsidRPr="002F1185">
        <w:rPr>
          <w:rFonts w:hint="cs"/>
          <w:rtl/>
        </w:rPr>
        <w:t xml:space="preserve">פליינג קרגו בנפרד </w:t>
      </w:r>
      <w:r w:rsidRPr="002F1185">
        <w:rPr>
          <w:rFonts w:hint="cs"/>
          <w:rtl/>
        </w:rPr>
        <w:lastRenderedPageBreak/>
        <w:t xml:space="preserve">מהעסק, וכל שנותר הוא מכירת עסק השילוח הבינלאומי באמצעות מכירת מניות אף.סי תובלה בינלאומית. פקיד השומה מדגיש כי אם בית המשפט קמא היה בוחן את המחלוקת לפי הנטל הנכון (היינו, מטיל את נטל השכנוע על הנישומים), הרי שהיה מגיע למסקנה כי לא זו בלבד שהנישומים לא הפריכו את עמדתו של פקיד השומה לפיה העסק נמצא באף.סי תובלה בינלאומית, אלא ששתי האפשרויות האחרות הגלומות בצורה כזו או אחרת בעמדת הנישומים </w:t>
      </w:r>
      <w:r w:rsidRPr="002F1185">
        <w:rPr>
          <w:rtl/>
        </w:rPr>
        <w:t>–</w:t>
      </w:r>
      <w:r w:rsidRPr="002F1185">
        <w:rPr>
          <w:rFonts w:hint="cs"/>
          <w:rtl/>
        </w:rPr>
        <w:t xml:space="preserve"> האחת היא בלתי אפשרית (לפיה העסק נמצא בחברת פליינג קרגו) והשנייה היא בלתי מתקבלת על הדעת ולמצער פחות מסתברת ומתיישבת עם הראיות (לפיה העסק נמצא איפשהו בקבוצת פליינג קרגו). </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 xml:space="preserve">באשר לשאלה השנייה </w:t>
      </w:r>
      <w:r w:rsidRPr="002F1185">
        <w:rPr>
          <w:rtl/>
        </w:rPr>
        <w:t>–</w:t>
      </w:r>
      <w:r w:rsidRPr="002F1185">
        <w:rPr>
          <w:rFonts w:hint="cs"/>
          <w:rtl/>
        </w:rPr>
        <w:t xml:space="preserve"> מהי הקבוצה? </w:t>
      </w:r>
      <w:r w:rsidRPr="002F1185">
        <w:rPr>
          <w:rtl/>
        </w:rPr>
        <w:t>–</w:t>
      </w:r>
      <w:r w:rsidRPr="002F1185">
        <w:rPr>
          <w:rFonts w:hint="cs"/>
          <w:rtl/>
        </w:rPr>
        <w:t xml:space="preserve"> טוען פקיד השומה כי למונח "קבוצה" או "קבוצת פליינג קרגו" קיימות שתי משמעויות שונות, כאשר לאורך פסק הדין קיים בלבול ביחס אליהן; בחלק מהמקרים הכוונה היא לקבוצת פליינג קרגו, היינו קבוצה אופקית של חברות אחיות, ובכללן גם חברת פליינג קרגו, שכולן בבעלות האחים רייק; ובחלק מהמקרים הכוונה היא לחברת פליינג קרגו יחד עם שתי החברות הבנות שלה, אף.סי תובלה בינלאומית ואף.סי אקספרס. כאשר מבחינים בין שתי המשמעויות הללו, הרי שמסתבר כי חלק מהתיאוריות שהועלו מטעם הנישומים, ובפרט הטענה כי </w:t>
      </w:r>
      <w:r w:rsidR="006C3CFE">
        <w:rPr>
          <w:rFonts w:hint="cs"/>
          <w:rtl/>
        </w:rPr>
        <w:t xml:space="preserve">חברת </w:t>
      </w:r>
      <w:r w:rsidRPr="002F1185">
        <w:rPr>
          <w:rFonts w:hint="cs"/>
          <w:rtl/>
        </w:rPr>
        <w:t xml:space="preserve">פליינג קרגו היא "חברת קודקוד" בקבוצת פליינג קרגו, אינן יכולות לעמוד הואיל והן מבוססות על בלבול בין שני מונחים שונים של הקבוצה. </w:t>
      </w:r>
    </w:p>
    <w:p w:rsidR="009519E3" w:rsidRPr="002F1185" w:rsidRDefault="009519E3" w:rsidP="009519E3">
      <w:pPr>
        <w:pStyle w:val="Ruller41"/>
        <w:rPr>
          <w:rtl/>
        </w:rPr>
      </w:pPr>
    </w:p>
    <w:p w:rsidR="009519E3" w:rsidRPr="002F1185" w:rsidRDefault="009519E3" w:rsidP="006E0084">
      <w:pPr>
        <w:pStyle w:val="Ruller4"/>
        <w:rPr>
          <w:rtl/>
        </w:rPr>
      </w:pPr>
      <w:r w:rsidRPr="002F1185">
        <w:rPr>
          <w:rFonts w:hint="cs"/>
          <w:rtl/>
        </w:rPr>
        <w:t xml:space="preserve">באשר לשאלה השלישית </w:t>
      </w:r>
      <w:r w:rsidRPr="002F1185">
        <w:rPr>
          <w:rtl/>
        </w:rPr>
        <w:t>–</w:t>
      </w:r>
      <w:r w:rsidRPr="002F1185">
        <w:rPr>
          <w:rFonts w:hint="cs"/>
          <w:rtl/>
        </w:rPr>
        <w:t xml:space="preserve"> באיזה מוניטין מדובר? </w:t>
      </w:r>
      <w:r w:rsidRPr="002F1185">
        <w:rPr>
          <w:rtl/>
        </w:rPr>
        <w:t>–</w:t>
      </w:r>
      <w:r w:rsidRPr="002F1185">
        <w:rPr>
          <w:rFonts w:hint="cs"/>
          <w:rtl/>
        </w:rPr>
        <w:t xml:space="preserve"> פקיד השומה סבור כי יש להבחין בין מוניטין של </w:t>
      </w:r>
      <w:r w:rsidR="006E0084">
        <w:rPr>
          <w:rFonts w:hint="cs"/>
          <w:rtl/>
        </w:rPr>
        <w:t>ה</w:t>
      </w:r>
      <w:r w:rsidRPr="002F1185">
        <w:rPr>
          <w:rFonts w:hint="cs"/>
          <w:rtl/>
        </w:rPr>
        <w:t xml:space="preserve">עסק, בין מוניטין של קבוצת </w:t>
      </w:r>
      <w:r w:rsidR="006E0084">
        <w:rPr>
          <w:rFonts w:hint="cs"/>
          <w:rtl/>
        </w:rPr>
        <w:t>ה</w:t>
      </w:r>
      <w:r w:rsidRPr="002F1185">
        <w:rPr>
          <w:rFonts w:hint="cs"/>
          <w:rtl/>
        </w:rPr>
        <w:t>חברות, ובין מוניטין אישי של בעלי הקבוצה. לגישת פקיד השומה, כאשר מדובר במוניטין של עסק, הלכה היא שהמוניטין נמכר יחד עם העסק (המוניטין "כבר בפנים") ורק במקרים חריגים ונדירים מוניטין לא יהיה צמוד לעסק; כאשר מדובר במוניטין של קבוצת פליינג קרגו, הגלום בנטייתם של הלקוחות לשוב ל"פתרון הכולל" הניתן להם בקבוצת פליינג קרגו, לא ניתן להעביר אותו לחברה המוצאת אל מחוץ לקבוצה ואיננה עוד חלק ממנה, שכן באותה חברה לא יכול להינתן אותו פתרון כולל שבגינו הלקוחות חוזרים; וכאשר מדובר במוניטין אישי של בעלי ה</w:t>
      </w:r>
      <w:r w:rsidR="006E0084">
        <w:rPr>
          <w:rFonts w:hint="cs"/>
          <w:rtl/>
        </w:rPr>
        <w:t>קבוצה</w:t>
      </w:r>
      <w:r w:rsidRPr="002F1185">
        <w:rPr>
          <w:rFonts w:hint="cs"/>
          <w:rtl/>
        </w:rPr>
        <w:t xml:space="preserve"> (בענייננו </w:t>
      </w:r>
      <w:r w:rsidRPr="002F1185">
        <w:rPr>
          <w:rtl/>
        </w:rPr>
        <w:t>–</w:t>
      </w:r>
      <w:r w:rsidRPr="002F1185">
        <w:rPr>
          <w:rFonts w:hint="cs"/>
          <w:rtl/>
        </w:rPr>
        <w:t xml:space="preserve"> האחים רייק), הרי שהלכה היא שמוניטין אישי איננו ניתן להעברה מעצם טבעו ומהותו. העולה מן האמור, לטענת פקיד השומה, הוא כי עסקינן במוניטין של עסק ולא במוניטין של הקבוצה או במוניטין אישי. מכאן, הואיל ובפסק דינו של בית המשפט קמא אין קביעה כי מדובר במקרה שבו המוניטין איננו צמוד לעסק, ואף אין קביעה שמתקיים החריג הנדיר לפי ההלכה הפסוקה, הרי שהמוניטין של </w:t>
      </w:r>
      <w:r w:rsidR="006C3CFE">
        <w:rPr>
          <w:rFonts w:hint="cs"/>
          <w:rtl/>
        </w:rPr>
        <w:t xml:space="preserve">חברת </w:t>
      </w:r>
      <w:r w:rsidRPr="002F1185">
        <w:rPr>
          <w:rFonts w:hint="cs"/>
          <w:rtl/>
        </w:rPr>
        <w:t xml:space="preserve">פליינג קרגו לא נמכר בנפרד מהעסק שלה. לכן, מתבקשת המסקנה כי המוניטין של אף.סי תובלה בינלאומית הוא היחיד שניתן היה להעביר במסגרת הסכם </w:t>
      </w:r>
      <w:r w:rsidRPr="002F1185">
        <w:rPr>
          <w:rFonts w:hint="cs"/>
          <w:rtl/>
        </w:rPr>
        <w:lastRenderedPageBreak/>
        <w:t xml:space="preserve">המכר, מוניטין </w:t>
      </w:r>
      <w:r w:rsidR="000E0EC0">
        <w:rPr>
          <w:rFonts w:hint="cs"/>
          <w:rtl/>
        </w:rPr>
        <w:t>ז</w:t>
      </w:r>
      <w:r w:rsidRPr="002F1185">
        <w:rPr>
          <w:rFonts w:hint="cs"/>
          <w:rtl/>
        </w:rPr>
        <w:t xml:space="preserve">ה כרוך כל כולו בפעילות שנמכרה, </w:t>
      </w:r>
      <w:r w:rsidR="000E0EC0">
        <w:rPr>
          <w:rFonts w:hint="cs"/>
          <w:rtl/>
        </w:rPr>
        <w:t xml:space="preserve">ולפיכך </w:t>
      </w:r>
      <w:r w:rsidRPr="002F1185">
        <w:rPr>
          <w:rFonts w:hint="cs"/>
          <w:rtl/>
        </w:rPr>
        <w:t>מדובר בהסכם למכר מניות בלבד.</w:t>
      </w:r>
    </w:p>
    <w:p w:rsidR="009519E3" w:rsidRPr="002F1185" w:rsidRDefault="009519E3" w:rsidP="009519E3">
      <w:pPr>
        <w:pStyle w:val="Ruller41"/>
        <w:rPr>
          <w:rtl/>
        </w:rPr>
      </w:pPr>
    </w:p>
    <w:p w:rsidR="009519E3" w:rsidRPr="002F1185" w:rsidRDefault="009519E3" w:rsidP="009519E3">
      <w:pPr>
        <w:pStyle w:val="Ruller4"/>
        <w:numPr>
          <w:ilvl w:val="0"/>
          <w:numId w:val="0"/>
        </w:numPr>
        <w:rPr>
          <w:rtl/>
        </w:rPr>
      </w:pPr>
      <w:r w:rsidRPr="002F1185">
        <w:rPr>
          <w:rtl/>
        </w:rPr>
        <w:tab/>
      </w:r>
      <w:r w:rsidRPr="002F1185">
        <w:rPr>
          <w:rFonts w:hint="cs"/>
          <w:rtl/>
        </w:rPr>
        <w:t>הבחנה נוספת אליה נדרש פקיד השומה בהקשר זה היא בין המבחנים להגדרת המוניטין. פקיד השומה סבור כי הדרך להוכחת מוניטין היא לפי המבחן המשפטי (שנקבע בפסיקה), כאשר המבחן השיווקי והמבחן החשבונאי הם אך דרכים לקביעת שוויו של המוניטין. בהתאם להבחנה זו, סבור פקיד השומה כי המוניטין ככלל (על פי הגדרתו המשפטית) דובק בעסק כאמור.</w:t>
      </w:r>
    </w:p>
    <w:p w:rsidR="009519E3" w:rsidRPr="002F1185" w:rsidRDefault="009519E3" w:rsidP="009519E3">
      <w:pPr>
        <w:pStyle w:val="Ruller41"/>
        <w:rPr>
          <w:rtl/>
        </w:rPr>
      </w:pPr>
    </w:p>
    <w:p w:rsidR="009519E3" w:rsidRPr="002F1185" w:rsidRDefault="009519E3" w:rsidP="00E067F0">
      <w:pPr>
        <w:pStyle w:val="Ruller4"/>
        <w:rPr>
          <w:rtl/>
        </w:rPr>
      </w:pPr>
      <w:r w:rsidRPr="002F1185">
        <w:rPr>
          <w:rFonts w:hint="cs"/>
          <w:rtl/>
        </w:rPr>
        <w:t xml:space="preserve">לבסוף, פקיד השומה סבור כי שגה בית המשפט קמא כאשר קבע כי שינוי המבנה בשנת 2001 הוא טכני-פרוצדוראלי. לגישתו, העברת עסק השילוח הבינלאומי לאף.סי תובלה בינלאומית והפיכת חברת פליינג קרגו לחברת אחזקות נעדרת פעילות יצרנית, מהווה שינוי מהותי. יתר על כן, שינוי המבנה לא הוצג לרשויות המס כשינוי "נראותי" גרידא אלא כשינוי אמיתי, ומשכך מהותי. </w:t>
      </w:r>
    </w:p>
    <w:p w:rsidR="009519E3" w:rsidRPr="002F1185" w:rsidRDefault="009519E3" w:rsidP="009519E3">
      <w:pPr>
        <w:pStyle w:val="Ruller41"/>
        <w:rPr>
          <w:rtl/>
        </w:rPr>
      </w:pPr>
    </w:p>
    <w:p w:rsidR="009519E3" w:rsidRPr="002F1185" w:rsidRDefault="009519E3" w:rsidP="009519E3">
      <w:pPr>
        <w:pStyle w:val="Ruller4"/>
        <w:numPr>
          <w:ilvl w:val="0"/>
          <w:numId w:val="0"/>
        </w:numPr>
        <w:rPr>
          <w:rtl/>
        </w:rPr>
      </w:pPr>
      <w:r w:rsidRPr="002F1185">
        <w:rPr>
          <w:rtl/>
        </w:rPr>
        <w:tab/>
      </w:r>
      <w:r w:rsidRPr="002F1185">
        <w:rPr>
          <w:rFonts w:hint="cs"/>
          <w:rtl/>
        </w:rPr>
        <w:t>לחילופין, טוען פקיד השומה כי אפילו אם יש לקבל את הטענה כי שינוי המבנה הוא טכני-פרוצדוראלי ואפילו אם המוניטין שייך לקבוצה או לאחים רייק, יש לקבל את ערעורו של פקיד השומה מן הטעם שמדובר בניצול לרעה של זכות הנישומים לתכנון מס החורג מגדר הלגיטימי, דהיינו מדובר בעסקה הנגועה במלאכותיות.</w:t>
      </w:r>
    </w:p>
    <w:p w:rsidR="009519E3" w:rsidRPr="002F1185" w:rsidRDefault="009519E3" w:rsidP="009519E3">
      <w:pPr>
        <w:pStyle w:val="Ruller41"/>
        <w:rPr>
          <w:rtl/>
        </w:rPr>
      </w:pPr>
    </w:p>
    <w:p w:rsidR="009519E3" w:rsidRDefault="009519E3" w:rsidP="009519E3">
      <w:pPr>
        <w:pStyle w:val="Ruller4"/>
        <w:rPr>
          <w:rtl/>
        </w:rPr>
      </w:pPr>
      <w:r w:rsidRPr="002F1185">
        <w:rPr>
          <w:rFonts w:hint="cs"/>
          <w:rtl/>
        </w:rPr>
        <w:t xml:space="preserve">באשר לערעור של אף.סי תובלה בינלאומית, פקיד השומה סבור כי דינו להידחות. זאת מן הטעם שהטיעונים בערעורה אינם מבססים את דרישת תום הלב הנדרשת על פי החוק. שכן, בית המשפט קמא קבע כי הפרדת העסקה באופן מלאכותי לשני שלבים </w:t>
      </w:r>
      <w:r w:rsidRPr="002F1185">
        <w:rPr>
          <w:rtl/>
        </w:rPr>
        <w:t>–</w:t>
      </w:r>
      <w:r w:rsidRPr="002F1185">
        <w:rPr>
          <w:rFonts w:hint="cs"/>
          <w:rtl/>
        </w:rPr>
        <w:t xml:space="preserve"> מכירת המניות תחילה ולאחר מכן המוניטין </w:t>
      </w:r>
      <w:r w:rsidRPr="002F1185">
        <w:rPr>
          <w:rtl/>
        </w:rPr>
        <w:t>–</w:t>
      </w:r>
      <w:r w:rsidRPr="002F1185">
        <w:rPr>
          <w:rFonts w:hint="cs"/>
          <w:rtl/>
        </w:rPr>
        <w:t xml:space="preserve"> חוטאת לאמת ומחטיאה את המטרה, וכי הדבר נעשה באופן מלאכותי ומשיקולי מס בלבד. לנוכח קביעות אלה, טוען פקיד השומה כי טענות אף.סי תובלה בינלאומית בערעורה הן מופרכות ודינן להידחות. </w:t>
      </w:r>
    </w:p>
    <w:p w:rsidR="009519E3" w:rsidRPr="002F1185" w:rsidRDefault="009519E3" w:rsidP="009519E3">
      <w:pPr>
        <w:pStyle w:val="Ruller41"/>
        <w:rPr>
          <w:rFonts w:ascii="Century" w:hAnsi="Century" w:cs="Miriam"/>
          <w:b/>
          <w:spacing w:val="0"/>
          <w:szCs w:val="24"/>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טענות אף.סי תובלה בינלאומית</w:t>
      </w:r>
    </w:p>
    <w:p w:rsidR="009519E3" w:rsidRPr="002F1185" w:rsidRDefault="009519E3" w:rsidP="009519E3">
      <w:pPr>
        <w:pStyle w:val="Ruller41"/>
        <w:rPr>
          <w:rFonts w:ascii="Century" w:hAnsi="Century" w:cs="Miriam"/>
          <w:b/>
          <w:spacing w:val="0"/>
          <w:szCs w:val="24"/>
          <w:rtl/>
        </w:rPr>
      </w:pPr>
    </w:p>
    <w:p w:rsidR="009519E3" w:rsidRPr="002F1185" w:rsidRDefault="009519E3" w:rsidP="009519E3">
      <w:pPr>
        <w:pStyle w:val="Ruller4"/>
        <w:rPr>
          <w:rtl/>
        </w:rPr>
      </w:pPr>
      <w:r w:rsidRPr="002F1185">
        <w:rPr>
          <w:rFonts w:hint="cs"/>
          <w:rtl/>
        </w:rPr>
        <w:t xml:space="preserve">טענותיה של אף.סי תובלה בינלאומית מתחלקות לשניים: </w:t>
      </w:r>
      <w:r w:rsidRPr="002F1185">
        <w:rPr>
          <w:rFonts w:ascii="Century" w:hAnsi="Century" w:cs="Miriam" w:hint="cs"/>
          <w:b/>
          <w:spacing w:val="0"/>
          <w:sz w:val="22"/>
          <w:szCs w:val="24"/>
          <w:rtl/>
        </w:rPr>
        <w:t>בחלק הראשון</w:t>
      </w:r>
      <w:r w:rsidRPr="002F1185">
        <w:rPr>
          <w:rFonts w:hint="cs"/>
          <w:rtl/>
        </w:rPr>
        <w:t>, מערערת אף.סי תובלה בינלאומית על החלטתו של בית המשפט קמא לפיה היא אינה זכאית לנכות פחת בגין המוניטין שרכשה מ</w:t>
      </w:r>
      <w:r w:rsidR="006C3CFE">
        <w:rPr>
          <w:rFonts w:hint="cs"/>
          <w:rtl/>
        </w:rPr>
        <w:t xml:space="preserve">חברת </w:t>
      </w:r>
      <w:r w:rsidRPr="002F1185">
        <w:rPr>
          <w:rFonts w:hint="cs"/>
          <w:rtl/>
        </w:rPr>
        <w:t xml:space="preserve">פליינג קרגו. </w:t>
      </w:r>
      <w:r w:rsidRPr="002F1185">
        <w:rPr>
          <w:rFonts w:ascii="Century" w:hAnsi="Century" w:cs="Miriam" w:hint="cs"/>
          <w:b/>
          <w:spacing w:val="0"/>
          <w:sz w:val="22"/>
          <w:szCs w:val="24"/>
          <w:rtl/>
        </w:rPr>
        <w:t>בחלק השני</w:t>
      </w:r>
      <w:r w:rsidRPr="002F1185">
        <w:rPr>
          <w:rFonts w:hint="cs"/>
          <w:rtl/>
        </w:rPr>
        <w:t xml:space="preserve">, טוענת אף.סי </w:t>
      </w:r>
      <w:r w:rsidRPr="002F1185">
        <w:rPr>
          <w:rFonts w:hint="cs"/>
          <w:rtl/>
        </w:rPr>
        <w:lastRenderedPageBreak/>
        <w:t>תובלה בינלאומית כי יש לדחות את ערעורו של פקיד השומה, הואיל ומדובר בערעור על ממצאים עובדתיים גרידא.</w:t>
      </w:r>
    </w:p>
    <w:p w:rsidR="009519E3" w:rsidRPr="002F1185" w:rsidRDefault="009519E3" w:rsidP="009519E3">
      <w:pPr>
        <w:pStyle w:val="Ruller41"/>
      </w:pPr>
    </w:p>
    <w:p w:rsidR="009519E3" w:rsidRPr="002F1185" w:rsidRDefault="009519E3" w:rsidP="009519E3">
      <w:pPr>
        <w:pStyle w:val="Ruller4"/>
        <w:rPr>
          <w:rtl/>
        </w:rPr>
      </w:pPr>
      <w:r w:rsidRPr="002F1185">
        <w:rPr>
          <w:rFonts w:hint="cs"/>
          <w:rtl/>
        </w:rPr>
        <w:t xml:space="preserve">בערעורה טוענת אף.סי תובלה בינלאומית כי היא זכאית לנכות פחת בגין המוניטין שרכשה, מכוח תקנות מס הכנסה (שיעור פחת למוניטין), התשס"ג-2003 (להלן: </w:t>
      </w:r>
      <w:r w:rsidRPr="002F1185">
        <w:rPr>
          <w:rFonts w:ascii="Century" w:hAnsi="Century" w:cs="Miriam" w:hint="cs"/>
          <w:b/>
          <w:spacing w:val="0"/>
          <w:sz w:val="22"/>
          <w:szCs w:val="24"/>
          <w:rtl/>
        </w:rPr>
        <w:t>"התקנות"</w:t>
      </w:r>
      <w:r w:rsidRPr="002F1185">
        <w:rPr>
          <w:rFonts w:hint="cs"/>
          <w:rtl/>
        </w:rPr>
        <w:t xml:space="preserve">), משני טעמים חלופיים: </w:t>
      </w:r>
      <w:r w:rsidRPr="002F1185">
        <w:rPr>
          <w:rFonts w:ascii="Century" w:hAnsi="Century" w:cs="Miriam" w:hint="cs"/>
          <w:b/>
          <w:spacing w:val="0"/>
          <w:sz w:val="22"/>
          <w:szCs w:val="24"/>
          <w:rtl/>
        </w:rPr>
        <w:t>ראשית</w:t>
      </w:r>
      <w:r w:rsidRPr="002F1185">
        <w:rPr>
          <w:rFonts w:hint="cs"/>
          <w:rtl/>
        </w:rPr>
        <w:t xml:space="preserve">, נטען כי בית המשפט קמא שגה כאשר בחן את הסכם המכר באופן שונה מבחינת סדר הרכישות, כך שתחילה נרכשו המוניטין </w:t>
      </w:r>
      <w:r w:rsidRPr="002F1185">
        <w:rPr>
          <w:rFonts w:hint="eastAsia"/>
          <w:rtl/>
        </w:rPr>
        <w:t>ורק לאחר</w:t>
      </w:r>
      <w:r w:rsidRPr="002F1185">
        <w:rPr>
          <w:rFonts w:hint="cs"/>
          <w:rtl/>
        </w:rPr>
        <w:t xml:space="preserve"> מכן המניות. לגישת אף.סי תובלה בינלאומית, לאחר שבית המשפט קמא קבע כי מדובר בשתי עסקאות נפרדות </w:t>
      </w:r>
      <w:r w:rsidRPr="002F1185">
        <w:rPr>
          <w:rtl/>
        </w:rPr>
        <w:t>–</w:t>
      </w:r>
      <w:r w:rsidRPr="002F1185">
        <w:rPr>
          <w:rFonts w:hint="cs"/>
          <w:rtl/>
        </w:rPr>
        <w:t xml:space="preserve"> האחת לרכישת מניות והשנייה לרכישת מוניטין </w:t>
      </w:r>
      <w:r w:rsidRPr="002F1185">
        <w:rPr>
          <w:rtl/>
        </w:rPr>
        <w:t>–</w:t>
      </w:r>
      <w:r w:rsidRPr="002F1185">
        <w:rPr>
          <w:rFonts w:hint="cs"/>
          <w:rtl/>
        </w:rPr>
        <w:t xml:space="preserve"> המוניטין לא נרכשו מ"קרוב", אלא הם נרכשו לאחר שאף.סי תובלה בינלאומית עברה לשליטתה המלאה של חברת דויטשה פוסט, ומשכך יש להתיר את ניכוי הפחת. יתר על כן, אף.סי תובלה בינלאומית סבורה כי בתקנות אין כל דרישה לבחינת יחסי הקרבה בין הצדדים בתקופה שקדמה לעסקה, אלא יש לבחון את יחסי הקרבה במועד ביצוע העסקה. ודוק, אם טרם אירוע המס התקיימו יחסי קרבה בין צדדים לעסקה מסוימת, אך יחסי קרבה אלה חדלו מלהתקיים במועד אירוע המס, הרי שבמועד האמור אין לראות בצדדים כ"קרובים". להשלמת התמונה, יצוין כי אף.סי תובלה בינלאומית מציינת נימוקים נוספים המובילים למסקנה כי המוניטין לא נרכשו מ"קרוב", ובכלל זאת: עמדת פקיד השומה</w:t>
      </w:r>
      <w:r w:rsidR="007C229E">
        <w:rPr>
          <w:rFonts w:hint="cs"/>
          <w:rtl/>
        </w:rPr>
        <w:t xml:space="preserve"> לפיה הרוכשת היא דויטשה פוסט</w:t>
      </w:r>
      <w:r w:rsidRPr="002F1185">
        <w:rPr>
          <w:rFonts w:hint="cs"/>
          <w:rtl/>
        </w:rPr>
        <w:t xml:space="preserve">; פרשת </w:t>
      </w:r>
      <w:r w:rsidRPr="002F1185">
        <w:rPr>
          <w:rFonts w:ascii="Century" w:hAnsi="Century" w:cs="Miriam" w:hint="cs"/>
          <w:b/>
          <w:spacing w:val="0"/>
          <w:sz w:val="22"/>
          <w:szCs w:val="24"/>
          <w:rtl/>
        </w:rPr>
        <w:t>תדיראן</w:t>
      </w:r>
      <w:r w:rsidRPr="002F1185">
        <w:rPr>
          <w:rFonts w:hint="cs"/>
          <w:rtl/>
        </w:rPr>
        <w:t xml:space="preserve"> שנסיבותיה דומות למקרה דנן (ע"א 749/13 </w:t>
      </w:r>
      <w:r w:rsidRPr="002F1185">
        <w:rPr>
          <w:rFonts w:ascii="Century" w:hAnsi="Century" w:cs="Miriam" w:hint="cs"/>
          <w:b/>
          <w:spacing w:val="0"/>
          <w:sz w:val="22"/>
          <w:szCs w:val="24"/>
          <w:rtl/>
        </w:rPr>
        <w:t xml:space="preserve">תדיראן בע"מ נ' פקיד השומה למפעלים גדולים </w:t>
      </w:r>
      <w:r w:rsidRPr="002F1185">
        <w:rPr>
          <w:rFonts w:hint="cs"/>
          <w:rtl/>
        </w:rPr>
        <w:t xml:space="preserve">(22.7.2015) (להלן: </w:t>
      </w:r>
      <w:r w:rsidRPr="002F1185">
        <w:rPr>
          <w:rFonts w:ascii="Century" w:hAnsi="Century" w:cs="Miriam" w:hint="cs"/>
          <w:b/>
          <w:spacing w:val="0"/>
          <w:sz w:val="22"/>
          <w:szCs w:val="24"/>
          <w:rtl/>
        </w:rPr>
        <w:t xml:space="preserve">"פרשת תדיראן" </w:t>
      </w:r>
      <w:r w:rsidRPr="002F1185">
        <w:rPr>
          <w:rFonts w:ascii="Century" w:hAnsi="Century" w:hint="cs"/>
          <w:sz w:val="22"/>
          <w:rtl/>
        </w:rPr>
        <w:t>או</w:t>
      </w:r>
      <w:r w:rsidRPr="002F1185">
        <w:rPr>
          <w:rFonts w:ascii="Century" w:hAnsi="Century" w:cs="Miriam" w:hint="cs"/>
          <w:b/>
          <w:spacing w:val="0"/>
          <w:sz w:val="22"/>
          <w:szCs w:val="24"/>
          <w:rtl/>
        </w:rPr>
        <w:t xml:space="preserve"> "עניין תדיראן"</w:t>
      </w:r>
      <w:r w:rsidRPr="002F1185">
        <w:rPr>
          <w:rFonts w:hint="cs"/>
          <w:rtl/>
        </w:rPr>
        <w:t>)); ההיגיון העסקי, הכלכלי והמשפטי; הסכמות הצדדים לעסקה ולשון הסכם המכר; עדויות רואי החשבון מטעם הצדדים; עקרון המהות הכלכלית; התנהלות הצדדים וכיוצא באלה.</w:t>
      </w:r>
    </w:p>
    <w:p w:rsidR="009519E3" w:rsidRPr="002F1185" w:rsidRDefault="009519E3" w:rsidP="009519E3">
      <w:pPr>
        <w:pStyle w:val="Ruller41"/>
      </w:pPr>
    </w:p>
    <w:p w:rsidR="009519E3" w:rsidRPr="002F1185" w:rsidRDefault="009519E3" w:rsidP="00F0378E">
      <w:pPr>
        <w:pStyle w:val="Ruller4"/>
        <w:numPr>
          <w:ilvl w:val="0"/>
          <w:numId w:val="0"/>
        </w:numPr>
        <w:rPr>
          <w:rtl/>
        </w:rPr>
      </w:pPr>
      <w:r w:rsidRPr="002F1185">
        <w:rPr>
          <w:rFonts w:ascii="Century" w:hAnsi="Century" w:cs="Miriam"/>
          <w:b/>
          <w:spacing w:val="0"/>
          <w:sz w:val="22"/>
          <w:szCs w:val="24"/>
          <w:rtl/>
        </w:rPr>
        <w:tab/>
      </w:r>
      <w:r w:rsidRPr="002F1185">
        <w:rPr>
          <w:rFonts w:ascii="Century" w:hAnsi="Century" w:cs="Miriam" w:hint="cs"/>
          <w:b/>
          <w:spacing w:val="0"/>
          <w:sz w:val="22"/>
          <w:szCs w:val="24"/>
          <w:rtl/>
        </w:rPr>
        <w:t>שנית</w:t>
      </w:r>
      <w:r w:rsidRPr="002F1185">
        <w:rPr>
          <w:rFonts w:hint="cs"/>
          <w:rtl/>
        </w:rPr>
        <w:t xml:space="preserve">, כי אפילו נראה באף.סי תובלה בינלאומית כמי שרכשה את המוניטין מ"קרוב", הרי שרכישת המוניטין באה בשערי הסייג לחריג בתקנה 2(א) לתקנות, וזאת מן הטעם שקביעותיו של בית המשפט קמא תומכות בקיומם של כל יסודותיו של הסייג לחריג </w:t>
      </w:r>
      <w:r w:rsidRPr="002F1185">
        <w:rPr>
          <w:rtl/>
        </w:rPr>
        <w:t>–</w:t>
      </w:r>
      <w:r w:rsidRPr="002F1185">
        <w:rPr>
          <w:rFonts w:hint="cs"/>
          <w:rtl/>
        </w:rPr>
        <w:t xml:space="preserve"> הרכישה הייתה חיונית לצורך ייצור הכנסה, נעשתה בתום לב ומטעמים עסקיים. לפיכך, גם לפי טענה חלופית זו זכאית אף.סי תובלה בינלאומית לניכוי הפחת בגין המוניטין שרכשה.</w:t>
      </w:r>
    </w:p>
    <w:p w:rsidR="009519E3" w:rsidRPr="002F1185" w:rsidRDefault="009519E3" w:rsidP="009519E3">
      <w:pPr>
        <w:pStyle w:val="Ruller41"/>
      </w:pPr>
    </w:p>
    <w:p w:rsidR="009519E3" w:rsidRPr="002F1185" w:rsidRDefault="009519E3" w:rsidP="009519E3">
      <w:pPr>
        <w:pStyle w:val="Ruller4"/>
      </w:pPr>
      <w:r w:rsidRPr="002F1185">
        <w:rPr>
          <w:rFonts w:hint="cs"/>
          <w:rtl/>
        </w:rPr>
        <w:t xml:space="preserve">באשר לערעורו של פקיד השומה, טוענת אף.סי תובלה בינלאומית כי דין הערעור להידחות בשל הטעמים הבאים: </w:t>
      </w:r>
      <w:r w:rsidRPr="002F1185">
        <w:rPr>
          <w:rFonts w:ascii="Century" w:hAnsi="Century" w:cs="Miriam" w:hint="cs"/>
          <w:b/>
          <w:spacing w:val="0"/>
          <w:sz w:val="22"/>
          <w:szCs w:val="24"/>
          <w:rtl/>
        </w:rPr>
        <w:t>ראשית</w:t>
      </w:r>
      <w:r w:rsidRPr="002F1185">
        <w:rPr>
          <w:rFonts w:hint="cs"/>
          <w:rtl/>
        </w:rPr>
        <w:t xml:space="preserve">, שאלת קיומם של מוניטין והמחזיק בהם היא שאלה שבעובדה. לכן, מדובר בערעור עובדתי גרידא, כאשר הכלל הוא שערכאת </w:t>
      </w:r>
      <w:r w:rsidRPr="002F1185">
        <w:rPr>
          <w:rFonts w:hint="cs"/>
          <w:rtl/>
        </w:rPr>
        <w:lastRenderedPageBreak/>
        <w:t xml:space="preserve">הערעור איננה נוטה להתערב בממצאים עובדתיים שנקבעו בידי הערכאה הדיונית, בוודאי כאשר הממצאים נטועים היטב בחומר ראיות רב. משפקיד השומה לא הצביע על כל עילה להתערבות בפסק דינו של בית המשפט קמא, יש לדחות את ערעורו. יתר על כן, נטען כי לטענותיו של פקיד השומה אין כל אחיזה במסכת הראייתית. אף.סי תובלה בינלאומית סוקרת בסיכומיה את הראיות והעדויות שעל בסיסן קיבל בית המשפט קמא את הכרעתו, ודובקת במסקנה כי במסגרת שינוי המבנה בשנת 2001 </w:t>
      </w:r>
      <w:r w:rsidR="006C3CFE">
        <w:rPr>
          <w:rFonts w:hint="cs"/>
          <w:rtl/>
        </w:rPr>
        <w:t xml:space="preserve">חברת </w:t>
      </w:r>
      <w:r w:rsidRPr="002F1185">
        <w:rPr>
          <w:rFonts w:hint="cs"/>
          <w:rtl/>
        </w:rPr>
        <w:t xml:space="preserve">פליינג קרגו לא העבירה לאף.סי תובלה בינלאומית את המוניטין בתחום השילוח הבינלאומי, אלא המוניטין נותר בידי </w:t>
      </w:r>
      <w:r w:rsidR="006C3CFE">
        <w:rPr>
          <w:rFonts w:hint="cs"/>
          <w:rtl/>
        </w:rPr>
        <w:t xml:space="preserve">חברת </w:t>
      </w:r>
      <w:r w:rsidRPr="002F1185">
        <w:rPr>
          <w:rFonts w:hint="cs"/>
          <w:rtl/>
        </w:rPr>
        <w:t>פליינג קרגו עד למכירתו לדויטשה פוסט בשנת 2007.</w:t>
      </w:r>
    </w:p>
    <w:p w:rsidR="009519E3" w:rsidRPr="002F1185" w:rsidRDefault="009519E3" w:rsidP="009519E3">
      <w:pPr>
        <w:pStyle w:val="Ruller4"/>
        <w:numPr>
          <w:ilvl w:val="0"/>
          <w:numId w:val="0"/>
        </w:numPr>
        <w:rPr>
          <w:rFonts w:ascii="Century" w:hAnsi="Century" w:cs="Miriam"/>
          <w:b/>
          <w:spacing w:val="0"/>
          <w:sz w:val="22"/>
          <w:szCs w:val="24"/>
          <w:rtl/>
        </w:rPr>
      </w:pPr>
    </w:p>
    <w:p w:rsidR="009519E3" w:rsidRPr="002F1185" w:rsidRDefault="009519E3" w:rsidP="009519E3">
      <w:pPr>
        <w:pStyle w:val="Ruller4"/>
        <w:numPr>
          <w:ilvl w:val="0"/>
          <w:numId w:val="0"/>
        </w:numPr>
        <w:rPr>
          <w:rtl/>
        </w:rPr>
      </w:pPr>
      <w:r w:rsidRPr="002F1185">
        <w:rPr>
          <w:rFonts w:ascii="Century" w:hAnsi="Century" w:cs="Miriam"/>
          <w:b/>
          <w:spacing w:val="0"/>
          <w:sz w:val="22"/>
          <w:szCs w:val="24"/>
          <w:rtl/>
        </w:rPr>
        <w:tab/>
      </w:r>
      <w:r w:rsidRPr="002F1185">
        <w:rPr>
          <w:rFonts w:ascii="Century" w:hAnsi="Century" w:cs="Miriam" w:hint="cs"/>
          <w:b/>
          <w:spacing w:val="0"/>
          <w:sz w:val="22"/>
          <w:szCs w:val="24"/>
          <w:rtl/>
        </w:rPr>
        <w:t>שנית</w:t>
      </w:r>
      <w:r w:rsidRPr="002F1185">
        <w:rPr>
          <w:rFonts w:hint="cs"/>
          <w:rtl/>
        </w:rPr>
        <w:t xml:space="preserve">, יש לדחות את הערעור משום שהוא מושתת על טענה </w:t>
      </w:r>
      <w:r w:rsidR="00F0378E">
        <w:rPr>
          <w:rFonts w:hint="cs"/>
          <w:rtl/>
        </w:rPr>
        <w:t>"</w:t>
      </w:r>
      <w:r w:rsidRPr="002F1185">
        <w:rPr>
          <w:rFonts w:hint="cs"/>
          <w:rtl/>
        </w:rPr>
        <w:t>תמוהה ומוזרה</w:t>
      </w:r>
      <w:r w:rsidR="00F0378E">
        <w:rPr>
          <w:rFonts w:hint="cs"/>
          <w:rtl/>
        </w:rPr>
        <w:t>"</w:t>
      </w:r>
      <w:r w:rsidRPr="002F1185">
        <w:rPr>
          <w:rFonts w:hint="cs"/>
          <w:rtl/>
        </w:rPr>
        <w:t xml:space="preserve"> לפיה בית המשפט קמא לא דן ביריעת המחלוקת "הנכונה". לטענת אף.סי תובלה בינלאומית יש לדחות טענה זו של פקיד השומה, הן משום שפקיד השומה עצמו הוא שהגדיר והציג את יריעת המחלוקת באותו האופן שזו הוצגה והוגדרה על ידי בית המשפט קמא, הן משום שתכליתה של טענה זו היא לטשטש את העדר היכולת של פקיד השומה לסתור את הממצאים העובדתיים שקבע בית המשפט קמא, הן משום שהיא מבקשת לרוקן מתוכן את הבירור העובדתי שהתנהל בבית המשפט קמא, והן, וזה העיקר, מן הטעם שבית המשפט קמא והצדדים דנו בשאלה הראויה והנכונה, לגישת אף.סי תובלה בינלאומית. עוד מבקשת אף.סי תובלה בינלאומית לדחות את טענותיו של פקיד השומה לעניין מהות המוניטין מן הטעם שמדובר בהרחבת חזית אסורה. </w:t>
      </w:r>
    </w:p>
    <w:p w:rsidR="009519E3" w:rsidRPr="002F1185" w:rsidRDefault="009519E3" w:rsidP="009519E3">
      <w:pPr>
        <w:pStyle w:val="Ruller41"/>
        <w:rPr>
          <w:rtl/>
        </w:rPr>
      </w:pPr>
    </w:p>
    <w:p w:rsidR="009519E3" w:rsidRPr="002F1185" w:rsidRDefault="009519E3" w:rsidP="009519E3">
      <w:pPr>
        <w:pStyle w:val="Ruller4"/>
        <w:numPr>
          <w:ilvl w:val="0"/>
          <w:numId w:val="0"/>
        </w:numPr>
        <w:rPr>
          <w:rtl/>
        </w:rPr>
      </w:pPr>
      <w:r w:rsidRPr="002F1185">
        <w:rPr>
          <w:rFonts w:ascii="Century" w:hAnsi="Century" w:cs="Miriam"/>
          <w:b/>
          <w:spacing w:val="0"/>
          <w:sz w:val="22"/>
          <w:szCs w:val="24"/>
          <w:rtl/>
        </w:rPr>
        <w:tab/>
      </w:r>
      <w:r w:rsidRPr="002F1185">
        <w:rPr>
          <w:rFonts w:ascii="Century" w:hAnsi="Century" w:cs="Miriam" w:hint="cs"/>
          <w:b/>
          <w:spacing w:val="0"/>
          <w:sz w:val="22"/>
          <w:szCs w:val="24"/>
          <w:rtl/>
        </w:rPr>
        <w:t>שלישית</w:t>
      </w:r>
      <w:r w:rsidRPr="002F1185">
        <w:rPr>
          <w:rFonts w:hint="cs"/>
          <w:rtl/>
        </w:rPr>
        <w:t xml:space="preserve">, טוענת אף.סי תובלה בינלאומית כי פקיד השומה מתעלם מפרשת </w:t>
      </w:r>
      <w:r w:rsidRPr="002F1185">
        <w:rPr>
          <w:rFonts w:ascii="Century" w:hAnsi="Century" w:cs="Miriam" w:hint="cs"/>
          <w:b/>
          <w:spacing w:val="0"/>
          <w:sz w:val="22"/>
          <w:szCs w:val="24"/>
          <w:rtl/>
        </w:rPr>
        <w:t>תדיראן</w:t>
      </w:r>
      <w:r w:rsidRPr="002F1185">
        <w:rPr>
          <w:rFonts w:hint="cs"/>
          <w:rtl/>
        </w:rPr>
        <w:t xml:space="preserve">, שנסיבותיה דומות למקרה דנן, ואשר גם היא תומכת בדחיית הערעור שהגיש פקיד השומה. זאת הואיל והמקרה דנן "מובהק" יותר לטענת אף.סי תובלה בינלאומית מהמקרה שנדון בפרשת </w:t>
      </w:r>
      <w:r w:rsidRPr="002F1185">
        <w:rPr>
          <w:rFonts w:ascii="Century" w:hAnsi="Century" w:cs="Miriam" w:hint="cs"/>
          <w:b/>
          <w:spacing w:val="0"/>
          <w:sz w:val="22"/>
          <w:szCs w:val="24"/>
          <w:rtl/>
        </w:rPr>
        <w:t>תדיראן</w:t>
      </w:r>
      <w:r w:rsidRPr="002F1185">
        <w:rPr>
          <w:rFonts w:hint="cs"/>
          <w:rtl/>
        </w:rPr>
        <w:t xml:space="preserve">, במובן הזה שבענייננו קיימות ראיות נוספות ומשמעותיות המעידות על מכר מוניטין בנפרד מהעסק, כמו גם היקף הראיות הנרחב, ובכלל זאת העדים והמומחים מטעם הנישומים, ומהימנותן הרבה מוכיחים מעל לכל ספק כי </w:t>
      </w:r>
      <w:r w:rsidR="006C3CFE">
        <w:rPr>
          <w:rFonts w:hint="cs"/>
          <w:rtl/>
        </w:rPr>
        <w:t xml:space="preserve">חברת </w:t>
      </w:r>
      <w:r w:rsidRPr="002F1185">
        <w:rPr>
          <w:rFonts w:hint="cs"/>
          <w:rtl/>
        </w:rPr>
        <w:t xml:space="preserve">פליינג קרגו החזיקה במוניטין עד לשנת 2007 והעבירה אותו במסגרת הסכם המכר. לעומת זאת, טיעוניו של פקיד השומה נעדרים בסיס ראייתי, ואף עדויותיהם של העדים מטעמו זכו לביקורת נוקבת מצד בית המשפט קמא בשל עדותם </w:t>
      </w:r>
      <w:r w:rsidRPr="002F1185">
        <w:rPr>
          <w:rFonts w:ascii="Century" w:hAnsi="Century" w:cs="Miriam" w:hint="cs"/>
          <w:b/>
          <w:spacing w:val="0"/>
          <w:sz w:val="22"/>
          <w:szCs w:val="24"/>
          <w:rtl/>
        </w:rPr>
        <w:t>"המתחמקת, המתפתלת והבלתי מהימנה"</w:t>
      </w:r>
      <w:r w:rsidRPr="002F1185">
        <w:rPr>
          <w:rFonts w:hint="cs"/>
          <w:rtl/>
        </w:rPr>
        <w:t xml:space="preserve">, כלשון אף.סי תובלה בינלאומית. </w:t>
      </w:r>
    </w:p>
    <w:p w:rsidR="009519E3" w:rsidRPr="002F1185" w:rsidRDefault="009519E3" w:rsidP="009519E3">
      <w:pPr>
        <w:pStyle w:val="Ruller41"/>
        <w:rPr>
          <w:rtl/>
        </w:rPr>
      </w:pPr>
    </w:p>
    <w:p w:rsidR="009519E3" w:rsidRPr="002F1185" w:rsidRDefault="009519E3" w:rsidP="000E0EC0">
      <w:pPr>
        <w:pStyle w:val="Ruller41"/>
        <w:rPr>
          <w:rtl/>
        </w:rPr>
      </w:pPr>
      <w:r w:rsidRPr="002F1185">
        <w:rPr>
          <w:rtl/>
        </w:rPr>
        <w:tab/>
      </w:r>
      <w:r w:rsidRPr="002F1185">
        <w:rPr>
          <w:rFonts w:ascii="Century" w:hAnsi="Century" w:cs="Miriam" w:hint="cs"/>
          <w:b/>
          <w:spacing w:val="0"/>
          <w:szCs w:val="24"/>
          <w:rtl/>
        </w:rPr>
        <w:t>לבסוף</w:t>
      </w:r>
      <w:r w:rsidRPr="002F1185">
        <w:rPr>
          <w:rFonts w:hint="cs"/>
          <w:rtl/>
        </w:rPr>
        <w:t xml:space="preserve">, טוענת אף.סי תובלה בינלאומית כי צדק בית המשפט קמא כאשר קבע כי נטל ההוכחה יעבור לפקיד השומה לנוכח טענות מסוג עסקה בדויה או מלאכותית. פקיד השומה לא עמד בנטל זה, ואף לא יכול היה לעמוד בו לנוכח היקף הראיות הרחב מטעם </w:t>
      </w:r>
      <w:r w:rsidRPr="002F1185">
        <w:rPr>
          <w:rFonts w:hint="cs"/>
          <w:rtl/>
        </w:rPr>
        <w:lastRenderedPageBreak/>
        <w:t xml:space="preserve">הנישומים ומהימנותן, ולנוכח העובדה שמדובר בעסקה בעלת טעם מסחרי יסודי. זאת ועוד, לטענת אף.סי תובלה בינלאומית פקיד השומה מעלה טענות סותרות: לא ניתן לטעון כי המוניטין לא הוחזק בידי </w:t>
      </w:r>
      <w:r w:rsidR="006C3CFE">
        <w:rPr>
          <w:rFonts w:hint="cs"/>
          <w:rtl/>
        </w:rPr>
        <w:t xml:space="preserve">חברת </w:t>
      </w:r>
      <w:r w:rsidRPr="002F1185">
        <w:rPr>
          <w:rFonts w:hint="cs"/>
          <w:rtl/>
        </w:rPr>
        <w:t xml:space="preserve">פליינג קרגו בשנת 2007 ולכן גם לא נמכר על ידה לדויטשה פוסט מחד גיסא (טענה שמשמעותה שהעסקה מלאכותית), וכי </w:t>
      </w:r>
      <w:r w:rsidR="006C3CFE">
        <w:rPr>
          <w:rFonts w:hint="cs"/>
          <w:rtl/>
        </w:rPr>
        <w:t xml:space="preserve">חברת </w:t>
      </w:r>
      <w:r w:rsidRPr="002F1185">
        <w:rPr>
          <w:rFonts w:hint="cs"/>
          <w:rtl/>
        </w:rPr>
        <w:t xml:space="preserve">פליינג קרגו מכרה שני נכסים המהווים נכס אחד מאידך גיסא (טענה שמשמעותה שינוי סיווג העסקה). </w:t>
      </w:r>
    </w:p>
    <w:p w:rsidR="009519E3" w:rsidRPr="002F1185" w:rsidRDefault="009519E3" w:rsidP="009519E3">
      <w:pPr>
        <w:pStyle w:val="Ruller41"/>
        <w:rPr>
          <w:rFonts w:ascii="Century" w:hAnsi="Century" w:cs="Miriam"/>
          <w:b/>
          <w:spacing w:val="0"/>
          <w:szCs w:val="24"/>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 xml:space="preserve">טענות </w:t>
      </w:r>
      <w:r w:rsidR="006C3CFE">
        <w:rPr>
          <w:rFonts w:ascii="Century" w:hAnsi="Century" w:cs="Miriam" w:hint="cs"/>
          <w:b/>
          <w:spacing w:val="0"/>
          <w:szCs w:val="24"/>
          <w:rtl/>
        </w:rPr>
        <w:t xml:space="preserve">חברת </w:t>
      </w:r>
      <w:r w:rsidRPr="002F1185">
        <w:rPr>
          <w:rFonts w:ascii="Century" w:hAnsi="Century" w:cs="Miriam" w:hint="cs"/>
          <w:b/>
          <w:spacing w:val="0"/>
          <w:szCs w:val="24"/>
          <w:rtl/>
        </w:rPr>
        <w:t>פליינג קרגו ומר רייק</w:t>
      </w:r>
    </w:p>
    <w:p w:rsidR="009519E3" w:rsidRPr="002F1185" w:rsidRDefault="009519E3" w:rsidP="009519E3">
      <w:pPr>
        <w:pStyle w:val="Ruller41"/>
        <w:rPr>
          <w:rFonts w:ascii="Century" w:hAnsi="Century" w:cs="Miriam"/>
          <w:b/>
          <w:spacing w:val="0"/>
          <w:szCs w:val="24"/>
          <w:rtl/>
        </w:rPr>
      </w:pPr>
    </w:p>
    <w:p w:rsidR="009519E3" w:rsidRPr="002F1185" w:rsidRDefault="006C3CFE" w:rsidP="009519E3">
      <w:pPr>
        <w:pStyle w:val="Ruller4"/>
        <w:rPr>
          <w:rtl/>
        </w:rPr>
      </w:pPr>
      <w:r>
        <w:rPr>
          <w:rFonts w:hint="cs"/>
          <w:rtl/>
        </w:rPr>
        <w:t xml:space="preserve">חברת </w:t>
      </w:r>
      <w:r w:rsidR="009519E3" w:rsidRPr="002F1185">
        <w:rPr>
          <w:rFonts w:hint="cs"/>
          <w:rtl/>
        </w:rPr>
        <w:t>פליינג קרגו ומר רייק סבורים כי יש לדחות את ערעורו של פקיד השומה וטענותיו, וזאת הם מבססים על הטענות הבאות:</w:t>
      </w:r>
      <w:r w:rsidR="009519E3" w:rsidRPr="002F1185">
        <w:rPr>
          <w:rFonts w:ascii="Century" w:hAnsi="Century" w:cs="Miriam" w:hint="cs"/>
          <w:b/>
          <w:spacing w:val="0"/>
          <w:sz w:val="22"/>
          <w:szCs w:val="24"/>
          <w:rtl/>
        </w:rPr>
        <w:t xml:space="preserve"> ראשית</w:t>
      </w:r>
      <w:r w:rsidR="009519E3" w:rsidRPr="002F1185">
        <w:rPr>
          <w:rFonts w:hint="cs"/>
          <w:rtl/>
        </w:rPr>
        <w:t xml:space="preserve">, בניגוד לטענותיו של פקיד השומה, המחלוקת המרכזית האמיתית בערעורים היא "איפה המוניטין", ולא "איפה העסק?". נטען כי דיוני השומה וההשגה, הצווים שהוציא פקיד השומה, נימוקי השומה, כתבי הטענות, חוות דעת המומחים, העדים, הראיות וסיכומי הצדדים התמקדו כולם בשאלות של זיהוי המוניטין, שיוכו, מיקומו לאורך השנים, קיומו בחברת אחזקות ומועד העברתו. </w:t>
      </w:r>
    </w:p>
    <w:p w:rsidR="009519E3" w:rsidRPr="002F1185" w:rsidRDefault="009519E3" w:rsidP="009519E3">
      <w:pPr>
        <w:pStyle w:val="Ruller41"/>
      </w:pPr>
    </w:p>
    <w:p w:rsidR="009519E3" w:rsidRPr="002F1185" w:rsidRDefault="009519E3" w:rsidP="009519E3">
      <w:pPr>
        <w:pStyle w:val="Ruller4"/>
        <w:rPr>
          <w:rtl/>
        </w:rPr>
      </w:pPr>
      <w:r w:rsidRPr="002F1185">
        <w:rPr>
          <w:rFonts w:ascii="Century" w:hAnsi="Century" w:cs="Miriam" w:hint="cs"/>
          <w:b/>
          <w:spacing w:val="0"/>
          <w:sz w:val="22"/>
          <w:szCs w:val="24"/>
          <w:rtl/>
        </w:rPr>
        <w:t>שנית</w:t>
      </w:r>
      <w:r w:rsidRPr="002F1185">
        <w:rPr>
          <w:rFonts w:hint="cs"/>
          <w:rtl/>
        </w:rPr>
        <w:t>, נטען כי הכרעת בית המשפט קמא אינה נסמכת על היפוך נטל ההוכחה אלא על ממצאים עובדתיים. קרי, הגם שההחלטה להפוך את הנטל היא מוצדקת לגופה, לא הייתה לה משמעות אופרטיבית. בין אם הטענה היא לעסקה מלאכותית, כפי שקבע בית המשפט קמא, ובין אם הטענה היא לטענת סיווג מהותה האמיתית של העסקה, כפי שטוען פקיד השומה, התוצאה ה</w:t>
      </w:r>
      <w:r w:rsidR="00F45363">
        <w:rPr>
          <w:rFonts w:hint="cs"/>
          <w:rtl/>
        </w:rPr>
        <w:t>י</w:t>
      </w:r>
      <w:r w:rsidRPr="002F1185">
        <w:rPr>
          <w:rFonts w:hint="cs"/>
          <w:rtl/>
        </w:rPr>
        <w:t xml:space="preserve">נה אותה תוצאה: נמכרו שני נכסים שהאחד הוא מניות והשני הוא מוניטין. </w:t>
      </w:r>
    </w:p>
    <w:p w:rsidR="009519E3" w:rsidRPr="002F1185" w:rsidRDefault="009519E3" w:rsidP="009519E3">
      <w:pPr>
        <w:pStyle w:val="Ruller41"/>
      </w:pPr>
    </w:p>
    <w:p w:rsidR="009519E3" w:rsidRPr="002F1185" w:rsidRDefault="009519E3" w:rsidP="00E067F0">
      <w:pPr>
        <w:pStyle w:val="Ruller4"/>
        <w:rPr>
          <w:rtl/>
        </w:rPr>
      </w:pPr>
      <w:r w:rsidRPr="002F1185">
        <w:rPr>
          <w:rFonts w:ascii="Century" w:hAnsi="Century" w:cs="Miriam" w:hint="cs"/>
          <w:b/>
          <w:spacing w:val="0"/>
          <w:sz w:val="22"/>
          <w:szCs w:val="24"/>
          <w:rtl/>
        </w:rPr>
        <w:t>שלישית</w:t>
      </w:r>
      <w:r w:rsidRPr="002F1185">
        <w:rPr>
          <w:rFonts w:hint="cs"/>
          <w:rtl/>
        </w:rPr>
        <w:t>, נטען כי המוניטין הקשור בעסק השילוח הבינלאומי נצמח ונותר ב</w:t>
      </w:r>
      <w:r w:rsidR="006C3CFE">
        <w:rPr>
          <w:rFonts w:hint="cs"/>
          <w:rtl/>
        </w:rPr>
        <w:t xml:space="preserve">חברת </w:t>
      </w:r>
      <w:r w:rsidRPr="002F1185">
        <w:rPr>
          <w:rFonts w:hint="cs"/>
          <w:rtl/>
        </w:rPr>
        <w:t xml:space="preserve">פליינג קרגו, גם אם במנותק מה"עסק". בית המשפט קמא קבע כעניין שבעובדה כי המוניטין הוחזק בידי </w:t>
      </w:r>
      <w:r w:rsidR="006C3CFE">
        <w:rPr>
          <w:rFonts w:hint="cs"/>
          <w:rtl/>
        </w:rPr>
        <w:t xml:space="preserve">חברת </w:t>
      </w:r>
      <w:r w:rsidRPr="002F1185">
        <w:rPr>
          <w:rFonts w:hint="cs"/>
          <w:rtl/>
        </w:rPr>
        <w:t xml:space="preserve">פליינג קרגו גם לאחר שינוי המבנה בשנת 2001 ועד למכירתו בשנת 2007. כן נטען כי עובדה זו </w:t>
      </w:r>
      <w:r w:rsidRPr="002F1185">
        <w:rPr>
          <w:rtl/>
        </w:rPr>
        <w:t>–</w:t>
      </w:r>
      <w:r w:rsidRPr="002F1185">
        <w:rPr>
          <w:rFonts w:hint="cs"/>
          <w:rtl/>
        </w:rPr>
        <w:t xml:space="preserve"> לפיה המוניטין לא הועבר בשנת 2001 ועד למכירתו </w:t>
      </w:r>
      <w:r w:rsidRPr="002F1185">
        <w:rPr>
          <w:rtl/>
        </w:rPr>
        <w:t>–</w:t>
      </w:r>
      <w:r w:rsidRPr="002F1185">
        <w:rPr>
          <w:rFonts w:hint="cs"/>
          <w:rtl/>
        </w:rPr>
        <w:t xml:space="preserve"> מבוססת גם על קביעות משפטיות, הן לפי הפן ההסכמי ולפי אומד דעת הצדדים, הן לפי הפן הקנייני, הן לפי הפן התאגידי והן לפי הפן המיסוי</w:t>
      </w:r>
      <w:r w:rsidR="00E067F0">
        <w:rPr>
          <w:rFonts w:hint="cs"/>
          <w:rtl/>
        </w:rPr>
        <w:t>י</w:t>
      </w:r>
      <w:r w:rsidRPr="002F1185">
        <w:rPr>
          <w:rFonts w:hint="cs"/>
          <w:rtl/>
        </w:rPr>
        <w:t xml:space="preserve"> (לפי דיני סעיף 104 לפקודה והטפסים הפורמאליים הכרוכים בו, ולפי דיני המס הכלליים). כמו כן, גם בחינת הסממנים להעברת המוניטין, כפי שהתעצבו בפסיקה, על נסיבות המקרה</w:t>
      </w:r>
      <w:r w:rsidR="00E067F0">
        <w:rPr>
          <w:rFonts w:hint="cs"/>
          <w:rtl/>
        </w:rPr>
        <w:t>,</w:t>
      </w:r>
      <w:r w:rsidRPr="002F1185">
        <w:rPr>
          <w:rFonts w:hint="cs"/>
          <w:rtl/>
        </w:rPr>
        <w:t xml:space="preserve"> מלמדת כי המוניטין לא הועבר בשנת 2001. עוד נטען כי מסקנה זו מתחייבת גם מההיגיון הפשוט והבריא, שכן אין כל היגיון עסקי-כלכלי או מיסויי להעביר את המוניטין עם שינוי </w:t>
      </w:r>
      <w:r w:rsidRPr="002F1185">
        <w:rPr>
          <w:rFonts w:hint="cs"/>
          <w:rtl/>
        </w:rPr>
        <w:lastRenderedPageBreak/>
        <w:t xml:space="preserve">המבנה. הדבר עולה בקנה אחד גם עם תורת החשבונאות שכן הדו"חות הכספיים והדו"חות שהוגשו לפקיד השומה מדי שנה מלמדים כי המוניטין לא הועבר בשנת 2001. עוד נטען כי הן פרשת </w:t>
      </w:r>
      <w:r w:rsidRPr="002F1185">
        <w:rPr>
          <w:rFonts w:ascii="Century" w:hAnsi="Century" w:cs="Miriam" w:hint="cs"/>
          <w:b/>
          <w:spacing w:val="0"/>
          <w:sz w:val="22"/>
          <w:szCs w:val="24"/>
          <w:rtl/>
        </w:rPr>
        <w:t>תדיראן</w:t>
      </w:r>
      <w:r w:rsidRPr="002F1185">
        <w:rPr>
          <w:rFonts w:hint="cs"/>
          <w:rtl/>
        </w:rPr>
        <w:t xml:space="preserve">, הן הפסיקה עוד טרם פרשת </w:t>
      </w:r>
      <w:r w:rsidRPr="002F1185">
        <w:rPr>
          <w:rFonts w:ascii="Century" w:hAnsi="Century" w:cs="Miriam" w:hint="cs"/>
          <w:b/>
          <w:spacing w:val="0"/>
          <w:sz w:val="22"/>
          <w:szCs w:val="24"/>
          <w:rtl/>
        </w:rPr>
        <w:t>תדיראן</w:t>
      </w:r>
      <w:r w:rsidRPr="002F1185">
        <w:rPr>
          <w:rFonts w:hint="cs"/>
          <w:rtl/>
        </w:rPr>
        <w:t>, הן הספרות והמשפט המשווה והן המומחים תומכים בעמדה כי יתכן מצב בו המוניטין מוחזק ב</w:t>
      </w:r>
      <w:r w:rsidR="006C3CFE">
        <w:rPr>
          <w:rFonts w:hint="cs"/>
          <w:rtl/>
        </w:rPr>
        <w:t xml:space="preserve">חברת </w:t>
      </w:r>
      <w:r w:rsidRPr="002F1185">
        <w:rPr>
          <w:rFonts w:hint="cs"/>
          <w:rtl/>
        </w:rPr>
        <w:t>פליינג קרגו, שהפכה לחברת אחזקות נטולת פעילות יצרנית, אף שהעסק הועבר לחברת הבת. היינו, בניגוד לטענת פקיד השומה, ניתן להפריד את המוניטין משאר הפעילות או העסק.</w:t>
      </w:r>
    </w:p>
    <w:p w:rsidR="009519E3" w:rsidRPr="002F1185" w:rsidRDefault="009519E3" w:rsidP="009519E3">
      <w:pPr>
        <w:pStyle w:val="Ruller41"/>
      </w:pPr>
    </w:p>
    <w:p w:rsidR="009519E3" w:rsidRPr="002F1185" w:rsidRDefault="009519E3" w:rsidP="009519E3">
      <w:pPr>
        <w:pStyle w:val="Ruller4"/>
        <w:rPr>
          <w:rtl/>
        </w:rPr>
      </w:pPr>
      <w:r w:rsidRPr="002F1185">
        <w:rPr>
          <w:rFonts w:hint="cs"/>
          <w:rtl/>
        </w:rPr>
        <w:t xml:space="preserve"> </w:t>
      </w:r>
      <w:r w:rsidRPr="002F1185">
        <w:rPr>
          <w:rFonts w:ascii="Century" w:hAnsi="Century" w:cs="Miriam" w:hint="cs"/>
          <w:b/>
          <w:spacing w:val="0"/>
          <w:sz w:val="22"/>
          <w:szCs w:val="24"/>
          <w:rtl/>
        </w:rPr>
        <w:t>לבסוף</w:t>
      </w:r>
      <w:r w:rsidRPr="002F1185">
        <w:rPr>
          <w:rFonts w:hint="cs"/>
          <w:rtl/>
        </w:rPr>
        <w:t xml:space="preserve">, </w:t>
      </w:r>
      <w:r w:rsidR="006C3CFE">
        <w:rPr>
          <w:rFonts w:hint="cs"/>
          <w:rtl/>
        </w:rPr>
        <w:t xml:space="preserve">חברת </w:t>
      </w:r>
      <w:r w:rsidRPr="002F1185">
        <w:rPr>
          <w:rFonts w:hint="eastAsia"/>
          <w:rtl/>
        </w:rPr>
        <w:t>פליינג</w:t>
      </w:r>
      <w:r w:rsidRPr="002F1185">
        <w:rPr>
          <w:rtl/>
        </w:rPr>
        <w:t xml:space="preserve"> </w:t>
      </w:r>
      <w:r w:rsidRPr="002F1185">
        <w:rPr>
          <w:rFonts w:hint="eastAsia"/>
          <w:rtl/>
        </w:rPr>
        <w:t>קרגו</w:t>
      </w:r>
      <w:r w:rsidRPr="002F1185">
        <w:rPr>
          <w:rtl/>
        </w:rPr>
        <w:t xml:space="preserve"> </w:t>
      </w:r>
      <w:r w:rsidRPr="002F1185">
        <w:rPr>
          <w:rFonts w:hint="eastAsia"/>
          <w:rtl/>
        </w:rPr>
        <w:t>ומר</w:t>
      </w:r>
      <w:r w:rsidRPr="002F1185">
        <w:rPr>
          <w:rtl/>
        </w:rPr>
        <w:t xml:space="preserve"> </w:t>
      </w:r>
      <w:r w:rsidRPr="002F1185">
        <w:rPr>
          <w:rFonts w:hint="eastAsia"/>
          <w:rtl/>
        </w:rPr>
        <w:t>רייק</w:t>
      </w:r>
      <w:r w:rsidRPr="002F1185">
        <w:rPr>
          <w:rFonts w:hint="cs"/>
          <w:rtl/>
        </w:rPr>
        <w:t xml:space="preserve"> דוחים את טענות פקיד השומה על טיבו של המוניטין וטיבה של קבוצת פליינג קרגו. לגישתם, הגדרת המוניטין צריכה להיעשות לפי ההגדרה השיווקית, כאשר המומחה השיווקי הוא המומחה לבחינת זיהויו ושיוכו של המוניטין. לפיכך, המוניטין אינו בהכרח חייב לדבוק ב"עסק". כמו כן, נטען כי אין ממש בטענות פקיד השומה לעניין טיבה של קבוצת פליינג קרגו, הואיל ובית המשפט קמא היה מודע היטב למבנה הקבוצה, וחרף זאת קבע את אשר קבע. ודוק, טוענים </w:t>
      </w:r>
      <w:r w:rsidR="006C3CFE">
        <w:rPr>
          <w:rFonts w:hint="cs"/>
          <w:rtl/>
        </w:rPr>
        <w:t xml:space="preserve">חברת </w:t>
      </w:r>
      <w:r w:rsidRPr="002F1185">
        <w:rPr>
          <w:rFonts w:hint="cs"/>
          <w:rtl/>
        </w:rPr>
        <w:t>פליינג קרגו ומר רייק כי לעיתים ירוכז המוניטין ב"חברת קודקוד" שאיננה בהכרח החברה שעומדת בראש הפירמידה התאגידית, אלא חברה המהווה "מגדלור שיווקי" לחברות נוספות הקשורות לה, ופליינג קרגו היא דוגמא למצב כזה.</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 xml:space="preserve">להשלמת התמונה יצוין כי </w:t>
      </w:r>
      <w:r w:rsidR="006C3CFE">
        <w:rPr>
          <w:rFonts w:hint="cs"/>
          <w:rtl/>
        </w:rPr>
        <w:t xml:space="preserve">חברת </w:t>
      </w:r>
      <w:r w:rsidRPr="002F1185">
        <w:rPr>
          <w:rFonts w:hint="cs"/>
          <w:rtl/>
        </w:rPr>
        <w:t xml:space="preserve">פליינג קרגו ומר רייק העלו סוגיות נוספות שלא נדונו בפסק הדין, ואינן נדרשות להכרעה לפנינו כפי שיפורט להלן, ועל כן איננו רואים צורך להידרש אליהן. </w:t>
      </w:r>
    </w:p>
    <w:p w:rsidR="009519E3" w:rsidRPr="002F1185" w:rsidRDefault="009519E3" w:rsidP="009519E3">
      <w:pPr>
        <w:pStyle w:val="Ruller41"/>
        <w:rPr>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דיון והכרעה</w:t>
      </w:r>
    </w:p>
    <w:p w:rsidR="009519E3" w:rsidRPr="002F1185" w:rsidRDefault="009519E3" w:rsidP="009519E3">
      <w:pPr>
        <w:pStyle w:val="Ruller41"/>
        <w:rPr>
          <w:rFonts w:ascii="Century" w:hAnsi="Century" w:cs="Miriam"/>
          <w:b/>
          <w:spacing w:val="0"/>
          <w:szCs w:val="24"/>
          <w:rtl/>
        </w:rPr>
      </w:pPr>
    </w:p>
    <w:p w:rsidR="009519E3" w:rsidRDefault="009519E3" w:rsidP="00CA32C4">
      <w:pPr>
        <w:pStyle w:val="Ruller4"/>
        <w:rPr>
          <w:rtl/>
        </w:rPr>
      </w:pPr>
      <w:r w:rsidRPr="002F1185">
        <w:rPr>
          <w:rFonts w:hint="cs"/>
          <w:rtl/>
        </w:rPr>
        <w:t>הדיון להלן יתחלק לשניים: בחלק הראשון נדון בערעור שהגיש פקיד השומה שעניינו במיסוי הסכם המכר שנכרת בין הצדדים בשנת 2007 (ע"א 3136/17); בחלק השני נדון בערעור שהגישה אף.סי תובלה בינלאומית שעניינו בניכוי פחת בגי</w:t>
      </w:r>
      <w:r w:rsidR="00CA32C4">
        <w:rPr>
          <w:rFonts w:hint="cs"/>
          <w:rtl/>
        </w:rPr>
        <w:t>ן רכישת המוניטין (ע"א 3146/17).</w:t>
      </w:r>
    </w:p>
    <w:p w:rsidR="009519E3" w:rsidRPr="002F1185" w:rsidRDefault="009519E3" w:rsidP="009519E3">
      <w:pPr>
        <w:pStyle w:val="Ruller41"/>
        <w:rPr>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 xml:space="preserve">ע"א 3136/17 </w:t>
      </w:r>
      <w:r w:rsidRPr="002F1185">
        <w:rPr>
          <w:rFonts w:ascii="Century" w:hAnsi="Century" w:cs="Miriam"/>
          <w:b/>
          <w:spacing w:val="0"/>
          <w:szCs w:val="24"/>
          <w:rtl/>
        </w:rPr>
        <w:t>–</w:t>
      </w:r>
      <w:r w:rsidRPr="002F1185">
        <w:rPr>
          <w:rFonts w:ascii="Century" w:hAnsi="Century" w:cs="Miriam" w:hint="cs"/>
          <w:b/>
          <w:spacing w:val="0"/>
          <w:szCs w:val="24"/>
          <w:rtl/>
        </w:rPr>
        <w:t xml:space="preserve"> מיסוי הסכם המכר</w:t>
      </w:r>
    </w:p>
    <w:p w:rsidR="009519E3" w:rsidRPr="002F1185" w:rsidRDefault="009519E3" w:rsidP="009519E3">
      <w:pPr>
        <w:pStyle w:val="Ruller41"/>
        <w:rPr>
          <w:rFonts w:ascii="Century" w:hAnsi="Century" w:cs="Miriam"/>
          <w:b/>
          <w:spacing w:val="0"/>
          <w:szCs w:val="24"/>
          <w:rtl/>
        </w:rPr>
      </w:pPr>
    </w:p>
    <w:p w:rsidR="009519E3" w:rsidRPr="002F1185" w:rsidRDefault="009519E3" w:rsidP="009519E3">
      <w:pPr>
        <w:pStyle w:val="Ruller4"/>
      </w:pPr>
      <w:r w:rsidRPr="002F1185">
        <w:rPr>
          <w:rFonts w:hint="cs"/>
          <w:rtl/>
        </w:rPr>
        <w:t>הסכם המכר, כפי שהוצג על ידי הצדדים לו, מורכב משני שלבים: בשלב הראשון רוכשת דויטשה פוסט מ</w:t>
      </w:r>
      <w:r w:rsidR="006C3CFE">
        <w:rPr>
          <w:rFonts w:hint="cs"/>
          <w:rtl/>
        </w:rPr>
        <w:t xml:space="preserve">חברת </w:t>
      </w:r>
      <w:r w:rsidRPr="002F1185">
        <w:rPr>
          <w:rFonts w:hint="cs"/>
          <w:rtl/>
        </w:rPr>
        <w:t>פליינג קרגו את מניות אף.סי תובלה בינלאומית (חברת הבת); בשלב השני רוכשת אף.סי תובלה בינלאומית את המוניטין של קבוצת פליינג קרגו מ</w:t>
      </w:r>
      <w:r w:rsidR="006C3CFE">
        <w:rPr>
          <w:rFonts w:hint="cs"/>
          <w:rtl/>
        </w:rPr>
        <w:t xml:space="preserve">חברת </w:t>
      </w:r>
      <w:r w:rsidRPr="002F1185">
        <w:rPr>
          <w:rFonts w:hint="cs"/>
          <w:rtl/>
        </w:rPr>
        <w:t xml:space="preserve">פליינג קרגו (חברת האם). בית המשפט קמא קבע כי מבנה עסקה זה אינו </w:t>
      </w:r>
      <w:r w:rsidRPr="002F1185">
        <w:rPr>
          <w:rFonts w:hint="cs"/>
          <w:rtl/>
        </w:rPr>
        <w:lastRenderedPageBreak/>
        <w:t xml:space="preserve">מלאכותי, אלא הוא תואם את מצב הדברים שהתקיים עובר למכירה, לפיו פעילות השילוח הבינלאומי הייתה בידי אף.סי תובלה בינלאומית (חברת הבת), ואולם המוניטין של קבוצת פליינג קרגו היה מצוי בידי </w:t>
      </w:r>
      <w:r w:rsidR="006C3CFE">
        <w:rPr>
          <w:rFonts w:hint="cs"/>
          <w:rtl/>
        </w:rPr>
        <w:t xml:space="preserve">חברת </w:t>
      </w:r>
      <w:r w:rsidRPr="002F1185">
        <w:rPr>
          <w:rFonts w:hint="cs"/>
          <w:rtl/>
        </w:rPr>
        <w:t xml:space="preserve">פליינג קרגו (חברת האם). בהכרעה זו, לה הקדיש בית המשפט קמא את עיקר פסק דינו, אינני סבור שיש מקום להתערב. השאלה אם לקבוצת פליינג קרגו כמכלול יש מוניטין, והאם מוניטין זה מוחזק בחברת האם, הן שאלות עובדתיות, ולא ראיתי בטיעוני פקיד השומה הצדקה כי נשנה מקביעות עובדתיות אלה. נמצא אפוא כי, כעניין עובדתי, מצויים אנו בסיטואציה דומה לזו שנדונה בפרשת </w:t>
      </w:r>
      <w:r w:rsidRPr="002F1185">
        <w:rPr>
          <w:rFonts w:ascii="Century" w:hAnsi="Century" w:cs="Miriam" w:hint="cs"/>
          <w:b/>
          <w:spacing w:val="0"/>
          <w:sz w:val="22"/>
          <w:szCs w:val="24"/>
          <w:rtl/>
        </w:rPr>
        <w:t>תדיראן</w:t>
      </w:r>
      <w:r w:rsidRPr="002F1185">
        <w:rPr>
          <w:rFonts w:hint="cs"/>
          <w:rtl/>
        </w:rPr>
        <w:t>, לאמור</w:t>
      </w:r>
      <w:r w:rsidRPr="002F1185">
        <w:rPr>
          <w:rFonts w:ascii="Century" w:hAnsi="Century" w:cs="Miriam" w:hint="cs"/>
          <w:b/>
          <w:spacing w:val="0"/>
          <w:sz w:val="22"/>
          <w:szCs w:val="24"/>
          <w:rtl/>
        </w:rPr>
        <w:t xml:space="preserve"> </w:t>
      </w:r>
      <w:r w:rsidRPr="002F1185">
        <w:rPr>
          <w:rFonts w:hint="cs"/>
          <w:rtl/>
        </w:rPr>
        <w:t xml:space="preserve">חברת אם מבצעת עסקה הכוללת הן מכירה של מניות חברת בת והן מכירה של מוניטין </w:t>
      </w:r>
      <w:r w:rsidR="00F45363">
        <w:rPr>
          <w:rFonts w:hint="cs"/>
          <w:rtl/>
        </w:rPr>
        <w:t xml:space="preserve">הקבוצה </w:t>
      </w:r>
      <w:r w:rsidRPr="002F1185">
        <w:rPr>
          <w:rFonts w:hint="cs"/>
          <w:rtl/>
        </w:rPr>
        <w:t xml:space="preserve">השייך לחברת האם. הלכת </w:t>
      </w:r>
      <w:r w:rsidRPr="002F1185">
        <w:rPr>
          <w:rFonts w:ascii="Century" w:hAnsi="Century" w:cs="Miriam" w:hint="cs"/>
          <w:b/>
          <w:spacing w:val="0"/>
          <w:sz w:val="22"/>
          <w:szCs w:val="24"/>
          <w:rtl/>
        </w:rPr>
        <w:t xml:space="preserve">תדיראן </w:t>
      </w:r>
      <w:r w:rsidRPr="002F1185">
        <w:rPr>
          <w:rFonts w:hint="cs"/>
          <w:rtl/>
        </w:rPr>
        <w:t>מורה כי בנסיבות אלה תיתכן הפרדה בין שתי העסקאות, באופן שמכר המניות ומכר המוניטין ימ</w:t>
      </w:r>
      <w:r w:rsidR="00B53F59">
        <w:rPr>
          <w:rFonts w:hint="cs"/>
          <w:rtl/>
        </w:rPr>
        <w:t>ו</w:t>
      </w:r>
      <w:r w:rsidRPr="002F1185">
        <w:rPr>
          <w:rFonts w:hint="cs"/>
          <w:rtl/>
        </w:rPr>
        <w:t xml:space="preserve">סו בנפרד </w:t>
      </w:r>
      <w:r w:rsidRPr="002F1185">
        <w:rPr>
          <w:rtl/>
        </w:rPr>
        <w:t>–</w:t>
      </w:r>
      <w:r w:rsidRPr="002F1185">
        <w:rPr>
          <w:rFonts w:hint="cs"/>
          <w:rtl/>
        </w:rPr>
        <w:t xml:space="preserve"> כל אחד לפי כללי המיסוי הרלוונטיים לסוג נכסים זה. </w:t>
      </w:r>
    </w:p>
    <w:p w:rsidR="009519E3" w:rsidRPr="002F1185" w:rsidRDefault="009519E3" w:rsidP="009519E3">
      <w:pPr>
        <w:pStyle w:val="Ruller4"/>
        <w:numPr>
          <w:ilvl w:val="0"/>
          <w:numId w:val="0"/>
        </w:numPr>
      </w:pPr>
    </w:p>
    <w:p w:rsidR="009519E3" w:rsidRDefault="009519E3" w:rsidP="009519E3">
      <w:pPr>
        <w:pStyle w:val="Ruller4"/>
        <w:rPr>
          <w:rtl/>
        </w:rPr>
      </w:pPr>
      <w:r w:rsidRPr="002F1185">
        <w:rPr>
          <w:rFonts w:hint="cs"/>
          <w:rtl/>
        </w:rPr>
        <w:t xml:space="preserve"> סוגיה אחרת, בה סבור אני כי יש הצדקה להתערבותנו, היא האם ניתן לקבל את חלוקת התמורה בין שני שלבי העסקה, כפי שסוכמה בין הצדדים (והשוו לפרשת </w:t>
      </w:r>
      <w:r w:rsidRPr="002F1185">
        <w:rPr>
          <w:rFonts w:ascii="Century" w:hAnsi="Century" w:cs="Miriam" w:hint="cs"/>
          <w:b/>
          <w:spacing w:val="0"/>
          <w:sz w:val="22"/>
          <w:szCs w:val="24"/>
          <w:rtl/>
        </w:rPr>
        <w:t>תדיראן</w:t>
      </w:r>
      <w:r w:rsidRPr="002F1185">
        <w:rPr>
          <w:rFonts w:ascii="Century" w:hAnsi="Century" w:hint="cs"/>
          <w:sz w:val="22"/>
          <w:rtl/>
        </w:rPr>
        <w:t>,</w:t>
      </w:r>
      <w:r w:rsidRPr="002F1185">
        <w:rPr>
          <w:rFonts w:hint="cs"/>
          <w:b/>
          <w:bCs/>
          <w:rtl/>
        </w:rPr>
        <w:t xml:space="preserve"> </w:t>
      </w:r>
      <w:r w:rsidRPr="002F1185">
        <w:rPr>
          <w:rFonts w:hint="cs"/>
          <w:rtl/>
        </w:rPr>
        <w:t>פסקאות 19-18). במילים אחרות, האם ניתן לקבל כי מתוך תמורת העסקה הכוללת של 446.787 מיליון ש"ח שולמו כ-2% (8.945 מיליון ש"ח) בעבור מניות אף.סי תובלה בינלאומית וכ-98% (437.787 מיליון ש"ח) בעבור המוניטין של קבוצת פליינג קרגו כפי שקבעו הצדדים. בעניין זה שוכנעתי מטיעוני פקיד השומה כי יש הצדקה להתערב בפסק דינו של בית המשפט קמא, ולקבוע כי חלוקת התמורה שנקבעה בהסכם המכר אינה מייצגת את שווי מוניטין קבוצת פליינג קרגו אשר נמכר במסגרת העסקה. במצב דברים זה, לא ניתן להתבסס על החלוקה ההסכמית לצורך מיסוי העסקה, אלא יש לבחון על פי הראיות שלפנינו מהו הערך ש</w:t>
      </w:r>
      <w:r w:rsidR="006C3CFE">
        <w:rPr>
          <w:rFonts w:hint="cs"/>
          <w:rtl/>
        </w:rPr>
        <w:t xml:space="preserve">חברת </w:t>
      </w:r>
      <w:r w:rsidRPr="002F1185">
        <w:rPr>
          <w:rFonts w:hint="cs"/>
          <w:rtl/>
        </w:rPr>
        <w:t xml:space="preserve">פליינג קרגו הצליחה להוכיח כי יש לייחס למוניטין שנמכר. בדיקה זו מלמדת כי ערך זה, ככל שהובאו לו ראיות, הוא נמוך, וכי על פי הראיות שהציגו הנישומים ניתן לכל היותר להכיר כי שווי המוניטין שנמכר בשלב השני של העסקה הוא 12.378 מיליון ש"ח. </w:t>
      </w:r>
    </w:p>
    <w:p w:rsidR="009519E3" w:rsidRPr="002F1185" w:rsidRDefault="009519E3" w:rsidP="009519E3">
      <w:pPr>
        <w:pStyle w:val="Ruller41"/>
      </w:pPr>
    </w:p>
    <w:p w:rsidR="009519E3" w:rsidRPr="002F1185" w:rsidRDefault="009519E3" w:rsidP="009519E3">
      <w:pPr>
        <w:pStyle w:val="Ruller4"/>
        <w:rPr>
          <w:rtl/>
        </w:rPr>
      </w:pPr>
      <w:r w:rsidRPr="002F1185">
        <w:rPr>
          <w:rFonts w:hint="cs"/>
          <w:rtl/>
        </w:rPr>
        <w:t xml:space="preserve">מאחר שהתערבות באופן חלוקת התמורות מביאה לקבלת ערעור פקיד השומה, רובו ככולו, אייחד את עיקר ההנמקה להבהרת הטעמים להתערבות זו. סדר הדברים יהיה כדלהלן: תחילה תובהר ההבחנה בין התערבות במבנה העסקה החוזי להתערבות בחלוקת התמורות המוסכמת; בהמשך אתייחס לטיבו של המוניטין שנמכר בנפרד במסגרת הסכם המכר, תוך הבחנה בין מוניטין פעילות השילוח הבינלאומי, השייך לחברת הבת, למוניטין קבוצת פליינג קרגו, השייך לקבוצת האם; אחר כך אבהיר מהם השיקולים המצדיקים במקרה שלפנינו את דחיית חלוקת התמורות המוסכמת; לבסוף אבחן את </w:t>
      </w:r>
      <w:r w:rsidRPr="002F1185">
        <w:rPr>
          <w:rFonts w:hint="cs"/>
          <w:rtl/>
        </w:rPr>
        <w:lastRenderedPageBreak/>
        <w:t>הראיות ביחס לשווי המוניטין שהועבר במסגרת הסכם המכר, ואנמק את עמדתי כי יש להעריכו ב-12.378 מיליון ש"ח בלבד.</w:t>
      </w:r>
    </w:p>
    <w:p w:rsidR="009519E3" w:rsidRPr="002F1185" w:rsidRDefault="009519E3" w:rsidP="009519E3">
      <w:pPr>
        <w:pStyle w:val="Ruller41"/>
        <w:rPr>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 xml:space="preserve">התערבות במבנה העסקה החוזי והתערבות בחלוקת התמורה המוסכמת </w:t>
      </w:r>
    </w:p>
    <w:p w:rsidR="009519E3" w:rsidRPr="002F1185" w:rsidRDefault="009519E3" w:rsidP="009519E3">
      <w:pPr>
        <w:pStyle w:val="Ruller41"/>
      </w:pPr>
    </w:p>
    <w:p w:rsidR="009519E3" w:rsidRPr="002F1185" w:rsidRDefault="009519E3" w:rsidP="009519E3">
      <w:pPr>
        <w:pStyle w:val="Ruller4"/>
        <w:rPr>
          <w:rtl/>
        </w:rPr>
      </w:pPr>
      <w:r w:rsidRPr="002F1185">
        <w:rPr>
          <w:rFonts w:hint="cs"/>
          <w:rtl/>
        </w:rPr>
        <w:t xml:space="preserve">הניחו את העסקה הבאה: אברהם מוכר לשרה דירה על הציוד המצוי בה. במסגרת ההסכם נקבע כי שווי הדירה הוא 1 מיליון ש"ח ושווי הציוד הוא 3 מיליון ש"ח, ולפיכך התמורה הכוללת היא 4 מיליון ש"ח. רשויות המס עשויות לטעון נגד עסקה זו בשני מישורים שונים: </w:t>
      </w:r>
      <w:r w:rsidRPr="002F1185">
        <w:rPr>
          <w:rFonts w:ascii="Century" w:hAnsi="Century" w:cs="Miriam" w:hint="cs"/>
          <w:b/>
          <w:spacing w:val="0"/>
          <w:sz w:val="22"/>
          <w:szCs w:val="24"/>
          <w:rtl/>
        </w:rPr>
        <w:t>ראשית</w:t>
      </w:r>
      <w:r w:rsidRPr="002F1185">
        <w:rPr>
          <w:rFonts w:hint="cs"/>
          <w:rtl/>
        </w:rPr>
        <w:t xml:space="preserve">, יכולות רשויות המס לכפור בכך שבדירה היה ציוד השייך לאברהם או בכך שהציוד שהיה בדירה ניתן להפרדה מהמקרקעין, ולטעון כי הלכה למעשה נמכר רק נכס אחד </w:t>
      </w:r>
      <w:r w:rsidRPr="002F1185">
        <w:rPr>
          <w:rtl/>
        </w:rPr>
        <w:t>–</w:t>
      </w:r>
      <w:r w:rsidRPr="002F1185">
        <w:rPr>
          <w:rFonts w:hint="cs"/>
          <w:rtl/>
        </w:rPr>
        <w:t xml:space="preserve"> הדירה, וממילא מלוא התמורה ששולמה מתייחסת אליו; </w:t>
      </w:r>
      <w:r w:rsidRPr="002F1185">
        <w:rPr>
          <w:rFonts w:ascii="Century" w:hAnsi="Century" w:cs="Miriam" w:hint="cs"/>
          <w:b/>
          <w:spacing w:val="0"/>
          <w:sz w:val="22"/>
          <w:szCs w:val="24"/>
          <w:rtl/>
        </w:rPr>
        <w:t>שנית</w:t>
      </w:r>
      <w:r w:rsidRPr="002F1185">
        <w:rPr>
          <w:rFonts w:hint="cs"/>
          <w:rtl/>
        </w:rPr>
        <w:t xml:space="preserve">, יכולות הן לקבל כי העסקה התייחסה לשני סוגי נכסים (דירה וציוד), ולכפור בחלוקת התמורות, למשל, בטענה שמתוך התמורה הכוללת (4 מיליון ש"ח) העיקר שולם בעבור הדירה (נניח 3.5 מיליון ש"ח), ורק היתרה שולמה בעבור הציוד (חצי מיליון ש"ח). ודוק, רשויות המס יכולות להעלות טענות אלו לחילופין, לאמור סבורות הן שמבנה העסקה אינו מייצג את כוונת הצדדים, ולמצער, כי חלוקת תמורות העסקה אינה מייצגת את כוונת הצדדים. </w:t>
      </w:r>
    </w:p>
    <w:p w:rsidR="009519E3" w:rsidRPr="002F1185" w:rsidRDefault="009519E3" w:rsidP="009519E3">
      <w:pPr>
        <w:pStyle w:val="Ruller41"/>
      </w:pPr>
    </w:p>
    <w:p w:rsidR="009519E3" w:rsidRDefault="009519E3" w:rsidP="004F458D">
      <w:pPr>
        <w:pStyle w:val="Ruller4"/>
        <w:rPr>
          <w:rtl/>
        </w:rPr>
      </w:pPr>
      <w:r w:rsidRPr="002F1185">
        <w:rPr>
          <w:rFonts w:hint="cs"/>
          <w:rtl/>
        </w:rPr>
        <w:t>ויובהר, טענה כי אין לקבל את חלוקת התמורות המוסכמת אינה טענה כי העסקה שנעשתה היא עסקה מלאכותית, וממילא אין צורך בהפעלת סעיף 86 לפקודת מס הכנסה על מנת להתערב בחלוקת התמורות המוסכמת. תורף הטענה אינו כפירה בדרך בה בוצעה העסקה, אלא טענה כי המחיר שיוחס על ידי הצדדים בהסכם לכל אחד מחלקיו אינו משקף את השווי האמיתי של חלק זה. מבחינה זו, אין שוני של ממש בין כפירה בחלוקת התמורות המוסכמת, לבין טענה כי המחיר החוזי הכולל אינו משקף את שוויה האמיתי של העסקה. בשני המצבים, הכפירה אינה בעסקה גופה, אלא בתמורה שננקבה. לפיכך, היקף סמכות ההתערבות של רשויות המס בחלוקת התמורות המוסכמת נגזר מהיקף ההתערבות של רשויות המס בתמורה המוסכמת (ראו והשוו: הגדרת "תמורה" בסעיף 88 לפקודה; הגדרת "</w:t>
      </w:r>
      <w:r w:rsidRPr="002F1185">
        <w:rPr>
          <w:rFonts w:hint="eastAsia"/>
          <w:rtl/>
        </w:rPr>
        <w:t>שווי</w:t>
      </w:r>
      <w:r w:rsidRPr="002F1185">
        <w:rPr>
          <w:rtl/>
        </w:rPr>
        <w:t xml:space="preserve"> </w:t>
      </w:r>
      <w:r w:rsidRPr="002F1185">
        <w:rPr>
          <w:rFonts w:hint="eastAsia"/>
          <w:rtl/>
        </w:rPr>
        <w:t>של</w:t>
      </w:r>
      <w:r w:rsidRPr="002F1185">
        <w:rPr>
          <w:rtl/>
        </w:rPr>
        <w:t xml:space="preserve"> </w:t>
      </w:r>
      <w:r w:rsidRPr="002F1185">
        <w:rPr>
          <w:rFonts w:hint="eastAsia"/>
          <w:rtl/>
        </w:rPr>
        <w:t>זכות</w:t>
      </w:r>
      <w:r w:rsidRPr="002F1185">
        <w:rPr>
          <w:rtl/>
        </w:rPr>
        <w:t xml:space="preserve"> </w:t>
      </w:r>
      <w:r w:rsidRPr="002F1185">
        <w:rPr>
          <w:rFonts w:hint="eastAsia"/>
          <w:rtl/>
        </w:rPr>
        <w:t>פלונית</w:t>
      </w:r>
      <w:r w:rsidRPr="002F1185">
        <w:rPr>
          <w:rFonts w:hint="cs"/>
          <w:rtl/>
        </w:rPr>
        <w:t xml:space="preserve">" בסעיף 1 לחוק מיסוי מקרקעין (שבח ורכישה), התשכ"ג-1963; </w:t>
      </w:r>
      <w:r w:rsidRPr="002F1185">
        <w:rPr>
          <w:rFonts w:hint="eastAsia"/>
          <w:rtl/>
        </w:rPr>
        <w:t>ע</w:t>
      </w:r>
      <w:r w:rsidRPr="002F1185">
        <w:rPr>
          <w:rFonts w:hint="cs"/>
          <w:rtl/>
        </w:rPr>
        <w:t>"</w:t>
      </w:r>
      <w:r w:rsidRPr="002F1185">
        <w:rPr>
          <w:rFonts w:hint="eastAsia"/>
          <w:rtl/>
        </w:rPr>
        <w:t>א</w:t>
      </w:r>
      <w:r w:rsidRPr="002F1185">
        <w:rPr>
          <w:rtl/>
        </w:rPr>
        <w:t xml:space="preserve"> 3632/01 </w:t>
      </w:r>
      <w:r w:rsidRPr="00CA32C4">
        <w:rPr>
          <w:rFonts w:ascii="Century" w:hAnsi="Century" w:cs="Miriam" w:hint="eastAsia"/>
          <w:b/>
          <w:spacing w:val="0"/>
          <w:sz w:val="22"/>
          <w:szCs w:val="24"/>
          <w:rtl/>
        </w:rPr>
        <w:t>חדיג</w:t>
      </w:r>
      <w:r w:rsidRPr="00CA32C4">
        <w:rPr>
          <w:rFonts w:ascii="Century" w:hAnsi="Century" w:cs="Miriam"/>
          <w:b/>
          <w:spacing w:val="0"/>
          <w:sz w:val="22"/>
          <w:szCs w:val="24"/>
          <w:rtl/>
        </w:rPr>
        <w:t>'</w:t>
      </w:r>
      <w:r w:rsidRPr="00CA32C4">
        <w:rPr>
          <w:rFonts w:ascii="Century" w:hAnsi="Century" w:cs="Miriam" w:hint="eastAsia"/>
          <w:b/>
          <w:spacing w:val="0"/>
          <w:sz w:val="22"/>
          <w:szCs w:val="24"/>
          <w:rtl/>
        </w:rPr>
        <w:t>יה</w:t>
      </w:r>
      <w:r w:rsidRPr="00CA32C4">
        <w:rPr>
          <w:rFonts w:ascii="Century" w:hAnsi="Century" w:cs="Miriam"/>
          <w:b/>
          <w:spacing w:val="0"/>
          <w:sz w:val="22"/>
          <w:szCs w:val="24"/>
          <w:rtl/>
        </w:rPr>
        <w:t xml:space="preserve"> </w:t>
      </w:r>
      <w:r w:rsidRPr="00CA32C4">
        <w:rPr>
          <w:rFonts w:ascii="Century" w:hAnsi="Century" w:cs="Miriam" w:hint="eastAsia"/>
          <w:b/>
          <w:spacing w:val="0"/>
          <w:sz w:val="22"/>
          <w:szCs w:val="24"/>
          <w:rtl/>
        </w:rPr>
        <w:t>נ</w:t>
      </w:r>
      <w:r w:rsidRPr="00CA32C4">
        <w:rPr>
          <w:rFonts w:ascii="Century" w:hAnsi="Century" w:cs="Miriam"/>
          <w:b/>
          <w:spacing w:val="0"/>
          <w:sz w:val="22"/>
          <w:szCs w:val="24"/>
          <w:rtl/>
        </w:rPr>
        <w:t>'</w:t>
      </w:r>
      <w:r w:rsidRPr="00CA32C4">
        <w:rPr>
          <w:rtl/>
        </w:rPr>
        <w:t xml:space="preserve"> </w:t>
      </w:r>
      <w:r w:rsidRPr="002F1185">
        <w:rPr>
          <w:rFonts w:ascii="Century" w:hAnsi="Century" w:cs="Miriam" w:hint="eastAsia"/>
          <w:b/>
          <w:spacing w:val="0"/>
          <w:sz w:val="22"/>
          <w:szCs w:val="24"/>
          <w:rtl/>
        </w:rPr>
        <w:t>מנהל</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מיסוי</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מקרקעין</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מחוז</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חיפה</w:t>
      </w:r>
      <w:r w:rsidRPr="002F1185">
        <w:rPr>
          <w:rtl/>
        </w:rPr>
        <w:t xml:space="preserve">, </w:t>
      </w:r>
      <w:r w:rsidRPr="002F1185">
        <w:rPr>
          <w:rFonts w:hint="cs"/>
          <w:rtl/>
        </w:rPr>
        <w:t xml:space="preserve">פ"ד </w:t>
      </w:r>
      <w:r w:rsidRPr="002F1185">
        <w:rPr>
          <w:rFonts w:hint="eastAsia"/>
          <w:rtl/>
        </w:rPr>
        <w:t>נז</w:t>
      </w:r>
      <w:r w:rsidRPr="002F1185">
        <w:rPr>
          <w:rtl/>
        </w:rPr>
        <w:t>(2) 806</w:t>
      </w:r>
      <w:r w:rsidRPr="002F1185">
        <w:rPr>
          <w:rFonts w:hint="cs"/>
          <w:rtl/>
        </w:rPr>
        <w:t xml:space="preserve">, 816-815 (2003); </w:t>
      </w:r>
      <w:r w:rsidRPr="002F1185">
        <w:rPr>
          <w:rFonts w:hint="eastAsia"/>
          <w:rtl/>
        </w:rPr>
        <w:t>ע</w:t>
      </w:r>
      <w:r w:rsidRPr="002F1185">
        <w:rPr>
          <w:rtl/>
        </w:rPr>
        <w:t>"</w:t>
      </w:r>
      <w:r w:rsidRPr="002F1185">
        <w:rPr>
          <w:rFonts w:hint="eastAsia"/>
          <w:rtl/>
        </w:rPr>
        <w:t>א</w:t>
      </w:r>
      <w:r w:rsidRPr="002F1185">
        <w:rPr>
          <w:rtl/>
        </w:rPr>
        <w:t xml:space="preserve"> 10800/06 </w:t>
      </w:r>
      <w:r w:rsidRPr="002F1185">
        <w:rPr>
          <w:rFonts w:ascii="Century" w:hAnsi="Century" w:cs="Miriam" w:hint="eastAsia"/>
          <w:b/>
          <w:spacing w:val="0"/>
          <w:sz w:val="22"/>
          <w:szCs w:val="24"/>
          <w:rtl/>
        </w:rPr>
        <w:t>סלמן</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נ</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פקיד</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שומה</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טבריה</w:t>
      </w:r>
      <w:r w:rsidRPr="002F1185">
        <w:rPr>
          <w:rFonts w:hint="cs"/>
          <w:rtl/>
        </w:rPr>
        <w:t>, פסקאות 21-20</w:t>
      </w:r>
      <w:r w:rsidRPr="002F1185">
        <w:rPr>
          <w:rtl/>
        </w:rPr>
        <w:t xml:space="preserve"> (13.</w:t>
      </w:r>
      <w:r w:rsidRPr="002F1185">
        <w:rPr>
          <w:rFonts w:hint="cs"/>
          <w:rtl/>
        </w:rPr>
        <w:t>7</w:t>
      </w:r>
      <w:r w:rsidRPr="002F1185">
        <w:rPr>
          <w:rtl/>
        </w:rPr>
        <w:t>.2011)</w:t>
      </w:r>
      <w:r w:rsidRPr="002F1185">
        <w:rPr>
          <w:rFonts w:hint="cs"/>
          <w:rtl/>
        </w:rPr>
        <w:t>).</w:t>
      </w:r>
    </w:p>
    <w:p w:rsidR="004F458D" w:rsidRPr="004F458D" w:rsidRDefault="004F458D" w:rsidP="004F458D">
      <w:pPr>
        <w:pStyle w:val="Ruller41"/>
        <w:rPr>
          <w:rtl/>
        </w:rPr>
      </w:pPr>
    </w:p>
    <w:p w:rsidR="009519E3" w:rsidRPr="002F1185" w:rsidRDefault="009519E3" w:rsidP="009519E3">
      <w:pPr>
        <w:pStyle w:val="Ruller4"/>
        <w:rPr>
          <w:rtl/>
        </w:rPr>
      </w:pPr>
      <w:r w:rsidRPr="002F1185">
        <w:rPr>
          <w:rFonts w:hint="cs"/>
          <w:rtl/>
        </w:rPr>
        <w:lastRenderedPageBreak/>
        <w:t>בענייננו כפר פקיד השומה הן במבנה העסקה החוזי, תוך שטען כי המוניטין אשר נמכר במסגרת הסכם המכר שייך במלואו לחברת הבת, כך שלשיטתו לא הייתה כל מכירה של מוניטין שהיה בבעלות חברת האם; והן בחלוקת התמורות המוסכמת, תוך שטען כי אין לקבל את החלוקה המוסכמת לפיה כ-98% מהתמורה שולמה בעבור מוניטין חברת האם ורק כ-2% בעבור פעילות (מניות) חברת הבת. כאמור, אינני סבור שיש מקום להתערב בקביע</w:t>
      </w:r>
      <w:r w:rsidR="00356E57">
        <w:rPr>
          <w:rFonts w:hint="cs"/>
          <w:rtl/>
        </w:rPr>
        <w:t>ות בית המשפט קמא ביחס ל</w:t>
      </w:r>
      <w:r w:rsidRPr="002F1185">
        <w:rPr>
          <w:rFonts w:hint="cs"/>
          <w:rtl/>
        </w:rPr>
        <w:t xml:space="preserve">מבנה העסקה. לעומת זאת, אני בדעה כי יש הצדקה מובהקת שלא לקבל את חלוקת התמורות המוסכמת, ולקבוע כי אין היא מייצגת לא את שווי המוניטין של חברת האם ולא את שוויה של חברת הבת. </w:t>
      </w:r>
    </w:p>
    <w:p w:rsidR="009519E3" w:rsidRPr="002F1185" w:rsidRDefault="009519E3" w:rsidP="009519E3">
      <w:pPr>
        <w:pStyle w:val="Ruller41"/>
        <w:rPr>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 xml:space="preserve">המוניטין שנמכר במסגרת הסכם המכר </w:t>
      </w:r>
    </w:p>
    <w:p w:rsidR="009519E3" w:rsidRPr="002F1185" w:rsidRDefault="009519E3" w:rsidP="009519E3">
      <w:pPr>
        <w:pStyle w:val="Ruller41"/>
        <w:rPr>
          <w:rtl/>
        </w:rPr>
      </w:pPr>
    </w:p>
    <w:p w:rsidR="009519E3" w:rsidRDefault="009519E3" w:rsidP="00CA32C4">
      <w:pPr>
        <w:pStyle w:val="Ruller4"/>
        <w:rPr>
          <w:rtl/>
        </w:rPr>
      </w:pPr>
      <w:r w:rsidRPr="002F1185">
        <w:rPr>
          <w:rFonts w:hint="cs"/>
          <w:rtl/>
        </w:rPr>
        <w:t xml:space="preserve">מוניטין הוא השם הטוב שיצא לעוסק, לעסק, למוצר או לשירות בקרב ציבור הלקוחות הפוטנציאליים שלו. מבחינה כלכלית למוניטין עשוי להיות ערך משמעותי, ומבחינה משפטית ערך זה זוכה למעמד קנייני, ונהנה על כן מהגנה מפני פגיעה ונטילה באמצעות מגוון עילות משפטיות, ובהן העוולות של גניבת עין (סעיף 2 לחוק עוולות מסחריות, </w:t>
      </w:r>
      <w:r w:rsidR="00F85A42">
        <w:rPr>
          <w:rFonts w:hint="cs"/>
          <w:rtl/>
        </w:rPr>
        <w:t>ה</w:t>
      </w:r>
      <w:r w:rsidRPr="002F1185">
        <w:rPr>
          <w:rFonts w:hint="cs"/>
          <w:rtl/>
        </w:rPr>
        <w:t>תשנ"ט-1999) ושקר מפגיע (סעיף 5</w:t>
      </w:r>
      <w:r w:rsidR="00B00144">
        <w:rPr>
          <w:rFonts w:hint="cs"/>
          <w:rtl/>
        </w:rPr>
        <w:t>8</w:t>
      </w:r>
      <w:r w:rsidRPr="002F1185">
        <w:rPr>
          <w:rFonts w:hint="cs"/>
          <w:rtl/>
        </w:rPr>
        <w:t xml:space="preserve"> לפקודת הנזיקין [נוסח </w:t>
      </w:r>
      <w:r w:rsidR="00B00144">
        <w:rPr>
          <w:rFonts w:hint="cs"/>
          <w:rtl/>
        </w:rPr>
        <w:t>חדש</w:t>
      </w:r>
      <w:r w:rsidR="00F85A42">
        <w:rPr>
          <w:rFonts w:hint="cs"/>
          <w:rtl/>
        </w:rPr>
        <w:t>]),</w:t>
      </w:r>
      <w:r w:rsidRPr="002F1185">
        <w:rPr>
          <w:rFonts w:hint="cs"/>
          <w:rtl/>
        </w:rPr>
        <w:t xml:space="preserve"> פקודת סימני המסחר [נוסח חדש], </w:t>
      </w:r>
      <w:r w:rsidR="00F85A42">
        <w:rPr>
          <w:rFonts w:hint="cs"/>
          <w:rtl/>
        </w:rPr>
        <w:t>ה</w:t>
      </w:r>
      <w:r w:rsidRPr="002F1185">
        <w:rPr>
          <w:rFonts w:hint="cs"/>
          <w:rtl/>
        </w:rPr>
        <w:t>תשל"ב-1972 וחוק עשיית עושר ולא במשפט</w:t>
      </w:r>
      <w:r w:rsidR="00B00144">
        <w:rPr>
          <w:rFonts w:hint="cs"/>
          <w:rtl/>
        </w:rPr>
        <w:t xml:space="preserve">, </w:t>
      </w:r>
      <w:r w:rsidR="00F85A42">
        <w:rPr>
          <w:rFonts w:hint="cs"/>
          <w:rtl/>
        </w:rPr>
        <w:t>ה</w:t>
      </w:r>
      <w:r w:rsidR="00B00144">
        <w:rPr>
          <w:rFonts w:hint="cs"/>
          <w:rtl/>
        </w:rPr>
        <w:t>תשל"</w:t>
      </w:r>
      <w:r w:rsidR="00CA32C4">
        <w:rPr>
          <w:rFonts w:hint="cs"/>
          <w:rtl/>
        </w:rPr>
        <w:t>ט-</w:t>
      </w:r>
      <w:r w:rsidR="00B00144">
        <w:rPr>
          <w:rFonts w:hint="cs"/>
          <w:rtl/>
        </w:rPr>
        <w:t>1979</w:t>
      </w:r>
      <w:r w:rsidRPr="002F1185">
        <w:rPr>
          <w:rFonts w:hint="cs"/>
          <w:rtl/>
        </w:rPr>
        <w:t xml:space="preserve"> (להרחבה בעניין הגדרת מוניטין ראו: ע"א 550/72 </w:t>
      </w:r>
      <w:r w:rsidRPr="002F1185">
        <w:rPr>
          <w:rFonts w:ascii="Century" w:hAnsi="Century" w:cs="Miriam" w:hint="eastAsia"/>
          <w:b/>
          <w:spacing w:val="0"/>
          <w:sz w:val="22"/>
          <w:szCs w:val="24"/>
          <w:rtl/>
        </w:rPr>
        <w:t>באומל</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נ</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פקיד</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השומה</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חיפה</w:t>
      </w:r>
      <w:r w:rsidRPr="002F1185">
        <w:rPr>
          <w:rtl/>
        </w:rPr>
        <w:t>,</w:t>
      </w:r>
      <w:r w:rsidRPr="002F1185">
        <w:rPr>
          <w:rFonts w:hint="cs"/>
          <w:rtl/>
        </w:rPr>
        <w:t xml:space="preserve"> פ"ד</w:t>
      </w:r>
      <w:r w:rsidRPr="002F1185">
        <w:rPr>
          <w:rtl/>
        </w:rPr>
        <w:t xml:space="preserve"> </w:t>
      </w:r>
      <w:r w:rsidRPr="002F1185">
        <w:rPr>
          <w:rFonts w:hint="eastAsia"/>
          <w:rtl/>
        </w:rPr>
        <w:t>כח</w:t>
      </w:r>
      <w:r w:rsidRPr="002F1185">
        <w:rPr>
          <w:rtl/>
        </w:rPr>
        <w:t>(1) 650</w:t>
      </w:r>
      <w:r w:rsidRPr="002F1185">
        <w:rPr>
          <w:rFonts w:hint="cs"/>
          <w:rtl/>
        </w:rPr>
        <w:t xml:space="preserve">, 652 (1974); </w:t>
      </w:r>
      <w:r w:rsidRPr="002F1185">
        <w:rPr>
          <w:rFonts w:ascii="Century" w:hAnsi="Century" w:hint="cs"/>
          <w:rtl/>
        </w:rPr>
        <w:t xml:space="preserve">רע"א 371/89 </w:t>
      </w:r>
      <w:r w:rsidRPr="002F1185">
        <w:rPr>
          <w:rFonts w:ascii="Century" w:hAnsi="Century" w:cs="Miriam" w:hint="cs"/>
          <w:b/>
          <w:spacing w:val="0"/>
          <w:szCs w:val="24"/>
          <w:rtl/>
        </w:rPr>
        <w:t>ליבוביץ' נ' א. את י. אליהו בע"מ</w:t>
      </w:r>
      <w:r w:rsidRPr="002F1185">
        <w:rPr>
          <w:rFonts w:ascii="Century" w:hAnsi="Century" w:hint="cs"/>
          <w:rtl/>
        </w:rPr>
        <w:t>, פ"ד מד(</w:t>
      </w:r>
      <w:r w:rsidRPr="002F1185">
        <w:rPr>
          <w:rFonts w:ascii="Times New Roman" w:hAnsi="Times New Roman" w:hint="cs"/>
          <w:rtl/>
        </w:rPr>
        <w:t>2) 309, 316 (1990);</w:t>
      </w:r>
      <w:r w:rsidRPr="002F1185">
        <w:rPr>
          <w:rFonts w:hint="cs"/>
          <w:rtl/>
        </w:rPr>
        <w:t xml:space="preserve"> </w:t>
      </w:r>
      <w:r w:rsidRPr="002F1185">
        <w:rPr>
          <w:rFonts w:hint="eastAsia"/>
          <w:rtl/>
        </w:rPr>
        <w:t>ע</w:t>
      </w:r>
      <w:r w:rsidRPr="002F1185">
        <w:rPr>
          <w:rFonts w:hint="cs"/>
          <w:rtl/>
        </w:rPr>
        <w:t>"</w:t>
      </w:r>
      <w:r w:rsidRPr="002F1185">
        <w:rPr>
          <w:rFonts w:hint="eastAsia"/>
          <w:rtl/>
        </w:rPr>
        <w:t>א</w:t>
      </w:r>
      <w:r w:rsidRPr="002F1185">
        <w:rPr>
          <w:rtl/>
        </w:rPr>
        <w:t xml:space="preserve"> 5321/98 </w:t>
      </w:r>
      <w:r w:rsidRPr="002F1185">
        <w:rPr>
          <w:rFonts w:ascii="Century" w:hAnsi="Century" w:cs="Miriam" w:hint="eastAsia"/>
          <w:b/>
          <w:spacing w:val="0"/>
          <w:szCs w:val="24"/>
          <w:rtl/>
        </w:rPr>
        <w:t>אינווסט</w:t>
      </w:r>
      <w:r w:rsidRPr="002F1185">
        <w:rPr>
          <w:rFonts w:ascii="Century" w:hAnsi="Century" w:cs="Miriam"/>
          <w:b/>
          <w:spacing w:val="0"/>
          <w:szCs w:val="24"/>
          <w:rtl/>
        </w:rPr>
        <w:t xml:space="preserve"> </w:t>
      </w:r>
      <w:r w:rsidRPr="002F1185">
        <w:rPr>
          <w:rFonts w:ascii="Century" w:hAnsi="Century" w:cs="Miriam" w:hint="eastAsia"/>
          <w:b/>
          <w:spacing w:val="0"/>
          <w:szCs w:val="24"/>
          <w:rtl/>
        </w:rPr>
        <w:t>אימפקס</w:t>
      </w:r>
      <w:r w:rsidRPr="002F1185">
        <w:rPr>
          <w:rFonts w:ascii="Century" w:hAnsi="Century" w:cs="Miriam"/>
          <w:b/>
          <w:spacing w:val="0"/>
          <w:szCs w:val="24"/>
          <w:rtl/>
        </w:rPr>
        <w:t xml:space="preserve"> </w:t>
      </w:r>
      <w:r w:rsidRPr="002F1185">
        <w:rPr>
          <w:rFonts w:ascii="Century" w:hAnsi="Century" w:cs="Miriam" w:hint="eastAsia"/>
          <w:b/>
          <w:spacing w:val="0"/>
          <w:szCs w:val="24"/>
          <w:rtl/>
        </w:rPr>
        <w:t>בע</w:t>
      </w:r>
      <w:r w:rsidRPr="002F1185">
        <w:rPr>
          <w:rFonts w:ascii="Century" w:hAnsi="Century" w:cs="Miriam"/>
          <w:b/>
          <w:spacing w:val="0"/>
          <w:szCs w:val="24"/>
          <w:rtl/>
        </w:rPr>
        <w:t>"</w:t>
      </w:r>
      <w:r w:rsidRPr="002F1185">
        <w:rPr>
          <w:rFonts w:ascii="Century" w:hAnsi="Century" w:cs="Miriam" w:hint="eastAsia"/>
          <w:b/>
          <w:spacing w:val="0"/>
          <w:szCs w:val="24"/>
          <w:rtl/>
        </w:rPr>
        <w:t>מ</w:t>
      </w:r>
      <w:r w:rsidRPr="002F1185">
        <w:rPr>
          <w:rFonts w:ascii="Century" w:hAnsi="Century" w:cs="Miriam"/>
          <w:b/>
          <w:spacing w:val="0"/>
          <w:szCs w:val="24"/>
          <w:rtl/>
        </w:rPr>
        <w:t xml:space="preserve"> </w:t>
      </w:r>
      <w:r w:rsidRPr="002F1185">
        <w:rPr>
          <w:rFonts w:ascii="Century" w:hAnsi="Century" w:cs="Miriam" w:hint="eastAsia"/>
          <w:b/>
          <w:spacing w:val="0"/>
          <w:szCs w:val="24"/>
          <w:rtl/>
        </w:rPr>
        <w:t>נ</w:t>
      </w:r>
      <w:r w:rsidRPr="002F1185">
        <w:rPr>
          <w:rFonts w:ascii="Century" w:hAnsi="Century" w:cs="Miriam"/>
          <w:b/>
          <w:spacing w:val="0"/>
          <w:szCs w:val="24"/>
          <w:rtl/>
        </w:rPr>
        <w:t xml:space="preserve">' </w:t>
      </w:r>
      <w:r w:rsidRPr="002F1185">
        <w:rPr>
          <w:rFonts w:ascii="Century" w:hAnsi="Century" w:cs="Miriam" w:hint="eastAsia"/>
          <w:b/>
          <w:spacing w:val="0"/>
          <w:szCs w:val="24"/>
          <w:rtl/>
        </w:rPr>
        <w:t>פקיד</w:t>
      </w:r>
      <w:r w:rsidRPr="002F1185">
        <w:rPr>
          <w:rFonts w:ascii="Century" w:hAnsi="Century" w:cs="Miriam"/>
          <w:b/>
          <w:spacing w:val="0"/>
          <w:szCs w:val="24"/>
          <w:rtl/>
        </w:rPr>
        <w:t xml:space="preserve"> </w:t>
      </w:r>
      <w:r w:rsidRPr="002F1185">
        <w:rPr>
          <w:rFonts w:ascii="Century" w:hAnsi="Century" w:cs="Miriam" w:hint="eastAsia"/>
          <w:b/>
          <w:spacing w:val="0"/>
          <w:szCs w:val="24"/>
          <w:rtl/>
        </w:rPr>
        <w:t>שומה</w:t>
      </w:r>
      <w:r w:rsidRPr="002F1185">
        <w:rPr>
          <w:rFonts w:ascii="Century" w:hAnsi="Century" w:cs="Miriam"/>
          <w:b/>
          <w:spacing w:val="0"/>
          <w:szCs w:val="24"/>
          <w:rtl/>
        </w:rPr>
        <w:t xml:space="preserve"> </w:t>
      </w:r>
      <w:r w:rsidRPr="002F1185">
        <w:rPr>
          <w:rFonts w:ascii="Century" w:hAnsi="Century" w:cs="Miriam" w:hint="eastAsia"/>
          <w:b/>
          <w:spacing w:val="0"/>
          <w:szCs w:val="24"/>
          <w:rtl/>
        </w:rPr>
        <w:t>תל</w:t>
      </w:r>
      <w:r w:rsidRPr="002F1185">
        <w:rPr>
          <w:rFonts w:ascii="Century" w:hAnsi="Century" w:cs="Miriam"/>
          <w:b/>
          <w:spacing w:val="0"/>
          <w:szCs w:val="24"/>
          <w:rtl/>
        </w:rPr>
        <w:t>-</w:t>
      </w:r>
      <w:r w:rsidRPr="002F1185">
        <w:rPr>
          <w:rFonts w:ascii="Century" w:hAnsi="Century" w:cs="Miriam" w:hint="eastAsia"/>
          <w:b/>
          <w:spacing w:val="0"/>
          <w:szCs w:val="24"/>
          <w:rtl/>
        </w:rPr>
        <w:t>אביב</w:t>
      </w:r>
      <w:r w:rsidRPr="002F1185">
        <w:rPr>
          <w:rFonts w:ascii="Century" w:hAnsi="Century" w:cs="Miriam"/>
          <w:b/>
          <w:spacing w:val="0"/>
          <w:szCs w:val="24"/>
          <w:rtl/>
        </w:rPr>
        <w:t xml:space="preserve"> 1</w:t>
      </w:r>
      <w:r w:rsidRPr="002F1185">
        <w:rPr>
          <w:rtl/>
        </w:rPr>
        <w:t>,</w:t>
      </w:r>
      <w:r w:rsidRPr="002F1185">
        <w:rPr>
          <w:rFonts w:hint="cs"/>
          <w:rtl/>
        </w:rPr>
        <w:t xml:space="preserve"> פ"ד</w:t>
      </w:r>
      <w:r w:rsidRPr="002F1185">
        <w:rPr>
          <w:rtl/>
        </w:rPr>
        <w:t xml:space="preserve"> </w:t>
      </w:r>
      <w:r w:rsidRPr="002F1185">
        <w:rPr>
          <w:rFonts w:hint="eastAsia"/>
          <w:rtl/>
        </w:rPr>
        <w:t>נח</w:t>
      </w:r>
      <w:r w:rsidRPr="002F1185">
        <w:rPr>
          <w:rtl/>
        </w:rPr>
        <w:t xml:space="preserve">(2) </w:t>
      </w:r>
      <w:r w:rsidR="002E0FEF">
        <w:rPr>
          <w:rFonts w:hint="cs"/>
          <w:rtl/>
        </w:rPr>
        <w:t xml:space="preserve">241, 249-248 </w:t>
      </w:r>
      <w:r w:rsidRPr="002F1185">
        <w:rPr>
          <w:rFonts w:hint="cs"/>
          <w:rtl/>
        </w:rPr>
        <w:t xml:space="preserve">(2003) (להלן: </w:t>
      </w:r>
      <w:r w:rsidRPr="002F1185">
        <w:rPr>
          <w:rFonts w:ascii="Century" w:hAnsi="Century" w:cs="Miriam" w:hint="cs"/>
          <w:b/>
          <w:spacing w:val="0"/>
          <w:szCs w:val="24"/>
          <w:rtl/>
        </w:rPr>
        <w:t>"עניין אינווסט"</w:t>
      </w:r>
      <w:r w:rsidRPr="002F1185">
        <w:rPr>
          <w:rFonts w:hint="cs"/>
          <w:rtl/>
        </w:rPr>
        <w:t xml:space="preserve">). יהושע ויסמן </w:t>
      </w:r>
      <w:r w:rsidRPr="002F1185">
        <w:rPr>
          <w:rFonts w:ascii="Century" w:hAnsi="Century" w:cs="Miriam" w:hint="cs"/>
          <w:b/>
          <w:spacing w:val="0"/>
          <w:szCs w:val="24"/>
          <w:rtl/>
        </w:rPr>
        <w:t xml:space="preserve">דיני קניין </w:t>
      </w:r>
      <w:r w:rsidRPr="002F1185">
        <w:rPr>
          <w:rFonts w:ascii="Century" w:hAnsi="Century" w:cs="Miriam"/>
          <w:b/>
          <w:spacing w:val="0"/>
          <w:szCs w:val="24"/>
          <w:rtl/>
        </w:rPr>
        <w:t>–</w:t>
      </w:r>
      <w:r w:rsidRPr="002F1185">
        <w:rPr>
          <w:rFonts w:ascii="Century" w:hAnsi="Century" w:cs="Miriam" w:hint="cs"/>
          <w:b/>
          <w:spacing w:val="0"/>
          <w:szCs w:val="24"/>
          <w:rtl/>
        </w:rPr>
        <w:t xml:space="preserve"> חלק כללי</w:t>
      </w:r>
      <w:r w:rsidRPr="002F1185">
        <w:rPr>
          <w:rFonts w:hint="cs"/>
          <w:rtl/>
        </w:rPr>
        <w:t xml:space="preserve"> 360 (1993) (להלן: </w:t>
      </w:r>
      <w:r w:rsidRPr="002F1185">
        <w:rPr>
          <w:rFonts w:ascii="Century" w:hAnsi="Century" w:cs="Miriam" w:hint="cs"/>
          <w:b/>
          <w:spacing w:val="0"/>
          <w:sz w:val="22"/>
          <w:szCs w:val="24"/>
          <w:rtl/>
        </w:rPr>
        <w:t>"ויסמן"</w:t>
      </w:r>
      <w:r w:rsidRPr="002F1185">
        <w:rPr>
          <w:rFonts w:hint="cs"/>
          <w:rtl/>
        </w:rPr>
        <w:t xml:space="preserve">); דוד אלקינס </w:t>
      </w:r>
      <w:r w:rsidRPr="002F1185">
        <w:rPr>
          <w:rFonts w:ascii="Century" w:hAnsi="Century" w:cs="Miriam" w:hint="cs"/>
          <w:b/>
          <w:spacing w:val="0"/>
          <w:sz w:val="22"/>
          <w:szCs w:val="24"/>
          <w:rtl/>
        </w:rPr>
        <w:t>מיסוי קנין רוחני</w:t>
      </w:r>
      <w:r w:rsidRPr="002F1185">
        <w:rPr>
          <w:rFonts w:hint="cs"/>
          <w:rtl/>
        </w:rPr>
        <w:t xml:space="preserve"> 148-143 (1993)</w:t>
      </w:r>
      <w:r w:rsidR="00CA32C4">
        <w:rPr>
          <w:rFonts w:hint="cs"/>
          <w:rtl/>
        </w:rPr>
        <w:t>.</w:t>
      </w:r>
      <w:r w:rsidRPr="002F1185">
        <w:rPr>
          <w:rFonts w:hint="cs"/>
          <w:rtl/>
        </w:rPr>
        <w:t xml:space="preserve"> לעיון בהגנה על מוניטין ראו: מיגל דויטש "המפיץ הבלעדי והגנת המוניטין" </w:t>
      </w:r>
      <w:r w:rsidRPr="002F1185">
        <w:rPr>
          <w:rFonts w:ascii="Century" w:hAnsi="Century" w:cs="Miriam" w:hint="cs"/>
          <w:b/>
          <w:spacing w:val="0"/>
          <w:sz w:val="22"/>
          <w:szCs w:val="24"/>
          <w:rtl/>
        </w:rPr>
        <w:t>משפטים</w:t>
      </w:r>
      <w:r w:rsidRPr="002F1185">
        <w:rPr>
          <w:rFonts w:hint="cs"/>
          <w:rtl/>
        </w:rPr>
        <w:t xml:space="preserve"> כ 513,</w:t>
      </w:r>
      <w:r w:rsidR="00CA32C4">
        <w:rPr>
          <w:rFonts w:hint="cs"/>
          <w:rtl/>
        </w:rPr>
        <w:t xml:space="preserve"> </w:t>
      </w:r>
      <w:r w:rsidRPr="002F1185">
        <w:rPr>
          <w:rFonts w:hint="cs"/>
          <w:rtl/>
        </w:rPr>
        <w:t xml:space="preserve">523-521 (1991); </w:t>
      </w:r>
      <w:r w:rsidRPr="002F1185">
        <w:rPr>
          <w:rFonts w:ascii="Century" w:hAnsi="Century" w:cs="Miriam" w:hint="cs"/>
          <w:b/>
          <w:spacing w:val="0"/>
          <w:sz w:val="22"/>
          <w:szCs w:val="24"/>
          <w:rtl/>
        </w:rPr>
        <w:t>ויסמן</w:t>
      </w:r>
      <w:r w:rsidRPr="002F1185">
        <w:rPr>
          <w:rFonts w:hint="cs"/>
          <w:rtl/>
        </w:rPr>
        <w:t>, עמ</w:t>
      </w:r>
      <w:r w:rsidR="00CA32C4">
        <w:rPr>
          <w:rFonts w:hint="cs"/>
          <w:rtl/>
        </w:rPr>
        <w:t>'</w:t>
      </w:r>
      <w:r w:rsidRPr="002F1185">
        <w:rPr>
          <w:rFonts w:hint="cs"/>
          <w:rtl/>
        </w:rPr>
        <w:t xml:space="preserve"> 361-360; </w:t>
      </w:r>
      <w:r w:rsidRPr="002F1185">
        <w:rPr>
          <w:rFonts w:hint="eastAsia"/>
          <w:rtl/>
        </w:rPr>
        <w:t>עופר</w:t>
      </w:r>
      <w:r w:rsidRPr="002F1185">
        <w:rPr>
          <w:rtl/>
        </w:rPr>
        <w:t xml:space="preserve"> </w:t>
      </w:r>
      <w:r w:rsidRPr="002F1185">
        <w:rPr>
          <w:rFonts w:hint="eastAsia"/>
          <w:rtl/>
        </w:rPr>
        <w:t>גרוסקופף</w:t>
      </w:r>
      <w:r w:rsidRPr="002F1185">
        <w:rPr>
          <w:rtl/>
        </w:rPr>
        <w:t xml:space="preserve"> </w:t>
      </w:r>
      <w:r w:rsidRPr="002F1185">
        <w:rPr>
          <w:rFonts w:ascii="Century" w:hAnsi="Century" w:cs="Miriam" w:hint="eastAsia"/>
          <w:b/>
          <w:spacing w:val="0"/>
          <w:sz w:val="22"/>
          <w:szCs w:val="24"/>
          <w:rtl/>
        </w:rPr>
        <w:t>הגנה</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על</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כללי</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תחרות</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באמצעות</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דיני</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עשיית</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עושר</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ולא</w:t>
      </w:r>
      <w:r w:rsidRPr="002F1185">
        <w:rPr>
          <w:rFonts w:ascii="Century" w:hAnsi="Century" w:cs="Miriam"/>
          <w:b/>
          <w:spacing w:val="0"/>
          <w:sz w:val="22"/>
          <w:szCs w:val="24"/>
          <w:rtl/>
        </w:rPr>
        <w:t xml:space="preserve"> </w:t>
      </w:r>
      <w:r w:rsidRPr="002F1185">
        <w:rPr>
          <w:rFonts w:ascii="Century" w:hAnsi="Century" w:cs="Miriam" w:hint="eastAsia"/>
          <w:b/>
          <w:spacing w:val="0"/>
          <w:sz w:val="22"/>
          <w:szCs w:val="24"/>
          <w:rtl/>
        </w:rPr>
        <w:t>במשפט</w:t>
      </w:r>
      <w:r w:rsidRPr="002F1185">
        <w:rPr>
          <w:rFonts w:hint="cs"/>
          <w:rtl/>
        </w:rPr>
        <w:t xml:space="preserve"> 332, ה"ש 385 </w:t>
      </w:r>
      <w:r w:rsidRPr="002F1185">
        <w:rPr>
          <w:rtl/>
        </w:rPr>
        <w:t>(</w:t>
      </w:r>
      <w:r w:rsidRPr="002F1185">
        <w:rPr>
          <w:rFonts w:hint="cs"/>
          <w:rtl/>
        </w:rPr>
        <w:t>2002</w:t>
      </w:r>
      <w:r w:rsidRPr="002F1185">
        <w:rPr>
          <w:rtl/>
        </w:rPr>
        <w:t>)</w:t>
      </w:r>
      <w:r w:rsidRPr="002F1185">
        <w:rPr>
          <w:rFonts w:hint="cs"/>
          <w:rtl/>
        </w:rPr>
        <w:t xml:space="preserve">). </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 xml:space="preserve">כנלמד מההגדרה האמורה, המוניטין ממנו נהנה עוסק, עסק, מוצר או שירות הוא עניין עובדתי, הנקבע בהתאם ליחס הלקוחות הפוטנציאליים אליו. המוניטין אינו משקף לפיכך אמת אובייקטיבית בדבר תכונותיו של העוסק, העסק, המוצר או השירות (העוסק אדיב, העסק חדשני, המוצר איכותי, השירות מצוין וכיו"ב), אלא הוא שיקוף של תפיסות הציבור ביחס לתכונות האמורות (הציבור סבור כי העוסק אדיב, הציבור מניח כי העסק חדשני, הציבור רואה את המוצר כאיכותי, הציבור תופס את השירות כמצוין וכיו"ב). ממילא, הצבעה על כך שתפיסות הציבור ביחס לתכונות האמורות אינן נכונות, אין בה כדי לגרוע מערכו הכלכלי של המוניטין או מההגנה המשפטית הניתנת לו </w:t>
      </w:r>
      <w:r w:rsidRPr="002F1185">
        <w:rPr>
          <w:rtl/>
        </w:rPr>
        <w:t>–</w:t>
      </w:r>
      <w:r w:rsidRPr="002F1185">
        <w:rPr>
          <w:rFonts w:hint="cs"/>
          <w:rtl/>
        </w:rPr>
        <w:t xml:space="preserve"> כך, למשל, </w:t>
      </w:r>
      <w:r w:rsidRPr="002F1185">
        <w:rPr>
          <w:rFonts w:hint="cs"/>
          <w:rtl/>
        </w:rPr>
        <w:lastRenderedPageBreak/>
        <w:t>אם הציבור מעריך שמוצר הוא איכותי, מוצר זה נהנה ממוניטין בעל ערך ובר-הגנה, וזאת גם אם בעיני המומחים לדבר המוצר איננו איכותי כלל ועיקר.</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 xml:space="preserve">כפי שצוין לעיל מוניטין יכול שיתייחס לכל אחד מאלה: עסק, עוסק, מוצר או שירות, וזאת בהתאם לשם הטוב שיצא לכל אחד מהם בעיני הציבור. לעיתים קרובות פעילות עסקית אחת עשויה ליצור מוניטין נפרד לכל אחד מהמנויים לעיל: העסק, העוסק, המוצר או השירות. כך, למשל, אם ראובן הוא הבעלים של מסעדה הרי שניתן לדבר על המוניטין של המסעדה (מוניטין העסק), של ראובן כמסעדן (מוניטין העוסק), של מנת הדגל המוגשת במסעדה (מוניטין המוצר) ושל שירותי הקייטרינג של המסעדה (מוניטין השירות). ודוק, בין המוניטין של עסק, עוסק, מוצר ושירות הקשורים לאותה פעילות עסקית צפוי להתקיים מתאם חיובי, במובן זה שכאשר אחד מהם מושבח גם האחר, ולהיפך. כך, למשל, אם למסעדה יצא שם טוב, יש להניח כי הוא ישפיע לחיוב גם על המוניטין של ראובן כמסעדן, ואם שירות הקייטרינג יהיה לקוי עלול הדבר לגרוע מהמוניטין של המסעדה. ואולם, המתאם האמור אינו מלא ואינו הכרחי. כך, למשל, ניתן להעלות על הדעת מצבים בהם </w:t>
      </w:r>
      <w:r w:rsidR="00F85A42">
        <w:rPr>
          <w:rFonts w:hint="cs"/>
          <w:rtl/>
        </w:rPr>
        <w:t>י</w:t>
      </w:r>
      <w:r w:rsidRPr="002F1185">
        <w:rPr>
          <w:rFonts w:hint="cs"/>
          <w:rtl/>
        </w:rPr>
        <w:t>יפגע קשות המוניטין של המסעדה (למשל, בשל שירות גס רוח ללקוחות), תוך פגיעה זניחה במוניטין של מנת הדגל המוגשת בה, וניתן לתאר מצבים בהם שירות הקייטרינג ייחשב למצוין מבלי שהדבר יביא לעליה משמעותית במוניטין האישי של ראובן כמסעדן (למשל, מאחר שהציבור אינו מקשר בין שירות הקייטרינג לראובן).</w:t>
      </w:r>
    </w:p>
    <w:p w:rsidR="009519E3" w:rsidRPr="002F1185" w:rsidRDefault="009519E3" w:rsidP="009519E3">
      <w:pPr>
        <w:pStyle w:val="Ruller41"/>
        <w:rPr>
          <w:rtl/>
        </w:rPr>
      </w:pPr>
    </w:p>
    <w:p w:rsidR="009519E3" w:rsidRPr="002F1185" w:rsidRDefault="009519E3" w:rsidP="0085047F">
      <w:pPr>
        <w:pStyle w:val="Ruller4"/>
        <w:rPr>
          <w:rtl/>
        </w:rPr>
      </w:pPr>
      <w:r w:rsidRPr="002F1185">
        <w:rPr>
          <w:rFonts w:hint="cs"/>
          <w:rtl/>
        </w:rPr>
        <w:t>מבחינה משפטית, הבעלות במוניטין של עסק, עוסק, מוצר או שירות הנובעים מאותה פעילות עסקית ניתנת להפרדה, במובן זה שאין דרישה כי כולם יהיו מרוכזים בידי אותו אדם. כך, למשל, אין מניעה כי ראובן ימכור את המסעדה לשולמית, תוך העברת המוניטין שצברה, וישמ</w:t>
      </w:r>
      <w:r w:rsidR="00461495">
        <w:rPr>
          <w:rFonts w:hint="cs"/>
          <w:rtl/>
        </w:rPr>
        <w:t>ו</w:t>
      </w:r>
      <w:r w:rsidRPr="002F1185">
        <w:rPr>
          <w:rFonts w:hint="cs"/>
          <w:rtl/>
        </w:rPr>
        <w:t>ר בידיו את המוניטין האישי שלו כמסעדן, או אפילו את המוניטין של מנת הדגל שהוגשה בה או של שירות הקייטרינג שלה. ודוק, מבחינה כלכלית, יש להניח כי השווי של מוניטין המסעדה, כשהוא עומד לבדו, יהיה נמוך, מהשווי של המוניטין הכולל של כל הרכיבים הקשורים לפעילות (המסעדה, ראובן, מנת הדגל ושירות הקייטרינג). כמו כן, עלול להיווצר קושי לנתק בעיני ציבור הלקוחות הפוטנציאלי בין רכיבי הפעילות, באופן שיאפשר העברה מלאה של המוניטין הקשור לאחד הרכיבים בלבד (למשל, להבטיח כי המוניטין של המסעדה יעבור לשולמית במלואו, שעה שהציבור כור</w:t>
      </w:r>
      <w:r w:rsidR="0085047F">
        <w:rPr>
          <w:rFonts w:hint="cs"/>
          <w:rtl/>
        </w:rPr>
        <w:t xml:space="preserve">ך </w:t>
      </w:r>
      <w:r w:rsidRPr="002F1185">
        <w:rPr>
          <w:rFonts w:hint="cs"/>
          <w:rtl/>
        </w:rPr>
        <w:t xml:space="preserve">בינו לבין ראובן ומנת הדגל). יחד עם זאת, המשפט מאפשר, באופן עקרוני, את הפיצול האמור, ומנגנונים שונים עשויים לאפשר לבצע הפרדה מסוג זה בצורה מוצלחת יותר או פחות (כך, למשל, על מנת לאפשר העברה של </w:t>
      </w:r>
      <w:r w:rsidRPr="002F1185">
        <w:rPr>
          <w:rFonts w:hint="cs"/>
          <w:rtl/>
        </w:rPr>
        <w:lastRenderedPageBreak/>
        <w:t xml:space="preserve">מוניטין המסעדה, עשוי ראובן להתחייב שלא לפתוח עסק מתחרה למשך תקופה מסוימת). </w:t>
      </w:r>
    </w:p>
    <w:p w:rsidR="009519E3" w:rsidRPr="002F1185" w:rsidRDefault="009519E3" w:rsidP="009519E3">
      <w:pPr>
        <w:pStyle w:val="Ruller41"/>
      </w:pPr>
    </w:p>
    <w:p w:rsidR="009519E3" w:rsidRPr="002F1185" w:rsidRDefault="009519E3" w:rsidP="00E97A13">
      <w:pPr>
        <w:pStyle w:val="Ruller4"/>
        <w:rPr>
          <w:rtl/>
        </w:rPr>
      </w:pPr>
      <w:r w:rsidRPr="002F1185">
        <w:rPr>
          <w:rFonts w:hint="cs"/>
          <w:rtl/>
        </w:rPr>
        <w:t>המוניטין שנמכר במסגרת הסכם המכר בו עסקינן נחלק לשניים: מוניטין המתייחס לפעילות השילוח הבינלאומי שבוצעה במסגרת</w:t>
      </w:r>
      <w:r w:rsidR="00B00144">
        <w:rPr>
          <w:rFonts w:hint="cs"/>
          <w:rtl/>
        </w:rPr>
        <w:t xml:space="preserve"> חברת הבת</w:t>
      </w:r>
      <w:r w:rsidRPr="002F1185">
        <w:rPr>
          <w:rFonts w:hint="cs"/>
          <w:rtl/>
        </w:rPr>
        <w:t xml:space="preserve">, ומוניטין של קבוצת </w:t>
      </w:r>
      <w:r w:rsidR="00B00144">
        <w:rPr>
          <w:rFonts w:hint="cs"/>
          <w:rtl/>
        </w:rPr>
        <w:t>פליינג קרגו</w:t>
      </w:r>
      <w:r w:rsidRPr="002F1185">
        <w:rPr>
          <w:rFonts w:hint="cs"/>
          <w:rtl/>
        </w:rPr>
        <w:t xml:space="preserve">, השייך על פי קביעות בית המשפט קמא </w:t>
      </w:r>
      <w:r w:rsidR="00B00144">
        <w:rPr>
          <w:rFonts w:hint="cs"/>
          <w:rtl/>
        </w:rPr>
        <w:t xml:space="preserve">במלואו </w:t>
      </w:r>
      <w:r w:rsidRPr="002F1185">
        <w:rPr>
          <w:rFonts w:hint="cs"/>
          <w:rtl/>
        </w:rPr>
        <w:t xml:space="preserve">לחברת האם. להלן </w:t>
      </w:r>
      <w:r w:rsidR="00E97A13">
        <w:rPr>
          <w:rFonts w:hint="cs"/>
          <w:rtl/>
        </w:rPr>
        <w:t>א</w:t>
      </w:r>
      <w:r w:rsidRPr="002F1185">
        <w:rPr>
          <w:rFonts w:hint="cs"/>
          <w:rtl/>
        </w:rPr>
        <w:t>בקש להבהיר את ההבחנה בין שני סוגי המוניטין הלל</w:t>
      </w:r>
      <w:r w:rsidR="00E97A13">
        <w:rPr>
          <w:rFonts w:hint="cs"/>
          <w:rtl/>
        </w:rPr>
        <w:t>ו, ולתת בהם סימנים. ואולם בטרם א</w:t>
      </w:r>
      <w:r w:rsidRPr="002F1185">
        <w:rPr>
          <w:rFonts w:hint="cs"/>
          <w:rtl/>
        </w:rPr>
        <w:t xml:space="preserve">עשה כן, חשוב להבהיר מושכלת יסוד ביחס לתנאים בהם יתאפשר להפריד, לצורך דיני המס, בין מכירת עסק לבין מכירת מוניטין המתייחס לפעילות אותו עסק. </w:t>
      </w:r>
    </w:p>
    <w:p w:rsidR="009519E3" w:rsidRPr="002F1185" w:rsidRDefault="009519E3" w:rsidP="009519E3">
      <w:pPr>
        <w:pStyle w:val="Ruller41"/>
        <w:rPr>
          <w:rtl/>
        </w:rPr>
      </w:pPr>
    </w:p>
    <w:p w:rsidR="009519E3" w:rsidRPr="002F1185" w:rsidRDefault="009519E3" w:rsidP="008E096D">
      <w:pPr>
        <w:pStyle w:val="Ruller4"/>
        <w:rPr>
          <w:rtl/>
        </w:rPr>
      </w:pPr>
      <w:r w:rsidRPr="002F1185">
        <w:rPr>
          <w:rFonts w:hint="cs"/>
          <w:rtl/>
        </w:rPr>
        <w:t>כאשר נמכר עסק חי, על המוניטין של אותו עסק, אין לאפשר לצורך דיני המס הפרדה של העסקה לשני חלקים: מכירה של הפעילות העסקית מחד גיסא, ומכירה של המוניטין המתייחס לאותה פעילות עסקית, מאידך גיסא. הפעילות העסקית והמוניטין הנלווה לה שלובים זה בזה, והפרדה ביניהם לצורך חבות המס, כאשר שניהם נמכרים במסגרת אותה עסקה ועל ידי אותו מוכר, אינה אפשרית. ההלכה בעניין זה נקבעה ב</w:t>
      </w:r>
      <w:r w:rsidR="008E096D">
        <w:rPr>
          <w:rFonts w:hint="cs"/>
          <w:rtl/>
        </w:rPr>
        <w:t xml:space="preserve">עניין </w:t>
      </w:r>
      <w:r w:rsidR="008E096D">
        <w:rPr>
          <w:rFonts w:ascii="Century" w:hAnsi="Century" w:cs="Miriam" w:hint="cs"/>
          <w:b/>
          <w:spacing w:val="0"/>
          <w:szCs w:val="24"/>
          <w:rtl/>
        </w:rPr>
        <w:t>אינווסט</w:t>
      </w:r>
      <w:r w:rsidRPr="002F1185">
        <w:rPr>
          <w:rFonts w:hint="cs"/>
          <w:rtl/>
        </w:rPr>
        <w:t xml:space="preserve">, וחזרה עליה הנשיאה (בדימ') </w:t>
      </w:r>
      <w:r w:rsidRPr="002F1185">
        <w:rPr>
          <w:rFonts w:ascii="Century" w:hAnsi="Century" w:cs="Miriam" w:hint="cs"/>
          <w:b/>
          <w:spacing w:val="0"/>
          <w:sz w:val="22"/>
          <w:szCs w:val="24"/>
          <w:rtl/>
        </w:rPr>
        <w:t>מרים נאור</w:t>
      </w:r>
      <w:r w:rsidRPr="002F1185">
        <w:rPr>
          <w:rFonts w:hint="cs"/>
          <w:rtl/>
        </w:rPr>
        <w:t xml:space="preserve"> בעניין</w:t>
      </w:r>
      <w:r w:rsidRPr="002F1185">
        <w:rPr>
          <w:rFonts w:ascii="Century" w:hAnsi="Century" w:cs="Miriam" w:hint="cs"/>
          <w:b/>
          <w:spacing w:val="0"/>
          <w:szCs w:val="24"/>
          <w:rtl/>
        </w:rPr>
        <w:t xml:space="preserve"> תדיראן</w:t>
      </w:r>
      <w:r w:rsidRPr="002F1185">
        <w:rPr>
          <w:rFonts w:hint="cs"/>
          <w:rtl/>
        </w:rPr>
        <w:t>, בציינה כי "</w:t>
      </w:r>
      <w:r w:rsidRPr="002F1185">
        <w:rPr>
          <w:rFonts w:ascii="Century" w:hAnsi="Century" w:cs="Miriam"/>
          <w:b/>
          <w:spacing w:val="0"/>
          <w:szCs w:val="24"/>
          <w:rtl/>
        </w:rPr>
        <w:t>אין לפרש את הכרעתנו זו כ</w:t>
      </w:r>
      <w:r w:rsidRPr="002F1185">
        <w:rPr>
          <w:rFonts w:ascii="Century" w:hAnsi="Century" w:cs="Miriam" w:hint="cs"/>
          <w:b/>
          <w:spacing w:val="0"/>
          <w:szCs w:val="24"/>
          <w:rtl/>
        </w:rPr>
        <w:t>'</w:t>
      </w:r>
      <w:r w:rsidRPr="002F1185">
        <w:rPr>
          <w:rFonts w:ascii="Century" w:hAnsi="Century" w:cs="Miriam"/>
          <w:b/>
          <w:spacing w:val="0"/>
          <w:szCs w:val="24"/>
          <w:rtl/>
        </w:rPr>
        <w:t>פתיחת הסכר</w:t>
      </w:r>
      <w:r w:rsidRPr="002F1185">
        <w:rPr>
          <w:rFonts w:ascii="Century" w:hAnsi="Century" w:cs="Miriam" w:hint="cs"/>
          <w:b/>
          <w:spacing w:val="0"/>
          <w:szCs w:val="24"/>
          <w:rtl/>
        </w:rPr>
        <w:t>'</w:t>
      </w:r>
      <w:r w:rsidRPr="002F1185">
        <w:rPr>
          <w:rFonts w:ascii="Century" w:hAnsi="Century" w:cs="Miriam"/>
          <w:b/>
          <w:spacing w:val="0"/>
          <w:szCs w:val="24"/>
          <w:rtl/>
        </w:rPr>
        <w:t xml:space="preserve"> וכשינוי מקביעותיו של בית-משפט זה בעניין </w:t>
      </w:r>
      <w:r w:rsidRPr="002F1185">
        <w:rPr>
          <w:rFonts w:ascii="Century" w:hAnsi="Century" w:cs="Miriam" w:hint="eastAsia"/>
          <w:b/>
          <w:spacing w:val="0"/>
          <w:szCs w:val="24"/>
          <w:rtl/>
        </w:rPr>
        <w:t>אינווסט</w:t>
      </w:r>
      <w:r w:rsidRPr="002F1185">
        <w:rPr>
          <w:rFonts w:ascii="Century" w:hAnsi="Century" w:cs="Miriam"/>
          <w:b/>
          <w:spacing w:val="0"/>
          <w:szCs w:val="24"/>
          <w:rtl/>
        </w:rPr>
        <w:t>. הכלל היה ועודנו הוא כי מוניטין נמכרים כחלק בלתי נפרד מהעסק החי</w:t>
      </w:r>
      <w:r w:rsidRPr="002F1185">
        <w:rPr>
          <w:rFonts w:hint="cs"/>
          <w:rtl/>
        </w:rPr>
        <w:t>" (פסקה 8)).</w:t>
      </w:r>
    </w:p>
    <w:p w:rsidR="009519E3" w:rsidRDefault="009519E3" w:rsidP="009519E3">
      <w:pPr>
        <w:pStyle w:val="Ruller41"/>
        <w:rPr>
          <w:rtl/>
        </w:rPr>
      </w:pPr>
    </w:p>
    <w:p w:rsidR="009519E3" w:rsidRDefault="00CD4188" w:rsidP="00CD4188">
      <w:pPr>
        <w:pStyle w:val="Ruller41"/>
        <w:rPr>
          <w:rtl/>
        </w:rPr>
      </w:pPr>
      <w:r>
        <w:rPr>
          <w:rtl/>
        </w:rPr>
        <w:tab/>
      </w:r>
      <w:r w:rsidR="009519E3" w:rsidRPr="002F1185">
        <w:rPr>
          <w:rFonts w:hint="cs"/>
          <w:rtl/>
        </w:rPr>
        <w:t>ויובהר, הכלל האמור אינו מונע מצבים בהם במסגרת עסקה אחת נמכרים הן העסק (על המוניטין שבו) והן מוניטין של בעלי העסק (בין אם הוא אדם פרטי ובין אם ח</w:t>
      </w:r>
      <w:r w:rsidR="00BF2F42">
        <w:rPr>
          <w:rFonts w:hint="cs"/>
          <w:rtl/>
        </w:rPr>
        <w:t>ברה). כך, למשל, באחת הפרשיות שנ</w:t>
      </w:r>
      <w:r w:rsidR="009519E3" w:rsidRPr="002F1185">
        <w:rPr>
          <w:rFonts w:hint="cs"/>
          <w:rtl/>
        </w:rPr>
        <w:t>דונה בעניין</w:t>
      </w:r>
      <w:r w:rsidR="009519E3" w:rsidRPr="002F1185">
        <w:rPr>
          <w:rFonts w:ascii="Century" w:hAnsi="Century" w:cs="Miriam" w:hint="cs"/>
          <w:b/>
          <w:spacing w:val="0"/>
          <w:szCs w:val="24"/>
          <w:rtl/>
        </w:rPr>
        <w:t xml:space="preserve"> אינווסט</w:t>
      </w:r>
      <w:r w:rsidR="009519E3" w:rsidRPr="002F1185">
        <w:rPr>
          <w:rFonts w:hint="cs"/>
          <w:rtl/>
        </w:rPr>
        <w:t xml:space="preserve"> (פרשת שרון </w:t>
      </w:r>
      <w:r w:rsidR="009519E3" w:rsidRPr="002F1185">
        <w:rPr>
          <w:rtl/>
        </w:rPr>
        <w:t>–</w:t>
      </w:r>
      <w:r w:rsidR="009519E3" w:rsidRPr="002F1185">
        <w:rPr>
          <w:rFonts w:hint="cs"/>
          <w:rtl/>
        </w:rPr>
        <w:t xml:space="preserve"> ע"א 7493/98 וע"א 7543/98) דובר במנהל תיקי השקעות ואשתו אשר מכרו לרוכשת (חברת קרדן השקעות בע"מ) במסגרת עסקה אחת הן את מניותיהם בחברה באמצעותה פעלו עד אותה עת, והן את </w:t>
      </w:r>
      <w:r w:rsidR="009519E3" w:rsidRPr="002F1185">
        <w:rPr>
          <w:rFonts w:ascii="Century" w:hAnsi="Century" w:cs="Miriam" w:hint="cs"/>
          <w:b/>
          <w:spacing w:val="0"/>
          <w:szCs w:val="24"/>
          <w:rtl/>
        </w:rPr>
        <w:t>"כל המוניטין שלהם ובכלל זה הידע המקצועי, השם והקשרים"</w:t>
      </w:r>
      <w:r w:rsidR="009519E3" w:rsidRPr="002F1185">
        <w:rPr>
          <w:rFonts w:hint="cs"/>
          <w:rtl/>
        </w:rPr>
        <w:t xml:space="preserve">. בגין כל אחד מהנכסים (העסק והמוניטין) נקבע מחיר נפרד (תוך הבחנה בין מוניטין הבעל ומוניטין האשה). בית המשפט העליון אישר את קביעות בית המשפט המחוזי, לפיהן לבעל היה מוניטין בתחום שוק ניירות הערך (מוניטין העוסק), שהיה נפרד מהמוניטין של החברה באמצעותה פעל (מוניטין העסק), וכי הוא מכר </w:t>
      </w:r>
      <w:r w:rsidR="00B00144">
        <w:rPr>
          <w:rFonts w:hint="cs"/>
          <w:rtl/>
        </w:rPr>
        <w:t xml:space="preserve">את פירות </w:t>
      </w:r>
      <w:r w:rsidR="009519E3" w:rsidRPr="002F1185">
        <w:rPr>
          <w:rFonts w:hint="cs"/>
          <w:rtl/>
        </w:rPr>
        <w:t xml:space="preserve">מוניטין </w:t>
      </w:r>
      <w:r w:rsidR="00B00144">
        <w:rPr>
          <w:rFonts w:hint="cs"/>
          <w:rtl/>
        </w:rPr>
        <w:t xml:space="preserve">זה </w:t>
      </w:r>
      <w:r w:rsidR="009519E3" w:rsidRPr="002F1185">
        <w:rPr>
          <w:rFonts w:hint="cs"/>
          <w:rtl/>
        </w:rPr>
        <w:t>לרוכשת בנפרד ממכירת מניותיו בחברה; לעומת זאת לאשה לא היה מוניטין עוסק משל עצמה, ומשום כך לא הוכר שהיה לה נכס עצמאי אותו יכלה למכור בנפרד למכירת מניותיה בחברה. דוגמא נוספת לאותו עקרון היא עניין</w:t>
      </w:r>
      <w:r w:rsidR="009519E3" w:rsidRPr="002F1185">
        <w:rPr>
          <w:rFonts w:ascii="Century" w:hAnsi="Century" w:cs="Miriam" w:hint="cs"/>
          <w:b/>
          <w:spacing w:val="0"/>
          <w:szCs w:val="24"/>
          <w:rtl/>
        </w:rPr>
        <w:t xml:space="preserve"> תדיראן. </w:t>
      </w:r>
      <w:r w:rsidR="009519E3" w:rsidRPr="002F1185">
        <w:rPr>
          <w:rFonts w:hint="cs"/>
          <w:rtl/>
        </w:rPr>
        <w:t>במקרה זה הכיר בית משפט זה בכך שלחברת האם, תדיראן בע"מ, היה מוניטין משל עצמה, אשר לא הועבר לחברת הבת באמצעות</w:t>
      </w:r>
      <w:r w:rsidR="0085047F">
        <w:rPr>
          <w:rFonts w:hint="cs"/>
          <w:rtl/>
        </w:rPr>
        <w:t>ה</w:t>
      </w:r>
      <w:r w:rsidR="009519E3" w:rsidRPr="002F1185">
        <w:rPr>
          <w:rFonts w:hint="cs"/>
          <w:rtl/>
        </w:rPr>
        <w:t xml:space="preserve"> התבצעה הפעילות בתחום מערכות הקשר. לפיכך ניתן היה להכיר בכך </w:t>
      </w:r>
      <w:r w:rsidR="009519E3" w:rsidRPr="002F1185">
        <w:rPr>
          <w:rFonts w:hint="cs"/>
          <w:rtl/>
        </w:rPr>
        <w:lastRenderedPageBreak/>
        <w:t xml:space="preserve">שהסכם המאפשר לרוכש שימוש במוניטין הכללי של תדיראן, קובע תמורה נפרדת (אשר עליה יוטל מס כמכירת מוניטין), מזו ששולמה בעבור חברת הבת (אשר עליה יוטל מס כמכירת מניות). </w:t>
      </w:r>
    </w:p>
    <w:p w:rsidR="00B00144" w:rsidRDefault="00B00144" w:rsidP="00B00144">
      <w:pPr>
        <w:pStyle w:val="Ruller41"/>
        <w:rPr>
          <w:rtl/>
        </w:rPr>
      </w:pPr>
    </w:p>
    <w:p w:rsidR="00B4077D" w:rsidRDefault="00B4077D" w:rsidP="00500CE6">
      <w:pPr>
        <w:pStyle w:val="Ruller4"/>
        <w:numPr>
          <w:ilvl w:val="0"/>
          <w:numId w:val="0"/>
        </w:numPr>
        <w:rPr>
          <w:rtl/>
        </w:rPr>
      </w:pPr>
      <w:r>
        <w:rPr>
          <w:rFonts w:ascii="Century" w:hAnsi="Century" w:cs="Miriam"/>
          <w:b/>
          <w:spacing w:val="0"/>
          <w:szCs w:val="24"/>
          <w:rtl/>
        </w:rPr>
        <w:tab/>
      </w:r>
      <w:r w:rsidR="00B00144" w:rsidRPr="00B00144">
        <w:rPr>
          <w:rFonts w:ascii="Century" w:hAnsi="Century" w:cs="Miriam" w:hint="cs"/>
          <w:b/>
          <w:spacing w:val="0"/>
          <w:szCs w:val="24"/>
          <w:rtl/>
        </w:rPr>
        <w:t>הערה</w:t>
      </w:r>
      <w:r w:rsidR="00B00144">
        <w:rPr>
          <w:rFonts w:hint="cs"/>
          <w:rtl/>
        </w:rPr>
        <w:t xml:space="preserve">: </w:t>
      </w:r>
      <w:r>
        <w:rPr>
          <w:rFonts w:hint="cs"/>
          <w:rtl/>
        </w:rPr>
        <w:t xml:space="preserve">לעיתים מוניטין העוסק הוא </w:t>
      </w:r>
      <w:r w:rsidRPr="00FC5A1A">
        <w:rPr>
          <w:rFonts w:ascii="Century" w:hAnsi="Century" w:cs="Miriam" w:hint="cs"/>
          <w:b/>
          <w:spacing w:val="0"/>
          <w:sz w:val="22"/>
          <w:szCs w:val="24"/>
          <w:rtl/>
        </w:rPr>
        <w:t>מוניטין אישי</w:t>
      </w:r>
      <w:r>
        <w:rPr>
          <w:rFonts w:hint="cs"/>
          <w:rtl/>
        </w:rPr>
        <w:t xml:space="preserve">, המתייחס לבן-אדם מסוים (אשר יכול להיות בעל עסק, עובד בחברה וכדומה) ונוגע לתכונותיו האישיות, כגון ידע, מומחיות מסוימת, כושר ניהול, שמו הטוב, ניסיונו האישי, יחס אישי שהוא מעניק ללקוחות או תכונות אחרות שלו. אדם אינו יכול להיפרד מכל אלו, אלא הם נכסים "אישיים" ההולכים עמו באשר ילך, ולכן אין הוא יכול להעביר אותם לאחר </w:t>
      </w:r>
      <w:r w:rsidRPr="00D91E66">
        <w:rPr>
          <w:rFonts w:hint="cs"/>
          <w:rtl/>
        </w:rPr>
        <w:t>(</w:t>
      </w:r>
      <w:r>
        <w:rPr>
          <w:rFonts w:hint="cs"/>
          <w:rtl/>
        </w:rPr>
        <w:t xml:space="preserve">עניין </w:t>
      </w:r>
      <w:r w:rsidRPr="00FC5A1A">
        <w:rPr>
          <w:rFonts w:ascii="Century" w:hAnsi="Century" w:cs="Miriam" w:hint="cs"/>
          <w:b/>
          <w:spacing w:val="0"/>
          <w:sz w:val="22"/>
          <w:szCs w:val="24"/>
          <w:rtl/>
        </w:rPr>
        <w:t>אינווסט</w:t>
      </w:r>
      <w:r>
        <w:rPr>
          <w:rFonts w:hint="cs"/>
          <w:rtl/>
        </w:rPr>
        <w:t>, עמ' 250</w:t>
      </w:r>
      <w:r w:rsidRPr="00D91E66">
        <w:rPr>
          <w:rFonts w:hint="cs"/>
          <w:rtl/>
        </w:rPr>
        <w:t>)</w:t>
      </w:r>
      <w:r>
        <w:rPr>
          <w:rFonts w:hint="cs"/>
          <w:rtl/>
        </w:rPr>
        <w:t xml:space="preserve">. יחד עם זאת, פירותיו של </w:t>
      </w:r>
      <w:r w:rsidRPr="00E205ED">
        <w:rPr>
          <w:rFonts w:hint="cs"/>
          <w:rtl/>
        </w:rPr>
        <w:t>המוניטין האישי ניתנים להפרדה מבעליו</w:t>
      </w:r>
      <w:r>
        <w:rPr>
          <w:rFonts w:hint="cs"/>
          <w:rtl/>
        </w:rPr>
        <w:t>,</w:t>
      </w:r>
      <w:r w:rsidRPr="00E205ED">
        <w:rPr>
          <w:rFonts w:hint="cs"/>
          <w:rtl/>
        </w:rPr>
        <w:t xml:space="preserve"> ועל כן הם ניתנים להעברה (עניין </w:t>
      </w:r>
      <w:r w:rsidRPr="00FC5A1A">
        <w:rPr>
          <w:rFonts w:ascii="Century" w:hAnsi="Century" w:cs="Miriam" w:hint="cs"/>
          <w:b/>
          <w:spacing w:val="0"/>
          <w:sz w:val="22"/>
          <w:szCs w:val="24"/>
          <w:rtl/>
        </w:rPr>
        <w:t>אינווסט</w:t>
      </w:r>
      <w:r w:rsidRPr="00E205ED">
        <w:rPr>
          <w:rFonts w:hint="cs"/>
          <w:rtl/>
        </w:rPr>
        <w:t>, עמ' 250</w:t>
      </w:r>
      <w:r>
        <w:rPr>
          <w:rFonts w:hint="cs"/>
          <w:rtl/>
        </w:rPr>
        <w:t xml:space="preserve">; </w:t>
      </w:r>
      <w:r w:rsidR="00500CE6" w:rsidRPr="005D388F">
        <w:rPr>
          <w:rFonts w:ascii="FrankRuehl" w:hAnsi="FrankRuehl" w:hint="cs"/>
          <w:color w:val="000000"/>
          <w:sz w:val="28"/>
          <w:rtl/>
        </w:rPr>
        <w:t>ע"א 5118/13 ‏</w:t>
      </w:r>
      <w:r w:rsidR="00500CE6" w:rsidRPr="00FC5A1A">
        <w:rPr>
          <w:rFonts w:ascii="Century" w:hAnsi="Century" w:cs="Miriam" w:hint="cs"/>
          <w:b/>
          <w:spacing w:val="0"/>
          <w:sz w:val="22"/>
          <w:szCs w:val="24"/>
          <w:rtl/>
        </w:rPr>
        <w:t>נסים נ' פקיד שומה גוש דן</w:t>
      </w:r>
      <w:r w:rsidR="00500CE6" w:rsidRPr="005D388F">
        <w:rPr>
          <w:rFonts w:ascii="Arial TUR" w:hAnsi="Arial TUR" w:hint="cs"/>
          <w:sz w:val="28"/>
          <w:rtl/>
        </w:rPr>
        <w:t>, פסקה 5 (24.12.2015)</w:t>
      </w:r>
      <w:r>
        <w:rPr>
          <w:rFonts w:hint="cs"/>
          <w:rtl/>
        </w:rPr>
        <w:t>)</w:t>
      </w:r>
      <w:r w:rsidRPr="00E205ED">
        <w:rPr>
          <w:rFonts w:hint="cs"/>
          <w:rtl/>
        </w:rPr>
        <w:t xml:space="preserve">. כך למשל, </w:t>
      </w:r>
      <w:r>
        <w:rPr>
          <w:rFonts w:hint="cs"/>
          <w:rtl/>
        </w:rPr>
        <w:t xml:space="preserve">אדם אינו יכול להעביר לאחר את "אדיבותו" או את "ניסיונו", אך </w:t>
      </w:r>
      <w:r w:rsidR="00416CD9">
        <w:rPr>
          <w:rFonts w:hint="cs"/>
          <w:rtl/>
        </w:rPr>
        <w:t>את רשימת הלקוחות שפוקדים את העסק בשל תכונות אלו ניתן להעביר לאחר, ו</w:t>
      </w:r>
      <w:r>
        <w:rPr>
          <w:rFonts w:hint="cs"/>
          <w:rtl/>
        </w:rPr>
        <w:t xml:space="preserve">את </w:t>
      </w:r>
      <w:r w:rsidR="00416CD9">
        <w:rPr>
          <w:rFonts w:hint="cs"/>
          <w:rtl/>
        </w:rPr>
        <w:t xml:space="preserve">כוח עבודתו של האדם ניתן להעמיד לרשות אחר, ובכך לסייע לו ליהנות מהמוניטין האישי שצבר </w:t>
      </w:r>
      <w:r w:rsidR="000F627B">
        <w:rPr>
          <w:rFonts w:hint="cs"/>
          <w:rtl/>
        </w:rPr>
        <w:t>ה</w:t>
      </w:r>
      <w:r w:rsidR="00416CD9">
        <w:rPr>
          <w:rFonts w:hint="cs"/>
          <w:rtl/>
        </w:rPr>
        <w:t xml:space="preserve">עובד. </w:t>
      </w:r>
    </w:p>
    <w:p w:rsidR="009519E3" w:rsidRPr="002F1185" w:rsidRDefault="009519E3" w:rsidP="009519E3">
      <w:pPr>
        <w:pStyle w:val="Ruller41"/>
        <w:rPr>
          <w:rtl/>
        </w:rPr>
      </w:pPr>
    </w:p>
    <w:p w:rsidR="009519E3" w:rsidRDefault="009519E3" w:rsidP="009519E3">
      <w:pPr>
        <w:pStyle w:val="Ruller41"/>
        <w:rPr>
          <w:rtl/>
        </w:rPr>
      </w:pPr>
      <w:r w:rsidRPr="002F1185">
        <w:rPr>
          <w:rtl/>
        </w:rPr>
        <w:tab/>
      </w:r>
      <w:r w:rsidRPr="002F1185">
        <w:rPr>
          <w:rFonts w:hint="cs"/>
          <w:rtl/>
        </w:rPr>
        <w:t xml:space="preserve">המסקנה המתבקשת מהאמור לעיל היא שמכירה נפרדת של עסק ושל מוניטין תתאפשר, אם ורק אם, מכירה זו מתייחסת למוניטין נפרד מהמוניטין של פעילות העסק גופו (מוניטין העסק הנמכר), כגון מוניטין של העוסק (פרשת שרון בעניין </w:t>
      </w:r>
      <w:r w:rsidRPr="002F1185">
        <w:rPr>
          <w:rFonts w:ascii="Century" w:hAnsi="Century" w:cs="Miriam" w:hint="cs"/>
          <w:b/>
          <w:spacing w:val="0"/>
          <w:szCs w:val="24"/>
          <w:rtl/>
        </w:rPr>
        <w:t>אינווסט</w:t>
      </w:r>
      <w:r w:rsidRPr="002F1185">
        <w:rPr>
          <w:rFonts w:hint="cs"/>
          <w:rtl/>
        </w:rPr>
        <w:t xml:space="preserve">) או מוניטין של הקבוצה אליה השתייכה החברה הנמכרת (עניין </w:t>
      </w:r>
      <w:r w:rsidRPr="002F1185">
        <w:rPr>
          <w:rFonts w:ascii="Century" w:hAnsi="Century" w:cs="Miriam" w:hint="cs"/>
          <w:b/>
          <w:spacing w:val="0"/>
          <w:szCs w:val="24"/>
          <w:rtl/>
        </w:rPr>
        <w:t>תדיראן</w:t>
      </w:r>
      <w:r w:rsidRPr="002F1185">
        <w:rPr>
          <w:rFonts w:hint="cs"/>
          <w:rtl/>
        </w:rPr>
        <w:t xml:space="preserve">). וביישום לענייננו </w:t>
      </w:r>
      <w:r w:rsidRPr="002F1185">
        <w:rPr>
          <w:rtl/>
        </w:rPr>
        <w:t>–</w:t>
      </w:r>
      <w:r w:rsidRPr="002F1185">
        <w:rPr>
          <w:rFonts w:hint="cs"/>
          <w:rtl/>
        </w:rPr>
        <w:t xml:space="preserve"> המוניטין בגינו ניתן להכיר במכירה נפרדת ממכירת העסק הוא המוניטין של</w:t>
      </w:r>
      <w:r w:rsidRPr="002F1185">
        <w:rPr>
          <w:rFonts w:hint="cs"/>
        </w:rPr>
        <w:t xml:space="preserve"> </w:t>
      </w:r>
      <w:r w:rsidRPr="002F1185">
        <w:rPr>
          <w:rFonts w:hint="cs"/>
          <w:rtl/>
        </w:rPr>
        <w:t xml:space="preserve">קבוצת פליינג קרגו (השייך לחברת האם), וזאת להבדיל </w:t>
      </w:r>
      <w:r w:rsidR="003D549A">
        <w:rPr>
          <w:rFonts w:hint="cs"/>
          <w:rtl/>
        </w:rPr>
        <w:t>מ</w:t>
      </w:r>
      <w:r w:rsidRPr="002F1185">
        <w:rPr>
          <w:rFonts w:hint="cs"/>
          <w:rtl/>
        </w:rPr>
        <w:t>המוניטין הקשור לפעילות השילוח הבינלאומי (אותו לא ניתן להפריד לצורכי מס מ</w:t>
      </w:r>
      <w:r w:rsidR="00B00144">
        <w:rPr>
          <w:rFonts w:hint="cs"/>
          <w:rtl/>
        </w:rPr>
        <w:t xml:space="preserve">מכירת </w:t>
      </w:r>
      <w:r w:rsidRPr="002F1185">
        <w:rPr>
          <w:rFonts w:hint="cs"/>
          <w:rtl/>
        </w:rPr>
        <w:t xml:space="preserve">פעילות חברת הבת). </w:t>
      </w:r>
    </w:p>
    <w:p w:rsidR="009519E3" w:rsidRPr="002F1185" w:rsidRDefault="00416CD9" w:rsidP="00416CD9">
      <w:pPr>
        <w:pStyle w:val="Ruller41"/>
        <w:rPr>
          <w:rtl/>
        </w:rPr>
      </w:pPr>
      <w:r>
        <w:rPr>
          <w:rtl/>
        </w:rPr>
        <w:tab/>
      </w:r>
    </w:p>
    <w:p w:rsidR="009519E3" w:rsidRPr="002F1185" w:rsidRDefault="009519E3" w:rsidP="00E067F0">
      <w:pPr>
        <w:pStyle w:val="Ruller4"/>
        <w:rPr>
          <w:rtl/>
        </w:rPr>
      </w:pPr>
      <w:r w:rsidRPr="002F1185">
        <w:rPr>
          <w:rFonts w:hint="cs"/>
          <w:rtl/>
        </w:rPr>
        <w:t>על רקע הבהרות אלו נפנה לבחון את הוראות הסכם המכר בו עסקינן.</w:t>
      </w:r>
    </w:p>
    <w:p w:rsidR="009519E3" w:rsidRPr="002F1185" w:rsidRDefault="009519E3" w:rsidP="009519E3">
      <w:pPr>
        <w:pStyle w:val="Ruller41"/>
        <w:rPr>
          <w:rtl/>
        </w:rPr>
      </w:pPr>
    </w:p>
    <w:p w:rsidR="009519E3" w:rsidRDefault="009519E3" w:rsidP="009519E3">
      <w:pPr>
        <w:pStyle w:val="Ruller41"/>
        <w:rPr>
          <w:rtl/>
        </w:rPr>
      </w:pPr>
      <w:r w:rsidRPr="002F1185">
        <w:rPr>
          <w:rtl/>
        </w:rPr>
        <w:tab/>
      </w:r>
      <w:r w:rsidRPr="002F1185">
        <w:rPr>
          <w:rFonts w:hint="cs"/>
          <w:rtl/>
        </w:rPr>
        <w:t>סעיף 1.1 להסכם המכר מגדיר את המוניטין הנמכר באופן הבא:</w:t>
      </w:r>
    </w:p>
    <w:p w:rsidR="00DC13AA" w:rsidRPr="002F1185" w:rsidRDefault="00DC13AA" w:rsidP="009519E3">
      <w:pPr>
        <w:pStyle w:val="Ruller41"/>
        <w:rPr>
          <w:rtl/>
        </w:rPr>
      </w:pPr>
    </w:p>
    <w:p w:rsidR="009519E3" w:rsidRDefault="009519E3" w:rsidP="009519E3">
      <w:pPr>
        <w:pStyle w:val="Ruller5"/>
        <w:bidi w:val="0"/>
        <w:rPr>
          <w:rFonts w:asciiTheme="majorBidi" w:hAnsiTheme="majorBidi" w:cstheme="majorBidi"/>
          <w:sz w:val="24"/>
          <w:szCs w:val="32"/>
        </w:rPr>
      </w:pPr>
      <w:r w:rsidRPr="002F1185">
        <w:rPr>
          <w:rFonts w:asciiTheme="majorBidi" w:hAnsiTheme="majorBidi" w:cstheme="majorBidi"/>
          <w:sz w:val="24"/>
          <w:szCs w:val="32"/>
        </w:rPr>
        <w:t>'</w:t>
      </w:r>
      <w:r w:rsidRPr="002F1185">
        <w:rPr>
          <w:rFonts w:asciiTheme="majorBidi" w:hAnsiTheme="majorBidi" w:cstheme="majorBidi"/>
          <w:sz w:val="24"/>
          <w:szCs w:val="32"/>
          <w:u w:val="single"/>
        </w:rPr>
        <w:t>Goodwill</w:t>
      </w:r>
      <w:r w:rsidRPr="002F1185">
        <w:rPr>
          <w:rFonts w:asciiTheme="majorBidi" w:hAnsiTheme="majorBidi" w:cstheme="majorBidi"/>
          <w:sz w:val="24"/>
          <w:szCs w:val="32"/>
        </w:rPr>
        <w:t>' means all that goodwill of Seller that has been developed and accumulated by Seller over the years with regard to international forwarding and customs clearance activities and which is required for the operation of the Company, as same operates on the date hereof and will operate on the Closing Date.</w:t>
      </w:r>
    </w:p>
    <w:p w:rsidR="00E067F0" w:rsidRDefault="00E067F0" w:rsidP="00E067F0">
      <w:pPr>
        <w:pStyle w:val="Ruller5"/>
        <w:bidi w:val="0"/>
        <w:rPr>
          <w:rFonts w:asciiTheme="majorBidi" w:hAnsiTheme="majorBidi" w:cstheme="majorBidi"/>
          <w:sz w:val="24"/>
          <w:szCs w:val="32"/>
        </w:rPr>
      </w:pPr>
    </w:p>
    <w:p w:rsidR="009519E3" w:rsidRPr="002F1185" w:rsidRDefault="009519E3" w:rsidP="009519E3">
      <w:pPr>
        <w:pStyle w:val="Ruller41"/>
        <w:rPr>
          <w:rtl/>
        </w:rPr>
      </w:pPr>
    </w:p>
    <w:p w:rsidR="009519E3" w:rsidRPr="002F1185" w:rsidRDefault="009519E3" w:rsidP="009519E3">
      <w:pPr>
        <w:pStyle w:val="Ruller41"/>
        <w:rPr>
          <w:rtl/>
        </w:rPr>
      </w:pPr>
      <w:r w:rsidRPr="002F1185">
        <w:rPr>
          <w:rFonts w:hint="cs"/>
          <w:rtl/>
        </w:rPr>
        <w:t>(</w:t>
      </w:r>
      <w:r w:rsidRPr="003D549A">
        <w:rPr>
          <w:rFonts w:asciiTheme="majorBidi" w:hAnsiTheme="majorBidi" w:cstheme="majorBidi"/>
          <w:sz w:val="24"/>
          <w:szCs w:val="32"/>
        </w:rPr>
        <w:t>Seller</w:t>
      </w:r>
      <w:r w:rsidR="00DC13AA">
        <w:rPr>
          <w:rFonts w:hint="cs"/>
          <w:rtl/>
        </w:rPr>
        <w:t xml:space="preserve"> </w:t>
      </w:r>
      <w:r w:rsidRPr="002F1185">
        <w:rPr>
          <w:rFonts w:hint="cs"/>
          <w:rtl/>
        </w:rPr>
        <w:t xml:space="preserve">הוגדר בסעיף 1.1 להסכם המכר כחברת פליינג קרגו; </w:t>
      </w:r>
      <w:r w:rsidRPr="003D549A">
        <w:rPr>
          <w:rFonts w:asciiTheme="majorBidi" w:hAnsiTheme="majorBidi" w:cstheme="majorBidi"/>
          <w:sz w:val="24"/>
          <w:szCs w:val="32"/>
        </w:rPr>
        <w:t>Company</w:t>
      </w:r>
      <w:r w:rsidRPr="002F1185">
        <w:rPr>
          <w:rFonts w:hint="cs"/>
          <w:rtl/>
        </w:rPr>
        <w:t xml:space="preserve"> הוגדר בסעיף 1.1 להסכם המכר כחברת אף.סי תובלה בינלאומית).</w:t>
      </w:r>
    </w:p>
    <w:p w:rsidR="009519E3" w:rsidRPr="002F1185" w:rsidRDefault="009519E3" w:rsidP="009519E3">
      <w:pPr>
        <w:pStyle w:val="Ruller41"/>
        <w:rPr>
          <w:rtl/>
        </w:rPr>
      </w:pPr>
    </w:p>
    <w:p w:rsidR="009519E3" w:rsidRPr="002F1185" w:rsidRDefault="009519E3" w:rsidP="009519E3">
      <w:pPr>
        <w:pStyle w:val="Ruller41"/>
        <w:rPr>
          <w:rtl/>
        </w:rPr>
      </w:pPr>
      <w:r w:rsidRPr="002F1185">
        <w:rPr>
          <w:rtl/>
        </w:rPr>
        <w:tab/>
      </w:r>
      <w:r w:rsidRPr="002F1185">
        <w:rPr>
          <w:rFonts w:hint="cs"/>
          <w:rtl/>
        </w:rPr>
        <w:t>כפי שניתן ללמוד מלשון ההסכם, המוניטין נשוא העסקה מיוחס למוכר, שעל פי ההסכם מדובר בחברת פליינג קרגו (חברת האם), וכן מדובר במוניטין מאוד ספציפי, הוא המוניטין בתחום השילוח הבינלאומי (ובכלל זה עמילות המכס), אשר נדרש לאופרציה של אף.סי תובלה בינלאומית. ותו לא.</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בית המשפט קמא</w:t>
      </w:r>
      <w:r w:rsidR="0070536E">
        <w:rPr>
          <w:rFonts w:hint="cs"/>
          <w:rtl/>
        </w:rPr>
        <w:t xml:space="preserve"> אומנם</w:t>
      </w:r>
      <w:r w:rsidRPr="002F1185">
        <w:rPr>
          <w:rFonts w:hint="cs"/>
          <w:rtl/>
        </w:rPr>
        <w:t xml:space="preserve"> קבע כי מוניטין זה היה שייך במלואו עובר להסכם המכר לחברת האם, ואולם בכך אין רבותא. חברת הבת הייתה מצויה עובר להסכם המכר בבעלות חברת האם, וממילא הן </w:t>
      </w:r>
      <w:r w:rsidR="0070536E">
        <w:rPr>
          <w:rFonts w:hint="cs"/>
          <w:rtl/>
        </w:rPr>
        <w:t>ה</w:t>
      </w:r>
      <w:r w:rsidRPr="002F1185">
        <w:rPr>
          <w:rFonts w:hint="cs"/>
          <w:rtl/>
        </w:rPr>
        <w:t>מוניטין של פעילות השילוח הבינלאומי, והן המוניטין של קבוצת פליינג קרגו, היו בבעלות חברת האם (וזאת בין אם במישרין ובין אם בעקיפין). כפי שהובהר לעיל, מכירת מוניטין פעילות השילוח הבינלאומי היא מכירה של מוניטין הכרוך במכירת פעילות חברת הבת, ואינו ניתן להפרדה, מבחינה מ</w:t>
      </w:r>
      <w:r w:rsidR="0070536E">
        <w:rPr>
          <w:rFonts w:hint="cs"/>
          <w:rtl/>
        </w:rPr>
        <w:t>י</w:t>
      </w:r>
      <w:r w:rsidRPr="002F1185">
        <w:rPr>
          <w:rFonts w:hint="cs"/>
          <w:rtl/>
        </w:rPr>
        <w:t>סויית, מהמכירה של חברת הבת עצמה. לפיכך השאלה בה עלינו למקד את מבטנו איננה למי שייך המוניטין עובר לעסקה (לחברת האם או לחברת הבת), אלא איזה מוניטין שנמכר במסגרת העסקה הוא מוניטין של הפעילות שנמכרה (פעילות השילוח הבינלאומי) ואיזה הוא מוניטין של קבוצת פליינג קרגו.</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 xml:space="preserve">ודוק, הגבלת המוניטין הנמכר בהסכם המכר לזה הדרוש לצורך הפעילות של חברת הבת </w:t>
      </w:r>
      <w:r w:rsidRPr="003D549A">
        <w:rPr>
          <w:rFonts w:ascii="Century" w:hAnsi="Century"/>
          <w:sz w:val="22"/>
          <w:rtl/>
        </w:rPr>
        <w:t>(</w:t>
      </w:r>
      <w:r w:rsidRPr="003D549A">
        <w:rPr>
          <w:rFonts w:asciiTheme="majorBidi" w:hAnsiTheme="majorBidi" w:cstheme="majorBidi"/>
          <w:szCs w:val="24"/>
        </w:rPr>
        <w:t>"required for the operation of the Company"</w:t>
      </w:r>
      <w:r w:rsidRPr="002F1185">
        <w:rPr>
          <w:rFonts w:hint="cs"/>
          <w:rtl/>
        </w:rPr>
        <w:t>) אין משמעו כי המוניטין הנמכר כולל אך ורק את מוניטין פעילות השילוח הבינלאומי, ואינו כולל מוניטין של קבוצת פליינג קרגו. מהוראות ההסכם עולה כי לחברת הבת הוקנתה מכוח הסכם המכר הזכות להמשיך ולהשתמש במוניטין של קבוצת פליינ</w:t>
      </w:r>
      <w:r w:rsidR="0070536E">
        <w:rPr>
          <w:rFonts w:hint="cs"/>
          <w:rtl/>
        </w:rPr>
        <w:t xml:space="preserve">ג קרגו. עניין זה מובהר בהוראות </w:t>
      </w:r>
      <w:r w:rsidRPr="002F1185">
        <w:rPr>
          <w:rFonts w:hint="cs"/>
          <w:rtl/>
        </w:rPr>
        <w:t>הסכם המכר:</w:t>
      </w:r>
    </w:p>
    <w:p w:rsidR="009519E3" w:rsidRPr="002F1185" w:rsidRDefault="009519E3" w:rsidP="009519E3">
      <w:pPr>
        <w:pStyle w:val="Ruller41"/>
        <w:rPr>
          <w:rtl/>
        </w:rPr>
      </w:pPr>
    </w:p>
    <w:p w:rsidR="009519E3" w:rsidRPr="002F1185" w:rsidRDefault="009519E3" w:rsidP="009519E3">
      <w:pPr>
        <w:pStyle w:val="Ruller41"/>
        <w:rPr>
          <w:rtl/>
        </w:rPr>
      </w:pPr>
      <w:r w:rsidRPr="002F1185">
        <w:rPr>
          <w:rtl/>
        </w:rPr>
        <w:tab/>
      </w:r>
      <w:r w:rsidRPr="002F1185">
        <w:rPr>
          <w:rFonts w:hint="cs"/>
          <w:rtl/>
        </w:rPr>
        <w:t>סעיף 9.16 להסכם המכר קובע כי לחברת הבת יש זכות בלתי הדירה להשתמש בסימני המסחר ובלוגו של קבוצת פליינג קרגו ובאתרי האינטרנט שלה. וזו לשון הסעיף:</w:t>
      </w:r>
    </w:p>
    <w:p w:rsidR="009519E3" w:rsidRPr="002F1185" w:rsidRDefault="009519E3" w:rsidP="009519E3">
      <w:pPr>
        <w:pStyle w:val="Ruller41"/>
        <w:rPr>
          <w:rtl/>
        </w:rPr>
      </w:pPr>
    </w:p>
    <w:p w:rsidR="009519E3" w:rsidRPr="002F1185" w:rsidRDefault="009519E3" w:rsidP="009519E3">
      <w:pPr>
        <w:pStyle w:val="Ruller5"/>
        <w:bidi w:val="0"/>
        <w:rPr>
          <w:rFonts w:asciiTheme="majorBidi" w:hAnsiTheme="majorBidi" w:cstheme="majorBidi"/>
          <w:sz w:val="24"/>
          <w:szCs w:val="24"/>
        </w:rPr>
      </w:pPr>
      <w:r w:rsidRPr="002F1185">
        <w:rPr>
          <w:rFonts w:asciiTheme="majorBidi" w:hAnsiTheme="majorBidi" w:cstheme="majorBidi"/>
          <w:bCs/>
          <w:spacing w:val="0"/>
          <w:sz w:val="24"/>
          <w:szCs w:val="24"/>
          <w:u w:val="single"/>
        </w:rPr>
        <w:t>Trademark and Domain License</w:t>
      </w:r>
      <w:r w:rsidRPr="002F1185">
        <w:rPr>
          <w:rFonts w:asciiTheme="majorBidi" w:hAnsiTheme="majorBidi" w:cstheme="majorBidi"/>
          <w:sz w:val="24"/>
          <w:szCs w:val="24"/>
        </w:rPr>
        <w:t xml:space="preserve">. Effective as of the Closing, the Seller hereby grants to the Company a non-exclusive, irrevocable, worldwide, perpetual, royalty-free, paid-up, non-assignable right and license (but not obligation) to use (i) the trademarks </w:t>
      </w:r>
      <w:r w:rsidRPr="002F1185">
        <w:rPr>
          <w:rFonts w:asciiTheme="majorBidi" w:hAnsiTheme="majorBidi" w:cstheme="majorBidi"/>
          <w:sz w:val="24"/>
          <w:szCs w:val="24"/>
        </w:rPr>
        <w:lastRenderedPageBreak/>
        <w:t>and trade-names "Flying Cargo", "FC" and the FC logo (which are all unregistered) (the "</w:t>
      </w:r>
      <w:r w:rsidRPr="002F1185">
        <w:rPr>
          <w:rFonts w:asciiTheme="majorBidi" w:hAnsiTheme="majorBidi" w:cstheme="majorBidi"/>
          <w:sz w:val="24"/>
          <w:szCs w:val="24"/>
          <w:u w:val="single"/>
        </w:rPr>
        <w:t>Trademark</w:t>
      </w:r>
      <w:r w:rsidRPr="002F1185">
        <w:rPr>
          <w:rFonts w:asciiTheme="majorBidi" w:hAnsiTheme="majorBidi" w:cstheme="majorBidi"/>
          <w:sz w:val="24"/>
          <w:szCs w:val="24"/>
        </w:rPr>
        <w:t xml:space="preserve">") and (ii) the internet domain and e-mail address </w:t>
      </w:r>
      <w:hyperlink r:id="rId9" w:history="1">
        <w:r w:rsidRPr="002F1185">
          <w:rPr>
            <w:rFonts w:asciiTheme="majorBidi" w:hAnsiTheme="majorBidi" w:cstheme="majorBidi"/>
            <w:sz w:val="24"/>
            <w:szCs w:val="24"/>
            <w:u w:val="single"/>
          </w:rPr>
          <w:t>www.flying-cargo.com</w:t>
        </w:r>
      </w:hyperlink>
      <w:r w:rsidRPr="002F1185">
        <w:rPr>
          <w:rFonts w:asciiTheme="majorBidi" w:hAnsiTheme="majorBidi" w:cstheme="majorBidi"/>
          <w:sz w:val="24"/>
          <w:szCs w:val="24"/>
        </w:rPr>
        <w:t xml:space="preserve"> and flying-cargo.co.il, in both of the cases (i) and (ii), solely in the manner used by the Company at the Closing Date and solely in connection with the Company's business purchased by the Buyer hereunder as conducted heretofore, and as may otherwise agreed by Buyer and Seller.</w:t>
      </w:r>
    </w:p>
    <w:p w:rsidR="009519E3" w:rsidRPr="002F1185" w:rsidRDefault="009519E3" w:rsidP="009519E3">
      <w:pPr>
        <w:pStyle w:val="Ruller5"/>
        <w:bidi w:val="0"/>
        <w:rPr>
          <w:rFonts w:asciiTheme="majorBidi" w:hAnsiTheme="majorBidi" w:cstheme="majorBidi"/>
          <w:sz w:val="24"/>
          <w:szCs w:val="24"/>
        </w:rPr>
      </w:pPr>
    </w:p>
    <w:p w:rsidR="009519E3" w:rsidRPr="002F1185" w:rsidRDefault="009519E3" w:rsidP="009519E3">
      <w:pPr>
        <w:pStyle w:val="Ruller41"/>
        <w:rPr>
          <w:rtl/>
        </w:rPr>
      </w:pPr>
    </w:p>
    <w:p w:rsidR="009519E3" w:rsidRPr="002F1185" w:rsidRDefault="0070536E" w:rsidP="006C3CFE">
      <w:pPr>
        <w:pStyle w:val="Ruller41"/>
        <w:rPr>
          <w:rtl/>
        </w:rPr>
      </w:pPr>
      <w:r>
        <w:rPr>
          <w:rtl/>
        </w:rPr>
        <w:tab/>
      </w:r>
      <w:r>
        <w:rPr>
          <w:rFonts w:hint="cs"/>
          <w:rtl/>
        </w:rPr>
        <w:t xml:space="preserve">בנוסף, </w:t>
      </w:r>
      <w:r w:rsidR="009519E3" w:rsidRPr="002F1185">
        <w:rPr>
          <w:rFonts w:hint="cs"/>
          <w:rtl/>
        </w:rPr>
        <w:t xml:space="preserve">סעיף 9.6 להסכם המכר קובע הסדר אי תחרות למשך 4 שנים בתחום פעילות השילוח הבינלאומי. תכליתו של הסדר זה היא למנוע מצב בו </w:t>
      </w:r>
      <w:r w:rsidR="006C3CFE">
        <w:rPr>
          <w:rFonts w:hint="cs"/>
          <w:rtl/>
        </w:rPr>
        <w:t xml:space="preserve">חברת </w:t>
      </w:r>
      <w:r w:rsidR="009519E3" w:rsidRPr="002F1185">
        <w:rPr>
          <w:rFonts w:hint="cs"/>
          <w:rtl/>
        </w:rPr>
        <w:t xml:space="preserve">פליינג קרגו תוכל לנגוס בעסקיה של החברה הנמכרת, תוך שימוש במוניטין של קבוצת פליינג קרגו (השוו </w:t>
      </w:r>
      <w:r>
        <w:rPr>
          <w:rFonts w:hint="cs"/>
          <w:rtl/>
        </w:rPr>
        <w:t>ל</w:t>
      </w:r>
      <w:r w:rsidR="009519E3" w:rsidRPr="002F1185">
        <w:rPr>
          <w:rFonts w:hint="cs"/>
          <w:rtl/>
        </w:rPr>
        <w:t xml:space="preserve">עניין </w:t>
      </w:r>
      <w:r w:rsidR="009519E3" w:rsidRPr="002F1185">
        <w:rPr>
          <w:rFonts w:ascii="Century" w:hAnsi="Century" w:cs="Miriam" w:hint="cs"/>
          <w:b/>
          <w:spacing w:val="0"/>
          <w:szCs w:val="24"/>
          <w:rtl/>
        </w:rPr>
        <w:t>תדיראן</w:t>
      </w:r>
      <w:r w:rsidR="009519E3" w:rsidRPr="002F1185">
        <w:rPr>
          <w:rFonts w:hint="cs"/>
          <w:rtl/>
        </w:rPr>
        <w:t>, פסקה 15).</w:t>
      </w:r>
    </w:p>
    <w:p w:rsidR="009519E3" w:rsidRPr="002F1185" w:rsidRDefault="009519E3" w:rsidP="009519E3">
      <w:pPr>
        <w:pStyle w:val="Ruller41"/>
        <w:rPr>
          <w:rtl/>
        </w:rPr>
      </w:pPr>
    </w:p>
    <w:p w:rsidR="009519E3" w:rsidRDefault="009519E3" w:rsidP="0070536E">
      <w:pPr>
        <w:pStyle w:val="Ruller4"/>
        <w:rPr>
          <w:rtl/>
        </w:rPr>
      </w:pPr>
      <w:r w:rsidRPr="002F1185">
        <w:rPr>
          <w:rFonts w:hint="cs"/>
          <w:rtl/>
        </w:rPr>
        <w:t xml:space="preserve">נמצא אפוא שבית המשפט קמא צדק בקביעתו כי </w:t>
      </w:r>
      <w:r w:rsidR="006C3CFE">
        <w:rPr>
          <w:rFonts w:hint="cs"/>
          <w:rtl/>
        </w:rPr>
        <w:t xml:space="preserve">חברת </w:t>
      </w:r>
      <w:r w:rsidRPr="002F1185">
        <w:rPr>
          <w:rFonts w:hint="cs"/>
          <w:rtl/>
        </w:rPr>
        <w:t xml:space="preserve">פליינג קרגו מכרה לדויטשה פוסט במסגרת הסכם המכר שני נכסים: (1) פעילות השילוח הבינלאומי, שבוצעה באמצעות </w:t>
      </w:r>
      <w:r w:rsidRPr="002F1185">
        <w:rPr>
          <w:rFonts w:ascii="Century" w:hAnsi="Century" w:hint="cs"/>
          <w:sz w:val="22"/>
          <w:rtl/>
        </w:rPr>
        <w:t>אף.סי תובלה בינלאומית (חברת הבת</w:t>
      </w:r>
      <w:r w:rsidR="0070536E">
        <w:rPr>
          <w:rFonts w:ascii="Century" w:hAnsi="Century" w:hint="cs"/>
          <w:sz w:val="22"/>
          <w:rtl/>
        </w:rPr>
        <w:t xml:space="preserve">), </w:t>
      </w:r>
      <w:r w:rsidRPr="0070536E">
        <w:rPr>
          <w:rFonts w:ascii="Century" w:hAnsi="Century" w:hint="cs"/>
          <w:sz w:val="22"/>
          <w:rtl/>
        </w:rPr>
        <w:t>ו</w:t>
      </w:r>
      <w:r w:rsidRPr="002F1185">
        <w:rPr>
          <w:rFonts w:hint="cs"/>
          <w:rtl/>
        </w:rPr>
        <w:t>בכלל זה המוניטין של פעילות זו; (2) הזכות לעשות שימוש במוניטין קבוצת פליינג קרגו. כן צדק בית המשפט קמא בכך שניתן היה להפריד בהסכם המכר בין שני הנכסים הללו, וזאת הן במתווה העסקה והן בתמחור (פעילות השילוח הבינלאומי נמכרה, על דרך של מכירת חברת הבת, מ</w:t>
      </w:r>
      <w:r w:rsidR="006C3CFE">
        <w:rPr>
          <w:rFonts w:hint="cs"/>
          <w:rtl/>
        </w:rPr>
        <w:t xml:space="preserve">חברת </w:t>
      </w:r>
      <w:r w:rsidRPr="002F1185">
        <w:rPr>
          <w:rFonts w:hint="cs"/>
          <w:rtl/>
        </w:rPr>
        <w:t>פליינג קרגו לדויטשה פוסט; זכות השימוש במוניטין של קבוצת פליינג קרגו נ</w:t>
      </w:r>
      <w:r w:rsidR="0070536E">
        <w:rPr>
          <w:rFonts w:hint="cs"/>
          <w:rtl/>
        </w:rPr>
        <w:t>מכרה</w:t>
      </w:r>
      <w:r w:rsidRPr="002F1185">
        <w:rPr>
          <w:rFonts w:hint="cs"/>
          <w:rtl/>
        </w:rPr>
        <w:t>, על דרך של קביעת הוראות מתאימות בהסכם המכר, מ</w:t>
      </w:r>
      <w:r w:rsidR="006C3CFE">
        <w:rPr>
          <w:rFonts w:hint="cs"/>
          <w:rtl/>
        </w:rPr>
        <w:t xml:space="preserve">חברת </w:t>
      </w:r>
      <w:r w:rsidRPr="002F1185">
        <w:rPr>
          <w:rFonts w:hint="cs"/>
          <w:rtl/>
        </w:rPr>
        <w:t>פליינג קרגו ל</w:t>
      </w:r>
      <w:r w:rsidRPr="002F1185">
        <w:rPr>
          <w:rFonts w:ascii="Century" w:hAnsi="Century" w:hint="cs"/>
          <w:sz w:val="22"/>
          <w:rtl/>
        </w:rPr>
        <w:t>אף.סי תובלה בינלאומית</w:t>
      </w:r>
      <w:r w:rsidRPr="002F1185">
        <w:rPr>
          <w:rFonts w:hint="cs"/>
          <w:rtl/>
        </w:rPr>
        <w:t xml:space="preserve">. כל אחד מרכיבים אלה תומחר בנפרד). </w:t>
      </w:r>
    </w:p>
    <w:p w:rsidR="009519E3" w:rsidRPr="002F1185" w:rsidRDefault="009519E3" w:rsidP="009519E3">
      <w:pPr>
        <w:pStyle w:val="Ruller4"/>
        <w:numPr>
          <w:ilvl w:val="0"/>
          <w:numId w:val="0"/>
        </w:numPr>
      </w:pPr>
    </w:p>
    <w:p w:rsidR="009519E3" w:rsidRPr="002F1185" w:rsidRDefault="009519E3" w:rsidP="009519E3">
      <w:pPr>
        <w:pStyle w:val="Ruller4"/>
        <w:numPr>
          <w:ilvl w:val="0"/>
          <w:numId w:val="0"/>
        </w:numPr>
        <w:rPr>
          <w:rtl/>
        </w:rPr>
      </w:pPr>
      <w:r w:rsidRPr="002F1185">
        <w:rPr>
          <w:rtl/>
        </w:rPr>
        <w:tab/>
      </w:r>
      <w:r w:rsidRPr="002F1185">
        <w:rPr>
          <w:rFonts w:hint="cs"/>
          <w:rtl/>
        </w:rPr>
        <w:t>השאלה בה נותר לדון, כפי שהובהר לעיל, היא האם יש הצדקה להתערב בתמחור שנקבע בהסכם המכר ביחס לכל אחד מהרכיבים הללו. לשאלה זו אפנה עתה.</w:t>
      </w:r>
    </w:p>
    <w:p w:rsidR="009519E3" w:rsidRPr="002F1185" w:rsidRDefault="009519E3" w:rsidP="009519E3">
      <w:pPr>
        <w:pStyle w:val="Ruller41"/>
        <w:rPr>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ההצדקות להתערבות בחלוקת התמורה המוסכמת</w:t>
      </w:r>
    </w:p>
    <w:p w:rsidR="009519E3" w:rsidRPr="002F1185" w:rsidRDefault="009519E3" w:rsidP="009519E3">
      <w:pPr>
        <w:pStyle w:val="Ruller41"/>
        <w:rPr>
          <w:rFonts w:ascii="Century" w:hAnsi="Century" w:cs="Miriam"/>
          <w:b/>
          <w:spacing w:val="0"/>
          <w:szCs w:val="24"/>
          <w:rtl/>
        </w:rPr>
      </w:pPr>
    </w:p>
    <w:p w:rsidR="009519E3" w:rsidRPr="002F1185" w:rsidRDefault="009519E3" w:rsidP="009519E3">
      <w:pPr>
        <w:pStyle w:val="Ruller4"/>
        <w:rPr>
          <w:rtl/>
        </w:rPr>
      </w:pPr>
      <w:r w:rsidRPr="002F1185">
        <w:rPr>
          <w:rFonts w:hint="cs"/>
          <w:rtl/>
        </w:rPr>
        <w:t xml:space="preserve">חלוקת התמורות שנקבעה בהסכם המכר ייחסה את רובה המוחלט של התמורה עליה הסכימו הצדדים למוניטין קבוצת פליינג קרגו (437.787 מיליון ש"ח שהם כ-98% מהתמורה) והיתרה לפעילות השילוח הבינלאומי (8.945 מיליון ש"ח שהם כ-2% מהתמורה). ואולם, מגוון רחב של טעמים מצביע על כך כי חלוקת תמורה זו אינה משקפת את השווי היחסי של חלקי הממכר הללו. בהמשך הדברים אבהיר את המרכזיים שבטעמים הללו. </w:t>
      </w:r>
    </w:p>
    <w:p w:rsidR="009519E3" w:rsidRPr="002F1185" w:rsidRDefault="009519E3" w:rsidP="009519E3">
      <w:pPr>
        <w:pStyle w:val="Ruller41"/>
        <w:rPr>
          <w:rtl/>
        </w:rPr>
      </w:pPr>
    </w:p>
    <w:p w:rsidR="009519E3" w:rsidRPr="002F1185" w:rsidRDefault="009519E3" w:rsidP="00B21A4B">
      <w:pPr>
        <w:pStyle w:val="Ruller4"/>
        <w:rPr>
          <w:rtl/>
        </w:rPr>
      </w:pPr>
      <w:r w:rsidRPr="002F1185">
        <w:rPr>
          <w:rFonts w:hint="cs"/>
          <w:rtl/>
        </w:rPr>
        <w:t xml:space="preserve">כהערות מבוא, בטרם אפנה לניתוח חלוקת התמורות בעסקה בה עסקינן, אבקש להצביע על שני שיקולים כלליים: האחד, עניינו תמריצי הצדדים; השני, </w:t>
      </w:r>
      <w:r w:rsidR="00B21A4B">
        <w:rPr>
          <w:rFonts w:hint="cs"/>
          <w:rtl/>
        </w:rPr>
        <w:t xml:space="preserve">עניינו </w:t>
      </w:r>
      <w:r w:rsidRPr="002F1185">
        <w:rPr>
          <w:rFonts w:hint="cs"/>
          <w:rtl/>
        </w:rPr>
        <w:t xml:space="preserve">חלוקת התמורות המקובלת בעסקאות מסוג זה. </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במקרים רבים, מרגע שהצדדים סיכמו על התמורה הכוללת שתשולם במסגרת העסקה, על מכלול רכיביה, עיקר חשיבות השאלה כיצד תפוצל התמורה הכוללת המוסכמת בין רכיבי העסקה היא לעניין חיובי המס שיושתו על הצדדים בעקבות העסקה. משום כך, עלול להיווצר פער בין האופן בו תמחרו הצדדים את הרכיבים השונים לצורך קביעת התמורה הכוללת, לאופן בו בחרו ליחסם במסגרת ההסכם הסופי. מצב דברים זה יוצר קושי, שכן בבואנו למסות את העסקה אנו מעוניינים לעשות כן בהתאם לערך הכלכלי שיוחס לכל אחד מרכיביה, ולהתעלם מהסטות שבוצעו משיקולי מס בלבד. טלו את דוגמת מכירת הדירה והציוד שהובאה בפסקה 34 לעיל. אם מוכר וקונה פרטיים חייבים במס רק ביחס למכירת מקרקעין, ולא ביחס למכירת מיטלטלין, הרי שלאחר סיכום התמורה הכוללת בעבור מכלול רכיבי הממכר (דירה וציוד), יהיו להם תמריצים לייחס חלק גדול ככל הניתן מהתמורה למיטלטלין (הציוד), וזאת מעבר לערך שיוחס להם בעת קביעת המחיר. רשויות המס יבקשו, ובצדק, להתעלם מהסטה זו, ולקבוע את חלוקת התמורות על פי הערך שיוחס לכל אחד מהרכיבים בעת הסיכום על העסקה.</w:t>
      </w:r>
    </w:p>
    <w:p w:rsidR="009519E3" w:rsidRPr="002F1185" w:rsidRDefault="009519E3" w:rsidP="009519E3">
      <w:pPr>
        <w:pStyle w:val="Ruller41"/>
        <w:rPr>
          <w:rtl/>
        </w:rPr>
      </w:pPr>
    </w:p>
    <w:p w:rsidR="009519E3" w:rsidRPr="002F1185" w:rsidRDefault="009519E3" w:rsidP="00B21A4B">
      <w:pPr>
        <w:pStyle w:val="Ruller41"/>
        <w:rPr>
          <w:rtl/>
        </w:rPr>
      </w:pPr>
      <w:r w:rsidRPr="002F1185">
        <w:rPr>
          <w:rtl/>
        </w:rPr>
        <w:tab/>
      </w:r>
      <w:r w:rsidRPr="002F1185">
        <w:rPr>
          <w:rFonts w:hint="cs"/>
          <w:rtl/>
        </w:rPr>
        <w:t>בהקשר בו עסקינן, על פי הנמסר לנו, הן למוכרת (</w:t>
      </w:r>
      <w:r w:rsidR="006C3CFE">
        <w:rPr>
          <w:rFonts w:hint="cs"/>
          <w:rtl/>
        </w:rPr>
        <w:t xml:space="preserve">חברת </w:t>
      </w:r>
      <w:r w:rsidRPr="002F1185">
        <w:rPr>
          <w:rFonts w:hint="cs"/>
          <w:rtl/>
        </w:rPr>
        <w:t xml:space="preserve">פליינג קרגו) והן לקונה (דויטשה פוסט) תמריצי מס לייחס את התמורה למוניטין של </w:t>
      </w:r>
      <w:r w:rsidR="006C3CFE">
        <w:rPr>
          <w:rFonts w:hint="cs"/>
          <w:rtl/>
        </w:rPr>
        <w:t xml:space="preserve">קבוצת </w:t>
      </w:r>
      <w:r w:rsidRPr="002F1185">
        <w:rPr>
          <w:rFonts w:hint="cs"/>
          <w:rtl/>
        </w:rPr>
        <w:t>פליינג קרגו, ולא למכירת המניות (דהיינו, מכירת פעילות השילוח הבינלאומי</w:t>
      </w:r>
      <w:r w:rsidR="00B21A4B">
        <w:rPr>
          <w:rFonts w:hint="cs"/>
          <w:rtl/>
        </w:rPr>
        <w:t xml:space="preserve"> ובכלל זה המוניטין המתייחס אליה</w:t>
      </w:r>
      <w:r w:rsidRPr="002F1185">
        <w:rPr>
          <w:rFonts w:hint="cs"/>
          <w:rtl/>
        </w:rPr>
        <w:t>)</w:t>
      </w:r>
      <w:r w:rsidR="000E4599">
        <w:rPr>
          <w:rFonts w:hint="cs"/>
          <w:rtl/>
        </w:rPr>
        <w:t>.</w:t>
      </w:r>
      <w:r w:rsidRPr="002F1185">
        <w:rPr>
          <w:rFonts w:hint="cs"/>
          <w:rtl/>
        </w:rPr>
        <w:t xml:space="preserve"> מבחינת המוכרת ייחוס כזה יאפשר תשלום מס רווחי הון נמוך יותר (לאור ההקלות החלות על מיסוי מוניטין בהשוואה למכירת מניות); מבחינת הקונה ייחוס כזה עשוי לאפשר ניכוי פחת (המתאפשר ביחס למוניטין אך לא ביחס למניות). </w:t>
      </w:r>
    </w:p>
    <w:p w:rsidR="009519E3" w:rsidRPr="002F1185" w:rsidRDefault="009519E3" w:rsidP="009519E3">
      <w:pPr>
        <w:pStyle w:val="Ruller41"/>
        <w:rPr>
          <w:rtl/>
        </w:rPr>
      </w:pPr>
    </w:p>
    <w:p w:rsidR="009519E3" w:rsidRPr="002F1185" w:rsidRDefault="009519E3" w:rsidP="009519E3">
      <w:pPr>
        <w:pStyle w:val="Ruller41"/>
        <w:rPr>
          <w:rtl/>
        </w:rPr>
      </w:pPr>
      <w:r w:rsidRPr="002F1185">
        <w:rPr>
          <w:rtl/>
        </w:rPr>
        <w:tab/>
      </w:r>
      <w:r w:rsidRPr="002F1185">
        <w:rPr>
          <w:rFonts w:hint="cs"/>
          <w:rtl/>
        </w:rPr>
        <w:t>ודוק, קיומם של תמריצי מס לביצוע הסטה בחלוקת התמורות החוזיות אינה מהווה, כשלעצמה, ראייה לכך שהסטה כזו בוצעה הלכה למעשה, אלא רק הצדקה לבחון בשבע עיניים את העסקה, על מנת לוודא שהצדדים לא התפתו לה.</w:t>
      </w:r>
    </w:p>
    <w:p w:rsidR="009519E3" w:rsidRPr="002F1185" w:rsidRDefault="009519E3" w:rsidP="009519E3">
      <w:pPr>
        <w:pStyle w:val="Ruller41"/>
        <w:rPr>
          <w:rtl/>
        </w:rPr>
      </w:pPr>
    </w:p>
    <w:p w:rsidR="009519E3" w:rsidRDefault="009519E3" w:rsidP="002620CC">
      <w:pPr>
        <w:pStyle w:val="Ruller4"/>
        <w:rPr>
          <w:rtl/>
        </w:rPr>
      </w:pPr>
      <w:r w:rsidRPr="002F1185">
        <w:rPr>
          <w:rFonts w:hint="cs"/>
          <w:rtl/>
        </w:rPr>
        <w:t xml:space="preserve">עד כאן ההערה המקדימה בעניין תמריצי הצדדים. ביחס למקובל, אבקש להפנות את תשומת הלב לכך שחלוקת התמורות המוסכמת בה עסקינן היא קיצונית, וככל הנראה חריגה. כך, למשל, בעניין </w:t>
      </w:r>
      <w:r w:rsidRPr="002F1185">
        <w:rPr>
          <w:rFonts w:ascii="Century" w:hAnsi="Century" w:cs="Miriam" w:hint="cs"/>
          <w:b/>
          <w:spacing w:val="0"/>
          <w:sz w:val="22"/>
          <w:szCs w:val="24"/>
          <w:rtl/>
        </w:rPr>
        <w:t>תדיראן</w:t>
      </w:r>
      <w:r w:rsidRPr="002F1185">
        <w:rPr>
          <w:rFonts w:hint="cs"/>
          <w:rtl/>
        </w:rPr>
        <w:t>, שעסק כאמור אף הוא במכירה נפרדת של מוניטין הקבוצה ונגזרת של פעילותה העסקית</w:t>
      </w:r>
      <w:r w:rsidR="002620CC">
        <w:rPr>
          <w:rFonts w:hint="cs"/>
          <w:rtl/>
        </w:rPr>
        <w:t xml:space="preserve"> (במסגרת חברת הבת)</w:t>
      </w:r>
      <w:r w:rsidRPr="002F1185">
        <w:rPr>
          <w:rFonts w:hint="cs"/>
          <w:rtl/>
        </w:rPr>
        <w:t xml:space="preserve">, ביקשו הצדדים לייחס רק </w:t>
      </w:r>
      <w:r w:rsidRPr="002F1185">
        <w:rPr>
          <w:rFonts w:hint="cs"/>
          <w:rtl/>
        </w:rPr>
        <w:lastRenderedPageBreak/>
        <w:t xml:space="preserve">כ-10.4% מהתמורה הכוללת למכירת המוניטין של קבוצת תדיראן (15 מיליון דולר) בעוד ש-89.6% יוחסו למכירת הפעילות העסקית ולהתחייבות שלא להתחרות למשך 5 שנים (109 מיליון דולר ו-20 מיליון דולר, בהתאמה). ויובהר, קיצוניות החלוקה אינה מלמדת, כשלעצמה, כי אין היא מייצגת את המציאות הכלכלית. ניתן להעלות על הדעת עסקאות במסגרתן שווי מוניטין הקבוצה הוא העיקר, ושווי הפעילות הנמכרת שולי </w:t>
      </w:r>
      <w:r w:rsidR="002620CC">
        <w:rPr>
          <w:rFonts w:hint="cs"/>
          <w:rtl/>
        </w:rPr>
        <w:t xml:space="preserve">באופן </w:t>
      </w:r>
      <w:r w:rsidRPr="002F1185">
        <w:rPr>
          <w:rFonts w:hint="cs"/>
          <w:rtl/>
        </w:rPr>
        <w:t>יחסי (כך, למשל, כאשר הפעילות מצויה עדיין בחיתוליה בטריטוריה בה מדובר, ואולם לקבוצה מוניטין בינלאומי רב ערך). ואולם, גם עניין זה מדליק נורת אזהרה, המצדיקה בחינה מעמיקה של חלוקת התמור</w:t>
      </w:r>
      <w:r w:rsidR="00B21A4B">
        <w:rPr>
          <w:rFonts w:hint="cs"/>
          <w:rtl/>
        </w:rPr>
        <w:t>ה</w:t>
      </w:r>
      <w:r w:rsidRPr="002F1185">
        <w:rPr>
          <w:rFonts w:hint="cs"/>
          <w:rtl/>
        </w:rPr>
        <w:t xml:space="preserve"> המוסכמת.</w:t>
      </w:r>
    </w:p>
    <w:p w:rsidR="00B21A4B" w:rsidRPr="00B21A4B" w:rsidRDefault="00B21A4B" w:rsidP="00B21A4B">
      <w:pPr>
        <w:pStyle w:val="Ruller41"/>
        <w:rPr>
          <w:rtl/>
        </w:rPr>
      </w:pPr>
    </w:p>
    <w:p w:rsidR="009519E3" w:rsidRPr="002F1185" w:rsidRDefault="009519E3" w:rsidP="000333B9">
      <w:pPr>
        <w:pStyle w:val="Ruller4"/>
        <w:rPr>
          <w:rtl/>
        </w:rPr>
      </w:pPr>
      <w:r w:rsidRPr="002F1185">
        <w:rPr>
          <w:rFonts w:hint="cs"/>
          <w:rtl/>
        </w:rPr>
        <w:t xml:space="preserve">ומההערות </w:t>
      </w:r>
      <w:r w:rsidR="000333B9">
        <w:rPr>
          <w:rFonts w:hint="cs"/>
          <w:rtl/>
        </w:rPr>
        <w:t>ה</w:t>
      </w:r>
      <w:r w:rsidRPr="002F1185">
        <w:rPr>
          <w:rFonts w:hint="cs"/>
          <w:rtl/>
        </w:rPr>
        <w:t>מקדימות לגוף העניין. ארבעה הם הטעמים המביאים אותי למסקנה כי צדק פקיד השומה בהחלטתו להתעלם מחלוקת התמורות המוסכמת: (1) זהות הלקוחות של פעילות השילוח הבינלאומי; (2) טיב המוניטין של קבוצת פליינג קרגו; (3) אופן קביעת התמורה הסופית בהסכם המכר; (4) חוות דעת המומחים מטעם הצדדים. להלן אפר</w:t>
      </w:r>
      <w:r w:rsidR="000333B9">
        <w:rPr>
          <w:rFonts w:hint="cs"/>
          <w:rtl/>
        </w:rPr>
        <w:t>ט</w:t>
      </w:r>
      <w:r w:rsidRPr="002F1185">
        <w:rPr>
          <w:rFonts w:hint="cs"/>
          <w:rtl/>
        </w:rPr>
        <w:t xml:space="preserve"> כל אחד מהטעמים הללו.</w:t>
      </w:r>
    </w:p>
    <w:p w:rsidR="009519E3" w:rsidRPr="002F1185" w:rsidRDefault="009519E3" w:rsidP="009519E3">
      <w:pPr>
        <w:pStyle w:val="Ruller41"/>
        <w:rPr>
          <w:rtl/>
        </w:rPr>
      </w:pPr>
    </w:p>
    <w:p w:rsidR="009519E3" w:rsidRPr="002F1185" w:rsidRDefault="009519E3" w:rsidP="00C653B8">
      <w:pPr>
        <w:pStyle w:val="Ruller4"/>
        <w:rPr>
          <w:rtl/>
        </w:rPr>
      </w:pPr>
      <w:r w:rsidRPr="002F1185">
        <w:rPr>
          <w:rFonts w:ascii="Century" w:hAnsi="Century" w:cs="Miriam" w:hint="cs"/>
          <w:b/>
          <w:spacing w:val="0"/>
          <w:sz w:val="22"/>
          <w:szCs w:val="24"/>
          <w:rtl/>
        </w:rPr>
        <w:t xml:space="preserve">(1) זהות הלקוחות של פעילות השילוח הבינלאומי </w:t>
      </w:r>
      <w:r w:rsidRPr="002F1185">
        <w:rPr>
          <w:rFonts w:ascii="Century" w:hAnsi="Century"/>
          <w:sz w:val="22"/>
          <w:rtl/>
        </w:rPr>
        <w:t>–</w:t>
      </w:r>
      <w:r w:rsidRPr="002F1185">
        <w:rPr>
          <w:rFonts w:ascii="Century" w:hAnsi="Century" w:hint="cs"/>
          <w:sz w:val="22"/>
          <w:rtl/>
        </w:rPr>
        <w:t xml:space="preserve"> </w:t>
      </w:r>
      <w:r w:rsidRPr="002F1185">
        <w:rPr>
          <w:rFonts w:hint="cs"/>
          <w:rtl/>
        </w:rPr>
        <w:t>נכון למועד הסכם המכר (שנת 2007) כ-75% מההכנסות של אף.סי תובלה בינלאומית התקבלו מחברת דויטשה פוסט האם (</w:t>
      </w:r>
      <w:r w:rsidRPr="002F1185">
        <w:rPr>
          <w:rFonts w:asciiTheme="majorBidi" w:hAnsiTheme="majorBidi" w:cstheme="majorBidi"/>
          <w:szCs w:val="24"/>
        </w:rPr>
        <w:t>Deutsche Post AG</w:t>
      </w:r>
      <w:r w:rsidRPr="002F1185">
        <w:rPr>
          <w:rFonts w:hint="cs"/>
          <w:rtl/>
        </w:rPr>
        <w:t>), וזאת בשל היות אף.סי תובלה בינלאומי הסוכנת הבלעדית של דויטשה פוסט האם בישראל (עמ</w:t>
      </w:r>
      <w:r w:rsidR="00BC10B3">
        <w:rPr>
          <w:rFonts w:hint="cs"/>
          <w:rtl/>
        </w:rPr>
        <w:t>וד</w:t>
      </w:r>
      <w:r w:rsidRPr="002F1185">
        <w:rPr>
          <w:rFonts w:hint="cs"/>
          <w:rtl/>
        </w:rPr>
        <w:t xml:space="preserve"> 28 לעבודת ה-</w:t>
      </w:r>
      <w:r w:rsidRPr="002F1185">
        <w:rPr>
          <w:rFonts w:asciiTheme="majorBidi" w:hAnsiTheme="majorBidi" w:cstheme="majorBidi"/>
          <w:szCs w:val="24"/>
        </w:rPr>
        <w:t>PPA</w:t>
      </w:r>
      <w:r w:rsidR="00C653B8">
        <w:rPr>
          <w:rFonts w:hint="cs"/>
          <w:rtl/>
        </w:rPr>
        <w:t>). על כן, ביחס ל-</w:t>
      </w:r>
      <w:r w:rsidRPr="002F1185">
        <w:rPr>
          <w:rFonts w:hint="cs"/>
          <w:rtl/>
        </w:rPr>
        <w:t xml:space="preserve">75% מהפעילות הנמכרת, אין כלל משמעות לרכישת מוניטין קבוצת פליינג קרגו, שהרי המשך הקשר העסקי עמה תלוי כל כולו ברצונה של דויטשה פוסט האם (לשון אחרת, ביחס ל-75% מהפעילות לא הייתה כל תועלת בכך שהעסקה כללה גם רכישה של מוניטין קבוצת פליינג קרגו, להבדיל מרכישת הפעילות של שילוח בינלאומי והמוניטין הכרוך בה). </w:t>
      </w:r>
    </w:p>
    <w:p w:rsidR="009519E3" w:rsidRPr="002F1185" w:rsidRDefault="009519E3" w:rsidP="009519E3">
      <w:pPr>
        <w:pStyle w:val="Ruller41"/>
        <w:rPr>
          <w:rtl/>
        </w:rPr>
      </w:pPr>
    </w:p>
    <w:p w:rsidR="009519E3" w:rsidRPr="002F1185" w:rsidRDefault="009519E3" w:rsidP="00BC10B3">
      <w:pPr>
        <w:pStyle w:val="Ruller41"/>
        <w:rPr>
          <w:rtl/>
        </w:rPr>
      </w:pPr>
      <w:r w:rsidRPr="002F1185">
        <w:rPr>
          <w:rtl/>
        </w:rPr>
        <w:tab/>
      </w:r>
      <w:r w:rsidRPr="002F1185">
        <w:rPr>
          <w:rFonts w:hint="cs"/>
          <w:rtl/>
        </w:rPr>
        <w:t>נניח כי חברת "שירותי מחשוב", השייכת לקבוצה "שירותי מחשוב", הידועה במקצועיות ובטכנולוגיה המתקדמת שלה, מעניקה שירותי מחשוב לבנק פלוני. הבנק מגיע למסקנה כי משתלם מבחינתו לרכוש את חברת "שירותי מחשוב", מאשר להמשיך לשכור את שירותיה. ככל שהעסקה תצא לפועל, התועלת שתצמח לבנק מהמשך שימוש במוניטין של קבוצת "שירותי מחשוב" לאחר הרכישה (אפילו נניח כי עיקר המוניטין נצבר בקבוצה, ולא בחברות המרכיבות אותה) מוגבלת לערך שיש למוניטין זה בעיני צדדים שלישיים, ועל כן תלויה בהיקף הפעילות הצפוי של חברת "שירותי מחשוב" מולם</w:t>
      </w:r>
      <w:r w:rsidR="00B21A4B">
        <w:rPr>
          <w:rFonts w:hint="cs"/>
          <w:rtl/>
        </w:rPr>
        <w:t xml:space="preserve"> לאחר מכירתה</w:t>
      </w:r>
      <w:r w:rsidRPr="002F1185">
        <w:rPr>
          <w:rFonts w:hint="cs"/>
          <w:rtl/>
        </w:rPr>
        <w:t xml:space="preserve">, ואין הוא כולל את הערך שייחס הבנק לא למוניטין של חברת "שירותי מחשוב" ולא למוניטין של קבוצת "שירותי מחשוב" (ודוק, </w:t>
      </w:r>
      <w:r w:rsidR="00B21A4B">
        <w:rPr>
          <w:rFonts w:hint="cs"/>
          <w:rtl/>
        </w:rPr>
        <w:t>התמורה ש</w:t>
      </w:r>
      <w:r w:rsidRPr="002F1185">
        <w:rPr>
          <w:rFonts w:hint="cs"/>
          <w:rtl/>
        </w:rPr>
        <w:t xml:space="preserve">הבנק משלם </w:t>
      </w:r>
      <w:r w:rsidR="00BC10B3">
        <w:rPr>
          <w:rFonts w:hint="cs"/>
          <w:rtl/>
        </w:rPr>
        <w:lastRenderedPageBreak/>
        <w:t xml:space="preserve">בעבור חברת "שירותי מחשוב" </w:t>
      </w:r>
      <w:r w:rsidR="00B21A4B">
        <w:rPr>
          <w:rFonts w:hint="cs"/>
          <w:rtl/>
        </w:rPr>
        <w:t xml:space="preserve">מביאה </w:t>
      </w:r>
      <w:r w:rsidR="00BC10B3">
        <w:rPr>
          <w:rFonts w:hint="cs"/>
          <w:rtl/>
        </w:rPr>
        <w:t xml:space="preserve">בוודאי </w:t>
      </w:r>
      <w:r w:rsidR="00B21A4B">
        <w:rPr>
          <w:rFonts w:hint="cs"/>
          <w:rtl/>
        </w:rPr>
        <w:t xml:space="preserve">בחשבון </w:t>
      </w:r>
      <w:r w:rsidRPr="002F1185">
        <w:rPr>
          <w:rFonts w:hint="cs"/>
          <w:rtl/>
        </w:rPr>
        <w:t xml:space="preserve">גם </w:t>
      </w:r>
      <w:r w:rsidR="00B21A4B">
        <w:rPr>
          <w:rFonts w:hint="cs"/>
          <w:rtl/>
        </w:rPr>
        <w:t>את ה</w:t>
      </w:r>
      <w:r w:rsidRPr="002F1185">
        <w:rPr>
          <w:rFonts w:hint="cs"/>
          <w:rtl/>
        </w:rPr>
        <w:t xml:space="preserve">מוניטין </w:t>
      </w:r>
      <w:r w:rsidR="00B21A4B">
        <w:rPr>
          <w:rFonts w:hint="cs"/>
          <w:rtl/>
        </w:rPr>
        <w:t>שהוא ייחס לחברת "שירותי מחשוב" בעקבות פעילות המחשוב שבוצעה בעבורו</w:t>
      </w:r>
      <w:r w:rsidRPr="002F1185">
        <w:rPr>
          <w:rFonts w:hint="cs"/>
          <w:rtl/>
        </w:rPr>
        <w:t>, ואולם תשלום זה</w:t>
      </w:r>
      <w:r w:rsidR="00B21A4B">
        <w:rPr>
          <w:rFonts w:hint="cs"/>
          <w:rtl/>
        </w:rPr>
        <w:t xml:space="preserve"> בוודאי </w:t>
      </w:r>
      <w:r w:rsidRPr="002F1185">
        <w:rPr>
          <w:rFonts w:hint="cs"/>
          <w:rtl/>
        </w:rPr>
        <w:t>לא ניתן לנתק מבחינ</w:t>
      </w:r>
      <w:r w:rsidR="00B21A4B">
        <w:rPr>
          <w:rFonts w:hint="cs"/>
          <w:rtl/>
        </w:rPr>
        <w:t xml:space="preserve">ת דיני המס </w:t>
      </w:r>
      <w:r w:rsidRPr="002F1185">
        <w:rPr>
          <w:rFonts w:hint="cs"/>
          <w:rtl/>
        </w:rPr>
        <w:t xml:space="preserve">מרכישת </w:t>
      </w:r>
      <w:r w:rsidR="00BC10B3">
        <w:rPr>
          <w:rFonts w:hint="cs"/>
          <w:rtl/>
        </w:rPr>
        <w:t>החברה עצמה</w:t>
      </w:r>
      <w:r w:rsidRPr="002F1185">
        <w:rPr>
          <w:rFonts w:hint="cs"/>
          <w:rtl/>
        </w:rPr>
        <w:t>)</w:t>
      </w:r>
      <w:r w:rsidR="00B21A4B">
        <w:rPr>
          <w:rFonts w:hint="cs"/>
          <w:rtl/>
        </w:rPr>
        <w:t>.</w:t>
      </w:r>
      <w:r w:rsidRPr="002F1185">
        <w:rPr>
          <w:rFonts w:hint="cs"/>
          <w:rtl/>
        </w:rPr>
        <w:t xml:space="preserve"> ממילא אם כל או עיקר פעילות חברת "שירותי מחשוב" הייתה בשירות הבנק, קשה לקבל שחלק משמעותי מהתמורה שולם בעבור מוניטין הקבוצה, לא כל שכן רובה המוחלט של התמורה כפי שנקבע בהסכם המכר דנן. </w:t>
      </w:r>
    </w:p>
    <w:p w:rsidR="009519E3" w:rsidRPr="002F1185" w:rsidRDefault="009519E3" w:rsidP="009519E3">
      <w:pPr>
        <w:pStyle w:val="Ruller4"/>
        <w:numPr>
          <w:ilvl w:val="0"/>
          <w:numId w:val="0"/>
        </w:numPr>
      </w:pPr>
    </w:p>
    <w:p w:rsidR="009519E3" w:rsidRPr="002F1185" w:rsidRDefault="009519E3" w:rsidP="00BC10B3">
      <w:pPr>
        <w:pStyle w:val="Ruller4"/>
        <w:numPr>
          <w:ilvl w:val="0"/>
          <w:numId w:val="0"/>
        </w:numPr>
        <w:rPr>
          <w:rtl/>
        </w:rPr>
      </w:pPr>
      <w:r w:rsidRPr="002F1185">
        <w:rPr>
          <w:rtl/>
        </w:rPr>
        <w:tab/>
      </w:r>
      <w:r w:rsidRPr="002F1185">
        <w:rPr>
          <w:rFonts w:hint="cs"/>
          <w:rtl/>
        </w:rPr>
        <w:t xml:space="preserve">דומה כי </w:t>
      </w:r>
      <w:r w:rsidR="00BC10B3">
        <w:rPr>
          <w:rFonts w:hint="cs"/>
          <w:rtl/>
        </w:rPr>
        <w:t>ה</w:t>
      </w:r>
      <w:r w:rsidRPr="002F1185">
        <w:rPr>
          <w:rFonts w:hint="cs"/>
          <w:rtl/>
        </w:rPr>
        <w:t xml:space="preserve">מניע </w:t>
      </w:r>
      <w:r w:rsidR="00BC10B3">
        <w:rPr>
          <w:rFonts w:hint="cs"/>
          <w:rtl/>
        </w:rPr>
        <w:t>ה</w:t>
      </w:r>
      <w:r w:rsidRPr="002F1185">
        <w:rPr>
          <w:rFonts w:hint="cs"/>
          <w:rtl/>
        </w:rPr>
        <w:t>מרכזי של דויטשה פוסט ל</w:t>
      </w:r>
      <w:r w:rsidR="00BC10B3">
        <w:rPr>
          <w:rFonts w:hint="cs"/>
          <w:rtl/>
        </w:rPr>
        <w:t xml:space="preserve">רכישת </w:t>
      </w:r>
      <w:r w:rsidR="006C3CFE">
        <w:rPr>
          <w:rFonts w:hint="cs"/>
          <w:rtl/>
        </w:rPr>
        <w:t xml:space="preserve">חברת </w:t>
      </w:r>
      <w:r w:rsidRPr="002F1185">
        <w:rPr>
          <w:rFonts w:hint="cs"/>
          <w:rtl/>
        </w:rPr>
        <w:t xml:space="preserve">פליינג קרגו </w:t>
      </w:r>
      <w:r w:rsidR="00BC10B3">
        <w:rPr>
          <w:rFonts w:hint="cs"/>
          <w:rtl/>
        </w:rPr>
        <w:t xml:space="preserve">(ולמצער, אחד המניעים המרכזיים) </w:t>
      </w:r>
      <w:r w:rsidRPr="002F1185">
        <w:rPr>
          <w:rFonts w:hint="cs"/>
          <w:rtl/>
        </w:rPr>
        <w:t>היה רצונה לחסוך בעלויות ולאפשר לה לעשות שילוח ישיר בישראל, שלא באמצעות חברה מתווכת. אילו כל פעילותה של חברת הבת הייתה קשורה לדויטשה פוסט האם, הרי שלמוניטין קבוצת</w:t>
      </w:r>
      <w:r w:rsidR="006C3CFE">
        <w:rPr>
          <w:rFonts w:hint="cs"/>
          <w:rtl/>
        </w:rPr>
        <w:t xml:space="preserve"> </w:t>
      </w:r>
      <w:r w:rsidRPr="002F1185">
        <w:rPr>
          <w:rFonts w:hint="cs"/>
          <w:rtl/>
        </w:rPr>
        <w:t xml:space="preserve">פליינג קרגו לא הייתה עוד כל חשיבות מבחינת הרוכשת ביחס לפעילות הקיימת, ולכל היותר ניתן היה לייחס ערך מסוים לתרומתה הפוטנציאלית ליצירת פעילות עתידית בתחום השילוח הבינלאומי מול צדדים שלישיים. </w:t>
      </w:r>
      <w:r w:rsidR="00BC10B3">
        <w:rPr>
          <w:rFonts w:hint="cs"/>
          <w:rtl/>
        </w:rPr>
        <w:t xml:space="preserve">בענייננו, </w:t>
      </w:r>
      <w:r w:rsidRPr="002F1185">
        <w:rPr>
          <w:rFonts w:hint="cs"/>
          <w:rtl/>
        </w:rPr>
        <w:t xml:space="preserve">כאשר 25% מהפעילות הקיימת מתייחס לצדדים שלישיים, יש ערך רב יותר להמשך השימוש במוניטין קבוצת פליינג קרגו, ואולם הטענה כי בנסיבות אלה ערך זה מהווה 98% משווי העסקה, </w:t>
      </w:r>
      <w:r w:rsidR="00BC10B3">
        <w:rPr>
          <w:rFonts w:hint="cs"/>
          <w:rtl/>
        </w:rPr>
        <w:t>כך ש</w:t>
      </w:r>
      <w:r w:rsidRPr="002F1185">
        <w:rPr>
          <w:rFonts w:hint="cs"/>
          <w:rtl/>
        </w:rPr>
        <w:t>רק 2% שולם בגין רכישת הפעילות עצמה</w:t>
      </w:r>
      <w:r w:rsidR="00BC10B3">
        <w:rPr>
          <w:rFonts w:hint="cs"/>
          <w:rtl/>
        </w:rPr>
        <w:t xml:space="preserve"> (על מוניטין הפעילות הכרוך בה)</w:t>
      </w:r>
      <w:r w:rsidRPr="002F1185">
        <w:rPr>
          <w:rFonts w:hint="cs"/>
          <w:rtl/>
        </w:rPr>
        <w:t xml:space="preserve">, נראית מופרכת על פניה. </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ascii="Century" w:hAnsi="Century" w:cs="Miriam" w:hint="cs"/>
          <w:b/>
          <w:spacing w:val="0"/>
          <w:sz w:val="22"/>
          <w:szCs w:val="24"/>
          <w:rtl/>
        </w:rPr>
        <w:t xml:space="preserve">(2) טיב מוניטין קבוצת פליינג קרגו </w:t>
      </w:r>
      <w:r w:rsidRPr="002F1185">
        <w:rPr>
          <w:rFonts w:ascii="Century" w:hAnsi="Century"/>
          <w:sz w:val="22"/>
          <w:rtl/>
        </w:rPr>
        <w:t>–</w:t>
      </w:r>
      <w:r w:rsidRPr="002F1185">
        <w:rPr>
          <w:rFonts w:hint="cs"/>
          <w:rtl/>
        </w:rPr>
        <w:t xml:space="preserve"> בית המשפט קמא קבע כי גם לאחר שינוי המבנה בשנת 2001 </w:t>
      </w:r>
      <w:r w:rsidRPr="002F1185">
        <w:rPr>
          <w:rFonts w:ascii="Century" w:hAnsi="Century" w:cs="Miriam" w:hint="cs"/>
          <w:b/>
          <w:spacing w:val="0"/>
          <w:sz w:val="22"/>
          <w:szCs w:val="24"/>
          <w:rtl/>
        </w:rPr>
        <w:t>"</w:t>
      </w:r>
      <w:r w:rsidR="006C3CFE" w:rsidRPr="006C3CFE">
        <w:rPr>
          <w:rFonts w:ascii="Century" w:hAnsi="Century" w:hint="cs"/>
          <w:sz w:val="22"/>
          <w:rtl/>
        </w:rPr>
        <w:t xml:space="preserve">[חברת] </w:t>
      </w:r>
      <w:r w:rsidRPr="002F1185">
        <w:rPr>
          <w:rFonts w:ascii="Century" w:hAnsi="Century" w:cs="Miriam" w:hint="cs"/>
          <w:b/>
          <w:spacing w:val="0"/>
          <w:sz w:val="22"/>
          <w:szCs w:val="24"/>
          <w:rtl/>
        </w:rPr>
        <w:t xml:space="preserve">פליינג קרגו החזיקה במוניטין המשמש את כלל חברות הקבוצה, שהן אלו המפתחות, מחזקות ומתחזקות אותו. נכס המוניטין שהוחזק על ידי </w:t>
      </w:r>
      <w:r w:rsidR="006C3CFE" w:rsidRPr="006C3CFE">
        <w:rPr>
          <w:rFonts w:ascii="Century" w:hAnsi="Century" w:hint="cs"/>
          <w:sz w:val="22"/>
          <w:rtl/>
        </w:rPr>
        <w:t xml:space="preserve">[חברת] </w:t>
      </w:r>
      <w:r w:rsidRPr="002F1185">
        <w:rPr>
          <w:rFonts w:ascii="Century" w:hAnsi="Century" w:cs="Miriam" w:hint="cs"/>
          <w:b/>
          <w:spacing w:val="0"/>
          <w:sz w:val="22"/>
          <w:szCs w:val="24"/>
          <w:rtl/>
        </w:rPr>
        <w:t xml:space="preserve">פליינג קרגו הינו נכס מרכזי, כאשר לחברות הבנות אין מוניטין משל עצמן אלא הן עושות שימוש במוניטין של </w:t>
      </w:r>
      <w:r w:rsidR="006C3CFE" w:rsidRPr="006C3CFE">
        <w:rPr>
          <w:rFonts w:ascii="Century" w:hAnsi="Century" w:hint="cs"/>
          <w:sz w:val="22"/>
          <w:rtl/>
        </w:rPr>
        <w:t>[חברת]</w:t>
      </w:r>
      <w:r w:rsidR="006C3CFE" w:rsidRPr="006C3CFE">
        <w:rPr>
          <w:rFonts w:ascii="Century" w:hAnsi="Century" w:cs="Miriam" w:hint="cs"/>
          <w:b/>
          <w:spacing w:val="0"/>
          <w:sz w:val="22"/>
          <w:szCs w:val="24"/>
          <w:rtl/>
        </w:rPr>
        <w:t xml:space="preserve"> </w:t>
      </w:r>
      <w:r w:rsidRPr="002F1185">
        <w:rPr>
          <w:rFonts w:ascii="Century" w:hAnsi="Century" w:cs="Miriam" w:hint="cs"/>
          <w:b/>
          <w:spacing w:val="0"/>
          <w:sz w:val="22"/>
          <w:szCs w:val="24"/>
          <w:rtl/>
        </w:rPr>
        <w:t>פליינג קרגו אשר תפקדה במבנה של 'חברת קודקוד'"</w:t>
      </w:r>
      <w:r w:rsidRPr="002F1185">
        <w:rPr>
          <w:rFonts w:ascii="Century" w:hAnsi="Century" w:hint="cs"/>
          <w:sz w:val="22"/>
          <w:rtl/>
        </w:rPr>
        <w:t xml:space="preserve"> (עמודים 43-42 לפסק הדין)</w:t>
      </w:r>
      <w:r w:rsidRPr="002F1185">
        <w:rPr>
          <w:rFonts w:hint="cs"/>
          <w:sz w:val="22"/>
          <w:rtl/>
        </w:rPr>
        <w:t>.</w:t>
      </w:r>
      <w:r w:rsidRPr="002F1185">
        <w:rPr>
          <w:rFonts w:hint="cs"/>
          <w:rtl/>
        </w:rPr>
        <w:t xml:space="preserve"> בחברת קודקוד </w:t>
      </w:r>
      <w:r w:rsidRPr="002F1185">
        <w:rPr>
          <w:rFonts w:hint="cs"/>
          <w:sz w:val="22"/>
          <w:rtl/>
        </w:rPr>
        <w:t>(</w:t>
      </w:r>
      <w:r w:rsidRPr="002F1185">
        <w:rPr>
          <w:rFonts w:asciiTheme="majorBidi" w:hAnsiTheme="majorBidi" w:cstheme="majorBidi"/>
          <w:szCs w:val="32"/>
        </w:rPr>
        <w:t>Top-Down Reputation</w:t>
      </w:r>
      <w:r w:rsidRPr="002F1185">
        <w:rPr>
          <w:rFonts w:hint="cs"/>
          <w:sz w:val="22"/>
          <w:rtl/>
        </w:rPr>
        <w:t>)</w:t>
      </w:r>
      <w:r w:rsidRPr="002F1185">
        <w:rPr>
          <w:rFonts w:hint="cs"/>
          <w:rtl/>
        </w:rPr>
        <w:t xml:space="preserve">, הכוונה היא כי מרבית המוניטין נמצא בקודקוד הפירמידה, דהיינו בחברת האחזקות כאשר </w:t>
      </w:r>
      <w:r w:rsidRPr="002F1185">
        <w:rPr>
          <w:rFonts w:ascii="Century" w:hAnsi="Century" w:cs="Miriam" w:hint="cs"/>
          <w:b/>
          <w:spacing w:val="0"/>
          <w:sz w:val="22"/>
          <w:szCs w:val="24"/>
          <w:rtl/>
        </w:rPr>
        <w:t>"כל פעילות הקבוצה וחברת האחזקות על החברות הבנות שלה נועדה לחזק את המוניטין שבשימוש הקבוצה כמכלול, והמוניטין הזה של חברת האחזקות מוקרן מטה לחברות הבנות"</w:t>
      </w:r>
      <w:r w:rsidRPr="002F1185">
        <w:rPr>
          <w:rFonts w:hint="cs"/>
          <w:rtl/>
        </w:rPr>
        <w:t xml:space="preserve"> (סעיף 12 לחוות הדעת של פרופ' מיכאל פרי, שהוגשה מטעם </w:t>
      </w:r>
      <w:r w:rsidR="006C3CFE">
        <w:rPr>
          <w:rFonts w:hint="cs"/>
          <w:rtl/>
        </w:rPr>
        <w:t xml:space="preserve">חברת </w:t>
      </w:r>
      <w:r w:rsidRPr="002F1185">
        <w:rPr>
          <w:rFonts w:hint="cs"/>
          <w:rtl/>
        </w:rPr>
        <w:t xml:space="preserve">פליינג קרגו ומר רייק (להלן: </w:t>
      </w:r>
      <w:r w:rsidRPr="002F1185">
        <w:rPr>
          <w:rFonts w:ascii="Century" w:hAnsi="Century" w:cs="Miriam" w:hint="cs"/>
          <w:b/>
          <w:spacing w:val="0"/>
          <w:sz w:val="22"/>
          <w:szCs w:val="24"/>
          <w:rtl/>
        </w:rPr>
        <w:t>"חוות דעת פרי"</w:t>
      </w:r>
      <w:r w:rsidRPr="002F1185">
        <w:rPr>
          <w:rFonts w:hint="cs"/>
          <w:rtl/>
        </w:rPr>
        <w:t>)).</w:t>
      </w:r>
    </w:p>
    <w:p w:rsidR="009519E3" w:rsidRPr="002F1185" w:rsidRDefault="009519E3" w:rsidP="009519E3">
      <w:pPr>
        <w:pStyle w:val="Ruller4"/>
        <w:numPr>
          <w:ilvl w:val="0"/>
          <w:numId w:val="0"/>
        </w:numPr>
        <w:rPr>
          <w:rFonts w:ascii="Arial TUR" w:hAnsi="Arial TUR"/>
          <w:sz w:val="22"/>
          <w:rtl/>
        </w:rPr>
      </w:pPr>
    </w:p>
    <w:p w:rsidR="009519E3" w:rsidRPr="002F1185" w:rsidRDefault="009519E3" w:rsidP="009519E3">
      <w:pPr>
        <w:pStyle w:val="Ruller4"/>
        <w:numPr>
          <w:ilvl w:val="0"/>
          <w:numId w:val="0"/>
        </w:numPr>
        <w:rPr>
          <w:rtl/>
        </w:rPr>
      </w:pPr>
      <w:r w:rsidRPr="002F1185">
        <w:rPr>
          <w:rFonts w:ascii="Arial TUR" w:hAnsi="Arial TUR"/>
          <w:sz w:val="22"/>
          <w:rtl/>
        </w:rPr>
        <w:tab/>
      </w:r>
      <w:r w:rsidRPr="002F1185">
        <w:rPr>
          <w:rFonts w:hint="cs"/>
          <w:rtl/>
        </w:rPr>
        <w:t>וכיצד בא לידי ביטוי אותו מוניטין מדובר? בית המשפט קמא קבע כך:</w:t>
      </w:r>
    </w:p>
    <w:p w:rsidR="009519E3" w:rsidRPr="002F1185" w:rsidRDefault="009519E3" w:rsidP="009519E3">
      <w:pPr>
        <w:pStyle w:val="Ruller41"/>
      </w:pPr>
    </w:p>
    <w:p w:rsidR="004F458D" w:rsidRDefault="009519E3" w:rsidP="009519E3">
      <w:pPr>
        <w:pStyle w:val="Ruller5"/>
        <w:rPr>
          <w:noProof/>
          <w:rtl/>
        </w:rPr>
      </w:pPr>
      <w:r w:rsidRPr="002F1185">
        <w:rPr>
          <w:rFonts w:hint="eastAsia"/>
          <w:noProof/>
          <w:rtl/>
        </w:rPr>
        <w:t>החברות</w:t>
      </w:r>
      <w:r w:rsidRPr="002F1185">
        <w:rPr>
          <w:noProof/>
          <w:rtl/>
        </w:rPr>
        <w:t xml:space="preserve"> </w:t>
      </w:r>
      <w:r w:rsidRPr="002F1185">
        <w:rPr>
          <w:rFonts w:hint="eastAsia"/>
          <w:noProof/>
          <w:rtl/>
        </w:rPr>
        <w:t>נוהלו</w:t>
      </w:r>
      <w:r w:rsidRPr="002F1185">
        <w:rPr>
          <w:noProof/>
          <w:rtl/>
        </w:rPr>
        <w:t xml:space="preserve"> </w:t>
      </w:r>
      <w:r w:rsidRPr="002F1185">
        <w:rPr>
          <w:rFonts w:hint="eastAsia"/>
          <w:noProof/>
          <w:rtl/>
        </w:rPr>
        <w:t>בסינרגיה</w:t>
      </w:r>
      <w:r w:rsidRPr="002F1185">
        <w:rPr>
          <w:noProof/>
          <w:rtl/>
        </w:rPr>
        <w:t xml:space="preserve"> </w:t>
      </w:r>
      <w:r w:rsidRPr="002F1185">
        <w:rPr>
          <w:rFonts w:hint="eastAsia"/>
          <w:noProof/>
          <w:rtl/>
        </w:rPr>
        <w:t>מלאה</w:t>
      </w:r>
      <w:r w:rsidRPr="002F1185">
        <w:rPr>
          <w:noProof/>
          <w:rtl/>
        </w:rPr>
        <w:t xml:space="preserve"> </w:t>
      </w:r>
      <w:r w:rsidRPr="002F1185">
        <w:rPr>
          <w:rFonts w:hint="eastAsia"/>
          <w:noProof/>
          <w:rtl/>
        </w:rPr>
        <w:t>כקבוצה</w:t>
      </w:r>
      <w:r w:rsidRPr="002F1185">
        <w:rPr>
          <w:noProof/>
          <w:rtl/>
        </w:rPr>
        <w:t xml:space="preserve"> </w:t>
      </w:r>
      <w:r w:rsidRPr="002F1185">
        <w:rPr>
          <w:rFonts w:hint="eastAsia"/>
          <w:noProof/>
          <w:rtl/>
        </w:rPr>
        <w:t>שנותנת</w:t>
      </w:r>
      <w:r w:rsidRPr="002F1185">
        <w:rPr>
          <w:noProof/>
          <w:rtl/>
        </w:rPr>
        <w:t xml:space="preserve"> </w:t>
      </w:r>
      <w:r w:rsidRPr="002F1185">
        <w:rPr>
          <w:rFonts w:hint="eastAsia"/>
          <w:noProof/>
          <w:rtl/>
        </w:rPr>
        <w:t>מכלול</w:t>
      </w:r>
      <w:r w:rsidRPr="002F1185">
        <w:rPr>
          <w:noProof/>
          <w:rtl/>
        </w:rPr>
        <w:t xml:space="preserve"> </w:t>
      </w:r>
      <w:r w:rsidRPr="002F1185">
        <w:rPr>
          <w:rFonts w:hint="eastAsia"/>
          <w:noProof/>
          <w:rtl/>
        </w:rPr>
        <w:t>שירותים</w:t>
      </w:r>
      <w:r w:rsidRPr="002F1185">
        <w:rPr>
          <w:noProof/>
          <w:rtl/>
        </w:rPr>
        <w:t xml:space="preserve"> </w:t>
      </w:r>
      <w:r w:rsidRPr="002F1185">
        <w:rPr>
          <w:rFonts w:hint="eastAsia"/>
          <w:noProof/>
          <w:rtl/>
        </w:rPr>
        <w:t>משולבים</w:t>
      </w:r>
      <w:r w:rsidRPr="002F1185">
        <w:rPr>
          <w:noProof/>
          <w:rtl/>
        </w:rPr>
        <w:t xml:space="preserve"> </w:t>
      </w:r>
      <w:r w:rsidRPr="002F1185">
        <w:rPr>
          <w:rFonts w:hint="eastAsia"/>
          <w:noProof/>
          <w:rtl/>
        </w:rPr>
        <w:t>של</w:t>
      </w:r>
      <w:r w:rsidRPr="002F1185">
        <w:rPr>
          <w:noProof/>
          <w:rtl/>
        </w:rPr>
        <w:t xml:space="preserve">: </w:t>
      </w:r>
      <w:r w:rsidRPr="002F1185">
        <w:rPr>
          <w:rFonts w:hint="eastAsia"/>
          <w:noProof/>
          <w:rtl/>
        </w:rPr>
        <w:t>שילוח</w:t>
      </w:r>
      <w:r w:rsidRPr="002F1185">
        <w:rPr>
          <w:noProof/>
          <w:rtl/>
        </w:rPr>
        <w:t xml:space="preserve"> </w:t>
      </w:r>
      <w:r w:rsidRPr="002F1185">
        <w:rPr>
          <w:rFonts w:hint="eastAsia"/>
          <w:noProof/>
          <w:rtl/>
        </w:rPr>
        <w:t>אווירי</w:t>
      </w:r>
      <w:r w:rsidRPr="002F1185">
        <w:rPr>
          <w:noProof/>
          <w:rtl/>
        </w:rPr>
        <w:t xml:space="preserve">, </w:t>
      </w:r>
      <w:r w:rsidRPr="002F1185">
        <w:rPr>
          <w:rFonts w:hint="eastAsia"/>
          <w:noProof/>
          <w:rtl/>
        </w:rPr>
        <w:t>ימי</w:t>
      </w:r>
      <w:r w:rsidRPr="002F1185">
        <w:rPr>
          <w:noProof/>
          <w:rtl/>
        </w:rPr>
        <w:t xml:space="preserve">, </w:t>
      </w:r>
      <w:r w:rsidRPr="002F1185">
        <w:rPr>
          <w:rFonts w:hint="eastAsia"/>
          <w:noProof/>
          <w:rtl/>
        </w:rPr>
        <w:t>עמילות</w:t>
      </w:r>
      <w:r w:rsidRPr="002F1185">
        <w:rPr>
          <w:noProof/>
          <w:rtl/>
        </w:rPr>
        <w:t xml:space="preserve"> </w:t>
      </w:r>
      <w:r w:rsidRPr="002F1185">
        <w:rPr>
          <w:rFonts w:hint="eastAsia"/>
          <w:noProof/>
          <w:rtl/>
        </w:rPr>
        <w:t>מכס</w:t>
      </w:r>
      <w:r w:rsidRPr="002F1185">
        <w:rPr>
          <w:noProof/>
          <w:rtl/>
        </w:rPr>
        <w:t xml:space="preserve">, </w:t>
      </w:r>
      <w:r w:rsidRPr="002F1185">
        <w:rPr>
          <w:rFonts w:hint="eastAsia"/>
          <w:noProof/>
          <w:rtl/>
        </w:rPr>
        <w:lastRenderedPageBreak/>
        <w:t>לוגיסטיקה</w:t>
      </w:r>
      <w:r w:rsidRPr="002F1185">
        <w:rPr>
          <w:noProof/>
          <w:rtl/>
        </w:rPr>
        <w:t xml:space="preserve">, </w:t>
      </w:r>
      <w:r w:rsidRPr="002F1185">
        <w:rPr>
          <w:rFonts w:hint="eastAsia"/>
          <w:noProof/>
          <w:rtl/>
        </w:rPr>
        <w:t>מערכות</w:t>
      </w:r>
      <w:r w:rsidRPr="002F1185">
        <w:rPr>
          <w:noProof/>
          <w:rtl/>
        </w:rPr>
        <w:t xml:space="preserve"> </w:t>
      </w:r>
      <w:r w:rsidRPr="002F1185">
        <w:rPr>
          <w:rFonts w:hint="eastAsia"/>
          <w:noProof/>
          <w:rtl/>
        </w:rPr>
        <w:t>מידע</w:t>
      </w:r>
      <w:r w:rsidRPr="002F1185">
        <w:rPr>
          <w:noProof/>
          <w:rtl/>
        </w:rPr>
        <w:t xml:space="preserve">, </w:t>
      </w:r>
      <w:r w:rsidRPr="002F1185">
        <w:rPr>
          <w:rFonts w:hint="eastAsia"/>
          <w:noProof/>
          <w:rtl/>
        </w:rPr>
        <w:t>ביטוח</w:t>
      </w:r>
      <w:r w:rsidRPr="002F1185">
        <w:rPr>
          <w:noProof/>
          <w:rtl/>
        </w:rPr>
        <w:t xml:space="preserve">, </w:t>
      </w:r>
      <w:r w:rsidRPr="002F1185">
        <w:rPr>
          <w:rFonts w:hint="eastAsia"/>
          <w:noProof/>
          <w:rtl/>
        </w:rPr>
        <w:t>דואר</w:t>
      </w:r>
      <w:r w:rsidRPr="002F1185">
        <w:rPr>
          <w:noProof/>
          <w:rtl/>
        </w:rPr>
        <w:t xml:space="preserve">, </w:t>
      </w:r>
      <w:r w:rsidRPr="002F1185">
        <w:rPr>
          <w:rFonts w:hint="eastAsia"/>
          <w:noProof/>
          <w:rtl/>
        </w:rPr>
        <w:t>בתובלה</w:t>
      </w:r>
      <w:r w:rsidRPr="002F1185">
        <w:rPr>
          <w:noProof/>
          <w:rtl/>
        </w:rPr>
        <w:t xml:space="preserve"> </w:t>
      </w:r>
      <w:r w:rsidRPr="002F1185">
        <w:rPr>
          <w:rFonts w:hint="eastAsia"/>
          <w:noProof/>
          <w:rtl/>
        </w:rPr>
        <w:t>יבשתית</w:t>
      </w:r>
      <w:r w:rsidRPr="002F1185">
        <w:rPr>
          <w:noProof/>
          <w:rtl/>
        </w:rPr>
        <w:t xml:space="preserve">, </w:t>
      </w:r>
      <w:r w:rsidRPr="002F1185">
        <w:rPr>
          <w:rFonts w:hint="eastAsia"/>
          <w:noProof/>
          <w:rtl/>
        </w:rPr>
        <w:t>תובלת</w:t>
      </w:r>
      <w:r w:rsidRPr="002F1185">
        <w:rPr>
          <w:noProof/>
          <w:rtl/>
        </w:rPr>
        <w:t xml:space="preserve"> </w:t>
      </w:r>
      <w:r w:rsidRPr="002F1185">
        <w:rPr>
          <w:rFonts w:hint="eastAsia"/>
          <w:noProof/>
          <w:rtl/>
        </w:rPr>
        <w:t>אקספרס</w:t>
      </w:r>
      <w:r w:rsidRPr="002F1185">
        <w:rPr>
          <w:rFonts w:hint="cs"/>
          <w:noProof/>
          <w:rtl/>
        </w:rPr>
        <w:t>...</w:t>
      </w:r>
      <w:r w:rsidRPr="002F1185">
        <w:rPr>
          <w:noProof/>
          <w:rtl/>
        </w:rPr>
        <w:t xml:space="preserve"> </w:t>
      </w:r>
      <w:r w:rsidRPr="002F1185">
        <w:rPr>
          <w:rFonts w:hint="eastAsia"/>
          <w:noProof/>
          <w:rtl/>
        </w:rPr>
        <w:t>קידום</w:t>
      </w:r>
      <w:r w:rsidRPr="002F1185">
        <w:rPr>
          <w:noProof/>
          <w:rtl/>
        </w:rPr>
        <w:t xml:space="preserve"> </w:t>
      </w:r>
      <w:r w:rsidRPr="002F1185">
        <w:rPr>
          <w:rFonts w:hint="eastAsia"/>
          <w:noProof/>
          <w:rtl/>
        </w:rPr>
        <w:t>המכירות</w:t>
      </w:r>
      <w:r w:rsidRPr="002F1185">
        <w:rPr>
          <w:noProof/>
          <w:rtl/>
        </w:rPr>
        <w:t xml:space="preserve"> </w:t>
      </w:r>
      <w:r w:rsidRPr="002F1185">
        <w:rPr>
          <w:rFonts w:hint="eastAsia"/>
          <w:noProof/>
          <w:rtl/>
        </w:rPr>
        <w:t>נעשה</w:t>
      </w:r>
      <w:r w:rsidRPr="002F1185">
        <w:rPr>
          <w:noProof/>
          <w:rtl/>
        </w:rPr>
        <w:t xml:space="preserve"> </w:t>
      </w:r>
      <w:r w:rsidRPr="002F1185">
        <w:rPr>
          <w:rFonts w:hint="eastAsia"/>
          <w:noProof/>
          <w:rtl/>
        </w:rPr>
        <w:t>לכלל</w:t>
      </w:r>
      <w:r w:rsidRPr="002F1185">
        <w:rPr>
          <w:noProof/>
          <w:rtl/>
        </w:rPr>
        <w:t xml:space="preserve"> </w:t>
      </w:r>
      <w:r w:rsidRPr="002F1185">
        <w:rPr>
          <w:rFonts w:hint="eastAsia"/>
          <w:noProof/>
          <w:rtl/>
        </w:rPr>
        <w:t>הקבוצה</w:t>
      </w:r>
      <w:r w:rsidRPr="002F1185">
        <w:rPr>
          <w:noProof/>
          <w:rtl/>
        </w:rPr>
        <w:t xml:space="preserve"> </w:t>
      </w:r>
      <w:r w:rsidRPr="002F1185">
        <w:rPr>
          <w:rFonts w:hint="eastAsia"/>
          <w:noProof/>
          <w:rtl/>
        </w:rPr>
        <w:t>ולא</w:t>
      </w:r>
      <w:r w:rsidRPr="002F1185">
        <w:rPr>
          <w:noProof/>
          <w:rtl/>
        </w:rPr>
        <w:t xml:space="preserve"> </w:t>
      </w:r>
      <w:r w:rsidRPr="002F1185">
        <w:rPr>
          <w:rFonts w:hint="eastAsia"/>
          <w:noProof/>
          <w:rtl/>
        </w:rPr>
        <w:t>לחברה</w:t>
      </w:r>
      <w:r w:rsidRPr="002F1185">
        <w:rPr>
          <w:noProof/>
          <w:rtl/>
        </w:rPr>
        <w:t xml:space="preserve"> </w:t>
      </w:r>
      <w:r w:rsidRPr="002F1185">
        <w:rPr>
          <w:rFonts w:hint="eastAsia"/>
          <w:noProof/>
          <w:rtl/>
        </w:rPr>
        <w:t>ספציפית</w:t>
      </w:r>
      <w:r w:rsidRPr="002F1185">
        <w:rPr>
          <w:noProof/>
          <w:rtl/>
        </w:rPr>
        <w:t xml:space="preserve">; </w:t>
      </w:r>
      <w:r w:rsidRPr="002F1185">
        <w:rPr>
          <w:rFonts w:hint="eastAsia"/>
          <w:noProof/>
          <w:rtl/>
        </w:rPr>
        <w:t>החומר</w:t>
      </w:r>
      <w:r w:rsidRPr="002F1185">
        <w:rPr>
          <w:noProof/>
          <w:rtl/>
        </w:rPr>
        <w:t xml:space="preserve"> </w:t>
      </w:r>
      <w:r w:rsidRPr="002F1185">
        <w:rPr>
          <w:rFonts w:hint="eastAsia"/>
          <w:noProof/>
          <w:rtl/>
        </w:rPr>
        <w:t>השיווקי</w:t>
      </w:r>
      <w:r w:rsidRPr="002F1185">
        <w:rPr>
          <w:noProof/>
          <w:rtl/>
        </w:rPr>
        <w:t xml:space="preserve"> </w:t>
      </w:r>
      <w:r w:rsidRPr="002F1185">
        <w:rPr>
          <w:rFonts w:hint="eastAsia"/>
          <w:noProof/>
          <w:rtl/>
        </w:rPr>
        <w:t>התייחס</w:t>
      </w:r>
      <w:r w:rsidRPr="002F1185">
        <w:rPr>
          <w:noProof/>
          <w:rtl/>
        </w:rPr>
        <w:t xml:space="preserve"> </w:t>
      </w:r>
      <w:r w:rsidRPr="002F1185">
        <w:rPr>
          <w:rFonts w:hint="eastAsia"/>
          <w:noProof/>
          <w:rtl/>
        </w:rPr>
        <w:t>לפעילות</w:t>
      </w:r>
      <w:r w:rsidRPr="002F1185">
        <w:rPr>
          <w:noProof/>
          <w:rtl/>
        </w:rPr>
        <w:t xml:space="preserve"> </w:t>
      </w:r>
      <w:r w:rsidRPr="002F1185">
        <w:rPr>
          <w:rFonts w:hint="eastAsia"/>
          <w:noProof/>
          <w:rtl/>
        </w:rPr>
        <w:t>הקבוצה</w:t>
      </w:r>
      <w:r w:rsidRPr="002F1185">
        <w:rPr>
          <w:noProof/>
          <w:rtl/>
        </w:rPr>
        <w:t xml:space="preserve"> </w:t>
      </w:r>
      <w:r w:rsidRPr="002F1185">
        <w:rPr>
          <w:rFonts w:hint="eastAsia"/>
          <w:noProof/>
          <w:rtl/>
        </w:rPr>
        <w:t>כמכלול</w:t>
      </w:r>
      <w:r w:rsidRPr="002F1185">
        <w:rPr>
          <w:noProof/>
          <w:rtl/>
        </w:rPr>
        <w:t xml:space="preserve"> </w:t>
      </w:r>
      <w:r w:rsidRPr="002F1185">
        <w:rPr>
          <w:rFonts w:hint="eastAsia"/>
          <w:noProof/>
          <w:rtl/>
        </w:rPr>
        <w:t>ולא</w:t>
      </w:r>
      <w:r w:rsidRPr="002F1185">
        <w:rPr>
          <w:noProof/>
          <w:rtl/>
        </w:rPr>
        <w:t xml:space="preserve"> </w:t>
      </w:r>
      <w:r w:rsidRPr="002F1185">
        <w:rPr>
          <w:rFonts w:hint="eastAsia"/>
          <w:noProof/>
          <w:rtl/>
        </w:rPr>
        <w:t>לחברה</w:t>
      </w:r>
      <w:r w:rsidRPr="002F1185">
        <w:rPr>
          <w:noProof/>
          <w:rtl/>
        </w:rPr>
        <w:t xml:space="preserve"> </w:t>
      </w:r>
      <w:r w:rsidRPr="002F1185">
        <w:rPr>
          <w:rFonts w:hint="eastAsia"/>
          <w:noProof/>
          <w:rtl/>
        </w:rPr>
        <w:t>בודדת</w:t>
      </w:r>
      <w:r w:rsidRPr="002F1185">
        <w:rPr>
          <w:noProof/>
          <w:rtl/>
        </w:rPr>
        <w:t xml:space="preserve">. </w:t>
      </w:r>
      <w:r w:rsidRPr="002F1185">
        <w:rPr>
          <w:rFonts w:hint="eastAsia"/>
          <w:noProof/>
          <w:rtl/>
        </w:rPr>
        <w:t>לכל</w:t>
      </w:r>
      <w:r w:rsidRPr="002F1185">
        <w:rPr>
          <w:noProof/>
          <w:rtl/>
        </w:rPr>
        <w:t xml:space="preserve"> </w:t>
      </w:r>
      <w:r w:rsidRPr="002F1185">
        <w:rPr>
          <w:rFonts w:hint="eastAsia"/>
          <w:noProof/>
          <w:rtl/>
        </w:rPr>
        <w:t>לקוח</w:t>
      </w:r>
      <w:r w:rsidRPr="002F1185">
        <w:rPr>
          <w:noProof/>
          <w:rtl/>
        </w:rPr>
        <w:t xml:space="preserve"> </w:t>
      </w:r>
      <w:r w:rsidRPr="002F1185">
        <w:rPr>
          <w:rFonts w:hint="eastAsia"/>
          <w:noProof/>
          <w:rtl/>
        </w:rPr>
        <w:t>גדול</w:t>
      </w:r>
      <w:r w:rsidRPr="002F1185">
        <w:rPr>
          <w:noProof/>
          <w:rtl/>
        </w:rPr>
        <w:t xml:space="preserve"> </w:t>
      </w:r>
      <w:r w:rsidRPr="002F1185">
        <w:rPr>
          <w:rFonts w:hint="eastAsia"/>
          <w:noProof/>
          <w:rtl/>
        </w:rPr>
        <w:t>מונה</w:t>
      </w:r>
      <w:r w:rsidRPr="002F1185">
        <w:rPr>
          <w:noProof/>
          <w:rtl/>
        </w:rPr>
        <w:t xml:space="preserve"> </w:t>
      </w:r>
      <w:r w:rsidRPr="002F1185">
        <w:rPr>
          <w:rFonts w:hint="eastAsia"/>
          <w:noProof/>
          <w:rtl/>
        </w:rPr>
        <w:t>מנהל</w:t>
      </w:r>
      <w:r w:rsidRPr="002F1185">
        <w:rPr>
          <w:noProof/>
          <w:rtl/>
        </w:rPr>
        <w:t xml:space="preserve"> </w:t>
      </w:r>
      <w:r w:rsidRPr="002F1185">
        <w:rPr>
          <w:rFonts w:hint="eastAsia"/>
          <w:noProof/>
          <w:rtl/>
        </w:rPr>
        <w:t>מיוחד</w:t>
      </w:r>
      <w:r w:rsidRPr="002F1185">
        <w:rPr>
          <w:noProof/>
          <w:rtl/>
        </w:rPr>
        <w:t xml:space="preserve"> </w:t>
      </w:r>
      <w:r w:rsidRPr="002F1185">
        <w:rPr>
          <w:rFonts w:hint="eastAsia"/>
          <w:noProof/>
          <w:rtl/>
        </w:rPr>
        <w:t>שהיה</w:t>
      </w:r>
      <w:r w:rsidRPr="002F1185">
        <w:rPr>
          <w:noProof/>
          <w:rtl/>
        </w:rPr>
        <w:t xml:space="preserve"> </w:t>
      </w:r>
      <w:r w:rsidRPr="002F1185">
        <w:rPr>
          <w:rFonts w:hint="eastAsia"/>
          <w:noProof/>
          <w:rtl/>
        </w:rPr>
        <w:t>אחראי</w:t>
      </w:r>
      <w:r w:rsidRPr="002F1185">
        <w:rPr>
          <w:noProof/>
          <w:rtl/>
        </w:rPr>
        <w:t xml:space="preserve"> </w:t>
      </w:r>
      <w:r w:rsidRPr="002F1185">
        <w:rPr>
          <w:rFonts w:hint="eastAsia"/>
          <w:noProof/>
          <w:rtl/>
        </w:rPr>
        <w:t>כלפי</w:t>
      </w:r>
      <w:r w:rsidRPr="002F1185">
        <w:rPr>
          <w:noProof/>
          <w:rtl/>
        </w:rPr>
        <w:t xml:space="preserve"> </w:t>
      </w:r>
      <w:r w:rsidRPr="002F1185">
        <w:rPr>
          <w:rFonts w:hint="eastAsia"/>
          <w:noProof/>
          <w:rtl/>
        </w:rPr>
        <w:t>הלקוח</w:t>
      </w:r>
      <w:r w:rsidRPr="002F1185">
        <w:rPr>
          <w:noProof/>
          <w:rtl/>
        </w:rPr>
        <w:t xml:space="preserve"> </w:t>
      </w:r>
      <w:r w:rsidRPr="002F1185">
        <w:rPr>
          <w:rFonts w:hint="eastAsia"/>
          <w:noProof/>
          <w:rtl/>
        </w:rPr>
        <w:t>על</w:t>
      </w:r>
      <w:r w:rsidRPr="002F1185">
        <w:rPr>
          <w:noProof/>
          <w:rtl/>
        </w:rPr>
        <w:t xml:space="preserve"> </w:t>
      </w:r>
      <w:r w:rsidRPr="002F1185">
        <w:rPr>
          <w:rFonts w:hint="eastAsia"/>
          <w:noProof/>
          <w:rtl/>
        </w:rPr>
        <w:t>תיאום</w:t>
      </w:r>
      <w:r w:rsidRPr="002F1185">
        <w:rPr>
          <w:noProof/>
          <w:rtl/>
        </w:rPr>
        <w:t xml:space="preserve"> </w:t>
      </w:r>
      <w:r w:rsidRPr="002F1185">
        <w:rPr>
          <w:rFonts w:hint="eastAsia"/>
          <w:noProof/>
          <w:rtl/>
        </w:rPr>
        <w:t>כל</w:t>
      </w:r>
      <w:r w:rsidRPr="002F1185">
        <w:rPr>
          <w:noProof/>
          <w:rtl/>
        </w:rPr>
        <w:t xml:space="preserve"> </w:t>
      </w:r>
      <w:r w:rsidRPr="002F1185">
        <w:rPr>
          <w:rFonts w:hint="eastAsia"/>
          <w:noProof/>
          <w:rtl/>
        </w:rPr>
        <w:t>הגופים</w:t>
      </w:r>
      <w:r w:rsidRPr="002F1185">
        <w:rPr>
          <w:noProof/>
          <w:rtl/>
        </w:rPr>
        <w:t xml:space="preserve"> </w:t>
      </w:r>
      <w:r w:rsidRPr="002F1185">
        <w:rPr>
          <w:rFonts w:hint="eastAsia"/>
          <w:noProof/>
          <w:rtl/>
        </w:rPr>
        <w:t>הקשורים</w:t>
      </w:r>
      <w:r w:rsidRPr="002F1185">
        <w:rPr>
          <w:noProof/>
          <w:rtl/>
        </w:rPr>
        <w:t xml:space="preserve"> </w:t>
      </w:r>
      <w:r w:rsidRPr="002F1185">
        <w:rPr>
          <w:rFonts w:hint="eastAsia"/>
          <w:noProof/>
          <w:rtl/>
        </w:rPr>
        <w:t>ל</w:t>
      </w:r>
      <w:r w:rsidR="006C3CFE">
        <w:rPr>
          <w:rFonts w:hint="cs"/>
          <w:noProof/>
          <w:rtl/>
        </w:rPr>
        <w:t xml:space="preserve">[חברת] </w:t>
      </w:r>
      <w:r w:rsidRPr="002F1185">
        <w:rPr>
          <w:rFonts w:hint="eastAsia"/>
          <w:noProof/>
          <w:rtl/>
        </w:rPr>
        <w:t>פליינג</w:t>
      </w:r>
      <w:r w:rsidRPr="002F1185">
        <w:rPr>
          <w:noProof/>
          <w:rtl/>
        </w:rPr>
        <w:t xml:space="preserve"> </w:t>
      </w:r>
      <w:r w:rsidRPr="002F1185">
        <w:rPr>
          <w:rFonts w:hint="eastAsia"/>
          <w:noProof/>
          <w:rtl/>
        </w:rPr>
        <w:t>קרגו</w:t>
      </w:r>
      <w:r w:rsidRPr="002F1185">
        <w:rPr>
          <w:noProof/>
          <w:rtl/>
        </w:rPr>
        <w:t xml:space="preserve">; </w:t>
      </w:r>
      <w:r w:rsidRPr="002F1185">
        <w:rPr>
          <w:rFonts w:hint="eastAsia"/>
          <w:noProof/>
          <w:rtl/>
        </w:rPr>
        <w:t>לכל</w:t>
      </w:r>
      <w:r w:rsidRPr="002F1185">
        <w:rPr>
          <w:noProof/>
          <w:rtl/>
        </w:rPr>
        <w:t xml:space="preserve"> </w:t>
      </w:r>
      <w:r w:rsidRPr="002F1185">
        <w:rPr>
          <w:rFonts w:hint="eastAsia"/>
          <w:noProof/>
          <w:rtl/>
        </w:rPr>
        <w:t>לקוח</w:t>
      </w:r>
      <w:r w:rsidRPr="002F1185">
        <w:rPr>
          <w:noProof/>
          <w:rtl/>
        </w:rPr>
        <w:t xml:space="preserve"> </w:t>
      </w:r>
      <w:r w:rsidRPr="002F1185">
        <w:rPr>
          <w:rFonts w:hint="eastAsia"/>
          <w:noProof/>
          <w:rtl/>
        </w:rPr>
        <w:t>היה</w:t>
      </w:r>
      <w:r w:rsidRPr="002F1185">
        <w:rPr>
          <w:noProof/>
          <w:rtl/>
        </w:rPr>
        <w:t xml:space="preserve"> </w:t>
      </w:r>
      <w:r w:rsidRPr="002F1185">
        <w:rPr>
          <w:rFonts w:hint="eastAsia"/>
          <w:noProof/>
          <w:rtl/>
        </w:rPr>
        <w:t>כרטיס</w:t>
      </w:r>
      <w:r w:rsidRPr="002F1185">
        <w:rPr>
          <w:noProof/>
          <w:rtl/>
        </w:rPr>
        <w:t xml:space="preserve"> </w:t>
      </w:r>
      <w:r w:rsidRPr="002F1185">
        <w:rPr>
          <w:rFonts w:hint="eastAsia"/>
          <w:noProof/>
          <w:rtl/>
        </w:rPr>
        <w:t>לקוח</w:t>
      </w:r>
      <w:r w:rsidRPr="002F1185">
        <w:rPr>
          <w:noProof/>
          <w:rtl/>
        </w:rPr>
        <w:t xml:space="preserve"> </w:t>
      </w:r>
      <w:r w:rsidRPr="002F1185">
        <w:rPr>
          <w:rFonts w:hint="eastAsia"/>
          <w:noProof/>
          <w:rtl/>
        </w:rPr>
        <w:t>בעלי</w:t>
      </w:r>
      <w:r w:rsidRPr="002F1185">
        <w:rPr>
          <w:noProof/>
          <w:rtl/>
        </w:rPr>
        <w:t xml:space="preserve"> </w:t>
      </w:r>
      <w:r w:rsidRPr="002F1185">
        <w:rPr>
          <w:rFonts w:hint="eastAsia"/>
          <w:noProof/>
          <w:rtl/>
        </w:rPr>
        <w:t>מספר</w:t>
      </w:r>
      <w:r w:rsidRPr="002F1185">
        <w:rPr>
          <w:noProof/>
          <w:rtl/>
        </w:rPr>
        <w:t xml:space="preserve"> </w:t>
      </w:r>
      <w:r w:rsidRPr="002F1185">
        <w:rPr>
          <w:rFonts w:hint="eastAsia"/>
          <w:noProof/>
          <w:rtl/>
        </w:rPr>
        <w:t>זהה</w:t>
      </w:r>
      <w:r w:rsidRPr="002F1185">
        <w:rPr>
          <w:noProof/>
          <w:rtl/>
        </w:rPr>
        <w:t xml:space="preserve"> </w:t>
      </w:r>
      <w:r w:rsidRPr="002F1185">
        <w:rPr>
          <w:rFonts w:hint="eastAsia"/>
          <w:noProof/>
          <w:rtl/>
        </w:rPr>
        <w:t>אצל</w:t>
      </w:r>
      <w:r w:rsidRPr="002F1185">
        <w:rPr>
          <w:noProof/>
          <w:rtl/>
        </w:rPr>
        <w:t xml:space="preserve"> </w:t>
      </w:r>
      <w:r w:rsidRPr="002F1185">
        <w:rPr>
          <w:rFonts w:hint="eastAsia"/>
          <w:noProof/>
          <w:rtl/>
        </w:rPr>
        <w:t>כל</w:t>
      </w:r>
      <w:r w:rsidRPr="002F1185">
        <w:rPr>
          <w:noProof/>
          <w:rtl/>
        </w:rPr>
        <w:t xml:space="preserve"> </w:t>
      </w:r>
      <w:r w:rsidRPr="002F1185">
        <w:rPr>
          <w:rFonts w:hint="eastAsia"/>
          <w:noProof/>
          <w:rtl/>
        </w:rPr>
        <w:t>חברות</w:t>
      </w:r>
      <w:r w:rsidRPr="002F1185">
        <w:rPr>
          <w:noProof/>
          <w:rtl/>
        </w:rPr>
        <w:t xml:space="preserve"> </w:t>
      </w:r>
      <w:r w:rsidRPr="002F1185">
        <w:rPr>
          <w:rFonts w:hint="eastAsia"/>
          <w:noProof/>
          <w:rtl/>
        </w:rPr>
        <w:t>הקבוצה</w:t>
      </w:r>
      <w:r w:rsidRPr="002F1185">
        <w:rPr>
          <w:noProof/>
          <w:rtl/>
        </w:rPr>
        <w:t xml:space="preserve">; </w:t>
      </w:r>
      <w:r w:rsidRPr="002F1185">
        <w:rPr>
          <w:rFonts w:hint="eastAsia"/>
          <w:noProof/>
          <w:rtl/>
        </w:rPr>
        <w:t>הייתה</w:t>
      </w:r>
      <w:r w:rsidRPr="002F1185">
        <w:rPr>
          <w:noProof/>
          <w:rtl/>
        </w:rPr>
        <w:t xml:space="preserve"> </w:t>
      </w:r>
      <w:r w:rsidRPr="002F1185">
        <w:rPr>
          <w:rFonts w:hint="eastAsia"/>
          <w:noProof/>
          <w:rtl/>
        </w:rPr>
        <w:t>התנהלות</w:t>
      </w:r>
      <w:r w:rsidRPr="002F1185">
        <w:rPr>
          <w:noProof/>
          <w:rtl/>
        </w:rPr>
        <w:t xml:space="preserve"> </w:t>
      </w:r>
      <w:r w:rsidRPr="002F1185">
        <w:rPr>
          <w:rFonts w:hint="eastAsia"/>
          <w:noProof/>
          <w:rtl/>
        </w:rPr>
        <w:t>כוללת</w:t>
      </w:r>
      <w:r w:rsidRPr="002F1185">
        <w:rPr>
          <w:noProof/>
          <w:rtl/>
        </w:rPr>
        <w:t xml:space="preserve"> </w:t>
      </w:r>
      <w:r w:rsidRPr="002F1185">
        <w:rPr>
          <w:rFonts w:hint="eastAsia"/>
          <w:noProof/>
          <w:rtl/>
        </w:rPr>
        <w:t>מול</w:t>
      </w:r>
      <w:r w:rsidRPr="002F1185">
        <w:rPr>
          <w:noProof/>
          <w:rtl/>
        </w:rPr>
        <w:t xml:space="preserve"> </w:t>
      </w:r>
      <w:r w:rsidRPr="002F1185">
        <w:rPr>
          <w:rFonts w:hint="eastAsia"/>
          <w:noProof/>
          <w:rtl/>
        </w:rPr>
        <w:t>כל</w:t>
      </w:r>
      <w:r w:rsidRPr="002F1185">
        <w:rPr>
          <w:noProof/>
          <w:rtl/>
        </w:rPr>
        <w:t xml:space="preserve"> </w:t>
      </w:r>
      <w:r w:rsidRPr="002F1185">
        <w:rPr>
          <w:rFonts w:hint="eastAsia"/>
          <w:noProof/>
          <w:rtl/>
        </w:rPr>
        <w:t>לקוח</w:t>
      </w:r>
      <w:r w:rsidRPr="002F1185">
        <w:rPr>
          <w:noProof/>
          <w:rtl/>
        </w:rPr>
        <w:t xml:space="preserve"> </w:t>
      </w:r>
      <w:r w:rsidRPr="002F1185">
        <w:rPr>
          <w:rFonts w:hint="eastAsia"/>
          <w:noProof/>
          <w:rtl/>
        </w:rPr>
        <w:t>דהיינו</w:t>
      </w:r>
      <w:r w:rsidRPr="002F1185">
        <w:rPr>
          <w:noProof/>
          <w:rtl/>
        </w:rPr>
        <w:t xml:space="preserve"> </w:t>
      </w:r>
      <w:r w:rsidRPr="002F1185">
        <w:rPr>
          <w:rFonts w:hint="eastAsia"/>
          <w:noProof/>
          <w:rtl/>
        </w:rPr>
        <w:t>יתכן</w:t>
      </w:r>
      <w:r w:rsidRPr="002F1185">
        <w:rPr>
          <w:noProof/>
          <w:rtl/>
        </w:rPr>
        <w:t xml:space="preserve"> </w:t>
      </w:r>
      <w:r w:rsidRPr="002F1185">
        <w:rPr>
          <w:rFonts w:hint="eastAsia"/>
          <w:noProof/>
          <w:rtl/>
        </w:rPr>
        <w:t>מצב</w:t>
      </w:r>
      <w:r w:rsidRPr="002F1185">
        <w:rPr>
          <w:noProof/>
          <w:rtl/>
        </w:rPr>
        <w:t xml:space="preserve"> </w:t>
      </w:r>
      <w:r w:rsidRPr="002F1185">
        <w:rPr>
          <w:rFonts w:hint="eastAsia"/>
          <w:noProof/>
          <w:rtl/>
        </w:rPr>
        <w:t>שחברה</w:t>
      </w:r>
      <w:r w:rsidRPr="002F1185">
        <w:rPr>
          <w:noProof/>
          <w:rtl/>
        </w:rPr>
        <w:t xml:space="preserve"> </w:t>
      </w:r>
      <w:r w:rsidRPr="002F1185">
        <w:rPr>
          <w:rFonts w:hint="eastAsia"/>
          <w:noProof/>
          <w:rtl/>
        </w:rPr>
        <w:t>אחת</w:t>
      </w:r>
      <w:r w:rsidRPr="002F1185">
        <w:rPr>
          <w:noProof/>
          <w:rtl/>
        </w:rPr>
        <w:t xml:space="preserve"> </w:t>
      </w:r>
      <w:r w:rsidRPr="002F1185">
        <w:rPr>
          <w:rFonts w:hint="eastAsia"/>
          <w:noProof/>
          <w:rtl/>
        </w:rPr>
        <w:t>נותנת</w:t>
      </w:r>
      <w:r w:rsidRPr="002F1185">
        <w:rPr>
          <w:noProof/>
          <w:rtl/>
        </w:rPr>
        <w:t xml:space="preserve"> </w:t>
      </w:r>
      <w:r w:rsidRPr="002F1185">
        <w:rPr>
          <w:rFonts w:hint="eastAsia"/>
          <w:noProof/>
          <w:rtl/>
        </w:rPr>
        <w:t>שירות</w:t>
      </w:r>
      <w:r w:rsidRPr="002F1185">
        <w:rPr>
          <w:noProof/>
          <w:rtl/>
        </w:rPr>
        <w:t xml:space="preserve"> </w:t>
      </w:r>
      <w:r w:rsidRPr="002F1185">
        <w:rPr>
          <w:rFonts w:hint="eastAsia"/>
          <w:noProof/>
          <w:rtl/>
        </w:rPr>
        <w:t>ללקוח</w:t>
      </w:r>
      <w:r w:rsidRPr="002F1185">
        <w:rPr>
          <w:noProof/>
          <w:rtl/>
        </w:rPr>
        <w:t xml:space="preserve"> </w:t>
      </w:r>
      <w:r w:rsidRPr="002F1185">
        <w:rPr>
          <w:rFonts w:hint="eastAsia"/>
          <w:noProof/>
          <w:rtl/>
        </w:rPr>
        <w:t>שהוא</w:t>
      </w:r>
      <w:r w:rsidRPr="002F1185">
        <w:rPr>
          <w:noProof/>
          <w:rtl/>
        </w:rPr>
        <w:t xml:space="preserve"> </w:t>
      </w:r>
      <w:r w:rsidRPr="002F1185">
        <w:rPr>
          <w:rFonts w:hint="eastAsia"/>
          <w:noProof/>
          <w:rtl/>
        </w:rPr>
        <w:t>מבחינתה</w:t>
      </w:r>
      <w:r w:rsidRPr="002F1185">
        <w:rPr>
          <w:noProof/>
          <w:rtl/>
        </w:rPr>
        <w:t xml:space="preserve"> </w:t>
      </w:r>
      <w:r w:rsidRPr="002F1185">
        <w:rPr>
          <w:rFonts w:hint="eastAsia"/>
          <w:noProof/>
          <w:rtl/>
        </w:rPr>
        <w:t>בהפסד</w:t>
      </w:r>
      <w:r w:rsidRPr="002F1185">
        <w:rPr>
          <w:noProof/>
          <w:rtl/>
        </w:rPr>
        <w:t xml:space="preserve">, </w:t>
      </w:r>
      <w:r w:rsidRPr="002F1185">
        <w:rPr>
          <w:rFonts w:hint="eastAsia"/>
          <w:noProof/>
          <w:rtl/>
        </w:rPr>
        <w:t>אך</w:t>
      </w:r>
      <w:r w:rsidRPr="002F1185">
        <w:rPr>
          <w:noProof/>
          <w:rtl/>
        </w:rPr>
        <w:t xml:space="preserve"> </w:t>
      </w:r>
      <w:r w:rsidRPr="002F1185">
        <w:rPr>
          <w:rFonts w:hint="eastAsia"/>
          <w:noProof/>
          <w:rtl/>
        </w:rPr>
        <w:t>חברה</w:t>
      </w:r>
      <w:r w:rsidRPr="002F1185">
        <w:rPr>
          <w:noProof/>
          <w:rtl/>
        </w:rPr>
        <w:t xml:space="preserve"> </w:t>
      </w:r>
      <w:r w:rsidRPr="002F1185">
        <w:rPr>
          <w:rFonts w:hint="eastAsia"/>
          <w:noProof/>
          <w:rtl/>
        </w:rPr>
        <w:t>אחרת</w:t>
      </w:r>
      <w:r w:rsidRPr="002F1185">
        <w:rPr>
          <w:noProof/>
          <w:rtl/>
        </w:rPr>
        <w:t xml:space="preserve"> </w:t>
      </w:r>
      <w:r w:rsidRPr="002F1185">
        <w:rPr>
          <w:rFonts w:hint="eastAsia"/>
          <w:noProof/>
          <w:rtl/>
        </w:rPr>
        <w:t>של</w:t>
      </w:r>
      <w:r w:rsidRPr="002F1185">
        <w:rPr>
          <w:noProof/>
          <w:rtl/>
        </w:rPr>
        <w:t xml:space="preserve"> </w:t>
      </w:r>
      <w:r w:rsidRPr="002F1185">
        <w:rPr>
          <w:rFonts w:hint="eastAsia"/>
          <w:noProof/>
          <w:rtl/>
        </w:rPr>
        <w:t>הקבוצה</w:t>
      </w:r>
      <w:r w:rsidRPr="002F1185">
        <w:rPr>
          <w:noProof/>
          <w:rtl/>
        </w:rPr>
        <w:t xml:space="preserve"> </w:t>
      </w:r>
      <w:r w:rsidRPr="002F1185">
        <w:rPr>
          <w:rFonts w:hint="eastAsia"/>
          <w:noProof/>
          <w:rtl/>
        </w:rPr>
        <w:t>נותנת</w:t>
      </w:r>
      <w:r w:rsidRPr="002F1185">
        <w:rPr>
          <w:noProof/>
          <w:rtl/>
        </w:rPr>
        <w:t xml:space="preserve"> </w:t>
      </w:r>
      <w:r w:rsidRPr="002F1185">
        <w:rPr>
          <w:rFonts w:hint="eastAsia"/>
          <w:noProof/>
          <w:rtl/>
        </w:rPr>
        <w:t>שירות</w:t>
      </w:r>
      <w:r w:rsidRPr="002F1185">
        <w:rPr>
          <w:noProof/>
          <w:rtl/>
        </w:rPr>
        <w:t xml:space="preserve"> </w:t>
      </w:r>
      <w:r w:rsidRPr="002F1185">
        <w:rPr>
          <w:rFonts w:hint="eastAsia"/>
          <w:noProof/>
          <w:rtl/>
        </w:rPr>
        <w:t>ברווח</w:t>
      </w:r>
      <w:r w:rsidRPr="002F1185">
        <w:rPr>
          <w:noProof/>
          <w:rtl/>
        </w:rPr>
        <w:t xml:space="preserve"> </w:t>
      </w:r>
      <w:r w:rsidRPr="002F1185">
        <w:rPr>
          <w:rFonts w:hint="eastAsia"/>
          <w:noProof/>
          <w:rtl/>
        </w:rPr>
        <w:t>ובלבד</w:t>
      </w:r>
      <w:r w:rsidRPr="002F1185">
        <w:rPr>
          <w:noProof/>
          <w:rtl/>
        </w:rPr>
        <w:t xml:space="preserve"> </w:t>
      </w:r>
      <w:r w:rsidRPr="002F1185">
        <w:rPr>
          <w:rFonts w:hint="eastAsia"/>
          <w:noProof/>
          <w:rtl/>
        </w:rPr>
        <w:t>שסה</w:t>
      </w:r>
      <w:r w:rsidRPr="002F1185">
        <w:rPr>
          <w:noProof/>
          <w:rtl/>
        </w:rPr>
        <w:t>"</w:t>
      </w:r>
      <w:r w:rsidRPr="002F1185">
        <w:rPr>
          <w:rFonts w:hint="eastAsia"/>
          <w:noProof/>
          <w:rtl/>
        </w:rPr>
        <w:t>כ</w:t>
      </w:r>
      <w:r w:rsidRPr="002F1185">
        <w:rPr>
          <w:noProof/>
          <w:rtl/>
        </w:rPr>
        <w:t xml:space="preserve"> </w:t>
      </w:r>
      <w:r w:rsidRPr="002F1185">
        <w:rPr>
          <w:rFonts w:hint="eastAsia"/>
          <w:noProof/>
          <w:rtl/>
        </w:rPr>
        <w:t>הפעילות</w:t>
      </w:r>
      <w:r w:rsidRPr="002F1185">
        <w:rPr>
          <w:noProof/>
          <w:rtl/>
        </w:rPr>
        <w:t xml:space="preserve"> </w:t>
      </w:r>
      <w:r w:rsidRPr="002F1185">
        <w:rPr>
          <w:rFonts w:hint="eastAsia"/>
          <w:noProof/>
          <w:rtl/>
        </w:rPr>
        <w:t>מול</w:t>
      </w:r>
      <w:r w:rsidRPr="002F1185">
        <w:rPr>
          <w:noProof/>
          <w:rtl/>
        </w:rPr>
        <w:t xml:space="preserve"> </w:t>
      </w:r>
      <w:r w:rsidRPr="002F1185">
        <w:rPr>
          <w:rFonts w:hint="eastAsia"/>
          <w:noProof/>
          <w:rtl/>
        </w:rPr>
        <w:t>אותו</w:t>
      </w:r>
      <w:r w:rsidRPr="002F1185">
        <w:rPr>
          <w:noProof/>
          <w:rtl/>
        </w:rPr>
        <w:t xml:space="preserve"> </w:t>
      </w:r>
      <w:r w:rsidRPr="002F1185">
        <w:rPr>
          <w:rFonts w:hint="eastAsia"/>
          <w:noProof/>
          <w:rtl/>
        </w:rPr>
        <w:t>לקוח</w:t>
      </w:r>
      <w:r w:rsidRPr="002F1185">
        <w:rPr>
          <w:noProof/>
          <w:rtl/>
        </w:rPr>
        <w:t xml:space="preserve"> </w:t>
      </w:r>
      <w:r w:rsidRPr="002F1185">
        <w:rPr>
          <w:rFonts w:hint="eastAsia"/>
          <w:noProof/>
          <w:rtl/>
        </w:rPr>
        <w:t>תהיה</w:t>
      </w:r>
      <w:r w:rsidRPr="002F1185">
        <w:rPr>
          <w:noProof/>
          <w:rtl/>
        </w:rPr>
        <w:t xml:space="preserve"> </w:t>
      </w:r>
      <w:r w:rsidRPr="002F1185">
        <w:rPr>
          <w:rFonts w:hint="eastAsia"/>
          <w:noProof/>
          <w:rtl/>
        </w:rPr>
        <w:t>ברווח</w:t>
      </w:r>
      <w:r w:rsidRPr="002F1185">
        <w:rPr>
          <w:noProof/>
          <w:rtl/>
        </w:rPr>
        <w:t xml:space="preserve">. </w:t>
      </w:r>
      <w:r w:rsidRPr="002F1185">
        <w:rPr>
          <w:rFonts w:hint="eastAsia"/>
          <w:noProof/>
          <w:rtl/>
        </w:rPr>
        <w:t>כך</w:t>
      </w:r>
      <w:r w:rsidRPr="002F1185">
        <w:rPr>
          <w:noProof/>
          <w:rtl/>
        </w:rPr>
        <w:t xml:space="preserve"> </w:t>
      </w:r>
      <w:r w:rsidRPr="002F1185">
        <w:rPr>
          <w:rFonts w:hint="eastAsia"/>
          <w:noProof/>
          <w:rtl/>
        </w:rPr>
        <w:t>גם</w:t>
      </w:r>
      <w:r w:rsidRPr="002F1185">
        <w:rPr>
          <w:noProof/>
          <w:rtl/>
        </w:rPr>
        <w:t xml:space="preserve"> </w:t>
      </w:r>
      <w:r w:rsidRPr="002F1185">
        <w:rPr>
          <w:rFonts w:hint="eastAsia"/>
          <w:noProof/>
          <w:rtl/>
        </w:rPr>
        <w:t>לכל</w:t>
      </w:r>
      <w:r w:rsidRPr="002F1185">
        <w:rPr>
          <w:noProof/>
          <w:rtl/>
        </w:rPr>
        <w:t xml:space="preserve"> </w:t>
      </w:r>
      <w:r w:rsidRPr="002F1185">
        <w:rPr>
          <w:rFonts w:hint="eastAsia"/>
          <w:noProof/>
          <w:rtl/>
        </w:rPr>
        <w:t>לקוח</w:t>
      </w:r>
      <w:r w:rsidRPr="002F1185">
        <w:rPr>
          <w:noProof/>
          <w:rtl/>
        </w:rPr>
        <w:t xml:space="preserve"> </w:t>
      </w:r>
      <w:r w:rsidRPr="002F1185">
        <w:rPr>
          <w:rFonts w:hint="eastAsia"/>
          <w:noProof/>
          <w:rtl/>
        </w:rPr>
        <w:t>היה</w:t>
      </w:r>
      <w:r w:rsidRPr="002F1185">
        <w:rPr>
          <w:noProof/>
          <w:rtl/>
        </w:rPr>
        <w:t xml:space="preserve"> </w:t>
      </w:r>
      <w:r w:rsidRPr="002F1185">
        <w:rPr>
          <w:rFonts w:hint="eastAsia"/>
          <w:noProof/>
          <w:rtl/>
        </w:rPr>
        <w:t>נקבע</w:t>
      </w:r>
      <w:r w:rsidRPr="002F1185">
        <w:rPr>
          <w:noProof/>
          <w:rtl/>
        </w:rPr>
        <w:t xml:space="preserve"> </w:t>
      </w:r>
      <w:r w:rsidRPr="002F1185">
        <w:rPr>
          <w:rFonts w:hint="eastAsia"/>
          <w:noProof/>
          <w:rtl/>
        </w:rPr>
        <w:t>קו</w:t>
      </w:r>
      <w:r w:rsidRPr="002F1185">
        <w:rPr>
          <w:noProof/>
          <w:rtl/>
        </w:rPr>
        <w:t xml:space="preserve"> </w:t>
      </w:r>
      <w:r w:rsidRPr="002F1185">
        <w:rPr>
          <w:rFonts w:hint="eastAsia"/>
          <w:noProof/>
          <w:rtl/>
        </w:rPr>
        <w:t>אשראי</w:t>
      </w:r>
      <w:r w:rsidRPr="002F1185">
        <w:rPr>
          <w:noProof/>
          <w:rtl/>
        </w:rPr>
        <w:t xml:space="preserve"> </w:t>
      </w:r>
      <w:r w:rsidRPr="002F1185">
        <w:rPr>
          <w:rFonts w:hint="eastAsia"/>
          <w:noProof/>
          <w:rtl/>
        </w:rPr>
        <w:t>כולל</w:t>
      </w:r>
      <w:r w:rsidRPr="002F1185">
        <w:rPr>
          <w:noProof/>
          <w:rtl/>
        </w:rPr>
        <w:t xml:space="preserve"> </w:t>
      </w:r>
      <w:r w:rsidRPr="002F1185">
        <w:rPr>
          <w:rFonts w:hint="eastAsia"/>
          <w:noProof/>
          <w:rtl/>
        </w:rPr>
        <w:t>כלפי</w:t>
      </w:r>
      <w:r w:rsidRPr="002F1185">
        <w:rPr>
          <w:noProof/>
          <w:rtl/>
        </w:rPr>
        <w:t xml:space="preserve"> </w:t>
      </w:r>
      <w:r w:rsidRPr="002F1185">
        <w:rPr>
          <w:rFonts w:hint="eastAsia"/>
          <w:noProof/>
          <w:rtl/>
        </w:rPr>
        <w:t>כל</w:t>
      </w:r>
      <w:r w:rsidRPr="002F1185">
        <w:rPr>
          <w:noProof/>
          <w:rtl/>
        </w:rPr>
        <w:t xml:space="preserve"> </w:t>
      </w:r>
      <w:r w:rsidRPr="002F1185">
        <w:rPr>
          <w:rFonts w:hint="eastAsia"/>
          <w:noProof/>
          <w:rtl/>
        </w:rPr>
        <w:t>חברות</w:t>
      </w:r>
      <w:r w:rsidRPr="002F1185">
        <w:rPr>
          <w:noProof/>
          <w:rtl/>
        </w:rPr>
        <w:t xml:space="preserve"> </w:t>
      </w:r>
      <w:r w:rsidRPr="002F1185">
        <w:rPr>
          <w:rFonts w:hint="eastAsia"/>
          <w:noProof/>
          <w:rtl/>
        </w:rPr>
        <w:t>הקבוצה</w:t>
      </w:r>
      <w:r w:rsidRPr="002F1185">
        <w:rPr>
          <w:rFonts w:hint="cs"/>
          <w:noProof/>
          <w:rtl/>
        </w:rPr>
        <w:t xml:space="preserve"> (עמוד 71 לפסק הדין).</w:t>
      </w:r>
    </w:p>
    <w:p w:rsidR="009519E3" w:rsidRDefault="009519E3" w:rsidP="009519E3">
      <w:pPr>
        <w:pStyle w:val="Ruller5"/>
        <w:rPr>
          <w:rtl/>
        </w:rPr>
      </w:pPr>
      <w:r w:rsidRPr="002F1185">
        <w:rPr>
          <w:rFonts w:hint="cs"/>
          <w:noProof/>
          <w:rtl/>
        </w:rPr>
        <w:t xml:space="preserve"> </w:t>
      </w:r>
    </w:p>
    <w:p w:rsidR="004F458D" w:rsidRPr="002F1185" w:rsidRDefault="004F458D" w:rsidP="009519E3">
      <w:pPr>
        <w:pStyle w:val="Ruller41"/>
        <w:rPr>
          <w:rtl/>
        </w:rPr>
      </w:pPr>
    </w:p>
    <w:p w:rsidR="009519E3" w:rsidRPr="002F1185" w:rsidRDefault="009519E3" w:rsidP="009519E3">
      <w:pPr>
        <w:pStyle w:val="Ruller4"/>
        <w:numPr>
          <w:ilvl w:val="0"/>
          <w:numId w:val="0"/>
        </w:numPr>
        <w:rPr>
          <w:rtl/>
        </w:rPr>
      </w:pPr>
      <w:r w:rsidRPr="002F1185">
        <w:rPr>
          <w:rFonts w:hint="cs"/>
          <w:rtl/>
        </w:rPr>
        <w:t xml:space="preserve">עולה מן האמור כי המוניטין של קבוצת פליינג קרגו מתבטא בהצעת סל שירותים מלא ומגוון לניהול שרשרת האספקה הלוגיסטית אשר מורכב ממכלול השירותים שניתנו על ידי חברות הקבוצה, וזאת במודל של </w:t>
      </w:r>
      <w:r w:rsidRPr="002F1185">
        <w:rPr>
          <w:rFonts w:asciiTheme="majorBidi" w:hAnsiTheme="majorBidi" w:cstheme="majorBidi"/>
          <w:szCs w:val="24"/>
        </w:rPr>
        <w:t>One Stop Shop</w:t>
      </w:r>
      <w:r w:rsidRPr="002F1185">
        <w:rPr>
          <w:rFonts w:hint="cs"/>
          <w:rtl/>
        </w:rPr>
        <w:t xml:space="preserve">. בזכות הסינרגיה בין חברות הקבוצה ופעילותן כמקשה אחת, ניתן היה להעניק פתרון כולל תחת קורת גג אחת, שהותאם לצרכיו הייחודים של כל לקוח, דבר שהעניק ללקוחות תועלות רבות, וזו הסיבה שלקוחות רבים שבו ופקדו את קבוצת פליינג קרגו. </w:t>
      </w:r>
    </w:p>
    <w:p w:rsidR="009519E3" w:rsidRPr="002F1185" w:rsidRDefault="009519E3" w:rsidP="009519E3">
      <w:pPr>
        <w:pStyle w:val="Ruller41"/>
        <w:rPr>
          <w:rtl/>
        </w:rPr>
      </w:pPr>
    </w:p>
    <w:p w:rsidR="009519E3" w:rsidRPr="002F1185" w:rsidRDefault="009519E3" w:rsidP="0085047F">
      <w:pPr>
        <w:pStyle w:val="Ruller4"/>
        <w:numPr>
          <w:ilvl w:val="0"/>
          <w:numId w:val="0"/>
        </w:numPr>
        <w:rPr>
          <w:rtl/>
        </w:rPr>
      </w:pPr>
      <w:r w:rsidRPr="002F1185">
        <w:rPr>
          <w:rtl/>
        </w:rPr>
        <w:tab/>
      </w:r>
      <w:r w:rsidRPr="002F1185">
        <w:rPr>
          <w:rFonts w:hint="cs"/>
          <w:rtl/>
        </w:rPr>
        <w:t>ואולם, אם עיקר המוניטין של קבוצת פליינג קרגו נובע מהסינרגיה שבין מרכיביה, הרי שהתועלת אותה ניתן יהיה להפיק ממוניטין זה לאחר ניתוקה של אף.סי תובלה בינלאומית מהקבוצה היא מוגבלת, שהרי חברה זו לא תהיה עוד חלק מהסינרגיה האמורה. ממילא צדדים שלישיים המודעים לשינוי זה אינם צפויים לייחס משקל ניכר למוניטין של קבוצת פליינג קרגו בבואם להתקשר עם אף.סי תובלה בינלאומית לאחר העברת השליטה בה, וזאת גם אם תמשיך לעשות שימוש בסימני המסחר, הלוגו ואתרי האינטרנט של קבוצת פליינג קרגו. מכאן שעיקר התועלת שעשויה לצמוח לדויטשה פוסט מזכות השימוש במוניטין זה נוגעת לקבוצה מוגבלת של לקוחות (בעיקר לקוחות מזדמנים) ולתקופה מוגבלת (עד שהשוק יפנים את השינוי). הטיעון כי למרות מגבלות אלה 98% מהתמורה, מעל ל-437 מיליון ש"ח, ניתנה בעבור מוניטין מסוג זה אינ</w:t>
      </w:r>
      <w:r w:rsidR="0085047F">
        <w:rPr>
          <w:rFonts w:hint="cs"/>
          <w:rtl/>
        </w:rPr>
        <w:t>ו</w:t>
      </w:r>
      <w:r w:rsidRPr="002F1185">
        <w:rPr>
          <w:rFonts w:hint="cs"/>
          <w:rtl/>
        </w:rPr>
        <w:t xml:space="preserve"> מתקבל על הדעת.</w:t>
      </w:r>
    </w:p>
    <w:p w:rsidR="009519E3" w:rsidRPr="002F1185" w:rsidRDefault="009519E3" w:rsidP="009519E3">
      <w:pPr>
        <w:pStyle w:val="Ruller41"/>
        <w:rPr>
          <w:rtl/>
        </w:rPr>
      </w:pPr>
    </w:p>
    <w:p w:rsidR="009519E3" w:rsidRPr="002F1185" w:rsidRDefault="009519E3" w:rsidP="00BC10B3">
      <w:pPr>
        <w:pStyle w:val="Ruller4"/>
        <w:rPr>
          <w:rFonts w:ascii="Century" w:hAnsi="Century"/>
          <w:sz w:val="22"/>
          <w:rtl/>
        </w:rPr>
      </w:pPr>
      <w:r w:rsidRPr="002F1185">
        <w:rPr>
          <w:rFonts w:ascii="Century" w:hAnsi="Century" w:cs="Miriam" w:hint="cs"/>
          <w:b/>
          <w:spacing w:val="0"/>
          <w:sz w:val="22"/>
          <w:szCs w:val="24"/>
          <w:rtl/>
        </w:rPr>
        <w:t xml:space="preserve">(3) אופן קביעת התמורה הסופית בהסכם המכר </w:t>
      </w:r>
      <w:r w:rsidRPr="002F1185">
        <w:rPr>
          <w:rFonts w:ascii="Century" w:hAnsi="Century"/>
          <w:sz w:val="22"/>
          <w:rtl/>
        </w:rPr>
        <w:t>–</w:t>
      </w:r>
      <w:r w:rsidRPr="002F1185">
        <w:rPr>
          <w:rFonts w:ascii="Century" w:hAnsi="Century" w:hint="cs"/>
          <w:sz w:val="22"/>
          <w:rtl/>
        </w:rPr>
        <w:t xml:space="preserve"> התמורה שנקבעה בהסכם המכר לא הייתה סופית, אלא כפופה למנגנון התאמה, אשר בחן את הפעילות במשך 24 חודשים לאחר מועד הסגירה (</w:t>
      </w:r>
      <w:r w:rsidRPr="002F1185">
        <w:rPr>
          <w:rFonts w:asciiTheme="majorBidi" w:hAnsiTheme="majorBidi" w:cstheme="majorBidi"/>
          <w:szCs w:val="32"/>
        </w:rPr>
        <w:t>Closing Date</w:t>
      </w:r>
      <w:r w:rsidRPr="002F1185">
        <w:rPr>
          <w:rFonts w:ascii="Century" w:hAnsi="Century" w:hint="cs"/>
          <w:sz w:val="22"/>
          <w:rtl/>
        </w:rPr>
        <w:t xml:space="preserve">) של הסכם המכר. את השינויים שנבעו ממנגנון ההתאמה ייחסו הצדדים לערך המוניטין שנמכר, ואולם אם כוונתם הייתה להתאים את </w:t>
      </w:r>
      <w:r w:rsidRPr="002F1185">
        <w:rPr>
          <w:rFonts w:ascii="Century" w:hAnsi="Century" w:hint="cs"/>
          <w:sz w:val="22"/>
          <w:rtl/>
        </w:rPr>
        <w:lastRenderedPageBreak/>
        <w:t xml:space="preserve">שווי מוניטין קבוצת פליינג קרגו, היה מקום להניח כי הבחינה תתייחס לפעילותה של קבוצת פליינג קרגו בכללותה. והנה עיון במנגנון ההתאמה שבסעיף 2.9 להסכם המכר מלמד כי הוא מתייחס לפעילות של </w:t>
      </w:r>
      <w:r w:rsidRPr="002F1185">
        <w:rPr>
          <w:rFonts w:hint="cs"/>
          <w:rtl/>
        </w:rPr>
        <w:t>אף.סי תובלה בינלאומית</w:t>
      </w:r>
      <w:r w:rsidRPr="002F1185">
        <w:rPr>
          <w:rFonts w:ascii="Century" w:hAnsi="Century" w:hint="cs"/>
          <w:sz w:val="22"/>
          <w:rtl/>
        </w:rPr>
        <w:t xml:space="preserve"> (חברת הבת) בלבד</w:t>
      </w:r>
      <w:r w:rsidR="00BC10B3">
        <w:rPr>
          <w:rFonts w:ascii="Century" w:hAnsi="Century" w:hint="cs"/>
          <w:sz w:val="22"/>
          <w:rtl/>
        </w:rPr>
        <w:t>,</w:t>
      </w:r>
      <w:r w:rsidRPr="002F1185">
        <w:rPr>
          <w:rFonts w:ascii="Century" w:hAnsi="Century" w:hint="cs"/>
          <w:sz w:val="22"/>
          <w:rtl/>
        </w:rPr>
        <w:t xml:space="preserve"> ולא לפעילות של קבוצת פליינג קרגו. מכאן שמנגנון ההתאמה מתייחס להכנסות פעילות השילוח הבינלאומי (ובכל לזה המוניטין הכרוך בפעילת זו) ואינו מתייחס כלל להכנסות שהושגו בסיוע המוניטין של קבוצת פליינג קרגו. ממילא השפעת מנגנון זה אינה יכולה להיות על שווי התשלום בעבור המוניטין (כפי שקבעו הצדדים) אלא היא יכולה להתייחס רק לשווי המניות.</w:t>
      </w:r>
    </w:p>
    <w:p w:rsidR="009519E3" w:rsidRPr="002F1185" w:rsidRDefault="009519E3" w:rsidP="009519E3">
      <w:pPr>
        <w:pStyle w:val="Ruller41"/>
      </w:pPr>
    </w:p>
    <w:p w:rsidR="009519E3" w:rsidRDefault="009519E3" w:rsidP="004A60D8">
      <w:pPr>
        <w:pStyle w:val="Ruller4"/>
        <w:rPr>
          <w:rtl/>
        </w:rPr>
      </w:pPr>
      <w:r w:rsidRPr="002F1185">
        <w:rPr>
          <w:rFonts w:ascii="Century" w:hAnsi="Century" w:hint="cs"/>
          <w:sz w:val="22"/>
          <w:rtl/>
        </w:rPr>
        <w:t xml:space="preserve">(4) </w:t>
      </w:r>
      <w:r w:rsidRPr="002F1185">
        <w:rPr>
          <w:rFonts w:ascii="Century" w:hAnsi="Century" w:cs="Miriam" w:hint="cs"/>
          <w:b/>
          <w:spacing w:val="0"/>
          <w:sz w:val="22"/>
          <w:szCs w:val="24"/>
          <w:rtl/>
        </w:rPr>
        <w:t xml:space="preserve">חוות דעת המומחים </w:t>
      </w:r>
      <w:r w:rsidRPr="002F1185">
        <w:rPr>
          <w:rFonts w:ascii="Century" w:hAnsi="Century"/>
          <w:sz w:val="22"/>
          <w:rtl/>
        </w:rPr>
        <w:t>–</w:t>
      </w:r>
      <w:r w:rsidRPr="002F1185">
        <w:rPr>
          <w:rFonts w:ascii="Century" w:hAnsi="Century" w:cs="Miriam" w:hint="cs"/>
          <w:b/>
          <w:spacing w:val="0"/>
          <w:sz w:val="22"/>
          <w:szCs w:val="24"/>
          <w:rtl/>
        </w:rPr>
        <w:t xml:space="preserve"> </w:t>
      </w:r>
      <w:r w:rsidRPr="002F1185">
        <w:rPr>
          <w:rFonts w:hint="cs"/>
          <w:rtl/>
        </w:rPr>
        <w:t>לתמיכה בחלוקת התמורה המוסכמת הוצגה לפקיד השומה עבודה בדבר הקצאת עלות רכישה (</w:t>
      </w:r>
      <w:r w:rsidRPr="002F1185">
        <w:rPr>
          <w:rFonts w:asciiTheme="majorBidi" w:hAnsiTheme="majorBidi" w:cstheme="majorBidi"/>
          <w:szCs w:val="24"/>
        </w:rPr>
        <w:t>Purchase Price Allocation</w:t>
      </w:r>
      <w:r w:rsidRPr="002F1185">
        <w:rPr>
          <w:rFonts w:hint="cs"/>
          <w:rtl/>
        </w:rPr>
        <w:t xml:space="preserve">) שנעשתה על ידי חברת רואי החשבון </w:t>
      </w:r>
      <w:r w:rsidRPr="002F1185">
        <w:rPr>
          <w:rFonts w:asciiTheme="majorBidi" w:hAnsiTheme="majorBidi" w:cstheme="majorBidi"/>
        </w:rPr>
        <w:t>KPMG</w:t>
      </w:r>
      <w:r w:rsidRPr="002F1185">
        <w:rPr>
          <w:rFonts w:hint="cs"/>
          <w:rtl/>
        </w:rPr>
        <w:t xml:space="preserve"> גרמניה תחת הכותרת </w:t>
      </w:r>
      <w:r w:rsidRPr="002F1185">
        <w:rPr>
          <w:rFonts w:ascii="Century" w:hAnsi="Century"/>
          <w:sz w:val="22"/>
          <w:szCs w:val="22"/>
          <w:rtl/>
        </w:rPr>
        <w:t>"</w:t>
      </w:r>
      <w:r w:rsidRPr="002F1185">
        <w:rPr>
          <w:rFonts w:asciiTheme="majorBidi" w:hAnsiTheme="majorBidi" w:cstheme="majorBidi"/>
          <w:szCs w:val="24"/>
        </w:rPr>
        <w:t>Deutsche Post AG – Valuation of certain intangible and tangible assets of F.C. International Transportation ltd as at 31 December 2007</w:t>
      </w:r>
      <w:r w:rsidRPr="002F1185">
        <w:rPr>
          <w:rFonts w:ascii="Century" w:hAnsi="Century"/>
          <w:sz w:val="22"/>
          <w:szCs w:val="22"/>
          <w:rtl/>
        </w:rPr>
        <w:t>"</w:t>
      </w:r>
      <w:r w:rsidRPr="002F1185">
        <w:rPr>
          <w:rFonts w:hint="cs"/>
          <w:rtl/>
        </w:rPr>
        <w:t xml:space="preserve"> ואשר מטרתה לנתח את מרכיבי התמורה בהסכם המכר לצורך צירוף עסקים ורישום הרכב ושווי הנכסים (וההתחייבויות) המוחשיים והבלתי מוחשיים של אף.סי תובלה בינלאומית בדוחותיה הכספיים של החברה הרוכשת, דויטשה פוסט (</w:t>
      </w:r>
      <w:r w:rsidR="00BC10B3">
        <w:rPr>
          <w:rFonts w:hint="cs"/>
          <w:rtl/>
        </w:rPr>
        <w:t>לעיל ו</w:t>
      </w:r>
      <w:r w:rsidRPr="002F1185">
        <w:rPr>
          <w:rFonts w:hint="cs"/>
          <w:rtl/>
        </w:rPr>
        <w:t xml:space="preserve">להלן: </w:t>
      </w:r>
      <w:r w:rsidRPr="002F1185">
        <w:rPr>
          <w:rFonts w:ascii="Century" w:hAnsi="Century" w:cs="Miriam" w:hint="cs"/>
          <w:b/>
          <w:spacing w:val="0"/>
          <w:sz w:val="22"/>
          <w:szCs w:val="24"/>
          <w:rtl/>
        </w:rPr>
        <w:t xml:space="preserve">"עבודת </w:t>
      </w:r>
      <w:r w:rsidRPr="002F1185">
        <w:rPr>
          <w:rFonts w:asciiTheme="majorBidi" w:hAnsiTheme="majorBidi" w:cstheme="majorBidi"/>
          <w:b/>
          <w:spacing w:val="0"/>
        </w:rPr>
        <w:t>PPA</w:t>
      </w:r>
      <w:r w:rsidRPr="002F1185">
        <w:rPr>
          <w:rFonts w:ascii="Century" w:hAnsi="Century" w:cs="Miriam" w:hint="cs"/>
          <w:b/>
          <w:spacing w:val="0"/>
          <w:sz w:val="22"/>
          <w:szCs w:val="24"/>
          <w:rtl/>
        </w:rPr>
        <w:t>"</w:t>
      </w:r>
      <w:r w:rsidRPr="002F1185">
        <w:rPr>
          <w:rFonts w:hint="cs"/>
          <w:rtl/>
        </w:rPr>
        <w:t>). ויודגש, מטרת עבודת ה-</w:t>
      </w:r>
      <w:r w:rsidRPr="002F1185">
        <w:rPr>
          <w:rFonts w:asciiTheme="majorBidi" w:hAnsiTheme="majorBidi" w:cstheme="majorBidi"/>
          <w:szCs w:val="24"/>
        </w:rPr>
        <w:t>PPA</w:t>
      </w:r>
      <w:r w:rsidRPr="002F1185">
        <w:rPr>
          <w:rFonts w:hint="cs"/>
          <w:rtl/>
        </w:rPr>
        <w:t xml:space="preserve"> היא לצרכים חשבונאיים, והיא רלוונטית בראש ובראשונה לחברה הרוכשת, היינו דויטשה פוסט. ממילא לא ניתן למצוא בעבודת </w:t>
      </w:r>
      <w:r w:rsidRPr="004A60D8">
        <w:rPr>
          <w:rFonts w:asciiTheme="majorBidi" w:hAnsiTheme="majorBidi" w:cstheme="majorBidi"/>
        </w:rPr>
        <w:t>PPA</w:t>
      </w:r>
      <w:r w:rsidRPr="002F1185">
        <w:rPr>
          <w:rFonts w:hint="cs"/>
          <w:rtl/>
        </w:rPr>
        <w:t xml:space="preserve"> משום תשובה לשאלה בה עסקינן: מהו הסכום ששולם בעבור פעילות השילוח הבינלאומי ומהו הסכום ששולם בעבור המוניטין של קבוצת פליינג קרגו.</w:t>
      </w:r>
      <w:r w:rsidRPr="002F1185">
        <w:rPr>
          <w:rFonts w:ascii="Century" w:hAnsi="Century" w:cs="Miriam" w:hint="cs"/>
          <w:b/>
          <w:spacing w:val="0"/>
          <w:sz w:val="22"/>
          <w:szCs w:val="24"/>
          <w:rtl/>
        </w:rPr>
        <w:t xml:space="preserve"> </w:t>
      </w:r>
      <w:r w:rsidRPr="002F1185">
        <w:rPr>
          <w:rFonts w:hint="cs"/>
          <w:rtl/>
        </w:rPr>
        <w:t>בנוסף לכך, הגישו הצדדים חוות דעת, אשר נסמכות על הנתונים בעבודת ה-</w:t>
      </w:r>
      <w:r w:rsidRPr="002F1185">
        <w:rPr>
          <w:rFonts w:asciiTheme="majorBidi" w:hAnsiTheme="majorBidi" w:cstheme="majorBidi"/>
          <w:szCs w:val="24"/>
        </w:rPr>
        <w:t>PPA</w:t>
      </w:r>
      <w:r w:rsidRPr="002F1185">
        <w:rPr>
          <w:rFonts w:hint="cs"/>
          <w:rtl/>
        </w:rPr>
        <w:t xml:space="preserve">, אך מכל אחת מהן ניתן ללמוד על דרך שונה לייחוס התמורה בגין המוניטין. </w:t>
      </w:r>
      <w:r w:rsidR="004A60D8">
        <w:rPr>
          <w:rFonts w:hint="cs"/>
          <w:rtl/>
        </w:rPr>
        <w:t>א</w:t>
      </w:r>
      <w:r w:rsidRPr="002F1185">
        <w:rPr>
          <w:rFonts w:hint="cs"/>
          <w:rtl/>
        </w:rPr>
        <w:t>ציג תחילה את נתוני עבודת ה-</w:t>
      </w:r>
      <w:r w:rsidRPr="002F1185">
        <w:rPr>
          <w:rFonts w:asciiTheme="majorBidi" w:hAnsiTheme="majorBidi" w:cstheme="majorBidi"/>
          <w:szCs w:val="24"/>
        </w:rPr>
        <w:t>PPA</w:t>
      </w:r>
      <w:r w:rsidRPr="002F1185">
        <w:rPr>
          <w:rFonts w:hint="cs"/>
          <w:rtl/>
        </w:rPr>
        <w:t>.</w:t>
      </w:r>
    </w:p>
    <w:p w:rsidR="00BC10B3" w:rsidRPr="00BC10B3" w:rsidRDefault="00BC10B3" w:rsidP="00BC10B3">
      <w:pPr>
        <w:pStyle w:val="Ruller41"/>
        <w:rPr>
          <w:rtl/>
        </w:rPr>
      </w:pPr>
    </w:p>
    <w:p w:rsidR="009519E3" w:rsidRPr="002F1185" w:rsidRDefault="009519E3" w:rsidP="00BC10B3">
      <w:pPr>
        <w:pStyle w:val="Ruller4"/>
        <w:numPr>
          <w:ilvl w:val="0"/>
          <w:numId w:val="0"/>
        </w:numPr>
        <w:rPr>
          <w:rtl/>
        </w:rPr>
      </w:pPr>
      <w:r w:rsidRPr="002F1185">
        <w:rPr>
          <w:rtl/>
        </w:rPr>
        <w:tab/>
      </w:r>
      <w:r w:rsidRPr="002F1185">
        <w:rPr>
          <w:rFonts w:hint="cs"/>
          <w:rtl/>
        </w:rPr>
        <w:t>על פי עבודת ה-</w:t>
      </w:r>
      <w:r w:rsidRPr="002F1185">
        <w:rPr>
          <w:rFonts w:asciiTheme="majorBidi" w:hAnsiTheme="majorBidi" w:cstheme="majorBidi"/>
          <w:szCs w:val="24"/>
        </w:rPr>
        <w:t>PPA</w:t>
      </w:r>
      <w:r w:rsidRPr="002F1185">
        <w:rPr>
          <w:rFonts w:hint="cs"/>
          <w:rtl/>
        </w:rPr>
        <w:t>, העלות הכוללת והסופית (לאחר התאמות) של הסכם המכר היא 485.8 מיליון ש"ח אשר מתחלקת באופן הבא: עלות המכירה (</w:t>
      </w:r>
      <w:r w:rsidRPr="002F1185">
        <w:rPr>
          <w:rFonts w:asciiTheme="majorBidi" w:hAnsiTheme="majorBidi" w:cstheme="majorBidi"/>
          <w:szCs w:val="24"/>
        </w:rPr>
        <w:t>Purchase price</w:t>
      </w:r>
      <w:r w:rsidRPr="002F1185">
        <w:rPr>
          <w:rFonts w:hint="cs"/>
          <w:rtl/>
        </w:rPr>
        <w:t>) היא 437.8 מיליון ש״ח; עלויות התאמה (</w:t>
      </w:r>
      <w:r w:rsidRPr="002F1185">
        <w:rPr>
          <w:rFonts w:asciiTheme="majorBidi" w:hAnsiTheme="majorBidi" w:cstheme="majorBidi"/>
          <w:szCs w:val="24"/>
        </w:rPr>
        <w:t>Contingent consideration</w:t>
      </w:r>
      <w:r w:rsidRPr="002F1185">
        <w:rPr>
          <w:rFonts w:hint="cs"/>
          <w:rtl/>
        </w:rPr>
        <w:t>) הן 46 מיליון ש״ח; ועלויות קשורות (</w:t>
      </w:r>
      <w:r w:rsidRPr="002F1185">
        <w:rPr>
          <w:rFonts w:asciiTheme="majorBidi" w:hAnsiTheme="majorBidi" w:cstheme="majorBidi"/>
          <w:szCs w:val="24"/>
        </w:rPr>
        <w:t>Direct attributable costs</w:t>
      </w:r>
      <w:r w:rsidRPr="002F1185">
        <w:rPr>
          <w:rFonts w:hint="cs"/>
          <w:rtl/>
        </w:rPr>
        <w:t>) הן 2 מיליון ש״ח (ראו עמ</w:t>
      </w:r>
      <w:r w:rsidR="00BC10B3">
        <w:rPr>
          <w:rFonts w:hint="cs"/>
          <w:rtl/>
        </w:rPr>
        <w:t>ודים</w:t>
      </w:r>
      <w:r w:rsidRPr="002F1185">
        <w:rPr>
          <w:rFonts w:hint="cs"/>
          <w:rtl/>
        </w:rPr>
        <w:t xml:space="preserve"> 5, 14 ו-32 לעבודת ה-</w:t>
      </w:r>
      <w:r w:rsidRPr="002F1185">
        <w:rPr>
          <w:rFonts w:asciiTheme="majorBidi" w:hAnsiTheme="majorBidi" w:cstheme="majorBidi"/>
          <w:szCs w:val="24"/>
        </w:rPr>
        <w:t>PPA</w:t>
      </w:r>
      <w:r w:rsidRPr="002F1185">
        <w:rPr>
          <w:rFonts w:hint="cs"/>
          <w:rtl/>
        </w:rPr>
        <w:t xml:space="preserve">). </w:t>
      </w:r>
    </w:p>
    <w:p w:rsidR="009519E3" w:rsidRPr="002F1185" w:rsidRDefault="009519E3" w:rsidP="009519E3">
      <w:pPr>
        <w:pStyle w:val="Ruller4"/>
        <w:numPr>
          <w:ilvl w:val="0"/>
          <w:numId w:val="0"/>
        </w:numPr>
        <w:rPr>
          <w:rtl/>
        </w:rPr>
      </w:pPr>
    </w:p>
    <w:p w:rsidR="009519E3" w:rsidRPr="002F1185" w:rsidRDefault="009519E3" w:rsidP="009519E3">
      <w:pPr>
        <w:pStyle w:val="Ruller41"/>
        <w:rPr>
          <w:rtl/>
        </w:rPr>
      </w:pPr>
      <w:r w:rsidRPr="002F1185">
        <w:rPr>
          <w:rtl/>
        </w:rPr>
        <w:tab/>
      </w:r>
      <w:r w:rsidRPr="002F1185">
        <w:rPr>
          <w:rFonts w:hint="cs"/>
          <w:rtl/>
        </w:rPr>
        <w:t xml:space="preserve">כפי שניתן ללמוד מן הנתונים שלעיל, הסכם המכר הוערך בשווי של כ-485.8 מיליון ש״ח. הנכסים המוחשיים נטו הוערכו בשווי של כ-5.3 מיליון ש״ח, והנכסים </w:t>
      </w:r>
      <w:r w:rsidRPr="002F1185">
        <w:rPr>
          <w:rFonts w:hint="cs"/>
          <w:rtl/>
        </w:rPr>
        <w:lastRenderedPageBreak/>
        <w:t xml:space="preserve">הבלתי מוחשיים הוערכו בשווי של כ-480.5 מיליון ש״ח. מתוך הנכסים הבלתי מוחשיים זוהה מוניטין בגובה של כ-425.01 מיליון ש״ח, וזאת בהתאם לחישוב הבא: </w:t>
      </w:r>
    </w:p>
    <w:p w:rsidR="009519E3" w:rsidRPr="002F1185" w:rsidRDefault="009519E3" w:rsidP="009519E3">
      <w:pPr>
        <w:pStyle w:val="Ruller41"/>
        <w:rPr>
          <w:rtl/>
        </w:rPr>
      </w:pPr>
    </w:p>
    <w:p w:rsidR="009519E3" w:rsidRPr="002F1185" w:rsidRDefault="009519E3" w:rsidP="009519E3">
      <w:pPr>
        <w:pStyle w:val="Ruller41"/>
        <w:bidi w:val="0"/>
        <w:rPr>
          <w:rFonts w:asciiTheme="majorBidi" w:hAnsiTheme="majorBidi" w:cstheme="majorBidi"/>
          <w:b/>
          <w:spacing w:val="0"/>
          <w:sz w:val="24"/>
          <w:szCs w:val="24"/>
        </w:rPr>
      </w:pPr>
      <w:r w:rsidRPr="002F1185">
        <w:rPr>
          <w:rFonts w:asciiTheme="majorBidi" w:hAnsiTheme="majorBidi" w:cstheme="majorBidi"/>
          <w:b/>
          <w:spacing w:val="0"/>
          <w:sz w:val="24"/>
          <w:szCs w:val="24"/>
        </w:rPr>
        <w:t>Goodwill derivation - Flying Cargo PPA</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4678"/>
      </w:tblGrid>
      <w:tr w:rsidR="009519E3" w:rsidRPr="002F1185" w:rsidTr="00BC10B3">
        <w:tc>
          <w:tcPr>
            <w:tcW w:w="3618" w:type="dxa"/>
            <w:shd w:val="clear" w:color="auto" w:fill="auto"/>
          </w:tcPr>
          <w:p w:rsidR="009519E3" w:rsidRPr="002F1185" w:rsidRDefault="009519E3" w:rsidP="00BC10B3">
            <w:pPr>
              <w:pStyle w:val="Ruller41"/>
              <w:bidi w:val="0"/>
              <w:rPr>
                <w:rFonts w:asciiTheme="majorBidi" w:hAnsiTheme="majorBidi" w:cstheme="majorBidi"/>
                <w:b/>
                <w:spacing w:val="0"/>
                <w:sz w:val="24"/>
                <w:szCs w:val="24"/>
              </w:rPr>
            </w:pPr>
            <w:r w:rsidRPr="002F1185">
              <w:rPr>
                <w:rFonts w:asciiTheme="majorBidi" w:hAnsiTheme="majorBidi" w:cstheme="majorBidi"/>
                <w:b/>
                <w:spacing w:val="0"/>
                <w:sz w:val="24"/>
                <w:szCs w:val="24"/>
              </w:rPr>
              <w:t>Price (NIS) as at 31th Dec 2007</w:t>
            </w:r>
          </w:p>
        </w:tc>
        <w:tc>
          <w:tcPr>
            <w:tcW w:w="4678" w:type="dxa"/>
            <w:shd w:val="clear" w:color="auto" w:fill="auto"/>
          </w:tcPr>
          <w:p w:rsidR="009519E3" w:rsidRPr="002F1185" w:rsidRDefault="009519E3" w:rsidP="00BC10B3">
            <w:pPr>
              <w:pStyle w:val="Ruller41"/>
              <w:bidi w:val="0"/>
              <w:rPr>
                <w:rFonts w:asciiTheme="majorBidi" w:hAnsiTheme="majorBidi" w:cstheme="majorBidi"/>
                <w:b/>
                <w:spacing w:val="0"/>
                <w:sz w:val="24"/>
                <w:szCs w:val="24"/>
                <w:rtl/>
              </w:rPr>
            </w:pPr>
            <w:r w:rsidRPr="002F1185">
              <w:rPr>
                <w:rFonts w:asciiTheme="majorBidi" w:hAnsiTheme="majorBidi" w:cstheme="majorBidi"/>
                <w:b/>
                <w:spacing w:val="0"/>
                <w:sz w:val="24"/>
                <w:szCs w:val="24"/>
              </w:rPr>
              <w:t>Asset</w:t>
            </w:r>
          </w:p>
        </w:tc>
      </w:tr>
      <w:tr w:rsidR="009519E3" w:rsidRPr="002F1185" w:rsidTr="00BC10B3">
        <w:tc>
          <w:tcPr>
            <w:tcW w:w="3618" w:type="dxa"/>
            <w:shd w:val="clear" w:color="auto" w:fill="auto"/>
          </w:tcPr>
          <w:p w:rsidR="009519E3" w:rsidRPr="002F1185" w:rsidRDefault="009519E3" w:rsidP="00BC10B3">
            <w:pPr>
              <w:pStyle w:val="Ruller41"/>
              <w:bidi w:val="0"/>
              <w:rPr>
                <w:rFonts w:asciiTheme="majorBidi" w:hAnsiTheme="majorBidi" w:cstheme="majorBidi"/>
                <w:sz w:val="24"/>
                <w:szCs w:val="24"/>
                <w:rtl/>
              </w:rPr>
            </w:pPr>
            <w:r w:rsidRPr="002F1185">
              <w:rPr>
                <w:rFonts w:asciiTheme="majorBidi" w:hAnsiTheme="majorBidi" w:cstheme="majorBidi"/>
                <w:sz w:val="24"/>
                <w:szCs w:val="24"/>
              </w:rPr>
              <w:t>485.805</w:t>
            </w:r>
          </w:p>
        </w:tc>
        <w:tc>
          <w:tcPr>
            <w:tcW w:w="4678" w:type="dxa"/>
            <w:shd w:val="clear" w:color="auto" w:fill="auto"/>
          </w:tcPr>
          <w:p w:rsidR="009519E3" w:rsidRPr="002F1185" w:rsidRDefault="009519E3" w:rsidP="00BC10B3">
            <w:pPr>
              <w:pStyle w:val="Ruller41"/>
              <w:bidi w:val="0"/>
              <w:rPr>
                <w:rFonts w:asciiTheme="majorBidi" w:hAnsiTheme="majorBidi" w:cstheme="majorBidi"/>
                <w:sz w:val="24"/>
                <w:szCs w:val="24"/>
                <w:rtl/>
              </w:rPr>
            </w:pPr>
            <w:r w:rsidRPr="002F1185">
              <w:rPr>
                <w:rFonts w:asciiTheme="majorBidi" w:hAnsiTheme="majorBidi" w:cstheme="majorBidi"/>
                <w:sz w:val="24"/>
                <w:szCs w:val="24"/>
              </w:rPr>
              <w:t>Distributable amount for the PPA</w:t>
            </w:r>
          </w:p>
        </w:tc>
      </w:tr>
      <w:tr w:rsidR="009519E3" w:rsidRPr="002F1185" w:rsidTr="00BC10B3">
        <w:tc>
          <w:tcPr>
            <w:tcW w:w="3618" w:type="dxa"/>
            <w:shd w:val="clear" w:color="auto" w:fill="auto"/>
          </w:tcPr>
          <w:p w:rsidR="009519E3" w:rsidRPr="002F1185" w:rsidRDefault="009519E3" w:rsidP="00BC10B3">
            <w:pPr>
              <w:pStyle w:val="Ruller41"/>
              <w:bidi w:val="0"/>
              <w:rPr>
                <w:rFonts w:asciiTheme="majorBidi" w:hAnsiTheme="majorBidi" w:cstheme="majorBidi"/>
                <w:sz w:val="24"/>
                <w:szCs w:val="24"/>
              </w:rPr>
            </w:pPr>
            <w:r w:rsidRPr="002F1185">
              <w:rPr>
                <w:rFonts w:asciiTheme="majorBidi" w:hAnsiTheme="majorBidi" w:cstheme="majorBidi"/>
                <w:sz w:val="24"/>
                <w:szCs w:val="24"/>
              </w:rPr>
              <w:t>5.337</w:t>
            </w:r>
          </w:p>
        </w:tc>
        <w:tc>
          <w:tcPr>
            <w:tcW w:w="4678" w:type="dxa"/>
            <w:shd w:val="clear" w:color="auto" w:fill="auto"/>
          </w:tcPr>
          <w:p w:rsidR="009519E3" w:rsidRPr="002F1185" w:rsidRDefault="009519E3" w:rsidP="00BC10B3">
            <w:pPr>
              <w:pStyle w:val="Ruller41"/>
              <w:bidi w:val="0"/>
              <w:rPr>
                <w:rFonts w:asciiTheme="majorBidi" w:hAnsiTheme="majorBidi" w:cstheme="majorBidi"/>
                <w:sz w:val="24"/>
                <w:szCs w:val="24"/>
                <w:rtl/>
              </w:rPr>
            </w:pPr>
            <w:r w:rsidRPr="002F1185">
              <w:rPr>
                <w:rFonts w:asciiTheme="majorBidi" w:hAnsiTheme="majorBidi" w:cstheme="majorBidi"/>
                <w:sz w:val="24"/>
                <w:szCs w:val="24"/>
              </w:rPr>
              <w:t>- Net assets IFRS ore PPA</w:t>
            </w:r>
          </w:p>
        </w:tc>
      </w:tr>
      <w:tr w:rsidR="009519E3" w:rsidRPr="002F1185" w:rsidTr="00BC10B3">
        <w:tc>
          <w:tcPr>
            <w:tcW w:w="3618" w:type="dxa"/>
            <w:shd w:val="clear" w:color="auto" w:fill="auto"/>
          </w:tcPr>
          <w:p w:rsidR="009519E3" w:rsidRPr="002F1185" w:rsidRDefault="009519E3" w:rsidP="00BC10B3">
            <w:pPr>
              <w:pStyle w:val="Ruller41"/>
              <w:bidi w:val="0"/>
              <w:rPr>
                <w:rFonts w:asciiTheme="majorBidi" w:hAnsiTheme="majorBidi" w:cstheme="majorBidi"/>
                <w:sz w:val="24"/>
                <w:szCs w:val="24"/>
                <w:rtl/>
              </w:rPr>
            </w:pPr>
            <w:r w:rsidRPr="002F1185">
              <w:rPr>
                <w:rFonts w:asciiTheme="majorBidi" w:hAnsiTheme="majorBidi" w:cstheme="majorBidi"/>
                <w:sz w:val="24"/>
                <w:szCs w:val="24"/>
              </w:rPr>
              <w:t>480.468 (100%)</w:t>
            </w:r>
          </w:p>
        </w:tc>
        <w:tc>
          <w:tcPr>
            <w:tcW w:w="4678" w:type="dxa"/>
            <w:shd w:val="clear" w:color="auto" w:fill="auto"/>
          </w:tcPr>
          <w:p w:rsidR="009519E3" w:rsidRPr="002F1185" w:rsidRDefault="009519E3" w:rsidP="00BC10B3">
            <w:pPr>
              <w:pStyle w:val="Ruller41"/>
              <w:bidi w:val="0"/>
              <w:rPr>
                <w:rFonts w:asciiTheme="majorBidi" w:hAnsiTheme="majorBidi" w:cstheme="majorBidi"/>
                <w:sz w:val="24"/>
                <w:szCs w:val="24"/>
                <w:rtl/>
              </w:rPr>
            </w:pPr>
            <w:r w:rsidRPr="002F1185">
              <w:rPr>
                <w:rFonts w:asciiTheme="majorBidi" w:hAnsiTheme="majorBidi" w:cstheme="majorBidi"/>
                <w:sz w:val="24"/>
                <w:szCs w:val="24"/>
              </w:rPr>
              <w:t>Resulting difference for the PPA</w:t>
            </w:r>
          </w:p>
        </w:tc>
      </w:tr>
      <w:tr w:rsidR="009519E3" w:rsidRPr="002F1185" w:rsidTr="00BC10B3">
        <w:tc>
          <w:tcPr>
            <w:tcW w:w="3618" w:type="dxa"/>
            <w:shd w:val="clear" w:color="auto" w:fill="auto"/>
          </w:tcPr>
          <w:p w:rsidR="009519E3" w:rsidRPr="002F1185" w:rsidRDefault="009519E3" w:rsidP="00BC10B3">
            <w:pPr>
              <w:pStyle w:val="Ruller41"/>
              <w:bidi w:val="0"/>
              <w:rPr>
                <w:rFonts w:asciiTheme="majorBidi" w:hAnsiTheme="majorBidi" w:cstheme="majorBidi"/>
                <w:sz w:val="24"/>
                <w:szCs w:val="24"/>
                <w:rtl/>
              </w:rPr>
            </w:pPr>
            <w:r w:rsidRPr="002F1185">
              <w:rPr>
                <w:rFonts w:asciiTheme="majorBidi" w:hAnsiTheme="majorBidi" w:cstheme="majorBidi"/>
                <w:sz w:val="24"/>
                <w:szCs w:val="24"/>
              </w:rPr>
              <w:t>61.568 (12%)</w:t>
            </w:r>
          </w:p>
        </w:tc>
        <w:tc>
          <w:tcPr>
            <w:tcW w:w="4678" w:type="dxa"/>
            <w:shd w:val="clear" w:color="auto" w:fill="auto"/>
          </w:tcPr>
          <w:p w:rsidR="009519E3" w:rsidRPr="002F1185" w:rsidRDefault="009519E3" w:rsidP="00BC10B3">
            <w:pPr>
              <w:pStyle w:val="Ruller41"/>
              <w:bidi w:val="0"/>
              <w:rPr>
                <w:rFonts w:asciiTheme="majorBidi" w:hAnsiTheme="majorBidi" w:cstheme="majorBidi"/>
                <w:sz w:val="24"/>
                <w:szCs w:val="24"/>
                <w:rtl/>
              </w:rPr>
            </w:pPr>
            <w:r w:rsidRPr="002F1185">
              <w:rPr>
                <w:rFonts w:asciiTheme="majorBidi" w:hAnsiTheme="majorBidi" w:cstheme="majorBidi"/>
                <w:sz w:val="24"/>
                <w:szCs w:val="24"/>
              </w:rPr>
              <w:t>- Customer relationships</w:t>
            </w:r>
          </w:p>
        </w:tc>
      </w:tr>
      <w:tr w:rsidR="009519E3" w:rsidRPr="002F1185" w:rsidTr="00BC10B3">
        <w:tc>
          <w:tcPr>
            <w:tcW w:w="3618" w:type="dxa"/>
            <w:shd w:val="clear" w:color="auto" w:fill="auto"/>
          </w:tcPr>
          <w:p w:rsidR="009519E3" w:rsidRPr="002F1185" w:rsidRDefault="009519E3" w:rsidP="00BC10B3">
            <w:pPr>
              <w:pStyle w:val="Ruller41"/>
              <w:bidi w:val="0"/>
              <w:rPr>
                <w:rFonts w:asciiTheme="majorBidi" w:hAnsiTheme="majorBidi" w:cstheme="majorBidi"/>
                <w:sz w:val="24"/>
                <w:szCs w:val="24"/>
                <w:rtl/>
              </w:rPr>
            </w:pPr>
            <w:r w:rsidRPr="002F1185">
              <w:rPr>
                <w:rFonts w:asciiTheme="majorBidi" w:hAnsiTheme="majorBidi" w:cstheme="majorBidi"/>
                <w:sz w:val="24"/>
                <w:szCs w:val="24"/>
              </w:rPr>
              <w:t>12.378 (3%)</w:t>
            </w:r>
          </w:p>
        </w:tc>
        <w:tc>
          <w:tcPr>
            <w:tcW w:w="4678" w:type="dxa"/>
            <w:shd w:val="clear" w:color="auto" w:fill="auto"/>
          </w:tcPr>
          <w:p w:rsidR="009519E3" w:rsidRPr="002F1185" w:rsidRDefault="009519E3" w:rsidP="00BC10B3">
            <w:pPr>
              <w:pStyle w:val="Ruller41"/>
              <w:bidi w:val="0"/>
              <w:rPr>
                <w:rFonts w:asciiTheme="majorBidi" w:hAnsiTheme="majorBidi" w:cstheme="majorBidi"/>
                <w:sz w:val="24"/>
                <w:szCs w:val="24"/>
                <w:rtl/>
              </w:rPr>
            </w:pPr>
            <w:r w:rsidRPr="002F1185">
              <w:rPr>
                <w:rFonts w:asciiTheme="majorBidi" w:hAnsiTheme="majorBidi" w:cstheme="majorBidi"/>
                <w:sz w:val="24"/>
                <w:szCs w:val="24"/>
              </w:rPr>
              <w:t xml:space="preserve">- favorable contract: “Flying Cargo”/ ”FC” trade name </w:t>
            </w:r>
          </w:p>
        </w:tc>
      </w:tr>
      <w:tr w:rsidR="009519E3" w:rsidRPr="002F1185" w:rsidTr="00BC10B3">
        <w:tc>
          <w:tcPr>
            <w:tcW w:w="3618" w:type="dxa"/>
            <w:shd w:val="clear" w:color="auto" w:fill="auto"/>
          </w:tcPr>
          <w:p w:rsidR="009519E3" w:rsidRPr="002F1185" w:rsidRDefault="009519E3" w:rsidP="00BC10B3">
            <w:pPr>
              <w:pStyle w:val="Ruller41"/>
              <w:bidi w:val="0"/>
              <w:rPr>
                <w:rFonts w:asciiTheme="majorBidi" w:hAnsiTheme="majorBidi" w:cstheme="majorBidi"/>
                <w:sz w:val="24"/>
                <w:szCs w:val="24"/>
                <w:rtl/>
              </w:rPr>
            </w:pPr>
            <w:r w:rsidRPr="002F1185">
              <w:rPr>
                <w:rFonts w:asciiTheme="majorBidi" w:hAnsiTheme="majorBidi" w:cstheme="majorBidi"/>
                <w:sz w:val="24"/>
                <w:szCs w:val="24"/>
              </w:rPr>
              <w:t>406.523 (85%)</w:t>
            </w:r>
          </w:p>
        </w:tc>
        <w:tc>
          <w:tcPr>
            <w:tcW w:w="4678" w:type="dxa"/>
            <w:shd w:val="clear" w:color="auto" w:fill="auto"/>
          </w:tcPr>
          <w:p w:rsidR="009519E3" w:rsidRPr="002F1185" w:rsidRDefault="009519E3" w:rsidP="00BC10B3">
            <w:pPr>
              <w:pStyle w:val="Ruller41"/>
              <w:bidi w:val="0"/>
              <w:rPr>
                <w:rFonts w:asciiTheme="majorBidi" w:hAnsiTheme="majorBidi" w:cstheme="majorBidi"/>
                <w:sz w:val="24"/>
                <w:szCs w:val="24"/>
                <w:rtl/>
              </w:rPr>
            </w:pPr>
            <w:r w:rsidRPr="002F1185">
              <w:rPr>
                <w:rFonts w:asciiTheme="majorBidi" w:hAnsiTheme="majorBidi" w:cstheme="majorBidi"/>
                <w:sz w:val="24"/>
                <w:szCs w:val="24"/>
              </w:rPr>
              <w:t>Goodwill before deferred taxes</w:t>
            </w:r>
          </w:p>
        </w:tc>
      </w:tr>
      <w:tr w:rsidR="009519E3" w:rsidRPr="002F1185" w:rsidTr="00BC10B3">
        <w:tc>
          <w:tcPr>
            <w:tcW w:w="3618" w:type="dxa"/>
            <w:shd w:val="clear" w:color="auto" w:fill="auto"/>
          </w:tcPr>
          <w:p w:rsidR="009519E3" w:rsidRPr="002F1185" w:rsidRDefault="009519E3" w:rsidP="00BC10B3">
            <w:pPr>
              <w:pStyle w:val="Ruller41"/>
              <w:bidi w:val="0"/>
              <w:rPr>
                <w:rFonts w:asciiTheme="majorBidi" w:hAnsiTheme="majorBidi" w:cstheme="majorBidi"/>
                <w:sz w:val="24"/>
                <w:szCs w:val="24"/>
                <w:rtl/>
              </w:rPr>
            </w:pPr>
            <w:r w:rsidRPr="002F1185">
              <w:rPr>
                <w:rFonts w:asciiTheme="majorBidi" w:hAnsiTheme="majorBidi" w:cstheme="majorBidi"/>
                <w:sz w:val="24"/>
                <w:szCs w:val="24"/>
              </w:rPr>
              <w:t>18.496 (25%)</w:t>
            </w:r>
          </w:p>
        </w:tc>
        <w:tc>
          <w:tcPr>
            <w:tcW w:w="4678" w:type="dxa"/>
            <w:shd w:val="clear" w:color="auto" w:fill="auto"/>
          </w:tcPr>
          <w:p w:rsidR="009519E3" w:rsidRPr="002F1185" w:rsidRDefault="009519E3" w:rsidP="00BC10B3">
            <w:pPr>
              <w:pStyle w:val="Ruller41"/>
              <w:bidi w:val="0"/>
              <w:rPr>
                <w:rFonts w:asciiTheme="majorBidi" w:hAnsiTheme="majorBidi" w:cstheme="majorBidi"/>
                <w:sz w:val="24"/>
                <w:szCs w:val="24"/>
                <w:rtl/>
              </w:rPr>
            </w:pPr>
            <w:r w:rsidRPr="002F1185">
              <w:rPr>
                <w:rFonts w:asciiTheme="majorBidi" w:hAnsiTheme="majorBidi" w:cstheme="majorBidi"/>
                <w:sz w:val="24"/>
                <w:szCs w:val="24"/>
              </w:rPr>
              <w:t xml:space="preserve">Deferred tax liability </w:t>
            </w:r>
          </w:p>
        </w:tc>
      </w:tr>
      <w:tr w:rsidR="009519E3" w:rsidRPr="002F1185" w:rsidTr="00BC10B3">
        <w:tc>
          <w:tcPr>
            <w:tcW w:w="3618" w:type="dxa"/>
            <w:shd w:val="clear" w:color="auto" w:fill="auto"/>
          </w:tcPr>
          <w:p w:rsidR="009519E3" w:rsidRPr="002F1185" w:rsidRDefault="009519E3" w:rsidP="00BC10B3">
            <w:pPr>
              <w:pStyle w:val="Ruller41"/>
              <w:bidi w:val="0"/>
              <w:rPr>
                <w:rFonts w:asciiTheme="majorBidi" w:hAnsiTheme="majorBidi" w:cstheme="majorBidi"/>
                <w:sz w:val="24"/>
                <w:szCs w:val="24"/>
              </w:rPr>
            </w:pPr>
            <w:r w:rsidRPr="002F1185">
              <w:rPr>
                <w:rFonts w:asciiTheme="majorBidi" w:hAnsiTheme="majorBidi" w:cstheme="majorBidi"/>
                <w:sz w:val="24"/>
                <w:szCs w:val="24"/>
              </w:rPr>
              <w:t>425.010</w:t>
            </w:r>
          </w:p>
        </w:tc>
        <w:tc>
          <w:tcPr>
            <w:tcW w:w="4678" w:type="dxa"/>
            <w:shd w:val="clear" w:color="auto" w:fill="auto"/>
          </w:tcPr>
          <w:p w:rsidR="009519E3" w:rsidRPr="002F1185" w:rsidRDefault="009519E3" w:rsidP="00BC10B3">
            <w:pPr>
              <w:pStyle w:val="Ruller41"/>
              <w:bidi w:val="0"/>
              <w:rPr>
                <w:rFonts w:asciiTheme="majorBidi" w:hAnsiTheme="majorBidi" w:cstheme="majorBidi"/>
                <w:sz w:val="24"/>
                <w:szCs w:val="24"/>
              </w:rPr>
            </w:pPr>
            <w:r w:rsidRPr="002F1185">
              <w:rPr>
                <w:rFonts w:asciiTheme="majorBidi" w:hAnsiTheme="majorBidi" w:cstheme="majorBidi"/>
                <w:sz w:val="24"/>
                <w:szCs w:val="24"/>
              </w:rPr>
              <w:t>Goodwill after deferred taxes</w:t>
            </w:r>
          </w:p>
        </w:tc>
      </w:tr>
    </w:tbl>
    <w:p w:rsidR="009519E3" w:rsidRPr="002F1185" w:rsidRDefault="009519E3" w:rsidP="009519E3">
      <w:pPr>
        <w:pStyle w:val="Ruller41"/>
        <w:rPr>
          <w:rtl/>
        </w:rPr>
      </w:pPr>
      <w:r w:rsidRPr="002F1185">
        <w:rPr>
          <w:rFonts w:hint="cs"/>
          <w:rtl/>
        </w:rPr>
        <w:t>(עמ׳ 5, ו-32 לעבודת ה-</w:t>
      </w:r>
      <w:r w:rsidRPr="005E1D42">
        <w:rPr>
          <w:rFonts w:asciiTheme="majorBidi" w:hAnsiTheme="majorBidi" w:cstheme="majorBidi"/>
          <w:sz w:val="24"/>
          <w:szCs w:val="24"/>
        </w:rPr>
        <w:t>PPA</w:t>
      </w:r>
      <w:r w:rsidRPr="002F1185">
        <w:rPr>
          <w:rFonts w:hint="cs"/>
          <w:rtl/>
        </w:rPr>
        <w:t>).</w:t>
      </w:r>
    </w:p>
    <w:p w:rsidR="00BC10B3" w:rsidRDefault="00BC10B3" w:rsidP="009519E3">
      <w:pPr>
        <w:pStyle w:val="Ruller4"/>
        <w:numPr>
          <w:ilvl w:val="0"/>
          <w:numId w:val="0"/>
        </w:numPr>
        <w:rPr>
          <w:rtl/>
        </w:rPr>
      </w:pPr>
    </w:p>
    <w:p w:rsidR="009519E3" w:rsidRPr="002F1185" w:rsidRDefault="009519E3" w:rsidP="000C4EA0">
      <w:pPr>
        <w:pStyle w:val="Ruller4"/>
        <w:numPr>
          <w:ilvl w:val="0"/>
          <w:numId w:val="0"/>
        </w:numPr>
        <w:rPr>
          <w:rtl/>
        </w:rPr>
      </w:pPr>
      <w:r w:rsidRPr="002F1185">
        <w:rPr>
          <w:rtl/>
        </w:rPr>
        <w:tab/>
      </w:r>
      <w:r w:rsidR="000C4EA0">
        <w:rPr>
          <w:rFonts w:hint="cs"/>
          <w:rtl/>
        </w:rPr>
        <w:t>א</w:t>
      </w:r>
      <w:r w:rsidRPr="002F1185">
        <w:rPr>
          <w:rFonts w:hint="cs"/>
          <w:rtl/>
        </w:rPr>
        <w:t>פרט מעט. לצרכים חשבונאיים, המוניטין מחושב כערך שייר, דהיינו הערך השיורי לאחר ניכוי כלל הנכסים המוחשיים והבלתי מוחשיים הניתנים לזיהוי ולהערכה כספית. בעבודת ה-</w:t>
      </w:r>
      <w:r w:rsidRPr="002F1185">
        <w:rPr>
          <w:rFonts w:asciiTheme="majorBidi" w:hAnsiTheme="majorBidi" w:cstheme="majorBidi"/>
          <w:szCs w:val="24"/>
        </w:rPr>
        <w:t>PPA</w:t>
      </w:r>
      <w:r w:rsidRPr="002F1185">
        <w:rPr>
          <w:rFonts w:hint="cs"/>
          <w:rtl/>
        </w:rPr>
        <w:t xml:space="preserve"> זוהו שלושה נכסים בלתי מוחשיים: קשרי לקוחות, זכות השימוש במותג "פליינג קרגו" (</w:t>
      </w:r>
      <w:r w:rsidRPr="002F1185">
        <w:rPr>
          <w:rFonts w:asciiTheme="majorBidi" w:hAnsiTheme="majorBidi" w:cstheme="majorBidi"/>
          <w:szCs w:val="24"/>
        </w:rPr>
        <w:t>Flying Cargo</w:t>
      </w:r>
      <w:r w:rsidRPr="002F1185">
        <w:rPr>
          <w:rFonts w:hint="cs"/>
          <w:rtl/>
        </w:rPr>
        <w:t>) או "</w:t>
      </w:r>
      <w:r w:rsidRPr="002F1185">
        <w:rPr>
          <w:rFonts w:asciiTheme="majorBidi" w:hAnsiTheme="majorBidi" w:cstheme="majorBidi"/>
          <w:szCs w:val="24"/>
        </w:rPr>
        <w:t>FC</w:t>
      </w:r>
      <w:r w:rsidRPr="002F1185">
        <w:rPr>
          <w:rFonts w:hint="cs"/>
          <w:rtl/>
        </w:rPr>
        <w:t>" וכוח עבודה.</w:t>
      </w:r>
    </w:p>
    <w:p w:rsidR="009519E3" w:rsidRPr="002F1185" w:rsidRDefault="009519E3" w:rsidP="009519E3">
      <w:pPr>
        <w:pStyle w:val="Ruller41"/>
        <w:rPr>
          <w:rtl/>
        </w:rPr>
      </w:pPr>
    </w:p>
    <w:p w:rsidR="009519E3" w:rsidRPr="002F1185" w:rsidRDefault="009519E3" w:rsidP="0085047F">
      <w:pPr>
        <w:pStyle w:val="Ruller41"/>
        <w:rPr>
          <w:rtl/>
        </w:rPr>
      </w:pPr>
      <w:r w:rsidRPr="002F1185">
        <w:rPr>
          <w:rtl/>
        </w:rPr>
        <w:tab/>
      </w:r>
      <w:r w:rsidRPr="002F1185">
        <w:rPr>
          <w:rFonts w:hint="cs"/>
          <w:rtl/>
        </w:rPr>
        <w:t xml:space="preserve">קשרי הלקוחות מתייחס לשיתופי פעולה אסטרטגיים בין אף.סי תובלה בינלאומית לבין לקוחותיה. חלק זה הוערך בכ-61.6 מיליון ש"ח והוא מתייחס רק ל-25% מלקוחותיה של אף.סי תובלה בינלאומית מאחר שהיתרה </w:t>
      </w:r>
      <w:r w:rsidR="0085047F">
        <w:rPr>
          <w:rFonts w:hint="cs"/>
          <w:rtl/>
        </w:rPr>
        <w:t>(75%)</w:t>
      </w:r>
      <w:r w:rsidRPr="002F1185">
        <w:rPr>
          <w:rFonts w:hint="cs"/>
          <w:rtl/>
        </w:rPr>
        <w:t xml:space="preserve"> היא תוצר של שיתוף פעולה בין אף.סי תובלה בינלאומית לבין דויטשה פוסט האם (עמ</w:t>
      </w:r>
      <w:r w:rsidR="00BC10B3">
        <w:rPr>
          <w:rFonts w:hint="cs"/>
          <w:rtl/>
        </w:rPr>
        <w:t>וד</w:t>
      </w:r>
      <w:r w:rsidRPr="002F1185">
        <w:rPr>
          <w:rFonts w:hint="cs"/>
          <w:rtl/>
        </w:rPr>
        <w:t xml:space="preserve"> 28 לעבודת ה-</w:t>
      </w:r>
      <w:r w:rsidRPr="002F1185">
        <w:rPr>
          <w:rFonts w:asciiTheme="majorBidi" w:hAnsiTheme="majorBidi" w:cstheme="majorBidi"/>
          <w:sz w:val="24"/>
          <w:szCs w:val="24"/>
        </w:rPr>
        <w:t>PPA</w:t>
      </w:r>
      <w:r w:rsidRPr="002F1185">
        <w:rPr>
          <w:rFonts w:hint="cs"/>
          <w:rtl/>
        </w:rPr>
        <w:t>). נכס זה לא זוהה כחלק מהמוניטין.</w:t>
      </w:r>
    </w:p>
    <w:p w:rsidR="009519E3" w:rsidRPr="002F1185" w:rsidRDefault="009519E3" w:rsidP="009519E3">
      <w:pPr>
        <w:pStyle w:val="Ruller41"/>
        <w:rPr>
          <w:rtl/>
        </w:rPr>
      </w:pPr>
    </w:p>
    <w:p w:rsidR="009519E3" w:rsidRPr="002F1185" w:rsidRDefault="009519E3" w:rsidP="00BC10B3">
      <w:pPr>
        <w:pStyle w:val="Ruller41"/>
        <w:rPr>
          <w:rtl/>
        </w:rPr>
      </w:pPr>
      <w:r w:rsidRPr="002F1185">
        <w:rPr>
          <w:rtl/>
        </w:rPr>
        <w:tab/>
      </w:r>
      <w:r w:rsidRPr="002F1185">
        <w:rPr>
          <w:rFonts w:hint="cs"/>
          <w:rtl/>
        </w:rPr>
        <w:t>זכות השימוש במותג "פליינג קרגו" (</w:t>
      </w:r>
      <w:r w:rsidRPr="002F1185">
        <w:rPr>
          <w:rFonts w:asciiTheme="majorBidi" w:hAnsiTheme="majorBidi" w:cstheme="majorBidi"/>
          <w:sz w:val="24"/>
          <w:szCs w:val="24"/>
        </w:rPr>
        <w:t>Flying Cargo</w:t>
      </w:r>
      <w:r w:rsidRPr="002F1185">
        <w:rPr>
          <w:rFonts w:hint="cs"/>
          <w:rtl/>
        </w:rPr>
        <w:t>) או "</w:t>
      </w:r>
      <w:r w:rsidRPr="002F1185">
        <w:rPr>
          <w:rFonts w:ascii="Century" w:hAnsi="Century"/>
        </w:rPr>
        <w:t>FC</w:t>
      </w:r>
      <w:r w:rsidRPr="002F1185">
        <w:rPr>
          <w:rFonts w:hint="cs"/>
          <w:rtl/>
        </w:rPr>
        <w:t>" מתייחסת לשימוש במותג, בשם המסחר, בלוגו ובאתר האינטרנט ושוויה הוערך בכ-12.4 מיליון ש"ח (עמ</w:t>
      </w:r>
      <w:r w:rsidR="00BC10B3">
        <w:rPr>
          <w:rFonts w:hint="cs"/>
          <w:rtl/>
        </w:rPr>
        <w:t>וד</w:t>
      </w:r>
      <w:r w:rsidRPr="002F1185">
        <w:rPr>
          <w:rFonts w:hint="cs"/>
          <w:rtl/>
        </w:rPr>
        <w:t xml:space="preserve"> 29 לעבודת ה-</w:t>
      </w:r>
      <w:r w:rsidRPr="002F1185">
        <w:rPr>
          <w:rFonts w:asciiTheme="majorBidi" w:hAnsiTheme="majorBidi" w:cstheme="majorBidi"/>
          <w:sz w:val="24"/>
          <w:szCs w:val="24"/>
        </w:rPr>
        <w:t>PPA</w:t>
      </w:r>
      <w:r w:rsidRPr="002F1185">
        <w:rPr>
          <w:rFonts w:hint="cs"/>
          <w:rtl/>
        </w:rPr>
        <w:t xml:space="preserve">). זכות זו לא זוהתה כחלק מהמוניטין. </w:t>
      </w:r>
    </w:p>
    <w:p w:rsidR="009519E3" w:rsidRPr="002F1185" w:rsidRDefault="009519E3" w:rsidP="009519E3">
      <w:pPr>
        <w:pStyle w:val="Ruller41"/>
        <w:rPr>
          <w:rtl/>
        </w:rPr>
      </w:pPr>
    </w:p>
    <w:p w:rsidR="009519E3" w:rsidRPr="002F1185" w:rsidRDefault="009519E3" w:rsidP="00BC10B3">
      <w:pPr>
        <w:pStyle w:val="Ruller41"/>
        <w:rPr>
          <w:rtl/>
        </w:rPr>
      </w:pPr>
      <w:r w:rsidRPr="002F1185">
        <w:rPr>
          <w:rtl/>
        </w:rPr>
        <w:tab/>
      </w:r>
      <w:r w:rsidRPr="002F1185">
        <w:rPr>
          <w:rFonts w:hint="cs"/>
          <w:rtl/>
        </w:rPr>
        <w:t>כוח העבודה מתייחס לשווי מיון, גיוס והכשרת עובדים והוא הוערך בכ-4.5 מיליון ש"ח. ואולם, כוח העבודה לא נותק מן המוניטין ונקבע כי יש לראות אותו כחלק מהמוניטין, וזאת בהתאם לכללי החשבונאות (עמ</w:t>
      </w:r>
      <w:r w:rsidR="00BC10B3">
        <w:rPr>
          <w:rFonts w:hint="cs"/>
          <w:rtl/>
        </w:rPr>
        <w:t>וד</w:t>
      </w:r>
      <w:r w:rsidRPr="002F1185">
        <w:rPr>
          <w:rFonts w:hint="cs"/>
          <w:rtl/>
        </w:rPr>
        <w:t xml:space="preserve"> 30 לעבודת ה-</w:t>
      </w:r>
      <w:r w:rsidRPr="002F1185">
        <w:rPr>
          <w:rFonts w:asciiTheme="majorBidi" w:hAnsiTheme="majorBidi" w:cstheme="majorBidi"/>
          <w:sz w:val="24"/>
          <w:szCs w:val="24"/>
        </w:rPr>
        <w:t>PPA</w:t>
      </w:r>
      <w:r w:rsidRPr="002F1185">
        <w:rPr>
          <w:rFonts w:hint="cs"/>
          <w:rtl/>
        </w:rPr>
        <w:t xml:space="preserve">). </w:t>
      </w:r>
    </w:p>
    <w:p w:rsidR="009519E3" w:rsidRPr="002F1185" w:rsidRDefault="009519E3" w:rsidP="009519E3">
      <w:pPr>
        <w:pStyle w:val="Ruller41"/>
        <w:rPr>
          <w:rtl/>
        </w:rPr>
      </w:pPr>
    </w:p>
    <w:p w:rsidR="009519E3" w:rsidRPr="002F1185" w:rsidRDefault="009519E3" w:rsidP="00BC10B3">
      <w:pPr>
        <w:pStyle w:val="Ruller41"/>
        <w:rPr>
          <w:rtl/>
        </w:rPr>
      </w:pPr>
      <w:r w:rsidRPr="002F1185">
        <w:rPr>
          <w:rtl/>
        </w:rPr>
        <w:tab/>
      </w:r>
      <w:r w:rsidRPr="002F1185">
        <w:rPr>
          <w:rFonts w:hint="cs"/>
          <w:rtl/>
        </w:rPr>
        <w:t>כתוצאה מכך, שווי המוניטין אשר נרכש הוערך בכ-425 מיליון ש״ח (עמ</w:t>
      </w:r>
      <w:r w:rsidR="00BC10B3">
        <w:rPr>
          <w:rFonts w:hint="cs"/>
          <w:rtl/>
        </w:rPr>
        <w:t>וד</w:t>
      </w:r>
      <w:r w:rsidRPr="002F1185">
        <w:rPr>
          <w:rFonts w:hint="cs"/>
          <w:rtl/>
        </w:rPr>
        <w:t xml:space="preserve"> 32 לעבודת ה-</w:t>
      </w:r>
      <w:r w:rsidRPr="002F1185">
        <w:rPr>
          <w:rFonts w:asciiTheme="majorBidi" w:hAnsiTheme="majorBidi" w:cstheme="majorBidi"/>
          <w:sz w:val="24"/>
          <w:szCs w:val="24"/>
        </w:rPr>
        <w:t>PPA</w:t>
      </w:r>
      <w:r w:rsidRPr="002F1185">
        <w:rPr>
          <w:rFonts w:hint="cs"/>
          <w:rtl/>
        </w:rPr>
        <w:t xml:space="preserve">). נקל לראות כי נתון זה אינו מתייחס כלל לשווי המוניטין של קבוצת פליינג קרגו אשר נרכש במסגרת הסכם המכר. </w:t>
      </w:r>
      <w:r w:rsidRPr="002F1185">
        <w:rPr>
          <w:rFonts w:ascii="Century" w:hAnsi="Century" w:cs="Miriam" w:hint="cs"/>
          <w:b/>
          <w:spacing w:val="0"/>
          <w:szCs w:val="24"/>
          <w:rtl/>
        </w:rPr>
        <w:t>ראשית</w:t>
      </w:r>
      <w:r w:rsidRPr="002F1185">
        <w:rPr>
          <w:rFonts w:hint="cs"/>
          <w:rtl/>
        </w:rPr>
        <w:t xml:space="preserve">, הוא אינו כולל את הרכיב המובהק ביותר של מוניטין קבוצת פליינג קרגו </w:t>
      </w:r>
      <w:r w:rsidRPr="002F1185">
        <w:rPr>
          <w:rtl/>
        </w:rPr>
        <w:t>–</w:t>
      </w:r>
      <w:r w:rsidRPr="002F1185">
        <w:rPr>
          <w:rFonts w:hint="cs"/>
          <w:rtl/>
        </w:rPr>
        <w:t xml:space="preserve"> הזכות להוסיף להשתמש במותג; </w:t>
      </w:r>
      <w:r w:rsidRPr="002F1185">
        <w:rPr>
          <w:rFonts w:ascii="Century" w:hAnsi="Century" w:cs="Miriam" w:hint="cs"/>
          <w:b/>
          <w:spacing w:val="0"/>
          <w:szCs w:val="24"/>
          <w:rtl/>
        </w:rPr>
        <w:t>שנית</w:t>
      </w:r>
      <w:r w:rsidRPr="002F1185">
        <w:rPr>
          <w:rFonts w:hint="cs"/>
          <w:rtl/>
        </w:rPr>
        <w:t xml:space="preserve">, הוא כולל במוניטין רכיבים מובהקים השייכים לפעילות השילוח הבינלאומי, כדוגמת כוח העבודה של חברת הבת; </w:t>
      </w:r>
      <w:r w:rsidRPr="002F1185">
        <w:rPr>
          <w:rFonts w:ascii="Century" w:hAnsi="Century" w:cs="Miriam" w:hint="cs"/>
          <w:b/>
          <w:spacing w:val="0"/>
          <w:szCs w:val="24"/>
          <w:rtl/>
        </w:rPr>
        <w:t>שלישית</w:t>
      </w:r>
      <w:r w:rsidRPr="002F1185">
        <w:rPr>
          <w:rFonts w:hint="cs"/>
          <w:rtl/>
        </w:rPr>
        <w:t xml:space="preserve">, וחשוב מהיתר, הוא כולל כמוניטין את התמורה ששולמה בעבור רכישת פעילות השילוח הבינלאומי שבוצעה עבור דויטשה פוסט האם </w:t>
      </w:r>
      <w:r w:rsidRPr="002F1185">
        <w:rPr>
          <w:rtl/>
        </w:rPr>
        <w:t>–</w:t>
      </w:r>
      <w:r w:rsidRPr="002F1185">
        <w:rPr>
          <w:rFonts w:hint="cs"/>
          <w:rtl/>
        </w:rPr>
        <w:t xml:space="preserve"> פעילות שכפי שהובהר בפסקה 52 לעיל, אינה רלוונטית להער</w:t>
      </w:r>
      <w:r w:rsidR="006C3CFE">
        <w:rPr>
          <w:rFonts w:hint="cs"/>
          <w:rtl/>
        </w:rPr>
        <w:t xml:space="preserve">כת השווי ששולם עבור המוניטין של קבוצת </w:t>
      </w:r>
      <w:r w:rsidRPr="002F1185">
        <w:rPr>
          <w:rFonts w:hint="cs"/>
          <w:rtl/>
        </w:rPr>
        <w:t xml:space="preserve">פליינג קרגו. </w:t>
      </w:r>
    </w:p>
    <w:p w:rsidR="009519E3" w:rsidRPr="002F1185" w:rsidRDefault="009519E3" w:rsidP="009519E3">
      <w:pPr>
        <w:pStyle w:val="Ruller41"/>
        <w:rPr>
          <w:rtl/>
        </w:rPr>
      </w:pPr>
    </w:p>
    <w:p w:rsidR="009519E3" w:rsidRPr="002F1185" w:rsidRDefault="009519E3" w:rsidP="009519E3">
      <w:pPr>
        <w:pStyle w:val="Ruller41"/>
        <w:rPr>
          <w:rtl/>
        </w:rPr>
      </w:pPr>
      <w:r w:rsidRPr="002F1185">
        <w:rPr>
          <w:rtl/>
        </w:rPr>
        <w:tab/>
      </w:r>
      <w:r w:rsidRPr="002F1185">
        <w:rPr>
          <w:rFonts w:hint="cs"/>
          <w:rtl/>
        </w:rPr>
        <w:t>עתה, נעבור לסקירת ההבדלים בין חוות הדעת שהגישו הצדדים.</w:t>
      </w:r>
    </w:p>
    <w:p w:rsidR="009519E3" w:rsidRPr="002F1185" w:rsidRDefault="009519E3" w:rsidP="009519E3">
      <w:pPr>
        <w:pStyle w:val="Ruller41"/>
      </w:pPr>
    </w:p>
    <w:p w:rsidR="009519E3" w:rsidRPr="002F1185" w:rsidRDefault="009519E3" w:rsidP="00356FD9">
      <w:pPr>
        <w:pStyle w:val="Ruller4"/>
        <w:rPr>
          <w:rtl/>
        </w:rPr>
      </w:pPr>
      <w:r w:rsidRPr="002F1185">
        <w:rPr>
          <w:rFonts w:hint="cs"/>
          <w:rtl/>
        </w:rPr>
        <w:t xml:space="preserve">פקיד השומה לא הציג </w:t>
      </w:r>
      <w:r w:rsidR="00BC10B3">
        <w:rPr>
          <w:rFonts w:hint="cs"/>
          <w:rtl/>
        </w:rPr>
        <w:t xml:space="preserve">אומנם </w:t>
      </w:r>
      <w:r w:rsidRPr="002F1185">
        <w:rPr>
          <w:rFonts w:hint="cs"/>
          <w:rtl/>
        </w:rPr>
        <w:t>חוות דעת בדבר ייחוס התמורה</w:t>
      </w:r>
      <w:r w:rsidR="00BC10B3">
        <w:rPr>
          <w:rFonts w:hint="cs"/>
          <w:rtl/>
        </w:rPr>
        <w:t>,</w:t>
      </w:r>
      <w:r w:rsidRPr="002F1185">
        <w:rPr>
          <w:rFonts w:hint="cs"/>
          <w:rtl/>
        </w:rPr>
        <w:t xml:space="preserve"> ואולם לעניין זה ניתן ללמוד מחוות הדעת של שמואל ווינשטיין, ממחלקת הערכות השווי ברשות המיסים, אשר נתבקש על ידי פקיד השומה לבחון שתי שאלות: האחת, הרכב הנכסים של הפעילות העסקית שהועברה על ידי </w:t>
      </w:r>
      <w:r w:rsidR="000E0EC0">
        <w:rPr>
          <w:rFonts w:hint="cs"/>
          <w:rtl/>
        </w:rPr>
        <w:t xml:space="preserve">חברת </w:t>
      </w:r>
      <w:r w:rsidRPr="002F1185">
        <w:rPr>
          <w:rFonts w:hint="cs"/>
          <w:rtl/>
        </w:rPr>
        <w:t xml:space="preserve">פליינג קרגו לאף.סי תובלה בינלאומית ביום 1.1.2001; השנייה, התפלגות השווי של מרכיבי הפעילות העסקית שהועברה, לפי מועד רכישתם או צמיחתם על פי סעיף 104 לפקודה (להלן: </w:t>
      </w:r>
      <w:r w:rsidRPr="002F1185">
        <w:rPr>
          <w:rFonts w:ascii="Century" w:hAnsi="Century" w:cs="Miriam" w:hint="cs"/>
          <w:b/>
          <w:spacing w:val="0"/>
          <w:sz w:val="22"/>
          <w:szCs w:val="24"/>
          <w:rtl/>
        </w:rPr>
        <w:t>"חוות דעת ווינשטיין"</w:t>
      </w:r>
      <w:r w:rsidRPr="002F1185">
        <w:rPr>
          <w:rFonts w:hint="cs"/>
          <w:rtl/>
        </w:rPr>
        <w:t>).</w:t>
      </w:r>
    </w:p>
    <w:p w:rsidR="009519E3" w:rsidRPr="002F1185" w:rsidRDefault="009519E3" w:rsidP="009519E3">
      <w:pPr>
        <w:pStyle w:val="Ruller41"/>
        <w:rPr>
          <w:rtl/>
        </w:rPr>
      </w:pPr>
    </w:p>
    <w:p w:rsidR="009519E3" w:rsidRPr="002F1185" w:rsidRDefault="009519E3" w:rsidP="0085047F">
      <w:pPr>
        <w:pStyle w:val="Ruller4"/>
        <w:numPr>
          <w:ilvl w:val="0"/>
          <w:numId w:val="0"/>
        </w:numPr>
        <w:rPr>
          <w:rtl/>
        </w:rPr>
      </w:pPr>
      <w:r w:rsidRPr="002F1185">
        <w:rPr>
          <w:rtl/>
        </w:rPr>
        <w:tab/>
      </w:r>
      <w:r w:rsidRPr="002F1185">
        <w:rPr>
          <w:rFonts w:hint="cs"/>
          <w:rtl/>
        </w:rPr>
        <w:t xml:space="preserve">חוות </w:t>
      </w:r>
      <w:bookmarkStart w:id="5" w:name="_GoBack"/>
      <w:bookmarkEnd w:id="5"/>
      <w:r w:rsidRPr="002F1185">
        <w:rPr>
          <w:rFonts w:hint="cs"/>
          <w:rtl/>
        </w:rPr>
        <w:t>דעת ווינשטיין בחנה את שלושת הנכסים הבלתי מוחשיים שהועלו בעבודת ה-</w:t>
      </w:r>
      <w:r w:rsidRPr="002F1185">
        <w:rPr>
          <w:rFonts w:asciiTheme="majorBidi" w:hAnsiTheme="majorBidi" w:cstheme="majorBidi"/>
          <w:szCs w:val="24"/>
        </w:rPr>
        <w:t>PPA</w:t>
      </w:r>
      <w:r w:rsidRPr="002F1185">
        <w:rPr>
          <w:rFonts w:hint="cs"/>
          <w:rtl/>
        </w:rPr>
        <w:t xml:space="preserve"> </w:t>
      </w:r>
      <w:r w:rsidRPr="002F1185">
        <w:rPr>
          <w:rtl/>
        </w:rPr>
        <w:t>–</w:t>
      </w:r>
      <w:r w:rsidRPr="002F1185">
        <w:rPr>
          <w:rFonts w:hint="cs"/>
          <w:rtl/>
        </w:rPr>
        <w:t xml:space="preserve"> קשרי לקוחות, זכות השימוש במותג "פליינג קרגו" (</w:t>
      </w:r>
      <w:r w:rsidRPr="002F1185">
        <w:rPr>
          <w:rFonts w:asciiTheme="majorBidi" w:hAnsiTheme="majorBidi" w:cstheme="majorBidi"/>
          <w:szCs w:val="24"/>
        </w:rPr>
        <w:t>Flying Cargo</w:t>
      </w:r>
      <w:r w:rsidRPr="002F1185">
        <w:rPr>
          <w:rFonts w:hint="cs"/>
          <w:rtl/>
        </w:rPr>
        <w:t>) או "</w:t>
      </w:r>
      <w:r w:rsidRPr="002F1185">
        <w:rPr>
          <w:rFonts w:asciiTheme="majorBidi" w:hAnsiTheme="majorBidi" w:cstheme="majorBidi"/>
          <w:szCs w:val="24"/>
        </w:rPr>
        <w:t>FC</w:t>
      </w:r>
      <w:r w:rsidRPr="002F1185">
        <w:rPr>
          <w:rFonts w:hint="cs"/>
          <w:rtl/>
        </w:rPr>
        <w:t xml:space="preserve">" וכוח עבודה </w:t>
      </w:r>
      <w:r w:rsidRPr="002F1185">
        <w:rPr>
          <w:rtl/>
        </w:rPr>
        <w:t>–</w:t>
      </w:r>
      <w:r w:rsidRPr="002F1185">
        <w:rPr>
          <w:rFonts w:hint="cs"/>
          <w:rtl/>
        </w:rPr>
        <w:t xml:space="preserve"> והוסיפה הערכת שווי לנכס בלתי מוחשי רביעי: נכסים הקשורים בחברת דויטשה פוסט האם (</w:t>
      </w:r>
      <w:r w:rsidRPr="002F1185">
        <w:rPr>
          <w:rFonts w:asciiTheme="majorBidi" w:hAnsiTheme="majorBidi" w:cstheme="majorBidi"/>
          <w:szCs w:val="24"/>
        </w:rPr>
        <w:t>Deutsche Post AG</w:t>
      </w:r>
      <w:r w:rsidRPr="002F1185">
        <w:rPr>
          <w:rFonts w:hint="cs"/>
          <w:rtl/>
        </w:rPr>
        <w:t>) ומיוחסים לשיתוף הפעולה האסטרטגי בין השתיים בתחום השילוח הבינלאומי לאור היותה של אף.סי תובלה בינלאומית הסוכנת הבלעדית בישראל של דויטשה פוסט האם (כגון ההסכמים והזכויות בקשר לשיתוף הפעולה, קשרי לקוחות, ידע, קשרים תפעוליים ומוניטין). על פי חוות הדעת ווינשטיין, אומדן ארבעת הנכסים הבלתי המוחשיים עומד על כ-498.9 מיליון ש"ח על פי הפירוט הבא:</w:t>
      </w:r>
    </w:p>
    <w:p w:rsidR="009519E3" w:rsidRPr="002F1185" w:rsidRDefault="009519E3" w:rsidP="009519E3">
      <w:pPr>
        <w:pStyle w:val="Ruller41"/>
        <w:rPr>
          <w:rtl/>
        </w:rPr>
      </w:pPr>
    </w:p>
    <w:tbl>
      <w:tblPr>
        <w:bidiVisual/>
        <w:tblW w:w="0" w:type="auto"/>
        <w:tblInd w:w="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9"/>
        <w:gridCol w:w="2835"/>
      </w:tblGrid>
      <w:tr w:rsidR="009519E3" w:rsidRPr="002F1185" w:rsidTr="00BC10B3">
        <w:tc>
          <w:tcPr>
            <w:tcW w:w="4749" w:type="dxa"/>
            <w:shd w:val="clear" w:color="auto" w:fill="auto"/>
          </w:tcPr>
          <w:p w:rsidR="009519E3" w:rsidRPr="002F1185" w:rsidRDefault="009519E3" w:rsidP="00BC10B3">
            <w:pPr>
              <w:pStyle w:val="Ruller41"/>
              <w:rPr>
                <w:rFonts w:ascii="Century" w:hAnsi="Century" w:cs="Miriam"/>
                <w:b/>
                <w:spacing w:val="0"/>
                <w:szCs w:val="24"/>
                <w:rtl/>
              </w:rPr>
            </w:pPr>
            <w:r w:rsidRPr="002F1185">
              <w:rPr>
                <w:rFonts w:ascii="Century" w:hAnsi="Century" w:cs="Miriam" w:hint="cs"/>
                <w:b/>
                <w:spacing w:val="0"/>
                <w:szCs w:val="24"/>
                <w:rtl/>
              </w:rPr>
              <w:t>סוג הנכס שהועבר</w:t>
            </w:r>
          </w:p>
        </w:tc>
        <w:tc>
          <w:tcPr>
            <w:tcW w:w="2835" w:type="dxa"/>
            <w:shd w:val="clear" w:color="auto" w:fill="auto"/>
          </w:tcPr>
          <w:p w:rsidR="009519E3" w:rsidRPr="002F1185" w:rsidRDefault="009519E3" w:rsidP="00BC10B3">
            <w:pPr>
              <w:pStyle w:val="Ruller41"/>
              <w:rPr>
                <w:rFonts w:ascii="Century" w:hAnsi="Century" w:cs="Miriam"/>
                <w:b/>
                <w:spacing w:val="0"/>
                <w:szCs w:val="24"/>
                <w:rtl/>
              </w:rPr>
            </w:pPr>
            <w:r w:rsidRPr="002F1185">
              <w:rPr>
                <w:rFonts w:ascii="Century" w:hAnsi="Century" w:cs="Miriam" w:hint="cs"/>
                <w:b/>
                <w:spacing w:val="0"/>
                <w:szCs w:val="24"/>
                <w:rtl/>
              </w:rPr>
              <w:t>מועד הסכם המכר (2007)</w:t>
            </w:r>
          </w:p>
        </w:tc>
      </w:tr>
      <w:tr w:rsidR="009519E3" w:rsidRPr="002F1185" w:rsidTr="00BC10B3">
        <w:tc>
          <w:tcPr>
            <w:tcW w:w="4749" w:type="dxa"/>
            <w:shd w:val="clear" w:color="auto" w:fill="auto"/>
          </w:tcPr>
          <w:p w:rsidR="009519E3" w:rsidRPr="002F1185" w:rsidRDefault="009519E3" w:rsidP="00BC10B3">
            <w:pPr>
              <w:pStyle w:val="Ruller41"/>
              <w:rPr>
                <w:rtl/>
              </w:rPr>
            </w:pPr>
            <w:r w:rsidRPr="002F1185">
              <w:rPr>
                <w:rFonts w:hint="cs"/>
                <w:rtl/>
              </w:rPr>
              <w:t xml:space="preserve">זכות שימוש במותג "פליינג קרגו" או </w:t>
            </w:r>
            <w:r w:rsidRPr="002F1185">
              <w:t>"</w:t>
            </w:r>
            <w:r w:rsidRPr="002F1185">
              <w:rPr>
                <w:rFonts w:asciiTheme="majorBidi" w:hAnsiTheme="majorBidi" w:cstheme="majorBidi"/>
                <w:sz w:val="24"/>
                <w:szCs w:val="32"/>
              </w:rPr>
              <w:t>FC</w:t>
            </w:r>
            <w:r w:rsidRPr="002F1185">
              <w:t>"</w:t>
            </w:r>
          </w:p>
        </w:tc>
        <w:tc>
          <w:tcPr>
            <w:tcW w:w="2835" w:type="dxa"/>
            <w:shd w:val="clear" w:color="auto" w:fill="auto"/>
          </w:tcPr>
          <w:p w:rsidR="009519E3" w:rsidRPr="002F1185" w:rsidRDefault="009519E3" w:rsidP="00BC10B3">
            <w:pPr>
              <w:pStyle w:val="Ruller41"/>
              <w:rPr>
                <w:rtl/>
              </w:rPr>
            </w:pPr>
            <w:r w:rsidRPr="002F1185">
              <w:rPr>
                <w:rFonts w:hint="cs"/>
                <w:rtl/>
              </w:rPr>
              <w:t>כ-12.4 מיליון ש"ח</w:t>
            </w:r>
          </w:p>
        </w:tc>
      </w:tr>
      <w:tr w:rsidR="009519E3" w:rsidRPr="002F1185" w:rsidTr="00BC10B3">
        <w:tc>
          <w:tcPr>
            <w:tcW w:w="4749" w:type="dxa"/>
            <w:shd w:val="clear" w:color="auto" w:fill="auto"/>
          </w:tcPr>
          <w:p w:rsidR="009519E3" w:rsidRPr="002F1185" w:rsidRDefault="009519E3" w:rsidP="00BC10B3">
            <w:pPr>
              <w:pStyle w:val="Ruller41"/>
              <w:rPr>
                <w:rtl/>
              </w:rPr>
            </w:pPr>
            <w:r w:rsidRPr="002F1185">
              <w:rPr>
                <w:rFonts w:hint="cs"/>
                <w:rtl/>
              </w:rPr>
              <w:t xml:space="preserve">כוח עבודה </w:t>
            </w:r>
            <w:r w:rsidRPr="002F1185">
              <w:rPr>
                <w:rtl/>
              </w:rPr>
              <w:t>–</w:t>
            </w:r>
            <w:r w:rsidRPr="002F1185">
              <w:rPr>
                <w:rFonts w:hint="cs"/>
                <w:rtl/>
              </w:rPr>
              <w:t xml:space="preserve"> שווי מיון, גיוס והכשרת עובדים </w:t>
            </w:r>
          </w:p>
        </w:tc>
        <w:tc>
          <w:tcPr>
            <w:tcW w:w="2835" w:type="dxa"/>
            <w:shd w:val="clear" w:color="auto" w:fill="auto"/>
          </w:tcPr>
          <w:p w:rsidR="009519E3" w:rsidRPr="002F1185" w:rsidRDefault="009519E3" w:rsidP="00BC10B3">
            <w:pPr>
              <w:pStyle w:val="Ruller41"/>
              <w:rPr>
                <w:rtl/>
              </w:rPr>
            </w:pPr>
            <w:r w:rsidRPr="002F1185">
              <w:rPr>
                <w:rFonts w:hint="cs"/>
                <w:rtl/>
              </w:rPr>
              <w:t>כ-22.1 מיליון ש"ח</w:t>
            </w:r>
          </w:p>
        </w:tc>
      </w:tr>
      <w:tr w:rsidR="009519E3" w:rsidRPr="002F1185" w:rsidTr="00BC10B3">
        <w:tc>
          <w:tcPr>
            <w:tcW w:w="4749" w:type="dxa"/>
            <w:shd w:val="clear" w:color="auto" w:fill="auto"/>
          </w:tcPr>
          <w:p w:rsidR="009519E3" w:rsidRPr="002F1185" w:rsidRDefault="009519E3" w:rsidP="00BC10B3">
            <w:pPr>
              <w:pStyle w:val="Ruller41"/>
              <w:rPr>
                <w:rtl/>
              </w:rPr>
            </w:pPr>
            <w:r w:rsidRPr="002F1185">
              <w:rPr>
                <w:rFonts w:hint="cs"/>
                <w:rtl/>
              </w:rPr>
              <w:lastRenderedPageBreak/>
              <w:t>נכסים הקשורים בדויטשה פוסט האם</w:t>
            </w:r>
          </w:p>
        </w:tc>
        <w:tc>
          <w:tcPr>
            <w:tcW w:w="2835" w:type="dxa"/>
            <w:shd w:val="clear" w:color="auto" w:fill="auto"/>
          </w:tcPr>
          <w:p w:rsidR="009519E3" w:rsidRPr="002F1185" w:rsidRDefault="009519E3" w:rsidP="00BC10B3">
            <w:pPr>
              <w:pStyle w:val="Ruller41"/>
              <w:rPr>
                <w:rtl/>
              </w:rPr>
            </w:pPr>
            <w:r w:rsidRPr="002F1185">
              <w:rPr>
                <w:rFonts w:hint="cs"/>
                <w:rtl/>
              </w:rPr>
              <w:t>כ-348.3 מיליון ש"ח</w:t>
            </w:r>
          </w:p>
        </w:tc>
      </w:tr>
      <w:tr w:rsidR="009519E3" w:rsidRPr="002F1185" w:rsidTr="00BC10B3">
        <w:tc>
          <w:tcPr>
            <w:tcW w:w="4749" w:type="dxa"/>
            <w:shd w:val="clear" w:color="auto" w:fill="auto"/>
          </w:tcPr>
          <w:p w:rsidR="009519E3" w:rsidRPr="002F1185" w:rsidRDefault="009519E3" w:rsidP="00BC10B3">
            <w:pPr>
              <w:pStyle w:val="Ruller41"/>
              <w:rPr>
                <w:rtl/>
              </w:rPr>
            </w:pPr>
            <w:r w:rsidRPr="002F1185">
              <w:rPr>
                <w:rFonts w:hint="cs"/>
                <w:rtl/>
              </w:rPr>
              <w:t>נכסים שאינם קשורים בדויטשה פוסט האם</w:t>
            </w:r>
          </w:p>
        </w:tc>
        <w:tc>
          <w:tcPr>
            <w:tcW w:w="2835" w:type="dxa"/>
            <w:shd w:val="clear" w:color="auto" w:fill="auto"/>
          </w:tcPr>
          <w:p w:rsidR="009519E3" w:rsidRPr="002F1185" w:rsidRDefault="009519E3" w:rsidP="00BC10B3">
            <w:pPr>
              <w:pStyle w:val="Ruller41"/>
              <w:rPr>
                <w:rtl/>
              </w:rPr>
            </w:pPr>
            <w:r w:rsidRPr="002F1185">
              <w:rPr>
                <w:rFonts w:hint="cs"/>
                <w:rtl/>
              </w:rPr>
              <w:t>כ-116.1 מיליון ש"ח</w:t>
            </w:r>
          </w:p>
        </w:tc>
      </w:tr>
      <w:tr w:rsidR="009519E3" w:rsidRPr="002F1185" w:rsidTr="00BC10B3">
        <w:tc>
          <w:tcPr>
            <w:tcW w:w="4749" w:type="dxa"/>
            <w:shd w:val="clear" w:color="auto" w:fill="auto"/>
          </w:tcPr>
          <w:p w:rsidR="009519E3" w:rsidRPr="002F1185" w:rsidRDefault="009519E3" w:rsidP="00BC10B3">
            <w:pPr>
              <w:pStyle w:val="Ruller41"/>
              <w:rPr>
                <w:rFonts w:ascii="Century" w:hAnsi="Century"/>
                <w:rtl/>
              </w:rPr>
            </w:pPr>
            <w:r w:rsidRPr="002F1185">
              <w:rPr>
                <w:rFonts w:ascii="Century" w:hAnsi="Century" w:hint="cs"/>
                <w:rtl/>
              </w:rPr>
              <w:t>סה"כ</w:t>
            </w:r>
          </w:p>
        </w:tc>
        <w:tc>
          <w:tcPr>
            <w:tcW w:w="2835" w:type="dxa"/>
            <w:shd w:val="clear" w:color="auto" w:fill="auto"/>
          </w:tcPr>
          <w:p w:rsidR="009519E3" w:rsidRPr="002F1185" w:rsidRDefault="009519E3" w:rsidP="00BC10B3">
            <w:pPr>
              <w:pStyle w:val="Ruller41"/>
              <w:rPr>
                <w:rFonts w:ascii="Century" w:hAnsi="Century"/>
                <w:rtl/>
              </w:rPr>
            </w:pPr>
            <w:r w:rsidRPr="002F1185">
              <w:rPr>
                <w:rFonts w:ascii="Century" w:hAnsi="Century" w:hint="cs"/>
                <w:rtl/>
              </w:rPr>
              <w:t>כ-498.95 מיליון ש"ח</w:t>
            </w:r>
          </w:p>
        </w:tc>
      </w:tr>
    </w:tbl>
    <w:p w:rsidR="009519E3" w:rsidRPr="002F1185" w:rsidRDefault="009519E3" w:rsidP="009519E3">
      <w:pPr>
        <w:pStyle w:val="Ruller41"/>
        <w:rPr>
          <w:rtl/>
        </w:rPr>
      </w:pPr>
      <w:r w:rsidRPr="002F1185">
        <w:rPr>
          <w:rFonts w:hint="cs"/>
          <w:rtl/>
        </w:rPr>
        <w:t>(עמודים 9-8, 32-29 לחוות דעת ווינשטיין)</w:t>
      </w:r>
    </w:p>
    <w:p w:rsidR="009519E3" w:rsidRPr="002F1185" w:rsidRDefault="009519E3" w:rsidP="009519E3">
      <w:pPr>
        <w:pStyle w:val="Ruller41"/>
        <w:rPr>
          <w:rtl/>
        </w:rPr>
      </w:pPr>
    </w:p>
    <w:p w:rsidR="009519E3" w:rsidRPr="002F1185" w:rsidRDefault="009519E3" w:rsidP="00BC10B3">
      <w:pPr>
        <w:pStyle w:val="Ruller41"/>
        <w:rPr>
          <w:rtl/>
        </w:rPr>
      </w:pPr>
      <w:r w:rsidRPr="002F1185">
        <w:rPr>
          <w:rtl/>
        </w:rPr>
        <w:tab/>
      </w:r>
      <w:r w:rsidRPr="002F1185">
        <w:rPr>
          <w:rFonts w:hint="cs"/>
          <w:rtl/>
        </w:rPr>
        <w:t>יצוין, כי חוות הדעת משחזרת את מודל הרכישה על פי הסכם המכר, וזאת בהסתמכות על נתוני התוכנית העסקית של אף.סי תובלה בינלאומית כפי שזו נמסרה על ידי דויטשה פוסט במסגרת ההכנות של עבודת ה-</w:t>
      </w:r>
      <w:r w:rsidRPr="002F1185">
        <w:rPr>
          <w:rFonts w:asciiTheme="majorBidi" w:hAnsiTheme="majorBidi" w:cstheme="majorBidi"/>
          <w:sz w:val="24"/>
          <w:szCs w:val="24"/>
        </w:rPr>
        <w:t>PPA</w:t>
      </w:r>
      <w:r w:rsidRPr="002F1185">
        <w:rPr>
          <w:rFonts w:hint="cs"/>
          <w:rtl/>
        </w:rPr>
        <w:t>. בהתאם, חוות דעת ווינשטיין אינה חולקת על השווי המוערך לעניין זכות השימוש במותג וכוח העבודה. לעומת זאת, ביחס לנכסים הקשורים בדויטשה פוסט האם ולנכסים שאינם קשורים בדויטשה פוסט האם המומחה ווינשטיין אמד את הנכסים אחרת כאשר היחס ביניהם משקף את היחס בין ההכנסות של החברה מכל אחד מסוגי הנכסים הללו, כפי שהוצג בעבודת ה-</w:t>
      </w:r>
      <w:r w:rsidRPr="00356FD9">
        <w:rPr>
          <w:rFonts w:asciiTheme="majorBidi" w:hAnsiTheme="majorBidi" w:cstheme="majorBidi"/>
          <w:sz w:val="24"/>
        </w:rPr>
        <w:t>PPA</w:t>
      </w:r>
      <w:r w:rsidRPr="002F1185">
        <w:rPr>
          <w:rFonts w:hint="cs"/>
          <w:rtl/>
        </w:rPr>
        <w:t xml:space="preserve"> (1:3). באשר לנכסים הקשורים בדויטשה פוסט האם הניח ווינשטיין כי שווים עומד על כ-348.3 מיליון ש"ח. באשר לנכסים שאינם קשורים בדויטשה פוסט האם</w:t>
      </w:r>
      <w:r w:rsidRPr="002F1185">
        <w:rPr>
          <w:rFonts w:ascii="Century" w:hAnsi="Century"/>
          <w:szCs w:val="22"/>
          <w:rtl/>
        </w:rPr>
        <w:t xml:space="preserve"> </w:t>
      </w:r>
      <w:r w:rsidRPr="002F1185">
        <w:rPr>
          <w:rFonts w:hint="cs"/>
          <w:rtl/>
        </w:rPr>
        <w:t>העריך את שווים בסך של כ-116.1 מיליון ש"ח (עמ</w:t>
      </w:r>
      <w:r w:rsidR="00BC10B3">
        <w:rPr>
          <w:rFonts w:hint="cs"/>
          <w:rtl/>
        </w:rPr>
        <w:t>ודים</w:t>
      </w:r>
      <w:r w:rsidRPr="002F1185">
        <w:rPr>
          <w:rFonts w:hint="cs"/>
          <w:rtl/>
        </w:rPr>
        <w:t xml:space="preserve"> 32-31 לחוות דעת ווינשטיין). בהקשר זה, יש להדגיש כי במסגרת חוות דעת ווינשטיין לא הוצגה דרך החישוב המלאה.</w:t>
      </w:r>
    </w:p>
    <w:p w:rsidR="009519E3" w:rsidRPr="002F1185" w:rsidRDefault="009519E3" w:rsidP="009519E3">
      <w:pPr>
        <w:pStyle w:val="Ruller41"/>
        <w:rPr>
          <w:rtl/>
        </w:rPr>
      </w:pPr>
    </w:p>
    <w:p w:rsidR="009519E3" w:rsidRDefault="009519E3" w:rsidP="004F458D">
      <w:pPr>
        <w:pStyle w:val="Ruller4"/>
        <w:rPr>
          <w:rtl/>
        </w:rPr>
      </w:pPr>
      <w:r w:rsidRPr="002F1185">
        <w:rPr>
          <w:rFonts w:hint="cs"/>
          <w:rtl/>
        </w:rPr>
        <w:t xml:space="preserve">לעומת זאת, </w:t>
      </w:r>
      <w:r w:rsidR="000E0EC0">
        <w:rPr>
          <w:rFonts w:hint="cs"/>
          <w:rtl/>
        </w:rPr>
        <w:t xml:space="preserve">חברת </w:t>
      </w:r>
      <w:r w:rsidRPr="002F1185">
        <w:rPr>
          <w:rFonts w:hint="cs"/>
          <w:rtl/>
        </w:rPr>
        <w:t>פליינג קרגו נסמכת על חוות הדעת של משרד רואי החשבון סומך חייקין אשר נתבקש לחוות דעתו ביחס לשניים: (1) תיקוף עבודת ה-</w:t>
      </w:r>
      <w:r w:rsidRPr="002F1185">
        <w:rPr>
          <w:rFonts w:asciiTheme="majorBidi" w:hAnsiTheme="majorBidi" w:cstheme="majorBidi"/>
          <w:szCs w:val="24"/>
        </w:rPr>
        <w:t>PPA</w:t>
      </w:r>
      <w:r w:rsidRPr="002F1185">
        <w:rPr>
          <w:rFonts w:hint="cs"/>
          <w:rtl/>
        </w:rPr>
        <w:t xml:space="preserve"> מיום 31.12.2007 שנערכה על ידי </w:t>
      </w:r>
      <w:r w:rsidRPr="002F1185">
        <w:rPr>
          <w:rFonts w:asciiTheme="majorBidi" w:hAnsiTheme="majorBidi" w:cstheme="majorBidi"/>
          <w:szCs w:val="24"/>
        </w:rPr>
        <w:t>KPMG</w:t>
      </w:r>
      <w:r w:rsidRPr="002F1185">
        <w:rPr>
          <w:rFonts w:hint="cs"/>
          <w:rtl/>
        </w:rPr>
        <w:t xml:space="preserve"> גרמניה עבור חברת דויטשה פוסט נוכח הסכם המכר; (ב) בחינת חוות דעת המומחה שהוגשה מטעם פקיד השומה</w:t>
      </w:r>
      <w:r w:rsidR="00356FD9">
        <w:rPr>
          <w:rFonts w:hint="cs"/>
          <w:rtl/>
        </w:rPr>
        <w:t>, היא חוות דעת ווינשטיין</w:t>
      </w:r>
      <w:r w:rsidRPr="002F1185">
        <w:rPr>
          <w:rFonts w:hint="cs"/>
          <w:rtl/>
        </w:rPr>
        <w:t xml:space="preserve"> (להלן: </w:t>
      </w:r>
      <w:r w:rsidRPr="002F1185">
        <w:rPr>
          <w:rFonts w:ascii="Century" w:hAnsi="Century" w:cs="Miriam" w:hint="cs"/>
          <w:b/>
          <w:spacing w:val="0"/>
          <w:sz w:val="22"/>
          <w:szCs w:val="24"/>
          <w:rtl/>
        </w:rPr>
        <w:t>"חוות דעת סומך חייקין"</w:t>
      </w:r>
      <w:r w:rsidRPr="002F1185">
        <w:rPr>
          <w:rFonts w:hint="cs"/>
          <w:rtl/>
        </w:rPr>
        <w:t>).</w:t>
      </w:r>
    </w:p>
    <w:p w:rsidR="00E067F0" w:rsidRPr="00E067F0" w:rsidRDefault="00E067F0" w:rsidP="00E067F0">
      <w:pPr>
        <w:pStyle w:val="Ruller41"/>
      </w:pPr>
    </w:p>
    <w:p w:rsidR="009519E3" w:rsidRPr="002F1185" w:rsidRDefault="009519E3" w:rsidP="00BA0E16">
      <w:pPr>
        <w:pStyle w:val="Ruller4"/>
        <w:numPr>
          <w:ilvl w:val="0"/>
          <w:numId w:val="0"/>
        </w:numPr>
        <w:rPr>
          <w:rtl/>
        </w:rPr>
      </w:pPr>
      <w:r w:rsidRPr="002F1185">
        <w:rPr>
          <w:rtl/>
        </w:rPr>
        <w:tab/>
      </w:r>
      <w:r w:rsidRPr="002F1185">
        <w:rPr>
          <w:rFonts w:hint="cs"/>
          <w:rtl/>
        </w:rPr>
        <w:t xml:space="preserve">בחוות דעת סומך חייקין נטען כי חוות דעת ווינשטיין בחרה להכיר בנכסים בלתי מוחשיים </w:t>
      </w:r>
      <w:r w:rsidRPr="002F1185">
        <w:rPr>
          <w:rtl/>
        </w:rPr>
        <w:t>–</w:t>
      </w:r>
      <w:r w:rsidRPr="002F1185">
        <w:rPr>
          <w:rFonts w:hint="cs"/>
          <w:rtl/>
        </w:rPr>
        <w:t xml:space="preserve"> כוח עבודה ונכסים בלתי מוחשיים הקשורים בדויטשה פוסט האם </w:t>
      </w:r>
      <w:r w:rsidRPr="002F1185">
        <w:rPr>
          <w:rtl/>
        </w:rPr>
        <w:t>–</w:t>
      </w:r>
      <w:r w:rsidRPr="002F1185">
        <w:rPr>
          <w:rFonts w:hint="cs"/>
          <w:rtl/>
        </w:rPr>
        <w:t xml:space="preserve"> באופן נפרד מן המוניטין, וזאת בניגוד להוראות התקינה החשבונאית. טעות זו, על פי הנטען, הביאה להקטנת ערך המוניטין בצורה ניכרת (עמ</w:t>
      </w:r>
      <w:r w:rsidR="00BC10B3">
        <w:rPr>
          <w:rFonts w:hint="cs"/>
          <w:rtl/>
        </w:rPr>
        <w:t>ודים</w:t>
      </w:r>
      <w:r w:rsidRPr="002F1185">
        <w:rPr>
          <w:rFonts w:hint="cs"/>
          <w:rtl/>
        </w:rPr>
        <w:t xml:space="preserve"> 8-7 לחוות הדעת). עוד נטען נגד חישוב שוויו של כוח העבודה, הן בשל היעדר פירוט אופן החישוב והן בשל התוצאה אליה הגיע חוות דעת ווינשטיין שהינה גבוהה פי 5 מזו של עבודת ה-</w:t>
      </w:r>
      <w:r w:rsidRPr="002F1185">
        <w:rPr>
          <w:rFonts w:asciiTheme="majorBidi" w:hAnsiTheme="majorBidi" w:cstheme="majorBidi"/>
          <w:szCs w:val="24"/>
        </w:rPr>
        <w:t>PPA</w:t>
      </w:r>
      <w:r w:rsidRPr="002F1185">
        <w:rPr>
          <w:rFonts w:hint="cs"/>
          <w:rtl/>
        </w:rPr>
        <w:t xml:space="preserve"> (חישוב של כ-22.1 מיליון ש״ח על ידי מעריך השווי אל מול שווי של כ-4.5 מיליון ש״ח בעבודת ה-</w:t>
      </w:r>
      <w:r w:rsidRPr="002F1185">
        <w:rPr>
          <w:rFonts w:asciiTheme="majorBidi" w:hAnsiTheme="majorBidi" w:cstheme="majorBidi"/>
        </w:rPr>
        <w:t>PPA</w:t>
      </w:r>
      <w:r w:rsidRPr="002F1185">
        <w:rPr>
          <w:rFonts w:hint="cs"/>
          <w:rtl/>
        </w:rPr>
        <w:t>, נכון לשנת 2007)</w:t>
      </w:r>
      <w:r w:rsidR="00BA0E16">
        <w:rPr>
          <w:rFonts w:hint="cs"/>
          <w:rtl/>
        </w:rPr>
        <w:t>, וזאת חרף טענתו של המומחה ווינשטיין לפיה אינו חולק על השווי לעניין כוח העבודה</w:t>
      </w:r>
      <w:r w:rsidRPr="002F1185">
        <w:rPr>
          <w:rFonts w:hint="cs"/>
          <w:rtl/>
        </w:rPr>
        <w:t>. בסופו של דבר, לאחר עמידה על טעויות שנפלו בחוות דעת ווינשטיין וכן בחינה של הנתונים שהוצגו בעבודת ה-</w:t>
      </w:r>
      <w:r w:rsidRPr="002F1185">
        <w:rPr>
          <w:rFonts w:asciiTheme="majorBidi" w:hAnsiTheme="majorBidi" w:cstheme="majorBidi"/>
          <w:szCs w:val="24"/>
        </w:rPr>
        <w:t>PPA</w:t>
      </w:r>
      <w:r w:rsidRPr="002F1185">
        <w:rPr>
          <w:rFonts w:hint="cs"/>
          <w:rtl/>
        </w:rPr>
        <w:t xml:space="preserve">, מסקנת חוות דעת סומך </w:t>
      </w:r>
      <w:r w:rsidRPr="002F1185">
        <w:rPr>
          <w:rFonts w:hint="cs"/>
          <w:rtl/>
        </w:rPr>
        <w:lastRenderedPageBreak/>
        <w:t>חייקין היא כי שווי המוניטין כפי שהוערך בעבודת ה-</w:t>
      </w:r>
      <w:r w:rsidRPr="002F1185">
        <w:rPr>
          <w:rFonts w:asciiTheme="majorBidi" w:hAnsiTheme="majorBidi" w:cstheme="majorBidi"/>
          <w:szCs w:val="24"/>
        </w:rPr>
        <w:t>PPA</w:t>
      </w:r>
      <w:r w:rsidRPr="002F1185">
        <w:rPr>
          <w:rFonts w:hint="cs"/>
          <w:rtl/>
        </w:rPr>
        <w:t xml:space="preserve">, דהיינו כ-425 מיליון ש"ח, הוא הסכום המדויק, הראוי והנכון. </w:t>
      </w:r>
    </w:p>
    <w:p w:rsidR="009519E3" w:rsidRPr="002F1185" w:rsidRDefault="009519E3" w:rsidP="009519E3">
      <w:pPr>
        <w:pStyle w:val="Ruller41"/>
        <w:rPr>
          <w:rtl/>
        </w:rPr>
      </w:pPr>
    </w:p>
    <w:p w:rsidR="009519E3" w:rsidRPr="002F1185" w:rsidRDefault="009519E3" w:rsidP="004F458D">
      <w:pPr>
        <w:pStyle w:val="Ruller4"/>
        <w:rPr>
          <w:rtl/>
        </w:rPr>
      </w:pPr>
      <w:r w:rsidRPr="002F1185">
        <w:rPr>
          <w:rFonts w:hint="cs"/>
          <w:rtl/>
        </w:rPr>
        <w:t>חוות הדעת שהגישו הצדדים אינן מסייעות לתת מענה שלם על השאלה מהו רכיב התמורה ששולם בעבור מוניטין קבוצת פליינג קרגו, ואולם הן מלמדות כי חלוקת התמורות המוסכמת אינה יכולה לשמש בסיס לחישוב זה. ודוק, ענייננו אינו בשאלה מהו הסכום שנכון היה מבחינה חשבונאית לרשום כ"מוניטין" בדו"ח כזה או אחר, אלא מהו הערך שסביר לייחס לזכות להמשיך לעשות שימוש במוניטין קבוצת פליינג קרגו. לעניין זה, הערך היחידי שניתן להפיק מעבודת ה-</w:t>
      </w:r>
      <w:r w:rsidRPr="002F1185">
        <w:rPr>
          <w:rFonts w:asciiTheme="majorBidi" w:hAnsiTheme="majorBidi" w:cstheme="majorBidi"/>
          <w:szCs w:val="24"/>
        </w:rPr>
        <w:t>PPA</w:t>
      </w:r>
      <w:r w:rsidRPr="002F1185">
        <w:rPr>
          <w:rFonts w:hint="cs"/>
          <w:rtl/>
        </w:rPr>
        <w:t>, ושהיה מקובל גם על נותני חוות הדעת, הוא ששווי זכות השימוש במותג "פליינג קרגו" (ובכלל זה המותג "</w:t>
      </w:r>
      <w:r w:rsidRPr="002F1185">
        <w:rPr>
          <w:rFonts w:asciiTheme="majorBidi" w:hAnsiTheme="majorBidi" w:cstheme="majorBidi"/>
          <w:szCs w:val="24"/>
        </w:rPr>
        <w:t>FC</w:t>
      </w:r>
      <w:r w:rsidRPr="002F1185">
        <w:rPr>
          <w:rFonts w:hint="cs"/>
          <w:rtl/>
        </w:rPr>
        <w:t>" והלוגו) הוא</w:t>
      </w:r>
      <w:r w:rsidRPr="002F1185">
        <w:rPr>
          <w:rFonts w:ascii="Century" w:hAnsi="Century" w:hint="cs"/>
          <w:rtl/>
        </w:rPr>
        <w:t xml:space="preserve"> 12.378 מיליון ש"ח בלבד. </w:t>
      </w:r>
      <w:r w:rsidRPr="002F1185">
        <w:rPr>
          <w:rFonts w:hint="cs"/>
          <w:rtl/>
        </w:rPr>
        <w:t>ערכים נוספים הקשורים למוניטין של קבוצת פליינג קרגו (להבדיל מפעילות השילוח הבינלאומי, על כל הכרוך בה) לא זוהו, ובוודאי שאינם יכולים להצדיק הכרה בכך ששווי מוניטין זה הגיע למעל ל-437 מיליון ש"ח.</w:t>
      </w:r>
    </w:p>
    <w:p w:rsidR="009519E3" w:rsidRPr="002F1185" w:rsidRDefault="009519E3" w:rsidP="009519E3">
      <w:pPr>
        <w:pStyle w:val="Ruller41"/>
        <w:rPr>
          <w:rtl/>
        </w:rPr>
      </w:pPr>
    </w:p>
    <w:p w:rsidR="009519E3" w:rsidRDefault="009519E3" w:rsidP="009519E3">
      <w:pPr>
        <w:pStyle w:val="Ruller4"/>
        <w:rPr>
          <w:rtl/>
        </w:rPr>
      </w:pPr>
      <w:r w:rsidRPr="002F1185">
        <w:rPr>
          <w:rFonts w:hint="cs"/>
          <w:sz w:val="28"/>
          <w:rtl/>
        </w:rPr>
        <w:t xml:space="preserve">המסקנה המתבקשת מהדיון לעיל היא שפקיד השומה פעל כדין, כאשר דחה את חלוקת התמורה המוסכמת, וסירב לייחס לזכות השימוש במוניטין של קבוצת פליינג קרגו ערך של </w:t>
      </w:r>
      <w:r w:rsidRPr="002F1185">
        <w:rPr>
          <w:rFonts w:hint="cs"/>
          <w:rtl/>
        </w:rPr>
        <w:t>437.787 מיליון ש"ח</w:t>
      </w:r>
      <w:r w:rsidRPr="002F1185">
        <w:rPr>
          <w:rFonts w:hint="cs"/>
          <w:sz w:val="28"/>
          <w:rtl/>
        </w:rPr>
        <w:t xml:space="preserve">, ולמניות של </w:t>
      </w:r>
      <w:r w:rsidRPr="002F1185">
        <w:rPr>
          <w:rFonts w:hint="cs"/>
          <w:rtl/>
        </w:rPr>
        <w:t xml:space="preserve">אף.סי תובלה בינלאומית ערך של 8.945 מיליון ש"ח </w:t>
      </w:r>
      <w:r w:rsidRPr="002F1185">
        <w:rPr>
          <w:rtl/>
        </w:rPr>
        <w:t>–</w:t>
      </w:r>
      <w:r w:rsidRPr="002F1185">
        <w:rPr>
          <w:rFonts w:hint="cs"/>
          <w:rtl/>
        </w:rPr>
        <w:t xml:space="preserve"> ערכים שבעליל אינם מייצגים את החלוקה הנכונה מבחינה כלכלית של התמורות שניתנו במסגרת הסכם המכר.</w:t>
      </w:r>
    </w:p>
    <w:p w:rsidR="00E067F0" w:rsidRDefault="00E067F0" w:rsidP="00E067F0">
      <w:pPr>
        <w:pStyle w:val="Ruller41"/>
        <w:rPr>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הראיות ביחס לשווי המוניטין שהועבר במסגרת הסכם המכר</w:t>
      </w:r>
    </w:p>
    <w:p w:rsidR="009519E3" w:rsidRPr="002F1185" w:rsidRDefault="009519E3" w:rsidP="009519E3">
      <w:pPr>
        <w:pStyle w:val="Ruller41"/>
        <w:rPr>
          <w:rFonts w:ascii="Century" w:hAnsi="Century" w:cs="Miriam"/>
          <w:b/>
          <w:spacing w:val="0"/>
          <w:szCs w:val="24"/>
        </w:rPr>
      </w:pPr>
    </w:p>
    <w:p w:rsidR="009519E3" w:rsidRDefault="009519E3" w:rsidP="009519E3">
      <w:pPr>
        <w:pStyle w:val="Ruller4"/>
        <w:rPr>
          <w:sz w:val="28"/>
          <w:rtl/>
        </w:rPr>
      </w:pPr>
      <w:r w:rsidRPr="002F1185">
        <w:rPr>
          <w:rFonts w:hint="cs"/>
          <w:sz w:val="28"/>
          <w:rtl/>
        </w:rPr>
        <w:t xml:space="preserve">משנדחתה, ובצדק, חלוקת התמורות המוסכמת כבסיס לשומת העסקה, מוטל הנטל על הנישומים להוכיח מהו שווי זכות השימוש במוניטין קבוצת פליינג קרגו (השוו, מקל וחומר, לעניין </w:t>
      </w:r>
      <w:r w:rsidRPr="002F1185">
        <w:rPr>
          <w:rFonts w:ascii="Century" w:hAnsi="Century" w:cs="Miriam" w:hint="cs"/>
          <w:b/>
          <w:spacing w:val="0"/>
          <w:sz w:val="22"/>
          <w:szCs w:val="24"/>
          <w:rtl/>
        </w:rPr>
        <w:t>תדיראן</w:t>
      </w:r>
      <w:r w:rsidRPr="002F1185">
        <w:rPr>
          <w:rFonts w:hint="cs"/>
          <w:sz w:val="28"/>
          <w:rtl/>
        </w:rPr>
        <w:t xml:space="preserve">, פסקה 18). </w:t>
      </w:r>
    </w:p>
    <w:p w:rsidR="004F458D" w:rsidRPr="004F458D" w:rsidRDefault="004F458D" w:rsidP="004F458D">
      <w:pPr>
        <w:pStyle w:val="Ruller41"/>
      </w:pPr>
    </w:p>
    <w:p w:rsidR="009519E3" w:rsidRPr="002F1185" w:rsidRDefault="009519E3" w:rsidP="000E0EC0">
      <w:pPr>
        <w:pStyle w:val="Ruller4"/>
        <w:rPr>
          <w:sz w:val="28"/>
          <w:rtl/>
        </w:rPr>
      </w:pPr>
      <w:r w:rsidRPr="002F1185">
        <w:rPr>
          <w:rFonts w:hint="cs"/>
          <w:sz w:val="28"/>
          <w:rtl/>
        </w:rPr>
        <w:t xml:space="preserve">הנתון היחידי שהציגו הנישומים בעניין זה, ואשר עליו לא חלק גם פקיד השומה, הוא ששווי זכות השימוש בסימני המסחר ובלוגו </w:t>
      </w:r>
      <w:r w:rsidR="000E0EC0">
        <w:rPr>
          <w:rFonts w:hint="cs"/>
          <w:sz w:val="28"/>
          <w:rtl/>
        </w:rPr>
        <w:t xml:space="preserve">השייכים לחברת </w:t>
      </w:r>
      <w:r w:rsidRPr="002F1185">
        <w:rPr>
          <w:rFonts w:hint="cs"/>
          <w:sz w:val="28"/>
          <w:rtl/>
        </w:rPr>
        <w:t xml:space="preserve">פליינג קרגו עומד על 12.378 מיליון ש"ח. יתר הנתונים שהוצגו, כדוגמת השווי המוערך של קשרי לקוחות או של כוח העבודה, מתייחסים לנכסים הכרוכים בפעילותה העסקית של חברת הבת, דהיינו בפעילות השילוח הבינלאומי, ולפיכך אינם יכולים להיות מופרדים משווי המניות לצורכי מס. המסקנה המתחייבת היא ששווי המוניטין של </w:t>
      </w:r>
      <w:r w:rsidR="000E0EC0">
        <w:rPr>
          <w:rFonts w:hint="cs"/>
          <w:sz w:val="28"/>
          <w:rtl/>
        </w:rPr>
        <w:t xml:space="preserve">קבוצת </w:t>
      </w:r>
      <w:r w:rsidRPr="002F1185">
        <w:rPr>
          <w:rFonts w:hint="cs"/>
          <w:sz w:val="28"/>
          <w:rtl/>
        </w:rPr>
        <w:t xml:space="preserve">פליינג קרגו אשר הוכח בראיות עומד על 12.378 מיליון ש"ח בלבד. ממילא כל יתר השווי </w:t>
      </w:r>
      <w:r w:rsidRPr="002F1185">
        <w:rPr>
          <w:sz w:val="28"/>
          <w:rtl/>
        </w:rPr>
        <w:t>–</w:t>
      </w:r>
      <w:r w:rsidRPr="002F1185">
        <w:rPr>
          <w:rFonts w:hint="cs"/>
          <w:sz w:val="28"/>
          <w:rtl/>
        </w:rPr>
        <w:t xml:space="preserve"> 434.354 מיליון ש"ח </w:t>
      </w:r>
      <w:r w:rsidRPr="002F1185">
        <w:rPr>
          <w:sz w:val="28"/>
          <w:rtl/>
        </w:rPr>
        <w:t>–</w:t>
      </w:r>
      <w:r w:rsidRPr="002F1185">
        <w:rPr>
          <w:rFonts w:hint="cs"/>
          <w:sz w:val="28"/>
          <w:rtl/>
        </w:rPr>
        <w:t xml:space="preserve"> צריך להיות מיוחס למכירת המניות. </w:t>
      </w:r>
    </w:p>
    <w:p w:rsidR="009519E3" w:rsidRPr="002F1185" w:rsidRDefault="009519E3" w:rsidP="009519E3">
      <w:pPr>
        <w:pStyle w:val="Ruller41"/>
        <w:rPr>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 xml:space="preserve">עוללות </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 xml:space="preserve">בית </w:t>
      </w:r>
      <w:r w:rsidRPr="002F1185">
        <w:rPr>
          <w:rFonts w:hint="eastAsia"/>
          <w:rtl/>
        </w:rPr>
        <w:t>המשפט</w:t>
      </w:r>
      <w:r w:rsidRPr="002F1185">
        <w:rPr>
          <w:rtl/>
        </w:rPr>
        <w:t xml:space="preserve"> </w:t>
      </w:r>
      <w:r w:rsidRPr="002F1185">
        <w:rPr>
          <w:rFonts w:hint="eastAsia"/>
          <w:rtl/>
        </w:rPr>
        <w:t>קמא</w:t>
      </w:r>
      <w:r w:rsidRPr="002F1185">
        <w:rPr>
          <w:rtl/>
        </w:rPr>
        <w:t xml:space="preserve"> </w:t>
      </w:r>
      <w:r w:rsidRPr="002F1185">
        <w:rPr>
          <w:rFonts w:hint="eastAsia"/>
          <w:rtl/>
        </w:rPr>
        <w:t>התיר</w:t>
      </w:r>
      <w:r w:rsidRPr="002F1185">
        <w:rPr>
          <w:rtl/>
        </w:rPr>
        <w:t xml:space="preserve"> </w:t>
      </w:r>
      <w:r w:rsidRPr="002F1185">
        <w:rPr>
          <w:rFonts w:hint="eastAsia"/>
          <w:rtl/>
        </w:rPr>
        <w:t>לאף</w:t>
      </w:r>
      <w:r w:rsidRPr="002F1185">
        <w:rPr>
          <w:rtl/>
        </w:rPr>
        <w:t>.</w:t>
      </w:r>
      <w:r w:rsidRPr="002F1185">
        <w:rPr>
          <w:rFonts w:hint="eastAsia"/>
          <w:rtl/>
        </w:rPr>
        <w:t>סי</w:t>
      </w:r>
      <w:r w:rsidRPr="002F1185">
        <w:rPr>
          <w:rtl/>
        </w:rPr>
        <w:t xml:space="preserve"> </w:t>
      </w:r>
      <w:r w:rsidRPr="002F1185">
        <w:rPr>
          <w:rFonts w:hint="eastAsia"/>
          <w:rtl/>
        </w:rPr>
        <w:t>תובלה</w:t>
      </w:r>
      <w:r w:rsidRPr="002F1185">
        <w:rPr>
          <w:rtl/>
        </w:rPr>
        <w:t xml:space="preserve"> </w:t>
      </w:r>
      <w:r w:rsidRPr="002F1185">
        <w:rPr>
          <w:rFonts w:hint="eastAsia"/>
          <w:rtl/>
        </w:rPr>
        <w:t>בינלאומית</w:t>
      </w:r>
      <w:r w:rsidRPr="002F1185">
        <w:rPr>
          <w:rtl/>
        </w:rPr>
        <w:t xml:space="preserve"> </w:t>
      </w:r>
      <w:r w:rsidRPr="002F1185">
        <w:rPr>
          <w:rFonts w:hint="eastAsia"/>
          <w:rtl/>
        </w:rPr>
        <w:t>לנכות</w:t>
      </w:r>
      <w:r w:rsidRPr="002F1185">
        <w:rPr>
          <w:rtl/>
        </w:rPr>
        <w:t xml:space="preserve"> </w:t>
      </w:r>
      <w:r w:rsidRPr="002F1185">
        <w:rPr>
          <w:rFonts w:hint="eastAsia"/>
          <w:rtl/>
        </w:rPr>
        <w:t>כהוצאות</w:t>
      </w:r>
      <w:r w:rsidRPr="002F1185">
        <w:rPr>
          <w:rtl/>
        </w:rPr>
        <w:t xml:space="preserve"> </w:t>
      </w:r>
      <w:r w:rsidRPr="002F1185">
        <w:rPr>
          <w:rFonts w:hint="eastAsia"/>
          <w:rtl/>
        </w:rPr>
        <w:t>מימון</w:t>
      </w:r>
      <w:r w:rsidRPr="002F1185">
        <w:rPr>
          <w:rtl/>
        </w:rPr>
        <w:t xml:space="preserve"> </w:t>
      </w:r>
      <w:r w:rsidRPr="002F1185">
        <w:rPr>
          <w:rFonts w:hint="eastAsia"/>
          <w:rtl/>
        </w:rPr>
        <w:t>את</w:t>
      </w:r>
      <w:r w:rsidRPr="002F1185">
        <w:rPr>
          <w:rtl/>
        </w:rPr>
        <w:t xml:space="preserve"> </w:t>
      </w:r>
      <w:r w:rsidRPr="002F1185">
        <w:rPr>
          <w:rFonts w:hint="eastAsia"/>
          <w:rtl/>
        </w:rPr>
        <w:t>החזר</w:t>
      </w:r>
      <w:r w:rsidRPr="002F1185">
        <w:rPr>
          <w:rtl/>
        </w:rPr>
        <w:t xml:space="preserve"> </w:t>
      </w:r>
      <w:r w:rsidRPr="002F1185">
        <w:rPr>
          <w:rFonts w:hint="eastAsia"/>
          <w:rtl/>
        </w:rPr>
        <w:t>ההלוואה</w:t>
      </w:r>
      <w:r w:rsidRPr="002F1185">
        <w:rPr>
          <w:rtl/>
        </w:rPr>
        <w:t xml:space="preserve"> </w:t>
      </w:r>
      <w:r w:rsidRPr="002F1185">
        <w:rPr>
          <w:rFonts w:hint="eastAsia"/>
          <w:rtl/>
        </w:rPr>
        <w:t>שנטלה</w:t>
      </w:r>
      <w:r w:rsidRPr="002F1185">
        <w:rPr>
          <w:rtl/>
        </w:rPr>
        <w:t xml:space="preserve"> </w:t>
      </w:r>
      <w:r w:rsidRPr="002F1185">
        <w:rPr>
          <w:rFonts w:hint="eastAsia"/>
          <w:rtl/>
        </w:rPr>
        <w:t>מדויטשה</w:t>
      </w:r>
      <w:r w:rsidRPr="002F1185">
        <w:rPr>
          <w:rtl/>
        </w:rPr>
        <w:t xml:space="preserve"> </w:t>
      </w:r>
      <w:r w:rsidRPr="002F1185">
        <w:rPr>
          <w:rFonts w:hint="eastAsia"/>
          <w:rtl/>
        </w:rPr>
        <w:t>פוסט</w:t>
      </w:r>
      <w:r w:rsidRPr="002F1185">
        <w:rPr>
          <w:rtl/>
        </w:rPr>
        <w:t xml:space="preserve"> </w:t>
      </w:r>
      <w:r w:rsidRPr="002F1185">
        <w:rPr>
          <w:rFonts w:hint="eastAsia"/>
          <w:rtl/>
        </w:rPr>
        <w:t>על</w:t>
      </w:r>
      <w:r w:rsidRPr="002F1185">
        <w:rPr>
          <w:rtl/>
        </w:rPr>
        <w:t xml:space="preserve"> </w:t>
      </w:r>
      <w:r w:rsidRPr="002F1185">
        <w:rPr>
          <w:rFonts w:hint="eastAsia"/>
          <w:rtl/>
        </w:rPr>
        <w:t>מנת</w:t>
      </w:r>
      <w:r w:rsidRPr="002F1185">
        <w:rPr>
          <w:rtl/>
        </w:rPr>
        <w:t xml:space="preserve"> </w:t>
      </w:r>
      <w:r w:rsidRPr="002F1185">
        <w:rPr>
          <w:rFonts w:hint="eastAsia"/>
          <w:rtl/>
        </w:rPr>
        <w:t>לממן</w:t>
      </w:r>
      <w:r w:rsidRPr="002F1185">
        <w:rPr>
          <w:rtl/>
        </w:rPr>
        <w:t xml:space="preserve"> </w:t>
      </w:r>
      <w:r w:rsidRPr="002F1185">
        <w:rPr>
          <w:rFonts w:hint="eastAsia"/>
          <w:rtl/>
        </w:rPr>
        <w:t>את</w:t>
      </w:r>
      <w:r w:rsidRPr="002F1185">
        <w:rPr>
          <w:rtl/>
        </w:rPr>
        <w:t xml:space="preserve"> </w:t>
      </w:r>
      <w:r w:rsidRPr="002F1185">
        <w:rPr>
          <w:rFonts w:hint="eastAsia"/>
          <w:rtl/>
        </w:rPr>
        <w:t>רכישת</w:t>
      </w:r>
      <w:r w:rsidRPr="002F1185">
        <w:rPr>
          <w:rtl/>
        </w:rPr>
        <w:t xml:space="preserve"> </w:t>
      </w:r>
      <w:r w:rsidRPr="002F1185">
        <w:rPr>
          <w:rFonts w:hint="eastAsia"/>
          <w:rtl/>
        </w:rPr>
        <w:t>המוניטין</w:t>
      </w:r>
      <w:r w:rsidRPr="002F1185">
        <w:rPr>
          <w:rtl/>
        </w:rPr>
        <w:t xml:space="preserve"> </w:t>
      </w:r>
      <w:r w:rsidRPr="002F1185">
        <w:rPr>
          <w:rFonts w:hint="eastAsia"/>
          <w:rtl/>
        </w:rPr>
        <w:t>מחברת</w:t>
      </w:r>
      <w:r w:rsidRPr="002F1185">
        <w:rPr>
          <w:rtl/>
        </w:rPr>
        <w:t xml:space="preserve"> </w:t>
      </w:r>
      <w:r w:rsidRPr="002F1185">
        <w:rPr>
          <w:rFonts w:hint="eastAsia"/>
          <w:rtl/>
        </w:rPr>
        <w:t>פליינג</w:t>
      </w:r>
      <w:r w:rsidRPr="002F1185">
        <w:rPr>
          <w:rtl/>
        </w:rPr>
        <w:t xml:space="preserve"> </w:t>
      </w:r>
      <w:r w:rsidRPr="002F1185">
        <w:rPr>
          <w:rFonts w:hint="eastAsia"/>
          <w:rtl/>
        </w:rPr>
        <w:t>קרגו</w:t>
      </w:r>
      <w:r w:rsidRPr="002F1185">
        <w:rPr>
          <w:rtl/>
        </w:rPr>
        <w:t xml:space="preserve">. </w:t>
      </w:r>
      <w:r w:rsidRPr="002F1185">
        <w:rPr>
          <w:rFonts w:hint="eastAsia"/>
          <w:rtl/>
        </w:rPr>
        <w:t>ברור</w:t>
      </w:r>
      <w:r w:rsidRPr="002F1185">
        <w:rPr>
          <w:rtl/>
        </w:rPr>
        <w:t xml:space="preserve"> </w:t>
      </w:r>
      <w:r w:rsidRPr="002F1185">
        <w:rPr>
          <w:rFonts w:hint="eastAsia"/>
          <w:rtl/>
        </w:rPr>
        <w:t>וגלוי</w:t>
      </w:r>
      <w:r w:rsidRPr="002F1185">
        <w:rPr>
          <w:rtl/>
        </w:rPr>
        <w:t xml:space="preserve"> </w:t>
      </w:r>
      <w:r w:rsidRPr="002F1185">
        <w:rPr>
          <w:rFonts w:hint="eastAsia"/>
          <w:rtl/>
        </w:rPr>
        <w:t>כי</w:t>
      </w:r>
      <w:r w:rsidRPr="002F1185">
        <w:rPr>
          <w:rtl/>
        </w:rPr>
        <w:t xml:space="preserve"> </w:t>
      </w:r>
      <w:r w:rsidRPr="002F1185">
        <w:rPr>
          <w:rFonts w:hint="eastAsia"/>
          <w:rtl/>
        </w:rPr>
        <w:t>משנמצא</w:t>
      </w:r>
      <w:r w:rsidRPr="002F1185">
        <w:rPr>
          <w:rtl/>
        </w:rPr>
        <w:t xml:space="preserve"> </w:t>
      </w:r>
      <w:r w:rsidRPr="002F1185">
        <w:rPr>
          <w:rFonts w:hint="eastAsia"/>
          <w:rtl/>
        </w:rPr>
        <w:t>שעלות</w:t>
      </w:r>
      <w:r w:rsidRPr="002F1185">
        <w:rPr>
          <w:rtl/>
        </w:rPr>
        <w:t xml:space="preserve"> </w:t>
      </w:r>
      <w:r w:rsidRPr="002F1185">
        <w:rPr>
          <w:rFonts w:hint="eastAsia"/>
          <w:rtl/>
        </w:rPr>
        <w:t>רכישת</w:t>
      </w:r>
      <w:r w:rsidRPr="002F1185">
        <w:rPr>
          <w:rtl/>
        </w:rPr>
        <w:t xml:space="preserve"> </w:t>
      </w:r>
      <w:r w:rsidRPr="002F1185">
        <w:rPr>
          <w:rFonts w:hint="eastAsia"/>
          <w:rtl/>
        </w:rPr>
        <w:t>המוניטין</w:t>
      </w:r>
      <w:r w:rsidRPr="002F1185">
        <w:rPr>
          <w:rtl/>
        </w:rPr>
        <w:t xml:space="preserve"> </w:t>
      </w:r>
      <w:r w:rsidRPr="002F1185">
        <w:rPr>
          <w:rFonts w:hint="eastAsia"/>
          <w:rtl/>
        </w:rPr>
        <w:t>היא</w:t>
      </w:r>
      <w:r w:rsidRPr="002F1185">
        <w:rPr>
          <w:rtl/>
        </w:rPr>
        <w:t xml:space="preserve"> 12.378 </w:t>
      </w:r>
      <w:r w:rsidRPr="002F1185">
        <w:rPr>
          <w:rFonts w:hint="eastAsia"/>
          <w:rtl/>
        </w:rPr>
        <w:t>מיליון</w:t>
      </w:r>
      <w:r w:rsidRPr="002F1185">
        <w:rPr>
          <w:rtl/>
        </w:rPr>
        <w:t xml:space="preserve"> </w:t>
      </w:r>
      <w:r w:rsidRPr="002F1185">
        <w:rPr>
          <w:rFonts w:hint="eastAsia"/>
          <w:rtl/>
        </w:rPr>
        <w:t>ש</w:t>
      </w:r>
      <w:r w:rsidRPr="002F1185">
        <w:rPr>
          <w:rtl/>
        </w:rPr>
        <w:t>"</w:t>
      </w:r>
      <w:r w:rsidRPr="002F1185">
        <w:rPr>
          <w:rFonts w:hint="eastAsia"/>
          <w:rtl/>
        </w:rPr>
        <w:t>ח</w:t>
      </w:r>
      <w:r w:rsidRPr="002F1185">
        <w:rPr>
          <w:rtl/>
        </w:rPr>
        <w:t xml:space="preserve">, </w:t>
      </w:r>
      <w:r w:rsidRPr="002F1185">
        <w:rPr>
          <w:rFonts w:hint="eastAsia"/>
          <w:rtl/>
        </w:rPr>
        <w:t>ואילו</w:t>
      </w:r>
      <w:r w:rsidRPr="002F1185">
        <w:rPr>
          <w:rtl/>
        </w:rPr>
        <w:t xml:space="preserve"> </w:t>
      </w:r>
      <w:r w:rsidRPr="002F1185">
        <w:rPr>
          <w:rFonts w:hint="eastAsia"/>
          <w:rtl/>
        </w:rPr>
        <w:t>יתרת</w:t>
      </w:r>
      <w:r w:rsidRPr="002F1185">
        <w:rPr>
          <w:rtl/>
        </w:rPr>
        <w:t xml:space="preserve"> </w:t>
      </w:r>
      <w:r w:rsidRPr="002F1185">
        <w:rPr>
          <w:rFonts w:hint="eastAsia"/>
          <w:rtl/>
        </w:rPr>
        <w:t>הסכומים</w:t>
      </w:r>
      <w:r w:rsidRPr="002F1185">
        <w:rPr>
          <w:rtl/>
        </w:rPr>
        <w:t xml:space="preserve"> </w:t>
      </w:r>
      <w:r w:rsidRPr="002F1185">
        <w:rPr>
          <w:rFonts w:hint="eastAsia"/>
          <w:rtl/>
        </w:rPr>
        <w:t>ששולמו</w:t>
      </w:r>
      <w:r w:rsidRPr="002F1185">
        <w:rPr>
          <w:rtl/>
        </w:rPr>
        <w:t xml:space="preserve"> </w:t>
      </w:r>
      <w:r w:rsidRPr="002F1185">
        <w:rPr>
          <w:rFonts w:hint="eastAsia"/>
          <w:rtl/>
        </w:rPr>
        <w:t>הם</w:t>
      </w:r>
      <w:r w:rsidRPr="002F1185">
        <w:rPr>
          <w:rtl/>
        </w:rPr>
        <w:t xml:space="preserve"> </w:t>
      </w:r>
      <w:r w:rsidRPr="002F1185">
        <w:rPr>
          <w:rFonts w:hint="eastAsia"/>
          <w:rtl/>
        </w:rPr>
        <w:t>תמורת</w:t>
      </w:r>
      <w:r w:rsidRPr="002F1185">
        <w:rPr>
          <w:rtl/>
        </w:rPr>
        <w:t xml:space="preserve"> </w:t>
      </w:r>
      <w:r w:rsidRPr="002F1185">
        <w:rPr>
          <w:rFonts w:hint="eastAsia"/>
          <w:rtl/>
        </w:rPr>
        <w:t>המניות</w:t>
      </w:r>
      <w:r w:rsidRPr="002F1185">
        <w:rPr>
          <w:rtl/>
        </w:rPr>
        <w:t xml:space="preserve"> (</w:t>
      </w:r>
      <w:r w:rsidRPr="002F1185">
        <w:rPr>
          <w:rFonts w:hint="eastAsia"/>
          <w:rtl/>
        </w:rPr>
        <w:t>שנרכשו</w:t>
      </w:r>
      <w:r w:rsidRPr="002F1185">
        <w:rPr>
          <w:rtl/>
        </w:rPr>
        <w:t xml:space="preserve"> </w:t>
      </w:r>
      <w:r w:rsidRPr="002F1185">
        <w:rPr>
          <w:rFonts w:hint="eastAsia"/>
          <w:rtl/>
        </w:rPr>
        <w:t>על</w:t>
      </w:r>
      <w:r w:rsidRPr="002F1185">
        <w:rPr>
          <w:rtl/>
        </w:rPr>
        <w:t xml:space="preserve"> </w:t>
      </w:r>
      <w:r w:rsidRPr="002F1185">
        <w:rPr>
          <w:rFonts w:hint="eastAsia"/>
          <w:rtl/>
        </w:rPr>
        <w:t>ידי</w:t>
      </w:r>
      <w:r w:rsidRPr="002F1185">
        <w:rPr>
          <w:rtl/>
        </w:rPr>
        <w:t xml:space="preserve"> </w:t>
      </w:r>
      <w:r w:rsidRPr="002F1185">
        <w:rPr>
          <w:rFonts w:hint="eastAsia"/>
          <w:rtl/>
        </w:rPr>
        <w:t>דויטשה</w:t>
      </w:r>
      <w:r w:rsidRPr="002F1185">
        <w:rPr>
          <w:rtl/>
        </w:rPr>
        <w:t xml:space="preserve"> </w:t>
      </w:r>
      <w:r w:rsidRPr="002F1185">
        <w:rPr>
          <w:rFonts w:hint="eastAsia"/>
          <w:rtl/>
        </w:rPr>
        <w:t>פוסט</w:t>
      </w:r>
      <w:r w:rsidRPr="002F1185">
        <w:rPr>
          <w:rtl/>
        </w:rPr>
        <w:t xml:space="preserve">, </w:t>
      </w:r>
      <w:r w:rsidRPr="002F1185">
        <w:rPr>
          <w:rFonts w:hint="eastAsia"/>
          <w:rtl/>
        </w:rPr>
        <w:t>ושולמה</w:t>
      </w:r>
      <w:r w:rsidRPr="002F1185">
        <w:rPr>
          <w:rtl/>
        </w:rPr>
        <w:t xml:space="preserve"> </w:t>
      </w:r>
      <w:r w:rsidRPr="002F1185">
        <w:rPr>
          <w:rFonts w:hint="eastAsia"/>
          <w:rtl/>
        </w:rPr>
        <w:t>על</w:t>
      </w:r>
      <w:r w:rsidRPr="002F1185">
        <w:rPr>
          <w:rtl/>
        </w:rPr>
        <w:t xml:space="preserve"> </w:t>
      </w:r>
      <w:r w:rsidRPr="002F1185">
        <w:rPr>
          <w:rFonts w:hint="eastAsia"/>
          <w:rtl/>
        </w:rPr>
        <w:t>ידה</w:t>
      </w:r>
      <w:r w:rsidRPr="002F1185">
        <w:rPr>
          <w:rtl/>
        </w:rPr>
        <w:t xml:space="preserve">) </w:t>
      </w:r>
      <w:r w:rsidRPr="002F1185">
        <w:rPr>
          <w:rFonts w:hint="eastAsia"/>
          <w:rtl/>
        </w:rPr>
        <w:t>יופחתו</w:t>
      </w:r>
      <w:r w:rsidRPr="002F1185">
        <w:rPr>
          <w:rtl/>
        </w:rPr>
        <w:t xml:space="preserve"> </w:t>
      </w:r>
      <w:r w:rsidRPr="002F1185">
        <w:rPr>
          <w:rFonts w:hint="eastAsia"/>
          <w:rtl/>
        </w:rPr>
        <w:t>הוצאות</w:t>
      </w:r>
      <w:r w:rsidRPr="002F1185">
        <w:rPr>
          <w:rtl/>
        </w:rPr>
        <w:t xml:space="preserve"> </w:t>
      </w:r>
      <w:r w:rsidRPr="002F1185">
        <w:rPr>
          <w:rFonts w:hint="eastAsia"/>
          <w:rtl/>
        </w:rPr>
        <w:t>המימון</w:t>
      </w:r>
      <w:r w:rsidRPr="002F1185">
        <w:rPr>
          <w:rtl/>
        </w:rPr>
        <w:t xml:space="preserve"> </w:t>
      </w:r>
      <w:r w:rsidRPr="002F1185">
        <w:rPr>
          <w:rFonts w:hint="eastAsia"/>
          <w:rtl/>
        </w:rPr>
        <w:t>שיוכרו</w:t>
      </w:r>
      <w:r w:rsidRPr="002F1185">
        <w:rPr>
          <w:rtl/>
        </w:rPr>
        <w:t xml:space="preserve"> </w:t>
      </w:r>
      <w:r w:rsidRPr="002F1185">
        <w:rPr>
          <w:rFonts w:hint="eastAsia"/>
          <w:rtl/>
        </w:rPr>
        <w:t>בהתאמה</w:t>
      </w:r>
      <w:r w:rsidRPr="002F1185">
        <w:rPr>
          <w:rtl/>
        </w:rPr>
        <w:t xml:space="preserve">. </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כן יצוין כי לאור התוצאה אליה הגעתי, לא מצאתי מקום להידרש לשאר הטענות שהעלו הצדדים, אשר אין בהן כדי לשנות מן ההכרעה.</w:t>
      </w:r>
    </w:p>
    <w:p w:rsidR="009519E3" w:rsidRPr="002F1185" w:rsidRDefault="009519E3" w:rsidP="009519E3">
      <w:pPr>
        <w:pStyle w:val="Ruller41"/>
        <w:rPr>
          <w:rFonts w:ascii="Garamond" w:hAnsi="Garamond"/>
          <w:sz w:val="28"/>
          <w:rtl/>
        </w:rPr>
      </w:pPr>
    </w:p>
    <w:p w:rsidR="009519E3" w:rsidRPr="002F1185" w:rsidRDefault="009519E3" w:rsidP="009519E3">
      <w:pPr>
        <w:pStyle w:val="Ruller41"/>
        <w:rPr>
          <w:rtl/>
        </w:rPr>
      </w:pPr>
      <w:r w:rsidRPr="002F1185">
        <w:rPr>
          <w:rFonts w:ascii="Century" w:hAnsi="Century" w:cs="Miriam" w:hint="cs"/>
          <w:b/>
          <w:spacing w:val="0"/>
          <w:szCs w:val="24"/>
          <w:rtl/>
        </w:rPr>
        <w:t xml:space="preserve">סיכומו של הדיון בע"א 3136/17 </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 xml:space="preserve">אשר על כן, אציע לחבריי לקבל את ערעור פקיד השומה ולקבוע כי לצורך חישוב המס המוטל בגין הסכם המכר ייוחס סכום של 434.354 מיליון ש"ח למכירת מניות אף.סי תובלה בינלאומית מחברת פליינג קרגו לחברת דויטשה פוסט, וסכום של 12.378 מיליון ש"ח למכירה (מתן זכות שימוש) של מוניטין קבוצת פליינג קרגו מחברת פליינג קרגו לחברת אף.סי תובלה בינלאומית. הוצאות המימון שיוכרו לחברת אף.סי תובלה בינלאומית יופחתו בהתאם. </w:t>
      </w:r>
    </w:p>
    <w:p w:rsidR="009519E3" w:rsidRPr="002F1185" w:rsidRDefault="009519E3" w:rsidP="009519E3">
      <w:pPr>
        <w:pStyle w:val="Ruller41"/>
        <w:rPr>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 xml:space="preserve">ע"א 3146/17 </w:t>
      </w:r>
      <w:r w:rsidRPr="002F1185">
        <w:rPr>
          <w:rFonts w:ascii="Century" w:hAnsi="Century" w:cs="Miriam"/>
          <w:b/>
          <w:spacing w:val="0"/>
          <w:szCs w:val="24"/>
          <w:rtl/>
        </w:rPr>
        <w:t>–</w:t>
      </w:r>
      <w:r w:rsidRPr="002F1185">
        <w:rPr>
          <w:rFonts w:ascii="Century" w:hAnsi="Century" w:cs="Miriam" w:hint="cs"/>
          <w:b/>
          <w:spacing w:val="0"/>
          <w:szCs w:val="24"/>
          <w:rtl/>
        </w:rPr>
        <w:t xml:space="preserve"> ניכוי פחת בגין מוניטין</w:t>
      </w:r>
    </w:p>
    <w:p w:rsidR="009519E3" w:rsidRPr="002F1185" w:rsidRDefault="009519E3" w:rsidP="009519E3">
      <w:pPr>
        <w:pStyle w:val="Ruller41"/>
        <w:rPr>
          <w:rtl/>
        </w:rPr>
      </w:pPr>
    </w:p>
    <w:p w:rsidR="009519E3" w:rsidRPr="002F1185" w:rsidRDefault="009519E3" w:rsidP="00BA0E16">
      <w:pPr>
        <w:pStyle w:val="Ruller4"/>
        <w:rPr>
          <w:rtl/>
        </w:rPr>
      </w:pPr>
      <w:r w:rsidRPr="002F1185">
        <w:rPr>
          <w:rFonts w:hint="cs"/>
          <w:rtl/>
        </w:rPr>
        <w:t>משהופחת משמעותית הסכום המיוחס למכירת המוניטין, והוגדל במקביל הסכום המיוחס למכירת המניות, הצטמצמה חשיבות השאלה האם ניתן להכיר בניכוי הפחת בגין המוניטין שנרכש (מוניטין קבוצת פ</w:t>
      </w:r>
      <w:r w:rsidR="00BA0E16">
        <w:rPr>
          <w:rFonts w:hint="cs"/>
          <w:rtl/>
        </w:rPr>
        <w:t>ל</w:t>
      </w:r>
      <w:r w:rsidRPr="002F1185">
        <w:rPr>
          <w:rFonts w:hint="cs"/>
          <w:rtl/>
        </w:rPr>
        <w:t>יינג קרגו), והיא מתייחסת רק ליכולתה של חברת אף.סי תובלה בינלאומית לנכות פחת בסכום של 12.378 מיליון ש"ח. להלן אבהיר בקצרה את הקושי המשפטי שהתעורר, ואת עמדתי ביחס לסוגיה זו.</w:t>
      </w:r>
    </w:p>
    <w:p w:rsidR="009519E3" w:rsidRPr="002F1185" w:rsidRDefault="009519E3" w:rsidP="009519E3">
      <w:pPr>
        <w:pStyle w:val="Ruller41"/>
      </w:pPr>
    </w:p>
    <w:p w:rsidR="009519E3" w:rsidRPr="002F1185" w:rsidRDefault="009519E3" w:rsidP="009519E3">
      <w:pPr>
        <w:pStyle w:val="Ruller4"/>
        <w:rPr>
          <w:rtl/>
        </w:rPr>
      </w:pPr>
      <w:r w:rsidRPr="002F1185">
        <w:rPr>
          <w:rFonts w:hint="eastAsia"/>
          <w:rtl/>
        </w:rPr>
        <w:t>בעקבות</w:t>
      </w:r>
      <w:r w:rsidRPr="002F1185">
        <w:rPr>
          <w:rtl/>
        </w:rPr>
        <w:t xml:space="preserve"> </w:t>
      </w:r>
      <w:r w:rsidRPr="002F1185">
        <w:rPr>
          <w:rFonts w:hint="eastAsia"/>
          <w:rtl/>
        </w:rPr>
        <w:t>כניסתן</w:t>
      </w:r>
      <w:r w:rsidRPr="002F1185">
        <w:rPr>
          <w:rtl/>
        </w:rPr>
        <w:t xml:space="preserve"> </w:t>
      </w:r>
      <w:r w:rsidRPr="002F1185">
        <w:rPr>
          <w:rFonts w:hint="eastAsia"/>
          <w:rtl/>
        </w:rPr>
        <w:t>לתוקף</w:t>
      </w:r>
      <w:r w:rsidRPr="002F1185">
        <w:rPr>
          <w:rtl/>
        </w:rPr>
        <w:t xml:space="preserve"> </w:t>
      </w:r>
      <w:r w:rsidRPr="002F1185">
        <w:rPr>
          <w:rFonts w:hint="eastAsia"/>
          <w:rtl/>
        </w:rPr>
        <w:t>של</w:t>
      </w:r>
      <w:r w:rsidRPr="002F1185">
        <w:rPr>
          <w:rtl/>
        </w:rPr>
        <w:t xml:space="preserve"> </w:t>
      </w:r>
      <w:r w:rsidRPr="002F1185">
        <w:rPr>
          <w:rFonts w:hint="eastAsia"/>
          <w:rtl/>
        </w:rPr>
        <w:t>תקנות</w:t>
      </w:r>
      <w:r w:rsidRPr="002F1185">
        <w:rPr>
          <w:rtl/>
        </w:rPr>
        <w:t xml:space="preserve"> </w:t>
      </w:r>
      <w:r w:rsidRPr="002F1185">
        <w:rPr>
          <w:rFonts w:hint="eastAsia"/>
          <w:rtl/>
        </w:rPr>
        <w:t>מס</w:t>
      </w:r>
      <w:r w:rsidRPr="002F1185">
        <w:rPr>
          <w:rtl/>
        </w:rPr>
        <w:t xml:space="preserve"> </w:t>
      </w:r>
      <w:r w:rsidRPr="002F1185">
        <w:rPr>
          <w:rFonts w:hint="eastAsia"/>
          <w:rtl/>
        </w:rPr>
        <w:t>הכנסה</w:t>
      </w:r>
      <w:r w:rsidRPr="002F1185">
        <w:rPr>
          <w:rtl/>
        </w:rPr>
        <w:t xml:space="preserve"> (</w:t>
      </w:r>
      <w:r w:rsidRPr="002F1185">
        <w:rPr>
          <w:rFonts w:hint="eastAsia"/>
          <w:rtl/>
        </w:rPr>
        <w:t>שיעור</w:t>
      </w:r>
      <w:r w:rsidRPr="002F1185">
        <w:rPr>
          <w:rtl/>
        </w:rPr>
        <w:t xml:space="preserve"> </w:t>
      </w:r>
      <w:r w:rsidRPr="002F1185">
        <w:rPr>
          <w:rFonts w:hint="eastAsia"/>
          <w:rtl/>
        </w:rPr>
        <w:t>פחת</w:t>
      </w:r>
      <w:r w:rsidRPr="002F1185">
        <w:rPr>
          <w:rtl/>
        </w:rPr>
        <w:t xml:space="preserve"> </w:t>
      </w:r>
      <w:r w:rsidRPr="002F1185">
        <w:rPr>
          <w:rFonts w:hint="eastAsia"/>
          <w:rtl/>
        </w:rPr>
        <w:t>למוניטין</w:t>
      </w:r>
      <w:r w:rsidRPr="002F1185">
        <w:rPr>
          <w:rtl/>
        </w:rPr>
        <w:t xml:space="preserve">), </w:t>
      </w:r>
      <w:r w:rsidRPr="002F1185">
        <w:rPr>
          <w:rFonts w:hint="eastAsia"/>
          <w:rtl/>
        </w:rPr>
        <w:t>התשס</w:t>
      </w:r>
      <w:r w:rsidRPr="002F1185">
        <w:rPr>
          <w:rtl/>
        </w:rPr>
        <w:t>"</w:t>
      </w:r>
      <w:r w:rsidRPr="002F1185">
        <w:rPr>
          <w:rFonts w:hint="eastAsia"/>
          <w:rtl/>
        </w:rPr>
        <w:t>ג</w:t>
      </w:r>
      <w:r w:rsidRPr="002F1185">
        <w:rPr>
          <w:rtl/>
        </w:rPr>
        <w:t xml:space="preserve">-2003, </w:t>
      </w:r>
      <w:r w:rsidRPr="002F1185">
        <w:rPr>
          <w:rFonts w:hint="eastAsia"/>
          <w:rtl/>
        </w:rPr>
        <w:t>מתיר</w:t>
      </w:r>
      <w:r w:rsidRPr="002F1185">
        <w:rPr>
          <w:rtl/>
        </w:rPr>
        <w:t xml:space="preserve"> </w:t>
      </w:r>
      <w:r w:rsidRPr="002F1185">
        <w:rPr>
          <w:rFonts w:hint="eastAsia"/>
          <w:rtl/>
        </w:rPr>
        <w:t>הדין</w:t>
      </w:r>
      <w:r w:rsidRPr="002F1185">
        <w:rPr>
          <w:rtl/>
        </w:rPr>
        <w:t xml:space="preserve"> </w:t>
      </w:r>
      <w:r w:rsidRPr="002F1185">
        <w:rPr>
          <w:rFonts w:hint="eastAsia"/>
          <w:rtl/>
        </w:rPr>
        <w:t>לנישום</w:t>
      </w:r>
      <w:r w:rsidRPr="002F1185">
        <w:rPr>
          <w:rtl/>
        </w:rPr>
        <w:t xml:space="preserve"> </w:t>
      </w:r>
      <w:r w:rsidRPr="002F1185">
        <w:rPr>
          <w:rFonts w:hint="eastAsia"/>
          <w:rtl/>
        </w:rPr>
        <w:t>להפחית</w:t>
      </w:r>
      <w:r w:rsidRPr="002F1185">
        <w:rPr>
          <w:rtl/>
        </w:rPr>
        <w:t xml:space="preserve"> </w:t>
      </w:r>
      <w:r w:rsidRPr="002F1185">
        <w:rPr>
          <w:rFonts w:hint="eastAsia"/>
          <w:rtl/>
        </w:rPr>
        <w:t>לאורך</w:t>
      </w:r>
      <w:r w:rsidRPr="002F1185">
        <w:rPr>
          <w:rtl/>
        </w:rPr>
        <w:t xml:space="preserve"> </w:t>
      </w:r>
      <w:r w:rsidRPr="002F1185">
        <w:rPr>
          <w:rFonts w:hint="eastAsia"/>
          <w:rtl/>
        </w:rPr>
        <w:t>השנים</w:t>
      </w:r>
      <w:r w:rsidRPr="002F1185">
        <w:rPr>
          <w:rtl/>
        </w:rPr>
        <w:t xml:space="preserve"> </w:t>
      </w:r>
      <w:r w:rsidRPr="002F1185">
        <w:rPr>
          <w:rFonts w:hint="eastAsia"/>
          <w:rtl/>
        </w:rPr>
        <w:t>את</w:t>
      </w:r>
      <w:r w:rsidRPr="002F1185">
        <w:rPr>
          <w:rtl/>
        </w:rPr>
        <w:t xml:space="preserve"> </w:t>
      </w:r>
      <w:r w:rsidRPr="002F1185">
        <w:rPr>
          <w:rFonts w:hint="eastAsia"/>
          <w:rtl/>
        </w:rPr>
        <w:t>התמורה</w:t>
      </w:r>
      <w:r w:rsidRPr="002F1185">
        <w:rPr>
          <w:rtl/>
        </w:rPr>
        <w:t xml:space="preserve"> </w:t>
      </w:r>
      <w:r w:rsidRPr="002F1185">
        <w:rPr>
          <w:rFonts w:hint="eastAsia"/>
          <w:rtl/>
        </w:rPr>
        <w:t>ששילם</w:t>
      </w:r>
      <w:r w:rsidRPr="002F1185">
        <w:rPr>
          <w:rtl/>
        </w:rPr>
        <w:t xml:space="preserve"> </w:t>
      </w:r>
      <w:r w:rsidRPr="002F1185">
        <w:rPr>
          <w:rFonts w:hint="eastAsia"/>
          <w:rtl/>
        </w:rPr>
        <w:t>בגין</w:t>
      </w:r>
      <w:r w:rsidRPr="002F1185">
        <w:rPr>
          <w:rtl/>
        </w:rPr>
        <w:t xml:space="preserve"> </w:t>
      </w:r>
      <w:r w:rsidRPr="002F1185">
        <w:rPr>
          <w:rFonts w:hint="eastAsia"/>
          <w:rtl/>
        </w:rPr>
        <w:t>רכישת</w:t>
      </w:r>
      <w:r w:rsidRPr="002F1185">
        <w:rPr>
          <w:rtl/>
        </w:rPr>
        <w:t xml:space="preserve"> </w:t>
      </w:r>
      <w:r w:rsidRPr="002F1185">
        <w:rPr>
          <w:rFonts w:hint="eastAsia"/>
          <w:rtl/>
        </w:rPr>
        <w:t>מוניטין</w:t>
      </w:r>
      <w:r w:rsidRPr="002F1185">
        <w:rPr>
          <w:rtl/>
        </w:rPr>
        <w:t xml:space="preserve"> (</w:t>
      </w:r>
      <w:r w:rsidRPr="002F1185">
        <w:rPr>
          <w:rFonts w:hint="eastAsia"/>
          <w:rtl/>
        </w:rPr>
        <w:t>אשר</w:t>
      </w:r>
      <w:r w:rsidRPr="002F1185">
        <w:rPr>
          <w:rtl/>
        </w:rPr>
        <w:t xml:space="preserve"> </w:t>
      </w:r>
      <w:r w:rsidRPr="002F1185">
        <w:rPr>
          <w:rFonts w:hint="eastAsia"/>
          <w:rtl/>
        </w:rPr>
        <w:t>נרכשו</w:t>
      </w:r>
      <w:r w:rsidRPr="002F1185">
        <w:rPr>
          <w:rtl/>
        </w:rPr>
        <w:t xml:space="preserve"> </w:t>
      </w:r>
      <w:r w:rsidRPr="002F1185">
        <w:rPr>
          <w:rFonts w:hint="eastAsia"/>
          <w:rtl/>
        </w:rPr>
        <w:t>לאחר</w:t>
      </w:r>
      <w:r w:rsidRPr="002F1185">
        <w:rPr>
          <w:rtl/>
        </w:rPr>
        <w:t xml:space="preserve"> </w:t>
      </w:r>
      <w:r w:rsidRPr="002F1185">
        <w:rPr>
          <w:rFonts w:hint="eastAsia"/>
          <w:rtl/>
        </w:rPr>
        <w:t>יום</w:t>
      </w:r>
      <w:r w:rsidRPr="002F1185">
        <w:rPr>
          <w:rFonts w:hint="cs"/>
          <w:rtl/>
        </w:rPr>
        <w:t xml:space="preserve"> 1.7.2003)</w:t>
      </w:r>
      <w:r w:rsidRPr="002F1185">
        <w:rPr>
          <w:rtl/>
        </w:rPr>
        <w:t xml:space="preserve">. </w:t>
      </w:r>
      <w:r w:rsidRPr="002F1185">
        <w:rPr>
          <w:rFonts w:hint="eastAsia"/>
          <w:rtl/>
        </w:rPr>
        <w:t>שיעור</w:t>
      </w:r>
      <w:r w:rsidRPr="002F1185">
        <w:rPr>
          <w:rtl/>
        </w:rPr>
        <w:t xml:space="preserve"> </w:t>
      </w:r>
      <w:r w:rsidRPr="002F1185">
        <w:rPr>
          <w:rFonts w:hint="eastAsia"/>
          <w:rtl/>
        </w:rPr>
        <w:t>הפחת</w:t>
      </w:r>
      <w:r w:rsidRPr="002F1185">
        <w:rPr>
          <w:rFonts w:hint="cs"/>
          <w:rtl/>
        </w:rPr>
        <w:t xml:space="preserve"> שנקבע</w:t>
      </w:r>
      <w:r w:rsidRPr="002F1185">
        <w:rPr>
          <w:rtl/>
        </w:rPr>
        <w:t xml:space="preserve"> </w:t>
      </w:r>
      <w:r w:rsidRPr="002F1185">
        <w:rPr>
          <w:rFonts w:hint="eastAsia"/>
          <w:rtl/>
        </w:rPr>
        <w:t>הוא</w:t>
      </w:r>
      <w:r w:rsidRPr="002F1185">
        <w:rPr>
          <w:rtl/>
        </w:rPr>
        <w:t xml:space="preserve"> 10% </w:t>
      </w:r>
      <w:r w:rsidRPr="002F1185">
        <w:rPr>
          <w:rFonts w:hint="eastAsia"/>
          <w:rtl/>
        </w:rPr>
        <w:t>לשנה</w:t>
      </w:r>
      <w:r w:rsidRPr="002F1185">
        <w:rPr>
          <w:rtl/>
        </w:rPr>
        <w:t xml:space="preserve"> </w:t>
      </w:r>
      <w:r w:rsidRPr="002F1185">
        <w:rPr>
          <w:rFonts w:hint="eastAsia"/>
          <w:rtl/>
        </w:rPr>
        <w:t>ממחירם</w:t>
      </w:r>
      <w:r w:rsidRPr="002F1185">
        <w:rPr>
          <w:rtl/>
        </w:rPr>
        <w:t xml:space="preserve"> </w:t>
      </w:r>
      <w:r w:rsidRPr="002F1185">
        <w:rPr>
          <w:rFonts w:hint="eastAsia"/>
          <w:rtl/>
        </w:rPr>
        <w:t>המקורי</w:t>
      </w:r>
      <w:r w:rsidRPr="002F1185">
        <w:rPr>
          <w:rtl/>
        </w:rPr>
        <w:t xml:space="preserve"> </w:t>
      </w:r>
      <w:r w:rsidRPr="002F1185">
        <w:rPr>
          <w:rFonts w:hint="eastAsia"/>
          <w:rtl/>
        </w:rPr>
        <w:t>של</w:t>
      </w:r>
      <w:r w:rsidRPr="002F1185">
        <w:rPr>
          <w:rtl/>
        </w:rPr>
        <w:t xml:space="preserve"> </w:t>
      </w:r>
      <w:r w:rsidRPr="002F1185">
        <w:rPr>
          <w:rFonts w:hint="eastAsia"/>
          <w:rtl/>
        </w:rPr>
        <w:t>המוניטין</w:t>
      </w:r>
      <w:r w:rsidRPr="002F1185">
        <w:rPr>
          <w:rFonts w:hint="cs"/>
          <w:rtl/>
        </w:rPr>
        <w:t xml:space="preserve"> (סעיף 1 לתקנות)</w:t>
      </w:r>
      <w:r w:rsidRPr="002F1185">
        <w:rPr>
          <w:rtl/>
        </w:rPr>
        <w:t xml:space="preserve">. </w:t>
      </w:r>
    </w:p>
    <w:p w:rsidR="009519E3" w:rsidRPr="002F1185" w:rsidRDefault="009519E3" w:rsidP="009519E3">
      <w:pPr>
        <w:pStyle w:val="Ruller41"/>
      </w:pPr>
    </w:p>
    <w:p w:rsidR="009519E3" w:rsidRPr="002F1185" w:rsidRDefault="009519E3" w:rsidP="009519E3">
      <w:pPr>
        <w:pStyle w:val="Ruller4"/>
        <w:rPr>
          <w:rtl/>
        </w:rPr>
      </w:pPr>
      <w:r w:rsidRPr="002F1185">
        <w:rPr>
          <w:rFonts w:hint="cs"/>
          <w:rtl/>
        </w:rPr>
        <w:lastRenderedPageBreak/>
        <w:t>יחד עם זאת, תקנה 2(א) קובעת סייג לפחת, וזו הלשון:</w:t>
      </w:r>
    </w:p>
    <w:p w:rsidR="009519E3" w:rsidRPr="002F1185" w:rsidRDefault="009519E3" w:rsidP="009519E3">
      <w:pPr>
        <w:pStyle w:val="Ruller41"/>
        <w:rPr>
          <w:rtl/>
        </w:rPr>
      </w:pPr>
    </w:p>
    <w:p w:rsidR="009519E3" w:rsidRDefault="00DC13AA" w:rsidP="00DC13AA">
      <w:pPr>
        <w:pStyle w:val="Ruller5"/>
        <w:rPr>
          <w:rStyle w:val="default"/>
          <w:rFonts w:ascii="Century" w:hAnsi="Century" w:cs="FrankRuehl"/>
          <w:sz w:val="22"/>
          <w:szCs w:val="28"/>
          <w:rtl/>
        </w:rPr>
      </w:pPr>
      <w:r>
        <w:rPr>
          <w:rStyle w:val="big-number"/>
          <w:rFonts w:ascii="Century" w:hAnsi="Century" w:cs="FrankRuehl" w:hint="cs"/>
          <w:sz w:val="22"/>
          <w:szCs w:val="28"/>
          <w:rtl/>
        </w:rPr>
        <w:t>2</w:t>
      </w:r>
      <w:r w:rsidR="009519E3" w:rsidRPr="00DC13AA">
        <w:rPr>
          <w:rStyle w:val="big-number"/>
          <w:rFonts w:ascii="Century" w:hAnsi="Century" w:cs="FrankRuehl" w:hint="cs"/>
          <w:sz w:val="22"/>
          <w:szCs w:val="28"/>
          <w:rtl/>
        </w:rPr>
        <w:t>.</w:t>
      </w:r>
      <w:r w:rsidR="009519E3" w:rsidRPr="00DC13AA">
        <w:rPr>
          <w:rStyle w:val="big-number"/>
          <w:rFonts w:ascii="Century" w:hAnsi="Century" w:cs="FrankRuehl" w:hint="cs"/>
          <w:sz w:val="22"/>
          <w:szCs w:val="28"/>
          <w:rtl/>
        </w:rPr>
        <w:tab/>
      </w:r>
      <w:r w:rsidR="009519E3" w:rsidRPr="00DC13AA">
        <w:rPr>
          <w:rStyle w:val="default"/>
          <w:rFonts w:ascii="Century" w:hAnsi="Century" w:cs="FrankRuehl" w:hint="cs"/>
          <w:sz w:val="22"/>
          <w:szCs w:val="28"/>
          <w:rtl/>
        </w:rPr>
        <w:t>(א)</w:t>
      </w:r>
      <w:r w:rsidR="009519E3" w:rsidRPr="00DC13AA">
        <w:rPr>
          <w:rStyle w:val="default"/>
          <w:rFonts w:ascii="Century" w:hAnsi="Century" w:cs="FrankRuehl" w:hint="cs"/>
          <w:sz w:val="22"/>
          <w:szCs w:val="28"/>
          <w:rtl/>
        </w:rPr>
        <w:tab/>
        <w:t>האמור בתקנה 1 לא יחול ברכישת מוניטין מקרוב כהגדרתו בסעיף 105יא לפקודה, או מתושב חוץ, אלא אם כן הוכח להנחת דעתו של פקיד השומה שהרכישה היתה חיונית לצורך ייצור ההכנסה ונעשתה בתום לב ומטעמים עסקיים בלבד.</w:t>
      </w:r>
    </w:p>
    <w:p w:rsidR="00E067F0" w:rsidRPr="00DC13AA" w:rsidRDefault="00E067F0" w:rsidP="00DC13AA">
      <w:pPr>
        <w:pStyle w:val="Ruller5"/>
        <w:rPr>
          <w:rStyle w:val="default"/>
          <w:rFonts w:ascii="Century" w:hAnsi="Century" w:cs="FrankRuehl"/>
          <w:sz w:val="22"/>
          <w:szCs w:val="28"/>
          <w:rtl/>
        </w:rPr>
      </w:pPr>
    </w:p>
    <w:p w:rsidR="009519E3" w:rsidRPr="002F1185" w:rsidRDefault="009519E3" w:rsidP="009519E3">
      <w:pPr>
        <w:pStyle w:val="Ruller41"/>
        <w:rPr>
          <w:rtl/>
        </w:rPr>
      </w:pPr>
    </w:p>
    <w:p w:rsidR="009519E3" w:rsidRPr="002F1185" w:rsidRDefault="009519E3" w:rsidP="009519E3">
      <w:pPr>
        <w:pStyle w:val="Ruller41"/>
        <w:rPr>
          <w:rtl/>
        </w:rPr>
      </w:pPr>
      <w:r w:rsidRPr="002F1185">
        <w:rPr>
          <w:rFonts w:hint="cs"/>
          <w:rtl/>
        </w:rPr>
        <w:t>כדי לבחון את תחולתה של תקנה 2(א) לתקנות יש לקיים מבחן דו-שלבי: בשלב הראשון, יש לבחון האם מדובר ברכישת מוניטין מ"קרוב" או מתושב חוץ. בשלב השני, במידה והתשובה לשאלה הראשונה חיובית, יש לבחון האם מדובר ברכישה שהינה חיונית לצורך ייצור הכנסה אשר נעשתה בתום לב ומטעמים עסקיים בלבד.</w:t>
      </w:r>
    </w:p>
    <w:p w:rsidR="009519E3" w:rsidRPr="002F1185" w:rsidRDefault="009519E3" w:rsidP="009519E3">
      <w:pPr>
        <w:pStyle w:val="Ruller41"/>
        <w:rPr>
          <w:rtl/>
        </w:rPr>
      </w:pPr>
    </w:p>
    <w:p w:rsidR="009519E3" w:rsidRDefault="009519E3" w:rsidP="009519E3">
      <w:pPr>
        <w:pStyle w:val="Ruller4"/>
        <w:rPr>
          <w:rtl/>
        </w:rPr>
      </w:pPr>
      <w:r w:rsidRPr="002F1185">
        <w:rPr>
          <w:rFonts w:hint="cs"/>
          <w:rtl/>
        </w:rPr>
        <w:t xml:space="preserve">במקרה בו עסקינן מתעוררת השאלה האם מדובר ברכישת מוניטין מ"קרוב"? הגדרתו של "קרוב" בסעיף 105יא לפקודה נמחקה במסגרת תיקון מס' 147 לפקודה. ואולם, נקבע כי במקום זאת תחול ההגדרה </w:t>
      </w:r>
      <w:r w:rsidR="00BA0E16">
        <w:rPr>
          <w:rFonts w:hint="cs"/>
          <w:rtl/>
        </w:rPr>
        <w:t>ה</w:t>
      </w:r>
      <w:r w:rsidRPr="002F1185">
        <w:rPr>
          <w:rFonts w:hint="cs"/>
          <w:rtl/>
        </w:rPr>
        <w:t xml:space="preserve">נמצאת בחלק ה' לפקודה </w:t>
      </w:r>
      <w:r w:rsidRPr="002F1185">
        <w:rPr>
          <w:rFonts w:hint="eastAsia"/>
          <w:rtl/>
        </w:rPr>
        <w:t>הדן</w:t>
      </w:r>
      <w:r w:rsidRPr="002F1185">
        <w:rPr>
          <w:rtl/>
        </w:rPr>
        <w:t xml:space="preserve"> </w:t>
      </w:r>
      <w:r w:rsidRPr="002F1185">
        <w:rPr>
          <w:rFonts w:hint="eastAsia"/>
          <w:rtl/>
        </w:rPr>
        <w:t>ברווחי</w:t>
      </w:r>
      <w:r w:rsidRPr="002F1185">
        <w:rPr>
          <w:rtl/>
        </w:rPr>
        <w:t xml:space="preserve"> </w:t>
      </w:r>
      <w:r w:rsidRPr="002F1185">
        <w:rPr>
          <w:rFonts w:hint="eastAsia"/>
          <w:rtl/>
        </w:rPr>
        <w:t>הון</w:t>
      </w:r>
      <w:r w:rsidRPr="002F1185">
        <w:rPr>
          <w:rtl/>
        </w:rPr>
        <w:t xml:space="preserve"> </w:t>
      </w:r>
      <w:r w:rsidRPr="002F1185">
        <w:rPr>
          <w:rFonts w:hint="eastAsia"/>
          <w:rtl/>
        </w:rPr>
        <w:t>במכירה</w:t>
      </w:r>
      <w:r w:rsidRPr="002F1185">
        <w:rPr>
          <w:rtl/>
        </w:rPr>
        <w:t xml:space="preserve"> </w:t>
      </w:r>
      <w:r w:rsidRPr="002F1185">
        <w:rPr>
          <w:rFonts w:hint="eastAsia"/>
          <w:rtl/>
        </w:rPr>
        <w:t>של</w:t>
      </w:r>
      <w:r w:rsidRPr="002F1185">
        <w:rPr>
          <w:rtl/>
        </w:rPr>
        <w:t xml:space="preserve"> </w:t>
      </w:r>
      <w:r w:rsidRPr="002F1185">
        <w:rPr>
          <w:rFonts w:hint="eastAsia"/>
          <w:rtl/>
        </w:rPr>
        <w:t>כל</w:t>
      </w:r>
      <w:r w:rsidRPr="002F1185">
        <w:rPr>
          <w:rFonts w:hint="cs"/>
          <w:rtl/>
        </w:rPr>
        <w:t xml:space="preserve"> </w:t>
      </w:r>
      <w:r w:rsidRPr="002F1185">
        <w:rPr>
          <w:rFonts w:hint="eastAsia"/>
          <w:rtl/>
        </w:rPr>
        <w:t>סוגי</w:t>
      </w:r>
      <w:r w:rsidRPr="002F1185">
        <w:rPr>
          <w:rtl/>
        </w:rPr>
        <w:t xml:space="preserve"> </w:t>
      </w:r>
      <w:r w:rsidRPr="002F1185">
        <w:rPr>
          <w:rFonts w:hint="eastAsia"/>
          <w:rtl/>
        </w:rPr>
        <w:t>הנכסים</w:t>
      </w:r>
      <w:r w:rsidRPr="002F1185">
        <w:rPr>
          <w:rFonts w:hint="cs"/>
          <w:rtl/>
        </w:rPr>
        <w:t xml:space="preserve"> (הצעת חוק </w:t>
      </w:r>
      <w:r w:rsidRPr="002F1185">
        <w:rPr>
          <w:rFonts w:hint="eastAsia"/>
          <w:rtl/>
        </w:rPr>
        <w:t>לתיקון</w:t>
      </w:r>
      <w:r w:rsidRPr="002F1185">
        <w:rPr>
          <w:rtl/>
        </w:rPr>
        <w:t xml:space="preserve"> </w:t>
      </w:r>
      <w:r w:rsidRPr="002F1185">
        <w:rPr>
          <w:rFonts w:hint="eastAsia"/>
          <w:rtl/>
        </w:rPr>
        <w:t>פקודת</w:t>
      </w:r>
      <w:r w:rsidRPr="002F1185">
        <w:rPr>
          <w:rtl/>
        </w:rPr>
        <w:t xml:space="preserve"> </w:t>
      </w:r>
      <w:r w:rsidRPr="002F1185">
        <w:rPr>
          <w:rFonts w:hint="eastAsia"/>
          <w:rtl/>
        </w:rPr>
        <w:t>מס</w:t>
      </w:r>
      <w:r w:rsidRPr="002F1185">
        <w:rPr>
          <w:rtl/>
        </w:rPr>
        <w:t xml:space="preserve"> </w:t>
      </w:r>
      <w:r w:rsidRPr="002F1185">
        <w:rPr>
          <w:rFonts w:hint="eastAsia"/>
          <w:rtl/>
        </w:rPr>
        <w:t>הכנסה</w:t>
      </w:r>
      <w:r w:rsidRPr="002F1185">
        <w:rPr>
          <w:rFonts w:hint="cs"/>
          <w:rtl/>
        </w:rPr>
        <w:t xml:space="preserve"> </w:t>
      </w:r>
      <w:r w:rsidRPr="002F1185">
        <w:rPr>
          <w:rtl/>
        </w:rPr>
        <w:t>(</w:t>
      </w:r>
      <w:r w:rsidRPr="002F1185">
        <w:rPr>
          <w:rFonts w:hint="eastAsia"/>
          <w:rtl/>
        </w:rPr>
        <w:t>מס</w:t>
      </w:r>
      <w:r w:rsidRPr="002F1185">
        <w:rPr>
          <w:rFonts w:hint="cs"/>
          <w:rtl/>
        </w:rPr>
        <w:t>'</w:t>
      </w:r>
      <w:r w:rsidRPr="002F1185">
        <w:rPr>
          <w:rtl/>
        </w:rPr>
        <w:t xml:space="preserve"> 147), </w:t>
      </w:r>
      <w:r w:rsidRPr="002F1185">
        <w:rPr>
          <w:rFonts w:hint="eastAsia"/>
          <w:rtl/>
        </w:rPr>
        <w:t>התשס״ה</w:t>
      </w:r>
      <w:r w:rsidRPr="002F1185">
        <w:rPr>
          <w:rFonts w:hint="cs"/>
          <w:rtl/>
        </w:rPr>
        <w:t>-2005, ה"ח 914, 955).</w:t>
      </w:r>
    </w:p>
    <w:p w:rsidR="004F458D" w:rsidRPr="004F458D" w:rsidRDefault="004F458D" w:rsidP="004F458D">
      <w:pPr>
        <w:pStyle w:val="Ruller41"/>
        <w:rPr>
          <w:rtl/>
        </w:rPr>
      </w:pPr>
    </w:p>
    <w:p w:rsidR="009519E3" w:rsidRPr="002F1185" w:rsidRDefault="009519E3" w:rsidP="009519E3">
      <w:pPr>
        <w:pStyle w:val="Ruller41"/>
        <w:rPr>
          <w:rtl/>
        </w:rPr>
      </w:pPr>
      <w:bookmarkStart w:id="6" w:name="Seif1"/>
      <w:bookmarkEnd w:id="6"/>
      <w:r w:rsidRPr="002F1185">
        <w:rPr>
          <w:rtl/>
        </w:rPr>
        <w:tab/>
      </w:r>
      <w:r w:rsidRPr="002F1185">
        <w:rPr>
          <w:rFonts w:hint="cs"/>
          <w:rtl/>
        </w:rPr>
        <w:t>הוראת סעיף 88 לפקודה קובעת מיהו "קרוב" כך:</w:t>
      </w:r>
    </w:p>
    <w:p w:rsidR="009519E3" w:rsidRPr="002F1185" w:rsidRDefault="009519E3" w:rsidP="009519E3">
      <w:pPr>
        <w:pStyle w:val="Ruller41"/>
        <w:rPr>
          <w:rtl/>
        </w:rPr>
      </w:pPr>
    </w:p>
    <w:p w:rsidR="009519E3" w:rsidRPr="002F1185" w:rsidRDefault="009519E3" w:rsidP="009519E3">
      <w:pPr>
        <w:pStyle w:val="Ruller5"/>
        <w:rPr>
          <w:rtl/>
        </w:rPr>
      </w:pPr>
      <w:r w:rsidRPr="002F1185">
        <w:rPr>
          <w:rFonts w:hint="cs"/>
          <w:rtl/>
        </w:rPr>
        <w:tab/>
        <w:t>"קרוב" – כל אחד מאלה:</w:t>
      </w:r>
    </w:p>
    <w:p w:rsidR="009519E3" w:rsidRPr="002F1185" w:rsidRDefault="009519E3" w:rsidP="009519E3">
      <w:pPr>
        <w:pStyle w:val="Ruller5"/>
        <w:rPr>
          <w:rtl/>
        </w:rPr>
      </w:pPr>
      <w:r w:rsidRPr="002F1185">
        <w:rPr>
          <w:rFonts w:hint="cs"/>
          <w:rtl/>
        </w:rPr>
        <w:t>(1)</w:t>
      </w:r>
      <w:r w:rsidRPr="002F1185">
        <w:rPr>
          <w:rFonts w:hint="cs"/>
          <w:rtl/>
        </w:rPr>
        <w:tab/>
        <w:t>בן זוג, אח, אחות, הורה, הורה הורה, צאצא וצאצא של בן זוג, ובן זוגו של כל אחד מאלה;</w:t>
      </w:r>
    </w:p>
    <w:p w:rsidR="009519E3" w:rsidRPr="002F1185" w:rsidRDefault="009519E3" w:rsidP="009519E3">
      <w:pPr>
        <w:pStyle w:val="Ruller5"/>
        <w:rPr>
          <w:rtl/>
        </w:rPr>
      </w:pPr>
      <w:r w:rsidRPr="002F1185">
        <w:rPr>
          <w:rFonts w:hint="cs"/>
          <w:rtl/>
        </w:rPr>
        <w:t>(2)</w:t>
      </w:r>
      <w:r w:rsidRPr="002F1185">
        <w:rPr>
          <w:rFonts w:hint="cs"/>
          <w:rtl/>
        </w:rPr>
        <w:tab/>
        <w:t>צאצא של אח או של אחות, ואח או אחות של הורה;</w:t>
      </w:r>
    </w:p>
    <w:p w:rsidR="009519E3" w:rsidRPr="002F1185" w:rsidRDefault="009519E3" w:rsidP="009519E3">
      <w:pPr>
        <w:pStyle w:val="Ruller5"/>
        <w:rPr>
          <w:rtl/>
        </w:rPr>
      </w:pPr>
      <w:r w:rsidRPr="002F1185">
        <w:rPr>
          <w:rFonts w:hint="cs"/>
          <w:rtl/>
        </w:rPr>
        <w:t>(3)</w:t>
      </w:r>
      <w:r w:rsidRPr="002F1185">
        <w:rPr>
          <w:rFonts w:hint="cs"/>
          <w:rtl/>
        </w:rPr>
        <w:tab/>
        <w:t>חבר-בני-אדם שבהחזקת אדם או קרובו, אדם המחזיק בו וחבר-בני-אדם המוחזק בידי אדם המחזיק בו; לענין הגדרה זו, "החזקה" – במישרין או בעקיפין, לבד או יחד עם אחר, ב-25% לפחות באחד או יותר מסוג כלשהו של אמצעי השליטה;</w:t>
      </w:r>
    </w:p>
    <w:p w:rsidR="009519E3" w:rsidRPr="002F1185" w:rsidRDefault="009519E3" w:rsidP="009519E3">
      <w:pPr>
        <w:pStyle w:val="Ruller5"/>
        <w:rPr>
          <w:rtl/>
        </w:rPr>
      </w:pPr>
      <w:r w:rsidRPr="002F1185">
        <w:rPr>
          <w:rFonts w:hint="cs"/>
          <w:rtl/>
        </w:rPr>
        <w:t>(4)</w:t>
      </w:r>
      <w:r w:rsidRPr="002F1185">
        <w:rPr>
          <w:rFonts w:hint="cs"/>
          <w:rtl/>
        </w:rPr>
        <w:tab/>
        <w:t>נאמן כהגדרתו בסעיף 75ג, לגבי היוצר בנאמנות תושבי ישראל או בנאמנות הדירה וכן נאמן לגבי נהנה בנאמנות נהנה תושב חוץ או בנאמנות לפי צוואה;</w:t>
      </w:r>
    </w:p>
    <w:p w:rsidR="009519E3" w:rsidRPr="002F1185" w:rsidRDefault="009519E3" w:rsidP="009519E3">
      <w:pPr>
        <w:pStyle w:val="Ruller5"/>
        <w:rPr>
          <w:rtl/>
        </w:rPr>
      </w:pPr>
      <w:r w:rsidRPr="002F1185">
        <w:rPr>
          <w:rFonts w:hint="cs"/>
          <w:rtl/>
        </w:rPr>
        <w:t>ואולם לענין פטור ממס לפי סעיף 97 יראו כקרוב רק את המנויים בפסקאות (1) ו-(2);</w:t>
      </w:r>
    </w:p>
    <w:p w:rsidR="009519E3" w:rsidRPr="002F1185" w:rsidRDefault="009519E3" w:rsidP="009519E3">
      <w:pPr>
        <w:pStyle w:val="Ruller5"/>
        <w:rPr>
          <w:rtl/>
        </w:rPr>
      </w:pPr>
    </w:p>
    <w:p w:rsidR="009519E3" w:rsidRPr="002F1185" w:rsidRDefault="009519E3" w:rsidP="009519E3">
      <w:pPr>
        <w:pStyle w:val="Ruller41"/>
        <w:rPr>
          <w:rtl/>
        </w:rPr>
      </w:pPr>
    </w:p>
    <w:p w:rsidR="009519E3" w:rsidRPr="002F1185" w:rsidRDefault="009519E3" w:rsidP="009519E3">
      <w:pPr>
        <w:pStyle w:val="Ruller41"/>
        <w:rPr>
          <w:rFonts w:ascii="Century" w:hAnsi="Century"/>
          <w:rtl/>
        </w:rPr>
      </w:pPr>
      <w:r w:rsidRPr="002F1185">
        <w:rPr>
          <w:rFonts w:hint="cs"/>
          <w:rtl/>
        </w:rPr>
        <w:t xml:space="preserve">אין חולק כי בשלב הטרום חוזי, </w:t>
      </w:r>
      <w:r w:rsidR="000E0EC0">
        <w:rPr>
          <w:rFonts w:hint="cs"/>
          <w:rtl/>
        </w:rPr>
        <w:t xml:space="preserve">חברת </w:t>
      </w:r>
      <w:r w:rsidRPr="002F1185">
        <w:rPr>
          <w:rFonts w:hint="cs"/>
          <w:rtl/>
        </w:rPr>
        <w:t xml:space="preserve">פליינג קרגו ואף.סי תובלה בינלאומית היו "קרובים" לפי ההגדרה שבס"ק (1) לעיל. </w:t>
      </w:r>
      <w:r w:rsidRPr="002F1185">
        <w:rPr>
          <w:rFonts w:ascii="Century" w:hAnsi="Century" w:hint="cs"/>
          <w:rtl/>
        </w:rPr>
        <w:t xml:space="preserve">ואולם, נשאלת השאלה האם לצורך תקנה 2(א) יש לראות בהסכם המכר כעסקה אחת, ואז יש לראות בשתי החברות כחברות קרובות, או </w:t>
      </w:r>
      <w:r w:rsidRPr="002F1185">
        <w:rPr>
          <w:rFonts w:ascii="Century" w:hAnsi="Century" w:hint="cs"/>
          <w:rtl/>
        </w:rPr>
        <w:lastRenderedPageBreak/>
        <w:t>שמא יש לראות בהסכם המכר כשתי עסקאות (או כעסקה דו-שלבית), ואז ניתק הקשר בין החברות משהועברה הבעלות באף.סי תובלה בינלאומית לידי דויטשה פוסט והמוניטין נמכר בשלב מאוחר יותר (לאחר העברת הבעלות וניתוק הקשר בין החברות).</w:t>
      </w:r>
    </w:p>
    <w:p w:rsidR="009519E3" w:rsidRPr="002F1185" w:rsidRDefault="009519E3" w:rsidP="009519E3">
      <w:pPr>
        <w:pStyle w:val="Ruller41"/>
        <w:rPr>
          <w:rFonts w:ascii="Century" w:hAnsi="Century"/>
          <w:rtl/>
        </w:rPr>
      </w:pPr>
    </w:p>
    <w:p w:rsidR="009519E3" w:rsidRPr="002F1185" w:rsidRDefault="009519E3" w:rsidP="009519E3">
      <w:pPr>
        <w:pStyle w:val="Ruller41"/>
        <w:rPr>
          <w:rFonts w:ascii="Century" w:hAnsi="Century"/>
          <w:rtl/>
        </w:rPr>
      </w:pPr>
      <w:r w:rsidRPr="002F1185">
        <w:rPr>
          <w:rFonts w:ascii="Century" w:hAnsi="Century"/>
          <w:rtl/>
        </w:rPr>
        <w:tab/>
      </w:r>
      <w:r w:rsidRPr="002F1185">
        <w:rPr>
          <w:rFonts w:ascii="Century" w:hAnsi="Century" w:hint="cs"/>
          <w:rtl/>
        </w:rPr>
        <w:t>סעיף 2.2 להסכם המכר מתייחס לנקודה זו בצורה מפורשת וקובע כך:</w:t>
      </w:r>
    </w:p>
    <w:p w:rsidR="009519E3" w:rsidRPr="002F1185" w:rsidRDefault="009519E3" w:rsidP="009519E3">
      <w:pPr>
        <w:pStyle w:val="Ruller41"/>
        <w:rPr>
          <w:rFonts w:ascii="Century" w:hAnsi="Century"/>
          <w:rtl/>
        </w:rPr>
      </w:pPr>
    </w:p>
    <w:p w:rsidR="009519E3" w:rsidRPr="00BA0E16" w:rsidRDefault="009519E3" w:rsidP="009519E3">
      <w:pPr>
        <w:pStyle w:val="Ruller5"/>
        <w:bidi w:val="0"/>
        <w:rPr>
          <w:rFonts w:asciiTheme="majorBidi" w:hAnsiTheme="majorBidi" w:cstheme="majorBidi"/>
          <w:sz w:val="24"/>
          <w:szCs w:val="32"/>
        </w:rPr>
      </w:pPr>
      <w:r w:rsidRPr="00BA0E16">
        <w:rPr>
          <w:rFonts w:asciiTheme="majorBidi" w:hAnsiTheme="majorBidi" w:cstheme="majorBidi"/>
          <w:sz w:val="24"/>
          <w:szCs w:val="32"/>
          <w:u w:val="single"/>
        </w:rPr>
        <w:t>Purchase and Sale of Goodwill</w:t>
      </w:r>
      <w:r w:rsidRPr="00BA0E16">
        <w:rPr>
          <w:rFonts w:asciiTheme="majorBidi" w:hAnsiTheme="majorBidi" w:cstheme="majorBidi"/>
          <w:sz w:val="24"/>
          <w:szCs w:val="32"/>
        </w:rPr>
        <w:t>. Subject to the terms and conditions of this Agreement, in consideration of the payment of the Goodwill Component in accordance with the provisions hereof and following exercise of the Option and in reliance on the covenants, representations and warranties of Buyer contained herein, Seller at the Closing will, immediately following the purchase of the Shares, sell, convey, transfer, assign and deliver the Goodwill to the Company, free and clear of all Liens, and the Company, in reliance on the covenants, representations and warranties of the Seller contained herein, at the Closing, will purchase and acquire the Goodwill from Seller immediately following the purchase of the Shares.</w:t>
      </w:r>
    </w:p>
    <w:p w:rsidR="00E067F0" w:rsidRPr="002F1185" w:rsidRDefault="00E067F0" w:rsidP="00E067F0">
      <w:pPr>
        <w:pStyle w:val="Ruller5"/>
        <w:bidi w:val="0"/>
        <w:rPr>
          <w:rFonts w:asciiTheme="majorBidi" w:hAnsiTheme="majorBidi" w:cstheme="majorBidi"/>
          <w:sz w:val="24"/>
          <w:szCs w:val="32"/>
        </w:rPr>
      </w:pPr>
    </w:p>
    <w:p w:rsidR="009519E3" w:rsidRPr="002F1185" w:rsidRDefault="009519E3" w:rsidP="009519E3">
      <w:pPr>
        <w:pStyle w:val="Ruller5"/>
        <w:bidi w:val="0"/>
        <w:rPr>
          <w:rFonts w:asciiTheme="majorBidi" w:hAnsiTheme="majorBidi" w:cstheme="majorBidi"/>
          <w:sz w:val="24"/>
          <w:szCs w:val="32"/>
        </w:rPr>
      </w:pPr>
    </w:p>
    <w:p w:rsidR="009519E3" w:rsidRPr="002F1185" w:rsidRDefault="009519E3" w:rsidP="009519E3">
      <w:pPr>
        <w:pStyle w:val="Ruller41"/>
        <w:rPr>
          <w:rFonts w:ascii="Century" w:hAnsi="Century"/>
          <w:rtl/>
        </w:rPr>
      </w:pPr>
      <w:r w:rsidRPr="002F1185">
        <w:rPr>
          <w:rFonts w:ascii="Century" w:hAnsi="Century" w:hint="cs"/>
          <w:rtl/>
        </w:rPr>
        <w:t>על פניו, נראה כי הסכם המכר בין הצדדים יוצר קונסטרוקציה של עסקה דו-שלבית: תחילה, יימכרו המניות של אף.סי תובלה בינלאומית לידי דויטשה פוסט, ולאחר מכן יימכר המוניטין לידי אף.סי תובלה בינלאומית. ואולם, לטעמי לא ניתן לקבל את עמדת הנישומים בעניין זה. אין חולק כי ההתחייבויות להעברת המוניטין והמניות נוצרו במסגרת הסכם המכר כאשר הביצוע נעשה בו-זמנית, ולכל היותר המוניטין הועבר באופן מיידי (</w:t>
      </w:r>
      <w:r w:rsidRPr="002F1185">
        <w:rPr>
          <w:rFonts w:asciiTheme="majorBidi" w:hAnsiTheme="majorBidi" w:cstheme="majorBidi"/>
          <w:sz w:val="24"/>
          <w:szCs w:val="32"/>
        </w:rPr>
        <w:t>immediately</w:t>
      </w:r>
      <w:r w:rsidRPr="002F1185">
        <w:rPr>
          <w:rFonts w:hint="cs"/>
          <w:rtl/>
        </w:rPr>
        <w:t xml:space="preserve">) לאחר העברת המניות. </w:t>
      </w:r>
      <w:r w:rsidRPr="002F1185">
        <w:rPr>
          <w:rFonts w:ascii="Century" w:hAnsi="Century" w:hint="cs"/>
          <w:rtl/>
        </w:rPr>
        <w:t xml:space="preserve">בנסיבות אלה, אין היגיון פנימי לחלוקה הזו על ידי הצדדים. ניסיון הצדדים לשנות את מימד הזמן בתוך הסכם המכר ולהפריד את העסקה לשתי עסקאות בזמנים שונים הוא דחוק, לא כל שכן כאשר בהסכם המכר לא הוגדר מועד ספציפי, מאוחר בזמן, או פעולה נוספת שיש לעשות על מנת שיועבר המוניטין בשלב אחר או במועד אחר להעברת המניות. לפיכך, </w:t>
      </w:r>
      <w:r w:rsidRPr="002F1185">
        <w:rPr>
          <w:rFonts w:hint="cs"/>
          <w:rtl/>
        </w:rPr>
        <w:t>מדובר בהסכם אחד, במסגרתו הועברו שני נכסים (מניות ומוניטין), ועל כן יש לראות ברכישת מוניטין כרכישה מ"קרוב"</w:t>
      </w:r>
      <w:r w:rsidRPr="002F1185">
        <w:rPr>
          <w:rFonts w:ascii="Century" w:hAnsi="Century" w:hint="cs"/>
          <w:rtl/>
        </w:rPr>
        <w:t>.</w:t>
      </w:r>
    </w:p>
    <w:p w:rsidR="009519E3" w:rsidRPr="002F1185" w:rsidRDefault="009519E3" w:rsidP="009519E3">
      <w:pPr>
        <w:pStyle w:val="Ruller41"/>
        <w:rPr>
          <w:rFonts w:ascii="Century" w:hAnsi="Century"/>
          <w:rtl/>
        </w:rPr>
      </w:pPr>
    </w:p>
    <w:p w:rsidR="009519E3" w:rsidRPr="002F1185" w:rsidRDefault="009519E3" w:rsidP="009519E3">
      <w:pPr>
        <w:pStyle w:val="Ruller4"/>
      </w:pPr>
      <w:r w:rsidRPr="002F1185">
        <w:rPr>
          <w:rFonts w:hint="cs"/>
          <w:rtl/>
        </w:rPr>
        <w:t xml:space="preserve">האם חל הסייג לחריג? כדי לענות על כך יש לבחון האם מדובר ברכישה שעומדת בשלושת התנאים המצטברים הבאים: (1) הרכישה חיונית לצורך ייצור הכנסה; (2) הרכישה נעשתה בתום לב; (3) הרכישה נעשתה מטעמים עסקיים בלבד. </w:t>
      </w:r>
    </w:p>
    <w:p w:rsidR="009519E3" w:rsidRPr="002F1185" w:rsidRDefault="009519E3" w:rsidP="009519E3">
      <w:pPr>
        <w:pStyle w:val="Ruller4"/>
        <w:numPr>
          <w:ilvl w:val="0"/>
          <w:numId w:val="0"/>
        </w:numPr>
        <w:rPr>
          <w:rtl/>
        </w:rPr>
      </w:pPr>
    </w:p>
    <w:p w:rsidR="009519E3" w:rsidRPr="002F1185" w:rsidRDefault="009519E3" w:rsidP="009519E3">
      <w:pPr>
        <w:pStyle w:val="Ruller4"/>
        <w:numPr>
          <w:ilvl w:val="0"/>
          <w:numId w:val="0"/>
        </w:numPr>
        <w:rPr>
          <w:rtl/>
        </w:rPr>
      </w:pPr>
      <w:r w:rsidRPr="002F1185">
        <w:rPr>
          <w:rtl/>
        </w:rPr>
        <w:lastRenderedPageBreak/>
        <w:tab/>
      </w:r>
      <w:r w:rsidRPr="002F1185">
        <w:rPr>
          <w:rFonts w:hint="cs"/>
          <w:rtl/>
        </w:rPr>
        <w:t>בית המשפט קמא לא בחן זאת משהצדדים לא טענו לכך וטענה זו נדונה לפנינו לראשונה. ואולם, אם בוחנים את תכלית התקנות, עולה כי הנישומים עומדים במבחן זה.</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 xml:space="preserve">לניכוי פחת שתי מטרות מרכזיות: האחת, פיצוי הנישום על השקעתו הראשונית בעסק אשר הולכת ונשחקת עם השנים; השנייה, לאפשר לנישום לחדש את הציוד והנכסים המשמשים אותו לייצור הכנסתו (ראו אהרן נמדר </w:t>
      </w:r>
      <w:r w:rsidRPr="002F1185">
        <w:rPr>
          <w:rFonts w:ascii="Century" w:hAnsi="Century" w:cs="Miriam" w:hint="cs"/>
          <w:b/>
          <w:spacing w:val="0"/>
          <w:sz w:val="22"/>
          <w:szCs w:val="24"/>
          <w:rtl/>
        </w:rPr>
        <w:t>מס הכנסה [יסודות ועקרונות]</w:t>
      </w:r>
      <w:r w:rsidRPr="002F1185">
        <w:rPr>
          <w:rFonts w:hint="cs"/>
          <w:rtl/>
        </w:rPr>
        <w:t xml:space="preserve"> 383 (מהדורה רביעית, 2013)). בעוד תקנה 1 לתקנות מאפשרת לנישום לנכות פחת בגין מוניטין ששולם בעדו, תקנה 2(א) לתקנות היא הוראה אנטי תכנונית אשר נועדה לשלול את הזכאות לפחת במקרים בהם המוניטין הנטען אינו משמש או אינו יכול לשמש את הרוכש למטרות עסקיות, היינו לייצור הכנסה (ראו והשוו: סעיף 3.1 לחוזר מס הכנסה 16/2004). בענייננו, ובשים לב לכך שעמדנו על טיבו של המוניטין והיתרון הגלום בו, לא ניתן לומר כי אף.סי תובלה בינלאומית לא תעשה שימוש במוניטין הנרכש לצורך ייצור הכנסתה בתחום השילוח הבינלאומי, וזאת גם בשים לב לכך שבית המשפט קמא קבע כי יש להתיר לאף.סי תובלה בינלאומית ניכוי הוצאות מימון רכישת המוניטין. כמו כן, פקיד השומה לא הצליח לעמוד בנטל להוכיח כי הרכישה נעשתה שלא בתום לב (ולא די בציטוט אמירה של בית המשפט קמא בעניין אחר), וכן לא הועלו טעמים חלופיים לרכישה שיכולים להפריך את החזקה כי הרכישה נעשתה מטעמים עסקיים. לפיכך, לטעמי, אף. סי תובלה בינלאומית נכנסת בגדר הסייג לחריג.</w:t>
      </w:r>
    </w:p>
    <w:p w:rsidR="009519E3" w:rsidRPr="002F1185" w:rsidRDefault="009519E3" w:rsidP="009519E3">
      <w:pPr>
        <w:pStyle w:val="Ruller41"/>
        <w:rPr>
          <w:rtl/>
        </w:rPr>
      </w:pPr>
    </w:p>
    <w:p w:rsidR="009519E3" w:rsidRPr="002F1185" w:rsidRDefault="009519E3" w:rsidP="009519E3">
      <w:pPr>
        <w:pStyle w:val="Ruller41"/>
        <w:rPr>
          <w:rtl/>
        </w:rPr>
      </w:pPr>
      <w:r w:rsidRPr="002F1185">
        <w:rPr>
          <w:rtl/>
        </w:rPr>
        <w:tab/>
      </w:r>
      <w:r w:rsidRPr="002F1185">
        <w:rPr>
          <w:rFonts w:hint="cs"/>
          <w:rtl/>
        </w:rPr>
        <w:t xml:space="preserve">מעבר לכך, יצוין כי רק במקרים חריגים יש למסות במס הכנסה את המוכר בגין עסקת מוניטין מחד גיסא ולא לאפשר ניכוי פחת עבור הרוכש ששילם על המוניטין מושא העסקה מאידך גיסא, שאחרת הדבר חוטא לעקרון ההלימה בדיני המס. </w:t>
      </w:r>
    </w:p>
    <w:p w:rsidR="009519E3" w:rsidRPr="002F1185" w:rsidRDefault="009519E3" w:rsidP="009519E3">
      <w:pPr>
        <w:pStyle w:val="Ruller41"/>
        <w:rPr>
          <w:rtl/>
        </w:rPr>
      </w:pPr>
    </w:p>
    <w:p w:rsidR="009519E3" w:rsidRPr="002F1185" w:rsidRDefault="009519E3" w:rsidP="004F458D">
      <w:pPr>
        <w:pStyle w:val="Ruller4"/>
        <w:rPr>
          <w:rtl/>
        </w:rPr>
      </w:pPr>
      <w:r w:rsidRPr="002F1185">
        <w:rPr>
          <w:rFonts w:hint="cs"/>
          <w:rtl/>
        </w:rPr>
        <w:t>לפיכך, אציע לחבריי לקבל גם את ערעור אף.סי תובלה בינלאומית באופן הבא: אף. סי תובלה בינלאומית תוכל לנכות פחת בגין רכישת מוניטין קבוצת פליינ</w:t>
      </w:r>
      <w:r w:rsidR="00BC10B3">
        <w:rPr>
          <w:rFonts w:hint="cs"/>
          <w:rtl/>
        </w:rPr>
        <w:t>ג</w:t>
      </w:r>
      <w:r w:rsidRPr="002F1185">
        <w:rPr>
          <w:rFonts w:hint="cs"/>
          <w:rtl/>
        </w:rPr>
        <w:t xml:space="preserve"> קרגו, וזאת למול התמורה עבור רכיב המוניטין כפי שזו נקבעה בפסקה 6</w:t>
      </w:r>
      <w:r w:rsidR="004F458D">
        <w:rPr>
          <w:rFonts w:hint="cs"/>
          <w:rtl/>
        </w:rPr>
        <w:t>4</w:t>
      </w:r>
      <w:r w:rsidRPr="002F1185">
        <w:rPr>
          <w:rFonts w:hint="cs"/>
          <w:rtl/>
        </w:rPr>
        <w:t xml:space="preserve"> לעיל, דהיינו 12.378 מיליון ש"ח.</w:t>
      </w:r>
    </w:p>
    <w:p w:rsidR="009519E3" w:rsidRPr="002F1185" w:rsidRDefault="009519E3" w:rsidP="009519E3">
      <w:pPr>
        <w:pStyle w:val="Ruller41"/>
        <w:rPr>
          <w:rtl/>
        </w:rPr>
      </w:pPr>
    </w:p>
    <w:p w:rsidR="009519E3" w:rsidRPr="002F1185" w:rsidRDefault="009519E3" w:rsidP="009519E3">
      <w:pPr>
        <w:pStyle w:val="Ruller41"/>
        <w:rPr>
          <w:rFonts w:ascii="Century" w:hAnsi="Century" w:cs="Miriam"/>
          <w:b/>
          <w:spacing w:val="0"/>
          <w:szCs w:val="24"/>
          <w:rtl/>
        </w:rPr>
      </w:pPr>
      <w:r w:rsidRPr="002F1185">
        <w:rPr>
          <w:rFonts w:ascii="Century" w:hAnsi="Century" w:cs="Miriam" w:hint="cs"/>
          <w:b/>
          <w:spacing w:val="0"/>
          <w:szCs w:val="24"/>
          <w:rtl/>
        </w:rPr>
        <w:t>סוף דבר</w:t>
      </w:r>
    </w:p>
    <w:p w:rsidR="009519E3" w:rsidRPr="002F1185" w:rsidRDefault="009519E3" w:rsidP="009519E3">
      <w:pPr>
        <w:pStyle w:val="Ruller41"/>
        <w:rPr>
          <w:rtl/>
        </w:rPr>
      </w:pPr>
    </w:p>
    <w:p w:rsidR="009519E3" w:rsidRPr="002F1185" w:rsidRDefault="009519E3" w:rsidP="009519E3">
      <w:pPr>
        <w:pStyle w:val="Ruller4"/>
        <w:rPr>
          <w:rtl/>
        </w:rPr>
      </w:pPr>
      <w:r w:rsidRPr="002F1185">
        <w:rPr>
          <w:rFonts w:hint="cs"/>
          <w:rtl/>
        </w:rPr>
        <w:t>לו תישמע דעתי אמליץ לחבריי לקבל את שני הערעורים שהוגשו, בהתאם למפורט להלן:</w:t>
      </w:r>
    </w:p>
    <w:p w:rsidR="009519E3" w:rsidRPr="002F1185" w:rsidRDefault="009519E3" w:rsidP="009519E3">
      <w:pPr>
        <w:pStyle w:val="Ruller41"/>
        <w:rPr>
          <w:rtl/>
        </w:rPr>
      </w:pPr>
    </w:p>
    <w:p w:rsidR="009519E3" w:rsidRPr="002F1185" w:rsidRDefault="009519E3" w:rsidP="009519E3">
      <w:pPr>
        <w:pStyle w:val="Ruller41"/>
        <w:rPr>
          <w:rtl/>
        </w:rPr>
      </w:pPr>
      <w:r w:rsidRPr="002F1185">
        <w:rPr>
          <w:rFonts w:ascii="Century" w:hAnsi="Century" w:cs="Miriam"/>
          <w:b/>
          <w:spacing w:val="0"/>
          <w:szCs w:val="24"/>
          <w:rtl/>
        </w:rPr>
        <w:lastRenderedPageBreak/>
        <w:tab/>
      </w:r>
      <w:r w:rsidRPr="002F1185">
        <w:rPr>
          <w:rFonts w:ascii="Century" w:hAnsi="Century" w:cs="Miriam" w:hint="cs"/>
          <w:b/>
          <w:spacing w:val="0"/>
          <w:szCs w:val="24"/>
          <w:rtl/>
        </w:rPr>
        <w:t xml:space="preserve">ע"א 3136/17: </w:t>
      </w:r>
      <w:r w:rsidRPr="002F1185">
        <w:rPr>
          <w:rFonts w:hint="cs"/>
          <w:rtl/>
        </w:rPr>
        <w:t xml:space="preserve">ערעור פקיד השומה יתקבל בעיקרו, תוך שייקבע כי לצורך חישוב המס המוטל בגין הסכם המכר ייוחס סכום של 434.354 מיליון ש"ח למכירת מניות אף.סי תובלה בינלאומית מחברת פליינג קרגו לחברת דויטשה פוסט, וסכום של 12.378 מיליון ש"ח למכירה (מתן זכות שימוש) של מוניטין קבוצת פליינג קרגו מחברת פליינג קרגו לחברת אף.סי תובלה בינלאומית. הוצאות המימון שיוכרו לחברת אף.סי תובלה בינלאומית יופחתו בהתאם. </w:t>
      </w:r>
    </w:p>
    <w:p w:rsidR="009519E3" w:rsidRPr="002F1185" w:rsidRDefault="009519E3" w:rsidP="009519E3">
      <w:pPr>
        <w:pStyle w:val="Ruller41"/>
        <w:rPr>
          <w:rtl/>
        </w:rPr>
      </w:pPr>
    </w:p>
    <w:p w:rsidR="009519E3" w:rsidRPr="002F1185" w:rsidRDefault="009519E3" w:rsidP="009519E3">
      <w:pPr>
        <w:pStyle w:val="Ruller41"/>
        <w:rPr>
          <w:rtl/>
        </w:rPr>
      </w:pPr>
      <w:r w:rsidRPr="002F1185">
        <w:rPr>
          <w:rFonts w:ascii="Century" w:hAnsi="Century" w:cs="Miriam"/>
          <w:b/>
          <w:spacing w:val="0"/>
          <w:szCs w:val="24"/>
          <w:rtl/>
        </w:rPr>
        <w:tab/>
      </w:r>
      <w:r w:rsidRPr="002F1185">
        <w:rPr>
          <w:rFonts w:ascii="Century" w:hAnsi="Century" w:cs="Miriam" w:hint="cs"/>
          <w:b/>
          <w:spacing w:val="0"/>
          <w:szCs w:val="24"/>
          <w:rtl/>
        </w:rPr>
        <w:t>ע"א 3146/17:</w:t>
      </w:r>
      <w:r w:rsidRPr="002F1185">
        <w:rPr>
          <w:rFonts w:hint="cs"/>
          <w:rtl/>
        </w:rPr>
        <w:t xml:space="preserve"> ערעור אף.סי תובלה בינלאומית יתקבל, במובן זה שיאושר לה ניכוי פחת בהתאם ל</w:t>
      </w:r>
      <w:r w:rsidRPr="002F1185">
        <w:rPr>
          <w:rFonts w:hint="eastAsia"/>
          <w:rtl/>
        </w:rPr>
        <w:t>תקנות</w:t>
      </w:r>
      <w:r w:rsidRPr="002F1185">
        <w:rPr>
          <w:rtl/>
        </w:rPr>
        <w:t xml:space="preserve"> </w:t>
      </w:r>
      <w:r w:rsidRPr="002F1185">
        <w:rPr>
          <w:rFonts w:hint="eastAsia"/>
          <w:rtl/>
        </w:rPr>
        <w:t>מס</w:t>
      </w:r>
      <w:r w:rsidRPr="002F1185">
        <w:rPr>
          <w:rtl/>
        </w:rPr>
        <w:t xml:space="preserve"> </w:t>
      </w:r>
      <w:r w:rsidRPr="002F1185">
        <w:rPr>
          <w:rFonts w:hint="eastAsia"/>
          <w:rtl/>
        </w:rPr>
        <w:t>הכנסה</w:t>
      </w:r>
      <w:r w:rsidRPr="002F1185">
        <w:rPr>
          <w:rtl/>
        </w:rPr>
        <w:t xml:space="preserve"> (</w:t>
      </w:r>
      <w:r w:rsidRPr="002F1185">
        <w:rPr>
          <w:rFonts w:hint="eastAsia"/>
          <w:rtl/>
        </w:rPr>
        <w:t>שיעור</w:t>
      </w:r>
      <w:r w:rsidRPr="002F1185">
        <w:rPr>
          <w:rtl/>
        </w:rPr>
        <w:t xml:space="preserve"> </w:t>
      </w:r>
      <w:r w:rsidRPr="002F1185">
        <w:rPr>
          <w:rFonts w:hint="eastAsia"/>
          <w:rtl/>
        </w:rPr>
        <w:t>פחת</w:t>
      </w:r>
      <w:r w:rsidRPr="002F1185">
        <w:rPr>
          <w:rtl/>
        </w:rPr>
        <w:t xml:space="preserve"> </w:t>
      </w:r>
      <w:r w:rsidRPr="002F1185">
        <w:rPr>
          <w:rFonts w:hint="eastAsia"/>
          <w:rtl/>
        </w:rPr>
        <w:t>למוניטין</w:t>
      </w:r>
      <w:r w:rsidRPr="002F1185">
        <w:rPr>
          <w:rtl/>
        </w:rPr>
        <w:t xml:space="preserve">), </w:t>
      </w:r>
      <w:r w:rsidRPr="002F1185">
        <w:rPr>
          <w:rFonts w:hint="eastAsia"/>
          <w:rtl/>
        </w:rPr>
        <w:t>התשס</w:t>
      </w:r>
      <w:r w:rsidRPr="002F1185">
        <w:rPr>
          <w:rtl/>
        </w:rPr>
        <w:t>"</w:t>
      </w:r>
      <w:r w:rsidRPr="002F1185">
        <w:rPr>
          <w:rFonts w:hint="eastAsia"/>
          <w:rtl/>
        </w:rPr>
        <w:t>ג</w:t>
      </w:r>
      <w:r w:rsidRPr="002F1185">
        <w:rPr>
          <w:rtl/>
        </w:rPr>
        <w:t>-2003</w:t>
      </w:r>
      <w:r w:rsidRPr="002F1185">
        <w:rPr>
          <w:rFonts w:hint="cs"/>
          <w:rtl/>
        </w:rPr>
        <w:t xml:space="preserve"> בגין הסכום שיוחס לרכישת</w:t>
      </w:r>
      <w:r w:rsidR="000E0EC0">
        <w:rPr>
          <w:rFonts w:hint="cs"/>
          <w:rtl/>
        </w:rPr>
        <w:t xml:space="preserve"> </w:t>
      </w:r>
      <w:r w:rsidRPr="002F1185">
        <w:rPr>
          <w:rFonts w:hint="cs"/>
          <w:rtl/>
        </w:rPr>
        <w:t>מוניטין קבוצת פליינג קרגו, דהיינו 12.378 מיליון ש"ח.</w:t>
      </w:r>
    </w:p>
    <w:p w:rsidR="009519E3" w:rsidRPr="002F1185" w:rsidRDefault="009519E3" w:rsidP="009519E3">
      <w:pPr>
        <w:pStyle w:val="Ruller41"/>
        <w:rPr>
          <w:rtl/>
        </w:rPr>
      </w:pPr>
    </w:p>
    <w:p w:rsidR="009519E3" w:rsidRDefault="009519E3" w:rsidP="00ED2DAE">
      <w:pPr>
        <w:pStyle w:val="Ruller4"/>
        <w:rPr>
          <w:rtl/>
        </w:rPr>
      </w:pPr>
      <w:r w:rsidRPr="002F1185">
        <w:rPr>
          <w:rFonts w:hint="cs"/>
          <w:rtl/>
        </w:rPr>
        <w:t xml:space="preserve">בשים לב לכך שערעור </w:t>
      </w:r>
      <w:r w:rsidR="00ED2DAE">
        <w:rPr>
          <w:rFonts w:hint="cs"/>
          <w:rtl/>
        </w:rPr>
        <w:t>פקיד השומה</w:t>
      </w:r>
      <w:r w:rsidRPr="002F1185">
        <w:rPr>
          <w:rFonts w:hint="cs"/>
          <w:rtl/>
        </w:rPr>
        <w:t xml:space="preserve"> התקבל בעיקרו, יבוטלו חיובי ההוצאות בבית המשפט המחוזי. </w:t>
      </w:r>
      <w:r w:rsidR="000E0EC0">
        <w:rPr>
          <w:rFonts w:hint="cs"/>
          <w:rtl/>
        </w:rPr>
        <w:t xml:space="preserve">חברת </w:t>
      </w:r>
      <w:r w:rsidRPr="002F1185">
        <w:rPr>
          <w:rFonts w:hint="cs"/>
          <w:rtl/>
        </w:rPr>
        <w:t xml:space="preserve">פליינג קרגו ואף.סי תובלה בינלאומית יישאו בהוצאות פקיד השומה בע"א 3136/17 בסכום של 100,000 ש"ח כל אחת (סה"כ </w:t>
      </w:r>
      <w:r w:rsidR="001742C6">
        <w:rPr>
          <w:rFonts w:hint="cs"/>
          <w:rtl/>
        </w:rPr>
        <w:t>200,000</w:t>
      </w:r>
      <w:r w:rsidRPr="002F1185">
        <w:rPr>
          <w:rFonts w:hint="cs"/>
          <w:rtl/>
        </w:rPr>
        <w:t xml:space="preserve"> ש"ח). לא ראיתי לנכון לקבוע הוצאות בע"א 3146/17, בשים לב לכך שדרישת המערערת</w:t>
      </w:r>
      <w:r w:rsidR="001742C6">
        <w:rPr>
          <w:rFonts w:hint="cs"/>
          <w:rtl/>
        </w:rPr>
        <w:t xml:space="preserve"> (אף.סי תובלה בינלאומית)</w:t>
      </w:r>
      <w:r w:rsidRPr="002F1185">
        <w:rPr>
          <w:rFonts w:hint="cs"/>
          <w:rtl/>
        </w:rPr>
        <w:t xml:space="preserve"> הייתה להכיר בניכוי פחת בגין סכום גבוה בהרבה מזה שהותר בערעור. </w:t>
      </w:r>
    </w:p>
    <w:p w:rsidR="00B27CD6" w:rsidRPr="00B27CD6" w:rsidRDefault="00B27CD6" w:rsidP="00B27CD6">
      <w:pPr>
        <w:pStyle w:val="Ruller41"/>
        <w:rPr>
          <w:rtl/>
        </w:rPr>
      </w:pPr>
    </w:p>
    <w:p w:rsidR="00E067F0" w:rsidRDefault="00E067F0" w:rsidP="00E067F0">
      <w:pPr>
        <w:pStyle w:val="Ruller41"/>
        <w:rPr>
          <w:rtl/>
        </w:rPr>
      </w:pPr>
    </w:p>
    <w:p w:rsidR="00E067F0" w:rsidRDefault="00E067F0" w:rsidP="00E067F0">
      <w:pPr>
        <w:pStyle w:val="Ruller41"/>
        <w:rPr>
          <w:rtl/>
        </w:rPr>
      </w:pPr>
      <w:r>
        <w:rPr>
          <w:rtl/>
        </w:rPr>
        <w:tab/>
      </w:r>
      <w:r>
        <w:rPr>
          <w:rtl/>
        </w:rPr>
        <w:tab/>
      </w:r>
      <w:r>
        <w:rPr>
          <w:rtl/>
        </w:rPr>
        <w:tab/>
      </w:r>
      <w:r>
        <w:rPr>
          <w:rtl/>
        </w:rPr>
        <w:tab/>
      </w:r>
      <w:r>
        <w:rPr>
          <w:rtl/>
        </w:rPr>
        <w:tab/>
      </w:r>
      <w:r>
        <w:rPr>
          <w:rtl/>
        </w:rPr>
        <w:tab/>
      </w:r>
      <w:r>
        <w:rPr>
          <w:rtl/>
        </w:rPr>
        <w:tab/>
      </w:r>
      <w:r>
        <w:rPr>
          <w:rtl/>
        </w:rPr>
        <w:tab/>
      </w:r>
      <w:r>
        <w:rPr>
          <w:rtl/>
        </w:rPr>
        <w:tab/>
      </w:r>
      <w:r>
        <w:rPr>
          <w:rFonts w:hint="cs"/>
          <w:rtl/>
        </w:rPr>
        <w:t>ש ו פ ט</w:t>
      </w:r>
    </w:p>
    <w:p w:rsidR="00E067F0" w:rsidRDefault="00E067F0" w:rsidP="00E067F0">
      <w:pPr>
        <w:pStyle w:val="Ruller41"/>
        <w:rPr>
          <w:rtl/>
        </w:rPr>
      </w:pPr>
    </w:p>
    <w:p w:rsidR="00E067F0" w:rsidRDefault="00E067F0" w:rsidP="00E067F0">
      <w:pPr>
        <w:pStyle w:val="Ruller41"/>
        <w:rPr>
          <w:rFonts w:ascii="Century" w:hAnsi="Century" w:cs="Miriam"/>
          <w:b/>
          <w:spacing w:val="0"/>
          <w:szCs w:val="24"/>
          <w:rtl/>
        </w:rPr>
      </w:pPr>
      <w:r>
        <w:rPr>
          <w:rFonts w:ascii="Century" w:hAnsi="Century" w:cs="Miriam" w:hint="cs"/>
          <w:b/>
          <w:spacing w:val="0"/>
          <w:szCs w:val="24"/>
          <w:u w:val="single"/>
          <w:rtl/>
        </w:rPr>
        <w:t>השופט נ' סולברג</w:t>
      </w:r>
      <w:r>
        <w:rPr>
          <w:rFonts w:ascii="Century" w:hAnsi="Century" w:cs="Miriam" w:hint="cs"/>
          <w:b/>
          <w:spacing w:val="0"/>
          <w:szCs w:val="24"/>
          <w:rtl/>
        </w:rPr>
        <w:t>:</w:t>
      </w:r>
    </w:p>
    <w:p w:rsidR="00E067F0" w:rsidRDefault="00E067F0" w:rsidP="00E067F0">
      <w:pPr>
        <w:pStyle w:val="Ruller41"/>
        <w:rPr>
          <w:rFonts w:ascii="Century" w:hAnsi="Century" w:cs="Miriam"/>
          <w:b/>
          <w:spacing w:val="0"/>
          <w:szCs w:val="24"/>
          <w:rtl/>
        </w:rPr>
      </w:pPr>
    </w:p>
    <w:p w:rsidR="00E067F0" w:rsidRDefault="00E067F0" w:rsidP="00E067F0">
      <w:pPr>
        <w:pStyle w:val="Ruller41"/>
        <w:rPr>
          <w:rFonts w:ascii="Century" w:hAnsi="Century"/>
          <w:rtl/>
        </w:rPr>
      </w:pPr>
      <w:r>
        <w:rPr>
          <w:rFonts w:ascii="Century" w:hAnsi="Century" w:cs="Miriam"/>
          <w:b/>
          <w:spacing w:val="0"/>
          <w:szCs w:val="24"/>
          <w:rtl/>
        </w:rPr>
        <w:tab/>
      </w:r>
      <w:r>
        <w:rPr>
          <w:rFonts w:ascii="Century" w:hAnsi="Century" w:hint="cs"/>
          <w:rtl/>
        </w:rPr>
        <w:t>אני מסכים.</w:t>
      </w:r>
    </w:p>
    <w:p w:rsidR="00E067F0" w:rsidRDefault="00E067F0" w:rsidP="00E067F0">
      <w:pPr>
        <w:pStyle w:val="Ruller41"/>
        <w:rPr>
          <w:rFonts w:ascii="Century" w:hAnsi="Century"/>
          <w:rtl/>
        </w:rPr>
      </w:pPr>
    </w:p>
    <w:p w:rsidR="00E067F0" w:rsidRDefault="00E067F0" w:rsidP="00E067F0">
      <w:pPr>
        <w:pStyle w:val="Ruller41"/>
        <w:rPr>
          <w:rFonts w:ascii="Century" w:hAnsi="Century"/>
          <w:rtl/>
        </w:rPr>
      </w:pP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hint="cs"/>
          <w:rtl/>
        </w:rPr>
        <w:t>ש ו פ ט</w:t>
      </w:r>
    </w:p>
    <w:p w:rsidR="00E067F0" w:rsidRDefault="00E067F0" w:rsidP="00E067F0">
      <w:pPr>
        <w:pStyle w:val="Ruller41"/>
        <w:rPr>
          <w:rFonts w:ascii="Century" w:hAnsi="Century"/>
          <w:rtl/>
        </w:rPr>
      </w:pPr>
    </w:p>
    <w:p w:rsidR="00E067F0" w:rsidRDefault="00E067F0" w:rsidP="00E067F0">
      <w:pPr>
        <w:pStyle w:val="Ruller41"/>
        <w:rPr>
          <w:rFonts w:ascii="Century" w:hAnsi="Century" w:cs="Miriam"/>
          <w:b/>
          <w:spacing w:val="0"/>
          <w:szCs w:val="24"/>
          <w:rtl/>
        </w:rPr>
      </w:pPr>
      <w:r>
        <w:rPr>
          <w:rFonts w:ascii="Century" w:hAnsi="Century" w:cs="Miriam" w:hint="cs"/>
          <w:b/>
          <w:spacing w:val="0"/>
          <w:szCs w:val="24"/>
          <w:u w:val="single"/>
          <w:rtl/>
        </w:rPr>
        <w:t>השופט י' אלרון</w:t>
      </w:r>
      <w:r>
        <w:rPr>
          <w:rFonts w:ascii="Century" w:hAnsi="Century" w:cs="Miriam" w:hint="cs"/>
          <w:b/>
          <w:spacing w:val="0"/>
          <w:szCs w:val="24"/>
          <w:rtl/>
        </w:rPr>
        <w:t>:</w:t>
      </w:r>
    </w:p>
    <w:p w:rsidR="00E067F0" w:rsidRDefault="00E067F0" w:rsidP="00E067F0">
      <w:pPr>
        <w:pStyle w:val="Ruller41"/>
        <w:rPr>
          <w:rFonts w:ascii="Century" w:hAnsi="Century" w:cs="Miriam"/>
          <w:b/>
          <w:spacing w:val="0"/>
          <w:szCs w:val="24"/>
          <w:rtl/>
        </w:rPr>
      </w:pPr>
    </w:p>
    <w:p w:rsidR="00E067F0" w:rsidRDefault="00E067F0" w:rsidP="00E067F0">
      <w:pPr>
        <w:pStyle w:val="Ruller41"/>
        <w:rPr>
          <w:rFonts w:ascii="Century" w:hAnsi="Century"/>
          <w:rtl/>
        </w:rPr>
      </w:pPr>
      <w:r>
        <w:rPr>
          <w:rFonts w:ascii="Century" w:hAnsi="Century" w:cs="Miriam"/>
          <w:b/>
          <w:spacing w:val="0"/>
          <w:szCs w:val="24"/>
          <w:rtl/>
        </w:rPr>
        <w:tab/>
      </w:r>
      <w:r>
        <w:rPr>
          <w:rFonts w:ascii="Century" w:hAnsi="Century" w:hint="cs"/>
          <w:rtl/>
        </w:rPr>
        <w:t>אני מסכים.</w:t>
      </w:r>
    </w:p>
    <w:p w:rsidR="00E067F0" w:rsidRDefault="00E067F0" w:rsidP="00E067F0">
      <w:pPr>
        <w:pStyle w:val="Ruller41"/>
        <w:rPr>
          <w:rFonts w:ascii="Century" w:hAnsi="Century"/>
          <w:rtl/>
        </w:rPr>
      </w:pPr>
    </w:p>
    <w:p w:rsidR="00E067F0" w:rsidRDefault="00E067F0" w:rsidP="00E067F0">
      <w:pPr>
        <w:pStyle w:val="Ruller41"/>
        <w:rPr>
          <w:rFonts w:ascii="Century" w:hAnsi="Century"/>
          <w:rtl/>
        </w:rPr>
      </w:pP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rtl/>
        </w:rPr>
        <w:tab/>
      </w:r>
      <w:r>
        <w:rPr>
          <w:rFonts w:ascii="Century" w:hAnsi="Century" w:hint="cs"/>
          <w:rtl/>
        </w:rPr>
        <w:t>ש ו פ ט</w:t>
      </w:r>
    </w:p>
    <w:p w:rsidR="00B27CD6" w:rsidRDefault="00B27CD6" w:rsidP="00E067F0">
      <w:pPr>
        <w:pStyle w:val="Ruller41"/>
        <w:rPr>
          <w:rFonts w:ascii="Century" w:hAnsi="Century"/>
          <w:rtl/>
        </w:rPr>
      </w:pPr>
    </w:p>
    <w:p w:rsidR="00B27CD6" w:rsidRDefault="00B27CD6" w:rsidP="00B27CD6">
      <w:pPr>
        <w:pStyle w:val="Ruller41"/>
        <w:rPr>
          <w:rFonts w:ascii="Century" w:hAnsi="Century"/>
          <w:rtl/>
        </w:rPr>
      </w:pPr>
      <w:r>
        <w:rPr>
          <w:rFonts w:ascii="Century" w:hAnsi="Century"/>
          <w:rtl/>
        </w:rPr>
        <w:tab/>
      </w:r>
    </w:p>
    <w:p w:rsidR="004F458D" w:rsidRDefault="004F458D" w:rsidP="00B27CD6">
      <w:pPr>
        <w:pStyle w:val="Ruller41"/>
        <w:rPr>
          <w:rFonts w:ascii="Century" w:hAnsi="Century"/>
          <w:rtl/>
        </w:rPr>
      </w:pPr>
    </w:p>
    <w:p w:rsidR="00E067F0" w:rsidRDefault="00E067F0" w:rsidP="00B27CD6">
      <w:pPr>
        <w:pStyle w:val="Ruller41"/>
        <w:rPr>
          <w:rFonts w:ascii="Century" w:hAnsi="Century"/>
          <w:rtl/>
        </w:rPr>
      </w:pPr>
      <w:r>
        <w:rPr>
          <w:rFonts w:ascii="Century" w:hAnsi="Century"/>
          <w:rtl/>
        </w:rPr>
        <w:tab/>
      </w:r>
      <w:r>
        <w:rPr>
          <w:rFonts w:ascii="Century" w:hAnsi="Century" w:hint="cs"/>
          <w:rtl/>
        </w:rPr>
        <w:t xml:space="preserve">הוחלט כאמור בפסק דינו של השופט </w:t>
      </w:r>
      <w:r w:rsidRPr="004F458D">
        <w:rPr>
          <w:rFonts w:ascii="Century" w:hAnsi="Century" w:cs="Miriam" w:hint="cs"/>
          <w:b/>
          <w:spacing w:val="0"/>
          <w:szCs w:val="24"/>
          <w:rtl/>
        </w:rPr>
        <w:t>ע' גרוסקופף</w:t>
      </w:r>
      <w:r>
        <w:rPr>
          <w:rFonts w:ascii="Century" w:hAnsi="Century" w:hint="cs"/>
          <w:rtl/>
        </w:rPr>
        <w:t>.</w:t>
      </w:r>
    </w:p>
    <w:p w:rsidR="00B27CD6" w:rsidRDefault="00B27CD6" w:rsidP="00B27CD6">
      <w:pPr>
        <w:pStyle w:val="Ruller41"/>
        <w:rPr>
          <w:rFonts w:ascii="Century" w:hAnsi="Century"/>
          <w:rtl/>
        </w:rPr>
      </w:pPr>
    </w:p>
    <w:p w:rsidR="00B27CD6" w:rsidRDefault="00B27CD6" w:rsidP="00AE2B44">
      <w:pPr>
        <w:pStyle w:val="Ruller41"/>
        <w:rPr>
          <w:rFonts w:ascii="Century" w:hAnsi="Century"/>
          <w:rtl/>
        </w:rPr>
      </w:pPr>
      <w:r>
        <w:rPr>
          <w:rFonts w:ascii="Century" w:hAnsi="Century"/>
          <w:rtl/>
        </w:rPr>
        <w:tab/>
      </w:r>
      <w:r>
        <w:rPr>
          <w:rFonts w:ascii="Century" w:hAnsi="Century" w:hint="eastAsia"/>
          <w:rtl/>
        </w:rPr>
        <w:t>ניתן</w:t>
      </w:r>
      <w:r>
        <w:rPr>
          <w:rFonts w:ascii="Century" w:hAnsi="Century"/>
          <w:rtl/>
        </w:rPr>
        <w:t xml:space="preserve"> </w:t>
      </w:r>
      <w:r>
        <w:rPr>
          <w:rFonts w:ascii="Century" w:hAnsi="Century" w:hint="eastAsia"/>
          <w:rtl/>
        </w:rPr>
        <w:t>היום</w:t>
      </w:r>
      <w:r>
        <w:rPr>
          <w:rFonts w:ascii="Century" w:hAnsi="Century"/>
          <w:rtl/>
        </w:rPr>
        <w:t xml:space="preserve">, </w:t>
      </w:r>
      <w:r>
        <w:rPr>
          <w:rFonts w:ascii="Century" w:hAnsi="Century" w:hint="eastAsia"/>
          <w:rtl/>
        </w:rPr>
        <w:t>‏י</w:t>
      </w:r>
      <w:r>
        <w:rPr>
          <w:rFonts w:ascii="Century" w:hAnsi="Century"/>
          <w:rtl/>
        </w:rPr>
        <w:t>"</w:t>
      </w:r>
      <w:r w:rsidR="00AE2B44">
        <w:rPr>
          <w:rFonts w:ascii="Century" w:hAnsi="Century" w:hint="cs"/>
          <w:rtl/>
        </w:rPr>
        <w:t>ג</w:t>
      </w:r>
      <w:r>
        <w:rPr>
          <w:rFonts w:ascii="Century" w:hAnsi="Century"/>
          <w:rtl/>
        </w:rPr>
        <w:t xml:space="preserve"> </w:t>
      </w:r>
      <w:r>
        <w:rPr>
          <w:rFonts w:ascii="Century" w:hAnsi="Century" w:hint="eastAsia"/>
          <w:rtl/>
        </w:rPr>
        <w:t>באדר</w:t>
      </w:r>
      <w:r>
        <w:rPr>
          <w:rFonts w:ascii="Century" w:hAnsi="Century"/>
          <w:rtl/>
        </w:rPr>
        <w:t xml:space="preserve"> </w:t>
      </w:r>
      <w:r>
        <w:rPr>
          <w:rFonts w:ascii="Century" w:hAnsi="Century" w:hint="eastAsia"/>
          <w:rtl/>
        </w:rPr>
        <w:t>ב</w:t>
      </w:r>
      <w:r>
        <w:rPr>
          <w:rFonts w:ascii="Century" w:hAnsi="Century"/>
          <w:rtl/>
        </w:rPr>
        <w:t xml:space="preserve"> </w:t>
      </w:r>
      <w:r>
        <w:rPr>
          <w:rFonts w:ascii="Century" w:hAnsi="Century" w:hint="eastAsia"/>
          <w:rtl/>
        </w:rPr>
        <w:t>התשע</w:t>
      </w:r>
      <w:r>
        <w:rPr>
          <w:rFonts w:ascii="Century" w:hAnsi="Century"/>
          <w:rtl/>
        </w:rPr>
        <w:t>"</w:t>
      </w:r>
      <w:r>
        <w:rPr>
          <w:rFonts w:ascii="Century" w:hAnsi="Century" w:hint="eastAsia"/>
          <w:rtl/>
        </w:rPr>
        <w:t>ט</w:t>
      </w:r>
      <w:r>
        <w:rPr>
          <w:rFonts w:ascii="Century" w:hAnsi="Century"/>
          <w:rtl/>
        </w:rPr>
        <w:t xml:space="preserve"> (</w:t>
      </w:r>
      <w:r>
        <w:rPr>
          <w:rFonts w:ascii="Century" w:hAnsi="Century" w:hint="eastAsia"/>
          <w:rtl/>
        </w:rPr>
        <w:t>‏</w:t>
      </w:r>
      <w:r w:rsidR="00AE2B44">
        <w:rPr>
          <w:rFonts w:ascii="Century" w:hAnsi="Century" w:hint="cs"/>
          <w:rtl/>
        </w:rPr>
        <w:t>20</w:t>
      </w:r>
      <w:r>
        <w:rPr>
          <w:rFonts w:ascii="Century" w:hAnsi="Century"/>
          <w:rtl/>
        </w:rPr>
        <w:t>.3.2019).</w:t>
      </w:r>
    </w:p>
    <w:p w:rsidR="00B27CD6" w:rsidRDefault="00B27CD6" w:rsidP="00B27CD6">
      <w:pPr>
        <w:pStyle w:val="Ruller41"/>
        <w:rPr>
          <w:rFonts w:ascii="Century" w:hAnsi="Century"/>
          <w:rtl/>
        </w:rPr>
      </w:pPr>
    </w:p>
    <w:p w:rsidR="000E0EC0" w:rsidRDefault="000E0EC0" w:rsidP="000E0EC0">
      <w:pPr>
        <w:pStyle w:val="Ruller41"/>
        <w:rPr>
          <w:rtl/>
        </w:rPr>
      </w:pPr>
    </w:p>
    <w:p w:rsidR="004F458D" w:rsidRPr="000E0EC0" w:rsidRDefault="004F458D" w:rsidP="000E0EC0">
      <w:pPr>
        <w:pStyle w:val="Ruller41"/>
        <w:rPr>
          <w:rtl/>
        </w:rPr>
      </w:pPr>
    </w:p>
    <w:tbl>
      <w:tblPr>
        <w:bidiVisual/>
        <w:tblW w:w="8363" w:type="dxa"/>
        <w:tblLook w:val="01E0" w:firstRow="1" w:lastRow="1" w:firstColumn="1" w:lastColumn="1" w:noHBand="0" w:noVBand="0"/>
      </w:tblPr>
      <w:tblGrid>
        <w:gridCol w:w="2787"/>
        <w:gridCol w:w="2788"/>
        <w:gridCol w:w="2788"/>
      </w:tblGrid>
      <w:tr w:rsidR="001A0164" w:rsidTr="009519E3">
        <w:tc>
          <w:tcPr>
            <w:tcW w:w="2787" w:type="dxa"/>
            <w:shd w:val="clear" w:color="auto" w:fill="auto"/>
          </w:tcPr>
          <w:p w:rsidR="00016EF1" w:rsidRDefault="009519E3" w:rsidP="00E067F0">
            <w:pPr>
              <w:pStyle w:val="Ruller41"/>
              <w:jc w:val="center"/>
              <w:rPr>
                <w:rtl/>
              </w:rPr>
            </w:pPr>
            <w:r>
              <w:rPr>
                <w:rFonts w:hint="cs"/>
                <w:rtl/>
              </w:rPr>
              <w:t>ש ו פ ט</w:t>
            </w:r>
          </w:p>
        </w:tc>
        <w:tc>
          <w:tcPr>
            <w:tcW w:w="2788" w:type="dxa"/>
            <w:shd w:val="clear" w:color="auto" w:fill="auto"/>
          </w:tcPr>
          <w:p w:rsidR="001A0164" w:rsidRDefault="00A66E0E" w:rsidP="00BA0B08">
            <w:pPr>
              <w:pStyle w:val="Ruller41"/>
              <w:jc w:val="center"/>
              <w:rPr>
                <w:rtl/>
              </w:rPr>
            </w:pPr>
            <w:r>
              <w:rPr>
                <w:rtl/>
              </w:rPr>
              <w:t>ש ו פ ט</w:t>
            </w:r>
          </w:p>
        </w:tc>
        <w:tc>
          <w:tcPr>
            <w:tcW w:w="2788" w:type="dxa"/>
            <w:shd w:val="clear" w:color="auto" w:fill="auto"/>
          </w:tcPr>
          <w:p w:rsidR="001A0164" w:rsidRDefault="00A66E0E" w:rsidP="00BA0B08">
            <w:pPr>
              <w:pStyle w:val="Ruller41"/>
              <w:jc w:val="center"/>
              <w:rPr>
                <w:rtl/>
              </w:rPr>
            </w:pPr>
            <w:r>
              <w:rPr>
                <w:rtl/>
              </w:rPr>
              <w:t>ש ו פ ט</w:t>
            </w:r>
          </w:p>
        </w:tc>
      </w:tr>
    </w:tbl>
    <w:p w:rsidR="00044953" w:rsidRDefault="00044953" w:rsidP="00A51FAE">
      <w:pPr>
        <w:pStyle w:val="Ruller41"/>
        <w:rPr>
          <w:rtl/>
        </w:rPr>
      </w:pPr>
    </w:p>
    <w:p w:rsidR="00B27CD6" w:rsidRDefault="00B27CD6" w:rsidP="00A51FAE">
      <w:pPr>
        <w:pStyle w:val="Ruller41"/>
        <w:rPr>
          <w:rtl/>
        </w:rPr>
      </w:pPr>
    </w:p>
    <w:p w:rsidR="00B27CD6" w:rsidRDefault="00B27CD6" w:rsidP="00A51FAE">
      <w:pPr>
        <w:pStyle w:val="Ruller41"/>
        <w:rPr>
          <w:rtl/>
        </w:rPr>
      </w:pPr>
    </w:p>
    <w:p w:rsidR="00B27CD6" w:rsidRDefault="00B27CD6" w:rsidP="00A51FAE">
      <w:pPr>
        <w:pStyle w:val="Ruller41"/>
        <w:rPr>
          <w:rtl/>
        </w:rPr>
      </w:pPr>
    </w:p>
    <w:p w:rsidR="00B27CD6" w:rsidRDefault="00B27CD6" w:rsidP="00A51FAE">
      <w:pPr>
        <w:pStyle w:val="Ruller41"/>
        <w:rPr>
          <w:rtl/>
        </w:rPr>
      </w:pPr>
    </w:p>
    <w:p w:rsidR="00B27CD6" w:rsidRDefault="00B27CD6" w:rsidP="00A51FAE">
      <w:pPr>
        <w:pStyle w:val="Ruller41"/>
        <w:rPr>
          <w:rtl/>
        </w:rPr>
      </w:pPr>
    </w:p>
    <w:p w:rsidR="00B27CD6" w:rsidRDefault="00B27CD6" w:rsidP="00A51FAE">
      <w:pPr>
        <w:pStyle w:val="Ruller41"/>
        <w:rPr>
          <w:rtl/>
        </w:rPr>
      </w:pPr>
    </w:p>
    <w:p w:rsidR="00B27CD6" w:rsidRDefault="00B27CD6" w:rsidP="00A51FAE">
      <w:pPr>
        <w:pStyle w:val="Ruller41"/>
        <w:rPr>
          <w:rtl/>
        </w:rPr>
      </w:pPr>
    </w:p>
    <w:p w:rsidR="00B27CD6" w:rsidRDefault="00B27CD6" w:rsidP="00A51FAE">
      <w:pPr>
        <w:pStyle w:val="Ruller41"/>
        <w:rPr>
          <w:rtl/>
        </w:rPr>
      </w:pPr>
    </w:p>
    <w:p w:rsidR="00B27CD6" w:rsidRDefault="00B27CD6" w:rsidP="00A51FAE">
      <w:pPr>
        <w:pStyle w:val="Ruller41"/>
        <w:rPr>
          <w:rtl/>
        </w:rPr>
      </w:pPr>
    </w:p>
    <w:p w:rsidR="00B27CD6" w:rsidRDefault="00B27CD6" w:rsidP="00A51FAE">
      <w:pPr>
        <w:pStyle w:val="Ruller41"/>
        <w:rPr>
          <w:rtl/>
        </w:rPr>
      </w:pPr>
    </w:p>
    <w:p w:rsidR="00916FF8" w:rsidRDefault="00916FF8">
      <w:pPr>
        <w:rPr>
          <w:szCs w:val="16"/>
          <w:rtl/>
        </w:rPr>
      </w:pPr>
      <w:r>
        <w:rPr>
          <w:szCs w:val="16"/>
          <w:rtl/>
        </w:rPr>
        <w:t>_________________</w:t>
      </w:r>
      <w:r w:rsidR="00A12E0F">
        <w:rPr>
          <w:rFonts w:hint="cs"/>
          <w:szCs w:val="16"/>
          <w:rtl/>
        </w:rPr>
        <w:t>________</w:t>
      </w:r>
    </w:p>
    <w:p w:rsidR="00916FF8" w:rsidRDefault="00591983" w:rsidP="00B009CC">
      <w:pPr>
        <w:pStyle w:val="Ruller38"/>
        <w:rPr>
          <w:rtl/>
        </w:rPr>
      </w:pPr>
      <w:r>
        <w:rPr>
          <w:sz w:val="16"/>
        </w:rPr>
        <w:t xml:space="preserve"> </w:t>
      </w:r>
      <w:r w:rsidR="00A12E0F">
        <w:rPr>
          <w:sz w:val="16"/>
        </w:rPr>
        <w:t xml:space="preserve">  </w:t>
      </w:r>
      <w:r w:rsidR="00A66E0E">
        <w:rPr>
          <w:sz w:val="16"/>
        </w:rPr>
        <w:t xml:space="preserve">17031360_Y12.docx   </w:t>
      </w:r>
      <w:r w:rsidR="00A66E0E">
        <w:rPr>
          <w:sz w:val="16"/>
          <w:rtl/>
        </w:rPr>
        <w:t>חכ</w:t>
      </w:r>
    </w:p>
    <w:p w:rsidR="00591983" w:rsidRPr="0058440A" w:rsidRDefault="00591983" w:rsidP="0058440A">
      <w:pPr>
        <w:pStyle w:val="Ruller38"/>
        <w:rPr>
          <w:rtl/>
        </w:rPr>
      </w:pPr>
      <w:r>
        <w:rPr>
          <w:rtl/>
        </w:rPr>
        <w:t>מרכז מידע, טל'</w:t>
      </w:r>
      <w:r>
        <w:rPr>
          <w:rFonts w:hint="cs"/>
          <w:rtl/>
        </w:rPr>
        <w:t xml:space="preserve"> </w:t>
      </w:r>
      <w:r w:rsidR="00B63343">
        <w:rPr>
          <w:rFonts w:hint="cs"/>
          <w:rtl/>
        </w:rPr>
        <w:t>077</w:t>
      </w:r>
      <w:r>
        <w:rPr>
          <w:rFonts w:hint="cs"/>
          <w:rtl/>
        </w:rPr>
        <w:t>-</w:t>
      </w:r>
      <w:r w:rsidR="00B63343">
        <w:rPr>
          <w:rFonts w:hint="cs"/>
          <w:rtl/>
        </w:rPr>
        <w:t>270</w:t>
      </w:r>
      <w:r w:rsidR="00E21CA9">
        <w:rPr>
          <w:rFonts w:hint="cs"/>
          <w:rtl/>
        </w:rPr>
        <w:t>3</w:t>
      </w:r>
      <w:r w:rsidR="009B38DA">
        <w:rPr>
          <w:rFonts w:hint="cs"/>
          <w:rtl/>
        </w:rPr>
        <w:t>333</w:t>
      </w:r>
      <w:r>
        <w:rPr>
          <w:rFonts w:hint="cs"/>
          <w:rtl/>
        </w:rPr>
        <w:t xml:space="preserve"> ; אתר אינטרנט,  </w:t>
      </w:r>
      <w:hyperlink r:id="rId10" w:history="1">
        <w:r w:rsidR="0058440A" w:rsidRPr="00CB1590">
          <w:rPr>
            <w:rStyle w:val="Hyperlink"/>
            <w:sz w:val="16"/>
          </w:rPr>
          <w:t>http://supreme.court.gov.i</w:t>
        </w:r>
      </w:hyperlink>
      <w:r w:rsidR="0058440A" w:rsidRPr="00CB1590">
        <w:rPr>
          <w:sz w:val="16"/>
        </w:rPr>
        <w:t>l</w:t>
      </w:r>
    </w:p>
    <w:p w:rsidR="003F1F97" w:rsidRDefault="003F1F97" w:rsidP="00591983">
      <w:pPr>
        <w:pStyle w:val="Ruller38"/>
        <w:rPr>
          <w:rtl/>
        </w:rPr>
      </w:pPr>
    </w:p>
    <w:sectPr w:rsidR="003F1F97" w:rsidSect="00591983">
      <w:headerReference w:type="even" r:id="rId11"/>
      <w:headerReference w:type="default" r:id="rId12"/>
      <w:footerReference w:type="even" r:id="rId13"/>
      <w:footerReference w:type="default" r:id="rId14"/>
      <w:headerReference w:type="first" r:id="rId15"/>
      <w:footerReference w:type="first" r:id="rId16"/>
      <w:endnotePr>
        <w:numFmt w:val="lowerLetter"/>
      </w:endnotePr>
      <w:pgSz w:w="11906" w:h="16838" w:code="9"/>
      <w:pgMar w:top="1134" w:right="1797" w:bottom="1440" w:left="1797" w:header="567" w:footer="397" w:gutter="0"/>
      <w:cols w:space="720"/>
      <w:titlePg/>
      <w:bidi/>
      <w:rtlGutter/>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 wne:kcmPrimary="0435">
      <wne:acd wne:acdName="acd2"/>
    </wne:keymap>
  </wne:keymaps>
  <wne:toolbars>
    <wne:acdManifest>
      <wne:acdEntry wne:acdName="acd0"/>
      <wne:acdEntry wne:acdName="acd1"/>
      <wne:acdEntry wne:acdName="acd2"/>
    </wne:acdManifest>
    <wne:toolbarData r:id="rId1"/>
  </wne:toolbars>
  <wne:acds>
    <wne:acd wne:argValue="AgBSAHUAbABsAGUAcgAgADMA" wne:acdName="acd0" wne:fciIndexBasedOn="0065"/>
    <wne:acd wne:argValue="AgBSAHUAbABsAGUAcgA0AA==" wne:acdName="acd1" wne:fciIndexBasedOn="0065"/>
    <wne:acd wne:argValue="AgBSAHUAbABsAGUAcgA1A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0B3" w:rsidRDefault="00BC10B3">
      <w:r>
        <w:separator/>
      </w:r>
    </w:p>
  </w:endnote>
  <w:endnote w:type="continuationSeparator" w:id="0">
    <w:p w:rsidR="00BC10B3" w:rsidRDefault="00BC1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TUR">
    <w:charset w:val="00"/>
    <w:family w:val="swiss"/>
    <w:pitch w:val="variable"/>
    <w:sig w:usb0="E0002AFF" w:usb1="C0007843" w:usb2="00000009" w:usb3="00000000" w:csb0="000001FF" w:csb1="00000000"/>
  </w:font>
  <w:font w:name="DavidFix">
    <w:charset w:val="B1"/>
    <w:family w:val="auto"/>
    <w:pitch w:val="variable"/>
    <w:sig w:usb0="00001801" w:usb1="00000000" w:usb2="00000000" w:usb3="00000000" w:csb0="00000020" w:csb1="00000000"/>
  </w:font>
  <w:font w:name="Guttman Yad">
    <w:panose1 w:val="02010401010101010101"/>
    <w:charset w:val="B1"/>
    <w:family w:val="auto"/>
    <w:pitch w:val="variable"/>
    <w:sig w:usb0="00000801" w:usb1="4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Garamond">
    <w:panose1 w:val="020204040303010108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Miriam">
    <w:panose1 w:val="020B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B3" w:rsidRDefault="00BC10B3">
    <w:pPr>
      <w:pStyle w:val="a3"/>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rsidR="00BC10B3" w:rsidRDefault="00BC10B3">
    <w:pPr>
      <w:pStyle w:val="a3"/>
      <w:rPr>
        <w:rtl/>
      </w:rPr>
    </w:pPr>
  </w:p>
  <w:p w:rsidR="00BC10B3" w:rsidRDefault="00BC10B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B3" w:rsidRDefault="00BC10B3">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B3" w:rsidRPr="00F959DB" w:rsidRDefault="00BC10B3" w:rsidP="00914156">
    <w:pPr>
      <w:pStyle w:val="a3"/>
      <w:bidi w:val="0"/>
      <w:jc w:val="right"/>
      <w:rPr>
        <w:sz w:val="16"/>
        <w:szCs w:val="16"/>
      </w:rPr>
    </w:pPr>
    <w:bookmarkStart w:id="7" w:name="footer_line"/>
    <w:bookmarkEnd w:id="7"/>
  </w:p>
  <w:p w:rsidR="00BC10B3" w:rsidRDefault="00BC10B3">
    <w:pPr>
      <w:pStyle w:val="a3"/>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0B3" w:rsidRDefault="00BC10B3">
      <w:r>
        <w:separator/>
      </w:r>
    </w:p>
  </w:footnote>
  <w:footnote w:type="continuationSeparator" w:id="0">
    <w:p w:rsidR="00BC10B3" w:rsidRDefault="00BC10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B3" w:rsidRDefault="00BC10B3">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Pr>
        <w:rStyle w:val="a4"/>
        <w:noProof/>
        <w:rtl/>
      </w:rPr>
      <w:t>1</w:t>
    </w:r>
    <w:r>
      <w:rPr>
        <w:rStyle w:val="a4"/>
        <w:rtl/>
      </w:rPr>
      <w:fldChar w:fldCharType="end"/>
    </w:r>
  </w:p>
  <w:p w:rsidR="00BC10B3" w:rsidRDefault="00BC10B3">
    <w:pPr>
      <w:pStyle w:val="a5"/>
      <w:rPr>
        <w:rtl/>
      </w:rPr>
    </w:pPr>
  </w:p>
  <w:p w:rsidR="00BC10B3" w:rsidRDefault="00BC10B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0B3" w:rsidRDefault="00BC10B3">
    <w:pPr>
      <w:pStyle w:val="a5"/>
      <w:framePr w:wrap="around" w:vAnchor="text" w:hAnchor="margin" w:xAlign="center" w:y="1"/>
      <w:rPr>
        <w:rStyle w:val="a4"/>
        <w:rtl/>
      </w:rPr>
    </w:pPr>
    <w:r>
      <w:rPr>
        <w:rStyle w:val="a4"/>
        <w:rtl/>
      </w:rPr>
      <w:fldChar w:fldCharType="begin"/>
    </w:r>
    <w:r>
      <w:rPr>
        <w:rStyle w:val="a4"/>
      </w:rPr>
      <w:instrText xml:space="preserve">PAGE  </w:instrText>
    </w:r>
    <w:r>
      <w:rPr>
        <w:rStyle w:val="a4"/>
        <w:rtl/>
      </w:rPr>
      <w:fldChar w:fldCharType="separate"/>
    </w:r>
    <w:r w:rsidR="0085047F">
      <w:rPr>
        <w:rStyle w:val="a4"/>
        <w:noProof/>
        <w:rtl/>
      </w:rPr>
      <w:t>35</w:t>
    </w:r>
    <w:r>
      <w:rPr>
        <w:rStyle w:val="a4"/>
        <w:rtl/>
      </w:rPr>
      <w:fldChar w:fldCharType="end"/>
    </w:r>
  </w:p>
  <w:p w:rsidR="00BC10B3" w:rsidRDefault="00BC10B3">
    <w:pPr>
      <w:pStyle w:val="a5"/>
      <w:rPr>
        <w:rtl/>
      </w:rPr>
    </w:pPr>
  </w:p>
  <w:p w:rsidR="00BC10B3" w:rsidRDefault="00BC10B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8363" w:type="dxa"/>
      <w:tblLook w:val="0000" w:firstRow="0" w:lastRow="0" w:firstColumn="0" w:lastColumn="0" w:noHBand="0" w:noVBand="0"/>
    </w:tblPr>
    <w:tblGrid>
      <w:gridCol w:w="8363"/>
    </w:tblGrid>
    <w:tr w:rsidR="00BC10B3" w:rsidTr="00EC23AC">
      <w:trPr>
        <w:trHeight w:val="342"/>
      </w:trPr>
      <w:tc>
        <w:tcPr>
          <w:tcW w:w="9828" w:type="dxa"/>
        </w:tcPr>
        <w:p w:rsidR="00BC10B3" w:rsidRPr="002F7BB6" w:rsidRDefault="00BC10B3" w:rsidP="00045B4D">
          <w:pPr>
            <w:pStyle w:val="Casenameintextbody"/>
            <w:jc w:val="center"/>
            <w:rPr>
              <w:u w:val="none"/>
              <w:rtl/>
            </w:rPr>
          </w:pPr>
          <w:r w:rsidRPr="002F7BB6">
            <w:rPr>
              <w:noProof/>
              <w:sz w:val="16"/>
              <w:szCs w:val="18"/>
              <w:u w:val="none"/>
              <w:rtl/>
            </w:rPr>
            <w:drawing>
              <wp:inline distT="0" distB="0" distL="0" distR="0">
                <wp:extent cx="464820" cy="449580"/>
                <wp:effectExtent l="0" t="0" r="0" b="762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820" cy="449580"/>
                        </a:xfrm>
                        <a:prstGeom prst="rect">
                          <a:avLst/>
                        </a:prstGeom>
                        <a:noFill/>
                        <a:ln>
                          <a:noFill/>
                        </a:ln>
                      </pic:spPr>
                    </pic:pic>
                  </a:graphicData>
                </a:graphic>
              </wp:inline>
            </w:drawing>
          </w:r>
        </w:p>
      </w:tc>
    </w:tr>
  </w:tbl>
  <w:p w:rsidR="00BC10B3" w:rsidRDefault="00BC10B3" w:rsidP="00045B4D">
    <w:pPr>
      <w:pStyle w:val="a5"/>
      <w:jc w:val="cente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77A4F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B8EE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485F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83003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204653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CCE6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264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1A09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046C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B800B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A6001B"/>
    <w:multiLevelType w:val="hybridMultilevel"/>
    <w:tmpl w:val="B2C4B5E4"/>
    <w:lvl w:ilvl="0" w:tplc="89BA33AC">
      <w:start w:val="1"/>
      <w:numFmt w:val="decimal"/>
      <w:pStyle w:val="Ruller4"/>
      <w:lvlText w:val="%1."/>
      <w:lvlJc w:val="left"/>
      <w:pPr>
        <w:tabs>
          <w:tab w:val="num" w:pos="907"/>
        </w:tabs>
        <w:ind w:left="0" w:firstLine="0"/>
      </w:pPr>
      <w:rPr>
        <w:rFonts w:hint="default"/>
      </w:rPr>
    </w:lvl>
    <w:lvl w:ilvl="1" w:tplc="C8B67BFE" w:tentative="1">
      <w:start w:val="1"/>
      <w:numFmt w:val="lowerLetter"/>
      <w:lvlText w:val="%2."/>
      <w:lvlJc w:val="left"/>
      <w:pPr>
        <w:tabs>
          <w:tab w:val="num" w:pos="1440"/>
        </w:tabs>
        <w:ind w:left="1440" w:hanging="360"/>
      </w:pPr>
    </w:lvl>
    <w:lvl w:ilvl="2" w:tplc="31588606" w:tentative="1">
      <w:start w:val="1"/>
      <w:numFmt w:val="lowerRoman"/>
      <w:lvlText w:val="%3."/>
      <w:lvlJc w:val="right"/>
      <w:pPr>
        <w:tabs>
          <w:tab w:val="num" w:pos="2160"/>
        </w:tabs>
        <w:ind w:left="2160" w:hanging="180"/>
      </w:pPr>
    </w:lvl>
    <w:lvl w:ilvl="3" w:tplc="3DDECB98" w:tentative="1">
      <w:start w:val="1"/>
      <w:numFmt w:val="decimal"/>
      <w:lvlText w:val="%4."/>
      <w:lvlJc w:val="left"/>
      <w:pPr>
        <w:tabs>
          <w:tab w:val="num" w:pos="2880"/>
        </w:tabs>
        <w:ind w:left="2880" w:hanging="360"/>
      </w:pPr>
    </w:lvl>
    <w:lvl w:ilvl="4" w:tplc="FEBC1528" w:tentative="1">
      <w:start w:val="1"/>
      <w:numFmt w:val="lowerLetter"/>
      <w:lvlText w:val="%5."/>
      <w:lvlJc w:val="left"/>
      <w:pPr>
        <w:tabs>
          <w:tab w:val="num" w:pos="3600"/>
        </w:tabs>
        <w:ind w:left="3600" w:hanging="360"/>
      </w:pPr>
    </w:lvl>
    <w:lvl w:ilvl="5" w:tplc="FA74F692" w:tentative="1">
      <w:start w:val="1"/>
      <w:numFmt w:val="lowerRoman"/>
      <w:lvlText w:val="%6."/>
      <w:lvlJc w:val="right"/>
      <w:pPr>
        <w:tabs>
          <w:tab w:val="num" w:pos="4320"/>
        </w:tabs>
        <w:ind w:left="4320" w:hanging="180"/>
      </w:pPr>
    </w:lvl>
    <w:lvl w:ilvl="6" w:tplc="DBF25D3C" w:tentative="1">
      <w:start w:val="1"/>
      <w:numFmt w:val="decimal"/>
      <w:lvlText w:val="%7."/>
      <w:lvlJc w:val="left"/>
      <w:pPr>
        <w:tabs>
          <w:tab w:val="num" w:pos="5040"/>
        </w:tabs>
        <w:ind w:left="5040" w:hanging="360"/>
      </w:pPr>
    </w:lvl>
    <w:lvl w:ilvl="7" w:tplc="642C4D14" w:tentative="1">
      <w:start w:val="1"/>
      <w:numFmt w:val="lowerLetter"/>
      <w:lvlText w:val="%8."/>
      <w:lvlJc w:val="left"/>
      <w:pPr>
        <w:tabs>
          <w:tab w:val="num" w:pos="5760"/>
        </w:tabs>
        <w:ind w:left="5760" w:hanging="360"/>
      </w:pPr>
    </w:lvl>
    <w:lvl w:ilvl="8" w:tplc="651C5ACC" w:tentative="1">
      <w:start w:val="1"/>
      <w:numFmt w:val="lowerRoman"/>
      <w:lvlText w:val="%9."/>
      <w:lvlJc w:val="right"/>
      <w:pPr>
        <w:tabs>
          <w:tab w:val="num" w:pos="6480"/>
        </w:tabs>
        <w:ind w:left="6480" w:hanging="180"/>
      </w:pPr>
    </w:lvl>
  </w:abstractNum>
  <w:abstractNum w:abstractNumId="11" w15:restartNumberingAfterBreak="0">
    <w:nsid w:val="1DC018A3"/>
    <w:multiLevelType w:val="hybridMultilevel"/>
    <w:tmpl w:val="BBCC14DC"/>
    <w:lvl w:ilvl="0" w:tplc="B59CAB5E">
      <w:start w:val="1"/>
      <w:numFmt w:val="hebrew1"/>
      <w:lvlText w:val="(%1)"/>
      <w:lvlJc w:val="left"/>
      <w:pPr>
        <w:ind w:left="720" w:hanging="360"/>
      </w:pPr>
      <w:rPr>
        <w:rFonts w:hint="default"/>
      </w:rPr>
    </w:lvl>
    <w:lvl w:ilvl="1" w:tplc="B0568898" w:tentative="1">
      <w:start w:val="1"/>
      <w:numFmt w:val="lowerLetter"/>
      <w:lvlText w:val="%2."/>
      <w:lvlJc w:val="left"/>
      <w:pPr>
        <w:ind w:left="1440" w:hanging="360"/>
      </w:pPr>
    </w:lvl>
    <w:lvl w:ilvl="2" w:tplc="BD70FD9E" w:tentative="1">
      <w:start w:val="1"/>
      <w:numFmt w:val="lowerRoman"/>
      <w:lvlText w:val="%3."/>
      <w:lvlJc w:val="right"/>
      <w:pPr>
        <w:ind w:left="2160" w:hanging="180"/>
      </w:pPr>
    </w:lvl>
    <w:lvl w:ilvl="3" w:tplc="30AEF892" w:tentative="1">
      <w:start w:val="1"/>
      <w:numFmt w:val="decimal"/>
      <w:lvlText w:val="%4."/>
      <w:lvlJc w:val="left"/>
      <w:pPr>
        <w:ind w:left="2880" w:hanging="360"/>
      </w:pPr>
    </w:lvl>
    <w:lvl w:ilvl="4" w:tplc="ABF0B954" w:tentative="1">
      <w:start w:val="1"/>
      <w:numFmt w:val="lowerLetter"/>
      <w:lvlText w:val="%5."/>
      <w:lvlJc w:val="left"/>
      <w:pPr>
        <w:ind w:left="3600" w:hanging="360"/>
      </w:pPr>
    </w:lvl>
    <w:lvl w:ilvl="5" w:tplc="3A1A83E4" w:tentative="1">
      <w:start w:val="1"/>
      <w:numFmt w:val="lowerRoman"/>
      <w:lvlText w:val="%6."/>
      <w:lvlJc w:val="right"/>
      <w:pPr>
        <w:ind w:left="4320" w:hanging="180"/>
      </w:pPr>
    </w:lvl>
    <w:lvl w:ilvl="6" w:tplc="39166C8E" w:tentative="1">
      <w:start w:val="1"/>
      <w:numFmt w:val="decimal"/>
      <w:lvlText w:val="%7."/>
      <w:lvlJc w:val="left"/>
      <w:pPr>
        <w:ind w:left="5040" w:hanging="360"/>
      </w:pPr>
    </w:lvl>
    <w:lvl w:ilvl="7" w:tplc="DED42A8A" w:tentative="1">
      <w:start w:val="1"/>
      <w:numFmt w:val="lowerLetter"/>
      <w:lvlText w:val="%8."/>
      <w:lvlJc w:val="left"/>
      <w:pPr>
        <w:ind w:left="5760" w:hanging="360"/>
      </w:pPr>
    </w:lvl>
    <w:lvl w:ilvl="8" w:tplc="60E6C9F0" w:tentative="1">
      <w:start w:val="1"/>
      <w:numFmt w:val="lowerRoman"/>
      <w:lvlText w:val="%9."/>
      <w:lvlJc w:val="right"/>
      <w:pPr>
        <w:ind w:left="6480" w:hanging="180"/>
      </w:pPr>
    </w:lvl>
  </w:abstractNum>
  <w:abstractNum w:abstractNumId="12" w15:restartNumberingAfterBreak="0">
    <w:nsid w:val="4FE70B62"/>
    <w:multiLevelType w:val="hybridMultilevel"/>
    <w:tmpl w:val="ADA8711E"/>
    <w:lvl w:ilvl="0" w:tplc="E41A3A5A">
      <w:start w:val="1"/>
      <w:numFmt w:val="hebrew1"/>
      <w:pStyle w:val="Ruller40"/>
      <w:lvlText w:val="%1."/>
      <w:lvlJc w:val="left"/>
      <w:pPr>
        <w:tabs>
          <w:tab w:val="num" w:pos="907"/>
        </w:tabs>
        <w:ind w:left="0" w:firstLine="0"/>
      </w:pPr>
      <w:rPr>
        <w:rFonts w:hint="default"/>
      </w:rPr>
    </w:lvl>
    <w:lvl w:ilvl="1" w:tplc="F67220E2" w:tentative="1">
      <w:start w:val="1"/>
      <w:numFmt w:val="lowerLetter"/>
      <w:lvlText w:val="%2."/>
      <w:lvlJc w:val="left"/>
      <w:pPr>
        <w:tabs>
          <w:tab w:val="num" w:pos="1440"/>
        </w:tabs>
        <w:ind w:left="1440" w:hanging="360"/>
      </w:pPr>
    </w:lvl>
    <w:lvl w:ilvl="2" w:tplc="C5A4C34A" w:tentative="1">
      <w:start w:val="1"/>
      <w:numFmt w:val="lowerRoman"/>
      <w:lvlText w:val="%3."/>
      <w:lvlJc w:val="right"/>
      <w:pPr>
        <w:tabs>
          <w:tab w:val="num" w:pos="2160"/>
        </w:tabs>
        <w:ind w:left="2160" w:hanging="180"/>
      </w:pPr>
    </w:lvl>
    <w:lvl w:ilvl="3" w:tplc="8AA0B9E8" w:tentative="1">
      <w:start w:val="1"/>
      <w:numFmt w:val="decimal"/>
      <w:lvlText w:val="%4."/>
      <w:lvlJc w:val="left"/>
      <w:pPr>
        <w:tabs>
          <w:tab w:val="num" w:pos="2880"/>
        </w:tabs>
        <w:ind w:left="2880" w:hanging="360"/>
      </w:pPr>
    </w:lvl>
    <w:lvl w:ilvl="4" w:tplc="9B163B0C" w:tentative="1">
      <w:start w:val="1"/>
      <w:numFmt w:val="lowerLetter"/>
      <w:lvlText w:val="%5."/>
      <w:lvlJc w:val="left"/>
      <w:pPr>
        <w:tabs>
          <w:tab w:val="num" w:pos="3600"/>
        </w:tabs>
        <w:ind w:left="3600" w:hanging="360"/>
      </w:pPr>
    </w:lvl>
    <w:lvl w:ilvl="5" w:tplc="A3EE7018" w:tentative="1">
      <w:start w:val="1"/>
      <w:numFmt w:val="lowerRoman"/>
      <w:lvlText w:val="%6."/>
      <w:lvlJc w:val="right"/>
      <w:pPr>
        <w:tabs>
          <w:tab w:val="num" w:pos="4320"/>
        </w:tabs>
        <w:ind w:left="4320" w:hanging="180"/>
      </w:pPr>
    </w:lvl>
    <w:lvl w:ilvl="6" w:tplc="A0B015B4" w:tentative="1">
      <w:start w:val="1"/>
      <w:numFmt w:val="decimal"/>
      <w:lvlText w:val="%7."/>
      <w:lvlJc w:val="left"/>
      <w:pPr>
        <w:tabs>
          <w:tab w:val="num" w:pos="5040"/>
        </w:tabs>
        <w:ind w:left="5040" w:hanging="360"/>
      </w:pPr>
    </w:lvl>
    <w:lvl w:ilvl="7" w:tplc="0BA64302" w:tentative="1">
      <w:start w:val="1"/>
      <w:numFmt w:val="lowerLetter"/>
      <w:lvlText w:val="%8."/>
      <w:lvlJc w:val="left"/>
      <w:pPr>
        <w:tabs>
          <w:tab w:val="num" w:pos="5760"/>
        </w:tabs>
        <w:ind w:left="5760" w:hanging="360"/>
      </w:pPr>
    </w:lvl>
    <w:lvl w:ilvl="8" w:tplc="07E42A9A" w:tentative="1">
      <w:start w:val="1"/>
      <w:numFmt w:val="lowerRoman"/>
      <w:lvlText w:val="%9."/>
      <w:lvlJc w:val="right"/>
      <w:pPr>
        <w:tabs>
          <w:tab w:val="num" w:pos="6480"/>
        </w:tabs>
        <w:ind w:left="6480" w:hanging="180"/>
      </w:pPr>
    </w:lvl>
  </w:abstractNum>
  <w:abstractNum w:abstractNumId="13" w15:restartNumberingAfterBreak="0">
    <w:nsid w:val="59D501FE"/>
    <w:multiLevelType w:val="hybridMultilevel"/>
    <w:tmpl w:val="9D9E4B22"/>
    <w:lvl w:ilvl="0" w:tplc="9B489752">
      <w:start w:val="1"/>
      <w:numFmt w:val="hebrew1"/>
      <w:lvlText w:val="(%1)"/>
      <w:lvlJc w:val="left"/>
      <w:pPr>
        <w:ind w:left="765" w:hanging="405"/>
      </w:pPr>
      <w:rPr>
        <w:rFonts w:hint="default"/>
      </w:rPr>
    </w:lvl>
    <w:lvl w:ilvl="1" w:tplc="8EA015DC" w:tentative="1">
      <w:start w:val="1"/>
      <w:numFmt w:val="lowerLetter"/>
      <w:lvlText w:val="%2."/>
      <w:lvlJc w:val="left"/>
      <w:pPr>
        <w:ind w:left="1440" w:hanging="360"/>
      </w:pPr>
    </w:lvl>
    <w:lvl w:ilvl="2" w:tplc="EE20CB90" w:tentative="1">
      <w:start w:val="1"/>
      <w:numFmt w:val="lowerRoman"/>
      <w:lvlText w:val="%3."/>
      <w:lvlJc w:val="right"/>
      <w:pPr>
        <w:ind w:left="2160" w:hanging="180"/>
      </w:pPr>
    </w:lvl>
    <w:lvl w:ilvl="3" w:tplc="F5EC092C" w:tentative="1">
      <w:start w:val="1"/>
      <w:numFmt w:val="decimal"/>
      <w:lvlText w:val="%4."/>
      <w:lvlJc w:val="left"/>
      <w:pPr>
        <w:ind w:left="2880" w:hanging="360"/>
      </w:pPr>
    </w:lvl>
    <w:lvl w:ilvl="4" w:tplc="1E5ACDA0" w:tentative="1">
      <w:start w:val="1"/>
      <w:numFmt w:val="lowerLetter"/>
      <w:lvlText w:val="%5."/>
      <w:lvlJc w:val="left"/>
      <w:pPr>
        <w:ind w:left="3600" w:hanging="360"/>
      </w:pPr>
    </w:lvl>
    <w:lvl w:ilvl="5" w:tplc="1F4E4838" w:tentative="1">
      <w:start w:val="1"/>
      <w:numFmt w:val="lowerRoman"/>
      <w:lvlText w:val="%6."/>
      <w:lvlJc w:val="right"/>
      <w:pPr>
        <w:ind w:left="4320" w:hanging="180"/>
      </w:pPr>
    </w:lvl>
    <w:lvl w:ilvl="6" w:tplc="0D68C862" w:tentative="1">
      <w:start w:val="1"/>
      <w:numFmt w:val="decimal"/>
      <w:lvlText w:val="%7."/>
      <w:lvlJc w:val="left"/>
      <w:pPr>
        <w:ind w:left="5040" w:hanging="360"/>
      </w:pPr>
    </w:lvl>
    <w:lvl w:ilvl="7" w:tplc="0DC4620E" w:tentative="1">
      <w:start w:val="1"/>
      <w:numFmt w:val="lowerLetter"/>
      <w:lvlText w:val="%8."/>
      <w:lvlJc w:val="left"/>
      <w:pPr>
        <w:ind w:left="5760" w:hanging="360"/>
      </w:pPr>
    </w:lvl>
    <w:lvl w:ilvl="8" w:tplc="2E7CB028" w:tentative="1">
      <w:start w:val="1"/>
      <w:numFmt w:val="lowerRoman"/>
      <w:lvlText w:val="%9."/>
      <w:lvlJc w:val="right"/>
      <w:pPr>
        <w:ind w:left="6480" w:hanging="180"/>
      </w:pPr>
    </w:lvl>
  </w:abstractNum>
  <w:abstractNum w:abstractNumId="14" w15:restartNumberingAfterBreak="0">
    <w:nsid w:val="69175395"/>
    <w:multiLevelType w:val="hybridMultilevel"/>
    <w:tmpl w:val="E264A92E"/>
    <w:lvl w:ilvl="0" w:tplc="78303BB6">
      <w:start w:val="178"/>
      <w:numFmt w:val="bullet"/>
      <w:lvlText w:val="-"/>
      <w:lvlJc w:val="left"/>
      <w:pPr>
        <w:ind w:left="720" w:hanging="360"/>
      </w:pPr>
      <w:rPr>
        <w:rFonts w:ascii="FrankRuehl" w:eastAsia="Times New Roman" w:hAnsi="FrankRuehl" w:cs="FrankRuehl" w:hint="default"/>
      </w:rPr>
    </w:lvl>
    <w:lvl w:ilvl="1" w:tplc="41D88B92" w:tentative="1">
      <w:start w:val="1"/>
      <w:numFmt w:val="bullet"/>
      <w:lvlText w:val="o"/>
      <w:lvlJc w:val="left"/>
      <w:pPr>
        <w:ind w:left="1440" w:hanging="360"/>
      </w:pPr>
      <w:rPr>
        <w:rFonts w:ascii="Courier New" w:hAnsi="Courier New" w:cs="Courier New" w:hint="default"/>
      </w:rPr>
    </w:lvl>
    <w:lvl w:ilvl="2" w:tplc="E304A9B2" w:tentative="1">
      <w:start w:val="1"/>
      <w:numFmt w:val="bullet"/>
      <w:lvlText w:val=""/>
      <w:lvlJc w:val="left"/>
      <w:pPr>
        <w:ind w:left="2160" w:hanging="360"/>
      </w:pPr>
      <w:rPr>
        <w:rFonts w:ascii="Wingdings" w:hAnsi="Wingdings" w:hint="default"/>
      </w:rPr>
    </w:lvl>
    <w:lvl w:ilvl="3" w:tplc="C1A215F4" w:tentative="1">
      <w:start w:val="1"/>
      <w:numFmt w:val="bullet"/>
      <w:lvlText w:val=""/>
      <w:lvlJc w:val="left"/>
      <w:pPr>
        <w:ind w:left="2880" w:hanging="360"/>
      </w:pPr>
      <w:rPr>
        <w:rFonts w:ascii="Symbol" w:hAnsi="Symbol" w:hint="default"/>
      </w:rPr>
    </w:lvl>
    <w:lvl w:ilvl="4" w:tplc="8FD2E1B8" w:tentative="1">
      <w:start w:val="1"/>
      <w:numFmt w:val="bullet"/>
      <w:lvlText w:val="o"/>
      <w:lvlJc w:val="left"/>
      <w:pPr>
        <w:ind w:left="3600" w:hanging="360"/>
      </w:pPr>
      <w:rPr>
        <w:rFonts w:ascii="Courier New" w:hAnsi="Courier New" w:cs="Courier New" w:hint="default"/>
      </w:rPr>
    </w:lvl>
    <w:lvl w:ilvl="5" w:tplc="D73CDA08" w:tentative="1">
      <w:start w:val="1"/>
      <w:numFmt w:val="bullet"/>
      <w:lvlText w:val=""/>
      <w:lvlJc w:val="left"/>
      <w:pPr>
        <w:ind w:left="4320" w:hanging="360"/>
      </w:pPr>
      <w:rPr>
        <w:rFonts w:ascii="Wingdings" w:hAnsi="Wingdings" w:hint="default"/>
      </w:rPr>
    </w:lvl>
    <w:lvl w:ilvl="6" w:tplc="0E3C5EA6" w:tentative="1">
      <w:start w:val="1"/>
      <w:numFmt w:val="bullet"/>
      <w:lvlText w:val=""/>
      <w:lvlJc w:val="left"/>
      <w:pPr>
        <w:ind w:left="5040" w:hanging="360"/>
      </w:pPr>
      <w:rPr>
        <w:rFonts w:ascii="Symbol" w:hAnsi="Symbol" w:hint="default"/>
      </w:rPr>
    </w:lvl>
    <w:lvl w:ilvl="7" w:tplc="5E44E1C4" w:tentative="1">
      <w:start w:val="1"/>
      <w:numFmt w:val="bullet"/>
      <w:lvlText w:val="o"/>
      <w:lvlJc w:val="left"/>
      <w:pPr>
        <w:ind w:left="5760" w:hanging="360"/>
      </w:pPr>
      <w:rPr>
        <w:rFonts w:ascii="Courier New" w:hAnsi="Courier New" w:cs="Courier New" w:hint="default"/>
      </w:rPr>
    </w:lvl>
    <w:lvl w:ilvl="8" w:tplc="BADAD7F0" w:tentative="1">
      <w:start w:val="1"/>
      <w:numFmt w:val="bullet"/>
      <w:lvlText w:val=""/>
      <w:lvlJc w:val="left"/>
      <w:pPr>
        <w:ind w:left="6480" w:hanging="360"/>
      </w:pPr>
      <w:rPr>
        <w:rFonts w:ascii="Wingdings" w:hAnsi="Wingdings" w:hint="default"/>
      </w:rPr>
    </w:lvl>
  </w:abstractNum>
  <w:abstractNum w:abstractNumId="15" w15:restartNumberingAfterBreak="0">
    <w:nsid w:val="7EEB49AA"/>
    <w:multiLevelType w:val="hybridMultilevel"/>
    <w:tmpl w:val="0C18560C"/>
    <w:lvl w:ilvl="0" w:tplc="C2FAA842">
      <w:start w:val="61"/>
      <w:numFmt w:val="bullet"/>
      <w:lvlText w:val=""/>
      <w:lvlJc w:val="left"/>
      <w:pPr>
        <w:ind w:left="720" w:hanging="360"/>
      </w:pPr>
      <w:rPr>
        <w:rFonts w:ascii="Symbol" w:eastAsia="Times New Roman" w:hAnsi="Symbol" w:cs="FrankRuehl" w:hint="default"/>
      </w:rPr>
    </w:lvl>
    <w:lvl w:ilvl="1" w:tplc="7A767234" w:tentative="1">
      <w:start w:val="1"/>
      <w:numFmt w:val="bullet"/>
      <w:lvlText w:val="o"/>
      <w:lvlJc w:val="left"/>
      <w:pPr>
        <w:ind w:left="1440" w:hanging="360"/>
      </w:pPr>
      <w:rPr>
        <w:rFonts w:ascii="Courier New" w:hAnsi="Courier New" w:cs="Courier New" w:hint="default"/>
      </w:rPr>
    </w:lvl>
    <w:lvl w:ilvl="2" w:tplc="A23ED72A" w:tentative="1">
      <w:start w:val="1"/>
      <w:numFmt w:val="bullet"/>
      <w:lvlText w:val=""/>
      <w:lvlJc w:val="left"/>
      <w:pPr>
        <w:ind w:left="2160" w:hanging="360"/>
      </w:pPr>
      <w:rPr>
        <w:rFonts w:ascii="Wingdings" w:hAnsi="Wingdings" w:hint="default"/>
      </w:rPr>
    </w:lvl>
    <w:lvl w:ilvl="3" w:tplc="E5080464" w:tentative="1">
      <w:start w:val="1"/>
      <w:numFmt w:val="bullet"/>
      <w:lvlText w:val=""/>
      <w:lvlJc w:val="left"/>
      <w:pPr>
        <w:ind w:left="2880" w:hanging="360"/>
      </w:pPr>
      <w:rPr>
        <w:rFonts w:ascii="Symbol" w:hAnsi="Symbol" w:hint="default"/>
      </w:rPr>
    </w:lvl>
    <w:lvl w:ilvl="4" w:tplc="B0ECF6D0" w:tentative="1">
      <w:start w:val="1"/>
      <w:numFmt w:val="bullet"/>
      <w:lvlText w:val="o"/>
      <w:lvlJc w:val="left"/>
      <w:pPr>
        <w:ind w:left="3600" w:hanging="360"/>
      </w:pPr>
      <w:rPr>
        <w:rFonts w:ascii="Courier New" w:hAnsi="Courier New" w:cs="Courier New" w:hint="default"/>
      </w:rPr>
    </w:lvl>
    <w:lvl w:ilvl="5" w:tplc="33DCEDD8" w:tentative="1">
      <w:start w:val="1"/>
      <w:numFmt w:val="bullet"/>
      <w:lvlText w:val=""/>
      <w:lvlJc w:val="left"/>
      <w:pPr>
        <w:ind w:left="4320" w:hanging="360"/>
      </w:pPr>
      <w:rPr>
        <w:rFonts w:ascii="Wingdings" w:hAnsi="Wingdings" w:hint="default"/>
      </w:rPr>
    </w:lvl>
    <w:lvl w:ilvl="6" w:tplc="1F348878" w:tentative="1">
      <w:start w:val="1"/>
      <w:numFmt w:val="bullet"/>
      <w:lvlText w:val=""/>
      <w:lvlJc w:val="left"/>
      <w:pPr>
        <w:ind w:left="5040" w:hanging="360"/>
      </w:pPr>
      <w:rPr>
        <w:rFonts w:ascii="Symbol" w:hAnsi="Symbol" w:hint="default"/>
      </w:rPr>
    </w:lvl>
    <w:lvl w:ilvl="7" w:tplc="EDC68AAC" w:tentative="1">
      <w:start w:val="1"/>
      <w:numFmt w:val="bullet"/>
      <w:lvlText w:val="o"/>
      <w:lvlJc w:val="left"/>
      <w:pPr>
        <w:ind w:left="5760" w:hanging="360"/>
      </w:pPr>
      <w:rPr>
        <w:rFonts w:ascii="Courier New" w:hAnsi="Courier New" w:cs="Courier New" w:hint="default"/>
      </w:rPr>
    </w:lvl>
    <w:lvl w:ilvl="8" w:tplc="85C20464"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 w:numId="14">
    <w:abstractNumId w:val="13"/>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20"/>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lowerLette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227"/>
    <w:rsid w:val="00016EF1"/>
    <w:rsid w:val="00032036"/>
    <w:rsid w:val="000333B9"/>
    <w:rsid w:val="00036227"/>
    <w:rsid w:val="00044953"/>
    <w:rsid w:val="00045B4D"/>
    <w:rsid w:val="000725F5"/>
    <w:rsid w:val="00072AD2"/>
    <w:rsid w:val="000B1478"/>
    <w:rsid w:val="000C4690"/>
    <w:rsid w:val="000C4EA0"/>
    <w:rsid w:val="000D25C4"/>
    <w:rsid w:val="000E0EC0"/>
    <w:rsid w:val="000E4599"/>
    <w:rsid w:val="000F627B"/>
    <w:rsid w:val="00134A67"/>
    <w:rsid w:val="001423B9"/>
    <w:rsid w:val="001742C6"/>
    <w:rsid w:val="001A0164"/>
    <w:rsid w:val="00200D6B"/>
    <w:rsid w:val="00233FE3"/>
    <w:rsid w:val="002620CC"/>
    <w:rsid w:val="00265F6E"/>
    <w:rsid w:val="002876BF"/>
    <w:rsid w:val="002A4A7A"/>
    <w:rsid w:val="002A4BF3"/>
    <w:rsid w:val="002E0FEF"/>
    <w:rsid w:val="002F7BB6"/>
    <w:rsid w:val="003448B2"/>
    <w:rsid w:val="00345CE6"/>
    <w:rsid w:val="00356E57"/>
    <w:rsid w:val="00356FD9"/>
    <w:rsid w:val="00361DB2"/>
    <w:rsid w:val="0037622E"/>
    <w:rsid w:val="00377102"/>
    <w:rsid w:val="0039709B"/>
    <w:rsid w:val="003D549A"/>
    <w:rsid w:val="003D72DA"/>
    <w:rsid w:val="003F1F97"/>
    <w:rsid w:val="0041048F"/>
    <w:rsid w:val="00416CD9"/>
    <w:rsid w:val="00437D59"/>
    <w:rsid w:val="004610A4"/>
    <w:rsid w:val="00461495"/>
    <w:rsid w:val="004A60D8"/>
    <w:rsid w:val="004B29FF"/>
    <w:rsid w:val="004C1242"/>
    <w:rsid w:val="004C7868"/>
    <w:rsid w:val="004F458D"/>
    <w:rsid w:val="00500CE6"/>
    <w:rsid w:val="00503A3E"/>
    <w:rsid w:val="00527F02"/>
    <w:rsid w:val="00541226"/>
    <w:rsid w:val="0058440A"/>
    <w:rsid w:val="00591983"/>
    <w:rsid w:val="005E1D42"/>
    <w:rsid w:val="00624A42"/>
    <w:rsid w:val="00652C3C"/>
    <w:rsid w:val="0065522F"/>
    <w:rsid w:val="006A30F7"/>
    <w:rsid w:val="006C3CFE"/>
    <w:rsid w:val="006C42AD"/>
    <w:rsid w:val="006E0084"/>
    <w:rsid w:val="006E59A8"/>
    <w:rsid w:val="006F1984"/>
    <w:rsid w:val="0070536E"/>
    <w:rsid w:val="00741CC0"/>
    <w:rsid w:val="007B512F"/>
    <w:rsid w:val="007C229E"/>
    <w:rsid w:val="007F7512"/>
    <w:rsid w:val="00810894"/>
    <w:rsid w:val="008143AB"/>
    <w:rsid w:val="00836667"/>
    <w:rsid w:val="0085047F"/>
    <w:rsid w:val="00854730"/>
    <w:rsid w:val="008C2F11"/>
    <w:rsid w:val="008D78B9"/>
    <w:rsid w:val="008E096D"/>
    <w:rsid w:val="008E3F85"/>
    <w:rsid w:val="009051E8"/>
    <w:rsid w:val="00914156"/>
    <w:rsid w:val="0091502E"/>
    <w:rsid w:val="00916FF8"/>
    <w:rsid w:val="00922093"/>
    <w:rsid w:val="00930C85"/>
    <w:rsid w:val="009519E3"/>
    <w:rsid w:val="009B38DA"/>
    <w:rsid w:val="009F2F53"/>
    <w:rsid w:val="009F4187"/>
    <w:rsid w:val="00A03B3A"/>
    <w:rsid w:val="00A12E0F"/>
    <w:rsid w:val="00A35074"/>
    <w:rsid w:val="00A51FAE"/>
    <w:rsid w:val="00A66E0E"/>
    <w:rsid w:val="00AB69F7"/>
    <w:rsid w:val="00AD097B"/>
    <w:rsid w:val="00AD64B9"/>
    <w:rsid w:val="00AE022B"/>
    <w:rsid w:val="00AE2B44"/>
    <w:rsid w:val="00AE5A4C"/>
    <w:rsid w:val="00B00144"/>
    <w:rsid w:val="00B009CC"/>
    <w:rsid w:val="00B0782A"/>
    <w:rsid w:val="00B21A4B"/>
    <w:rsid w:val="00B27CD6"/>
    <w:rsid w:val="00B4077D"/>
    <w:rsid w:val="00B53F59"/>
    <w:rsid w:val="00B62B8C"/>
    <w:rsid w:val="00B63343"/>
    <w:rsid w:val="00B87FF7"/>
    <w:rsid w:val="00BA0B08"/>
    <w:rsid w:val="00BA0E16"/>
    <w:rsid w:val="00BC0E82"/>
    <w:rsid w:val="00BC10B3"/>
    <w:rsid w:val="00BD40F9"/>
    <w:rsid w:val="00BF2F42"/>
    <w:rsid w:val="00C41C86"/>
    <w:rsid w:val="00C63A6C"/>
    <w:rsid w:val="00C653B8"/>
    <w:rsid w:val="00C955D4"/>
    <w:rsid w:val="00CA13AF"/>
    <w:rsid w:val="00CA1444"/>
    <w:rsid w:val="00CA32C4"/>
    <w:rsid w:val="00CB1590"/>
    <w:rsid w:val="00CB7600"/>
    <w:rsid w:val="00CC3639"/>
    <w:rsid w:val="00CC6089"/>
    <w:rsid w:val="00CD4188"/>
    <w:rsid w:val="00D00B1D"/>
    <w:rsid w:val="00D25F16"/>
    <w:rsid w:val="00DC13AA"/>
    <w:rsid w:val="00E067F0"/>
    <w:rsid w:val="00E21CA9"/>
    <w:rsid w:val="00E31063"/>
    <w:rsid w:val="00E36FE9"/>
    <w:rsid w:val="00E73E98"/>
    <w:rsid w:val="00E90D72"/>
    <w:rsid w:val="00E97A13"/>
    <w:rsid w:val="00EA0BE1"/>
    <w:rsid w:val="00EC23AC"/>
    <w:rsid w:val="00EC2992"/>
    <w:rsid w:val="00ED2DAE"/>
    <w:rsid w:val="00ED46A4"/>
    <w:rsid w:val="00ED6FD9"/>
    <w:rsid w:val="00EE3810"/>
    <w:rsid w:val="00F0378E"/>
    <w:rsid w:val="00F276FB"/>
    <w:rsid w:val="00F45363"/>
    <w:rsid w:val="00F63C3B"/>
    <w:rsid w:val="00F84333"/>
    <w:rsid w:val="00F85A42"/>
    <w:rsid w:val="00F959D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04993-2111-4ABF-BF69-7049C436E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bidi/>
      <w:adjustRightInd w:val="0"/>
      <w:textAlignment w:val="baseline"/>
    </w:pPr>
    <w:rPr>
      <w:rFonts w:cs="David"/>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uller3">
    <w:name w:val="Ruller 3"/>
    <w:basedOn w:val="a"/>
    <w:rsid w:val="00A51FAE"/>
    <w:pPr>
      <w:tabs>
        <w:tab w:val="left" w:pos="3210"/>
        <w:tab w:val="left" w:pos="6753"/>
      </w:tabs>
      <w:spacing w:line="360" w:lineRule="auto"/>
    </w:pPr>
    <w:rPr>
      <w:rFonts w:cs="FrankRuehl"/>
      <w:spacing w:val="10"/>
      <w:sz w:val="22"/>
      <w:szCs w:val="28"/>
    </w:rPr>
  </w:style>
  <w:style w:type="paragraph" w:customStyle="1" w:styleId="Pskdinhead">
    <w:name w:val="Pskdin head"/>
    <w:basedOn w:val="a"/>
    <w:pPr>
      <w:spacing w:line="360" w:lineRule="auto"/>
    </w:pPr>
    <w:rPr>
      <w:b/>
      <w:bCs/>
      <w:u w:val="single"/>
    </w:rPr>
  </w:style>
  <w:style w:type="paragraph" w:customStyle="1" w:styleId="FileNumber">
    <w:name w:val="File Number"/>
    <w:basedOn w:val="a"/>
    <w:pPr>
      <w:spacing w:line="360" w:lineRule="auto"/>
      <w:jc w:val="right"/>
    </w:pPr>
    <w:rPr>
      <w:bCs/>
    </w:rPr>
  </w:style>
  <w:style w:type="paragraph" w:customStyle="1" w:styleId="FirstpagestylePsakdin">
    <w:name w:val="First page style Psak din"/>
    <w:basedOn w:val="Ruller3"/>
    <w:pPr>
      <w:tabs>
        <w:tab w:val="clear" w:pos="3210"/>
        <w:tab w:val="left" w:pos="3209"/>
      </w:tabs>
    </w:pPr>
    <w:rPr>
      <w:bCs/>
    </w:rPr>
  </w:style>
  <w:style w:type="paragraph" w:customStyle="1" w:styleId="TyutaDate">
    <w:name w:val="Tyuta Date"/>
    <w:basedOn w:val="a"/>
    <w:pPr>
      <w:jc w:val="center"/>
    </w:pPr>
    <w:rPr>
      <w:b/>
      <w:bCs/>
      <w:i/>
      <w:iCs/>
      <w:sz w:val="28"/>
      <w:szCs w:val="28"/>
    </w:rPr>
  </w:style>
  <w:style w:type="paragraph" w:customStyle="1" w:styleId="DocumentHead">
    <w:name w:val="Document Head"/>
    <w:basedOn w:val="a"/>
    <w:pPr>
      <w:spacing w:line="360" w:lineRule="auto"/>
      <w:jc w:val="center"/>
    </w:pPr>
    <w:rPr>
      <w:bCs/>
      <w:spacing w:val="30"/>
      <w:szCs w:val="28"/>
      <w:u w:val="single"/>
    </w:rPr>
  </w:style>
  <w:style w:type="paragraph" w:customStyle="1" w:styleId="TfutzaList">
    <w:name w:val="Tfutza List"/>
    <w:basedOn w:val="a"/>
    <w:rPr>
      <w:i/>
      <w:iCs/>
    </w:rPr>
  </w:style>
  <w:style w:type="paragraph" w:customStyle="1" w:styleId="Ruller41">
    <w:name w:val="Ruller4"/>
    <w:basedOn w:val="a"/>
    <w:link w:val="Ruller42"/>
    <w:rsid w:val="00A51FAE"/>
    <w:pPr>
      <w:tabs>
        <w:tab w:val="left" w:pos="800"/>
      </w:tabs>
      <w:spacing w:line="360" w:lineRule="auto"/>
      <w:jc w:val="both"/>
    </w:pPr>
    <w:rPr>
      <w:rFonts w:ascii="Arial TUR" w:hAnsi="Arial TUR" w:cs="FrankRuehl"/>
      <w:spacing w:val="10"/>
      <w:sz w:val="22"/>
      <w:szCs w:val="28"/>
    </w:rPr>
  </w:style>
  <w:style w:type="paragraph" w:customStyle="1" w:styleId="Ruller5">
    <w:name w:val="Ruller5"/>
    <w:basedOn w:val="a"/>
    <w:link w:val="Ruller50"/>
    <w:rsid w:val="00A51FAE"/>
    <w:pPr>
      <w:ind w:left="1642" w:right="1282"/>
      <w:jc w:val="both"/>
    </w:pPr>
    <w:rPr>
      <w:rFonts w:ascii="Arial TUR" w:hAnsi="Arial TUR" w:cs="FrankRuehl"/>
      <w:spacing w:val="10"/>
      <w:sz w:val="22"/>
      <w:szCs w:val="28"/>
    </w:rPr>
  </w:style>
  <w:style w:type="paragraph" w:customStyle="1" w:styleId="Ruller6">
    <w:name w:val="Ruller6"/>
    <w:basedOn w:val="a"/>
    <w:rsid w:val="00A51FAE"/>
    <w:pPr>
      <w:tabs>
        <w:tab w:val="left" w:pos="794"/>
        <w:tab w:val="left" w:pos="2268"/>
        <w:tab w:val="left" w:pos="5783"/>
        <w:tab w:val="left" w:pos="7371"/>
      </w:tabs>
    </w:pPr>
    <w:rPr>
      <w:rFonts w:ascii="Arial TUR" w:hAnsi="Arial TUR" w:cs="DavidFix"/>
      <w:spacing w:val="10"/>
      <w:sz w:val="22"/>
      <w:szCs w:val="20"/>
    </w:rPr>
  </w:style>
  <w:style w:type="character" w:customStyle="1" w:styleId="Delete">
    <w:name w:val="Delete"/>
    <w:rPr>
      <w:strike/>
    </w:rPr>
  </w:style>
  <w:style w:type="paragraph" w:customStyle="1" w:styleId="WriterName">
    <w:name w:val="Writer Name"/>
    <w:basedOn w:val="Ruller41"/>
    <w:next w:val="Ruller41"/>
    <w:rPr>
      <w:rFonts w:cs="David"/>
      <w:b/>
      <w:bCs/>
      <w:u w:val="single"/>
    </w:rPr>
  </w:style>
  <w:style w:type="character" w:customStyle="1" w:styleId="Hand">
    <w:name w:val="Hand"/>
    <w:rPr>
      <w:rFonts w:cs="Guttman Yad"/>
    </w:rPr>
  </w:style>
  <w:style w:type="paragraph" w:styleId="a3">
    <w:name w:val="footer"/>
    <w:basedOn w:val="a"/>
    <w:pPr>
      <w:tabs>
        <w:tab w:val="center" w:pos="4153"/>
        <w:tab w:val="right" w:pos="8306"/>
      </w:tabs>
    </w:pPr>
  </w:style>
  <w:style w:type="character" w:styleId="a4">
    <w:name w:val="page number"/>
    <w:basedOn w:val="a0"/>
  </w:style>
  <w:style w:type="paragraph" w:styleId="a5">
    <w:name w:val="header"/>
    <w:basedOn w:val="a"/>
    <w:pPr>
      <w:tabs>
        <w:tab w:val="center" w:pos="4153"/>
        <w:tab w:val="right" w:pos="8306"/>
      </w:tabs>
    </w:pPr>
  </w:style>
  <w:style w:type="paragraph" w:customStyle="1" w:styleId="2">
    <w:name w:val="ñâðåï2"/>
    <w:basedOn w:val="a"/>
    <w:pPr>
      <w:overflowPunct/>
      <w:textAlignment w:val="auto"/>
    </w:pPr>
    <w:rPr>
      <w:rFonts w:cs="Times New Roman"/>
    </w:rPr>
  </w:style>
  <w:style w:type="paragraph" w:customStyle="1" w:styleId="Casenameintextbody">
    <w:name w:val="Case name in text body"/>
    <w:basedOn w:val="a"/>
    <w:pPr>
      <w:overflowPunct/>
      <w:jc w:val="right"/>
      <w:textAlignment w:val="auto"/>
    </w:pPr>
    <w:rPr>
      <w:rFonts w:cs="Times New Roman"/>
      <w:b/>
      <w:bCs/>
      <w:u w:val="single"/>
    </w:rPr>
  </w:style>
  <w:style w:type="paragraph" w:customStyle="1" w:styleId="precasestyle">
    <w:name w:val="pre_case style"/>
    <w:basedOn w:val="a"/>
    <w:pPr>
      <w:tabs>
        <w:tab w:val="left" w:pos="2552"/>
      </w:tabs>
      <w:overflowPunct/>
      <w:ind w:right="2549"/>
      <w:textAlignment w:val="auto"/>
    </w:pPr>
    <w:rPr>
      <w:rFonts w:cs="Times New Roman"/>
    </w:rPr>
  </w:style>
  <w:style w:type="paragraph" w:customStyle="1" w:styleId="BodyRuller">
    <w:name w:val="Body Ruller"/>
    <w:basedOn w:val="a"/>
    <w:rPr>
      <w:sz w:val="22"/>
      <w:szCs w:val="28"/>
    </w:rPr>
  </w:style>
  <w:style w:type="paragraph" w:customStyle="1" w:styleId="Ruller38">
    <w:name w:val="סגנון Ruller 3 + (מורכב) ‏8 נק"/>
    <w:basedOn w:val="BodyRuller"/>
    <w:rPr>
      <w:szCs w:val="16"/>
    </w:rPr>
  </w:style>
  <w:style w:type="character" w:customStyle="1" w:styleId="Ruller30">
    <w:name w:val="Ruller 3 תו"/>
    <w:rPr>
      <w:rFonts w:cs="FrankRuehl"/>
      <w:sz w:val="22"/>
      <w:szCs w:val="28"/>
      <w:lang w:val="en-US" w:eastAsia="en-US" w:bidi="he-IL"/>
    </w:rPr>
  </w:style>
  <w:style w:type="character" w:customStyle="1" w:styleId="BodyRuller0">
    <w:name w:val="Body Ruller תו"/>
    <w:rPr>
      <w:rFonts w:cs="David"/>
      <w:sz w:val="22"/>
      <w:szCs w:val="28"/>
      <w:lang w:val="en-US" w:eastAsia="en-US" w:bidi="he-IL"/>
    </w:rPr>
  </w:style>
  <w:style w:type="character" w:customStyle="1" w:styleId="Ruller380">
    <w:name w:val="סגנון Ruller 3 + (מורכב) ‏8 נק תו"/>
    <w:rPr>
      <w:rFonts w:cs="David"/>
      <w:sz w:val="22"/>
      <w:szCs w:val="16"/>
      <w:lang w:val="en-US" w:eastAsia="en-US" w:bidi="he-IL"/>
    </w:rPr>
  </w:style>
  <w:style w:type="paragraph" w:customStyle="1" w:styleId="FileNumber0">
    <w:name w:val="סגנון File Number + ימין"/>
    <w:basedOn w:val="FileNumber"/>
    <w:rsid w:val="004C7868"/>
    <w:pPr>
      <w:jc w:val="left"/>
    </w:pPr>
    <w:rPr>
      <w:szCs w:val="28"/>
    </w:rPr>
  </w:style>
  <w:style w:type="paragraph" w:customStyle="1" w:styleId="BODYVERDICT">
    <w:name w:val="BODY VERDICT"/>
    <w:basedOn w:val="a"/>
    <w:rsid w:val="00036227"/>
    <w:rPr>
      <w:rFonts w:cs="FrankRuehl"/>
      <w:spacing w:val="10"/>
      <w:sz w:val="22"/>
      <w:szCs w:val="28"/>
    </w:rPr>
  </w:style>
  <w:style w:type="character" w:styleId="Hyperlink">
    <w:name w:val="Hyperlink"/>
    <w:uiPriority w:val="99"/>
    <w:rsid w:val="003F1F97"/>
    <w:rPr>
      <w:color w:val="0000FF"/>
      <w:u w:val="single"/>
    </w:rPr>
  </w:style>
  <w:style w:type="table" w:styleId="a6">
    <w:name w:val="Table Grid"/>
    <w:basedOn w:val="a1"/>
    <w:rsid w:val="003F1F97"/>
    <w:pPr>
      <w:overflowPunct w:val="0"/>
      <w:autoSpaceDE w:val="0"/>
      <w:autoSpaceDN w:val="0"/>
      <w:bidi/>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a0"/>
    <w:rsid w:val="0058440A"/>
    <w:rPr>
      <w:color w:val="954F72" w:themeColor="followedHyperlink"/>
      <w:u w:val="single"/>
    </w:rPr>
  </w:style>
  <w:style w:type="character" w:styleId="a7">
    <w:name w:val="annotation reference"/>
    <w:basedOn w:val="a0"/>
    <w:rsid w:val="00D00B1D"/>
    <w:rPr>
      <w:sz w:val="16"/>
      <w:szCs w:val="16"/>
    </w:rPr>
  </w:style>
  <w:style w:type="paragraph" w:styleId="a8">
    <w:name w:val="annotation text"/>
    <w:basedOn w:val="a"/>
    <w:link w:val="a9"/>
    <w:rsid w:val="00D00B1D"/>
    <w:rPr>
      <w:szCs w:val="20"/>
    </w:rPr>
  </w:style>
  <w:style w:type="character" w:customStyle="1" w:styleId="a9">
    <w:name w:val="טקסט הערה תו"/>
    <w:basedOn w:val="a0"/>
    <w:link w:val="a8"/>
    <w:rsid w:val="00D00B1D"/>
    <w:rPr>
      <w:rFonts w:cs="David"/>
    </w:rPr>
  </w:style>
  <w:style w:type="paragraph" w:styleId="aa">
    <w:name w:val="annotation subject"/>
    <w:basedOn w:val="a8"/>
    <w:next w:val="a8"/>
    <w:link w:val="ab"/>
    <w:rsid w:val="00D00B1D"/>
    <w:rPr>
      <w:b/>
      <w:bCs/>
    </w:rPr>
  </w:style>
  <w:style w:type="character" w:customStyle="1" w:styleId="ab">
    <w:name w:val="נושא הערה תו"/>
    <w:basedOn w:val="a9"/>
    <w:link w:val="aa"/>
    <w:rsid w:val="00D00B1D"/>
    <w:rPr>
      <w:rFonts w:cs="David"/>
      <w:b/>
      <w:bCs/>
    </w:rPr>
  </w:style>
  <w:style w:type="paragraph" w:styleId="ac">
    <w:name w:val="Balloon Text"/>
    <w:basedOn w:val="a"/>
    <w:link w:val="ad"/>
    <w:rsid w:val="00D00B1D"/>
    <w:rPr>
      <w:rFonts w:ascii="Tahoma" w:hAnsi="Tahoma" w:cs="Tahoma"/>
      <w:sz w:val="18"/>
      <w:szCs w:val="18"/>
    </w:rPr>
  </w:style>
  <w:style w:type="character" w:customStyle="1" w:styleId="ad">
    <w:name w:val="טקסט בלונים תו"/>
    <w:basedOn w:val="a0"/>
    <w:link w:val="ac"/>
    <w:rsid w:val="00D00B1D"/>
    <w:rPr>
      <w:rFonts w:ascii="Tahoma" w:hAnsi="Tahoma" w:cs="Tahoma"/>
      <w:sz w:val="18"/>
      <w:szCs w:val="18"/>
    </w:rPr>
  </w:style>
  <w:style w:type="paragraph" w:customStyle="1" w:styleId="Ruller4">
    <w:name w:val="Ruller 4 ממוספר"/>
    <w:basedOn w:val="Ruller41"/>
    <w:next w:val="Ruller41"/>
    <w:rsid w:val="009519E3"/>
    <w:pPr>
      <w:numPr>
        <w:numId w:val="11"/>
      </w:numPr>
    </w:pPr>
    <w:rPr>
      <w:rFonts w:ascii="Garamond" w:hAnsi="Garamond"/>
      <w:sz w:val="24"/>
    </w:rPr>
  </w:style>
  <w:style w:type="paragraph" w:customStyle="1" w:styleId="Ruller40">
    <w:name w:val="Ruller4 אלפביתי"/>
    <w:basedOn w:val="Ruller41"/>
    <w:next w:val="Ruller41"/>
    <w:rsid w:val="009519E3"/>
    <w:pPr>
      <w:numPr>
        <w:numId w:val="12"/>
      </w:numPr>
    </w:pPr>
  </w:style>
  <w:style w:type="character" w:customStyle="1" w:styleId="Ruller42">
    <w:name w:val="Ruller4 תו"/>
    <w:link w:val="Ruller41"/>
    <w:locked/>
    <w:rsid w:val="009519E3"/>
    <w:rPr>
      <w:rFonts w:ascii="Arial TUR" w:hAnsi="Arial TUR" w:cs="FrankRuehl"/>
      <w:spacing w:val="10"/>
      <w:sz w:val="22"/>
      <w:szCs w:val="28"/>
    </w:rPr>
  </w:style>
  <w:style w:type="character" w:customStyle="1" w:styleId="Ruller50">
    <w:name w:val="Ruller5 תו"/>
    <w:link w:val="Ruller5"/>
    <w:locked/>
    <w:rsid w:val="009519E3"/>
    <w:rPr>
      <w:rFonts w:ascii="Arial TUR" w:hAnsi="Arial TUR" w:cs="FrankRuehl"/>
      <w:spacing w:val="10"/>
      <w:sz w:val="22"/>
      <w:szCs w:val="28"/>
    </w:rPr>
  </w:style>
  <w:style w:type="paragraph" w:customStyle="1" w:styleId="P00">
    <w:name w:val="P00"/>
    <w:rsid w:val="009519E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noProof/>
      <w:szCs w:val="26"/>
      <w:lang w:eastAsia="he-IL"/>
    </w:rPr>
  </w:style>
  <w:style w:type="character" w:customStyle="1" w:styleId="default">
    <w:name w:val="default"/>
    <w:rsid w:val="009519E3"/>
    <w:rPr>
      <w:rFonts w:ascii="Times New Roman" w:hAnsi="Times New Roman" w:cs="Times New Roman" w:hint="default"/>
      <w:sz w:val="26"/>
      <w:szCs w:val="26"/>
    </w:rPr>
  </w:style>
  <w:style w:type="character" w:customStyle="1" w:styleId="big-number">
    <w:name w:val="big-number"/>
    <w:rsid w:val="009519E3"/>
    <w:rPr>
      <w:rFonts w:ascii="Times New Roman" w:hAnsi="Times New Roman" w:cs="Times New Roman" w:hint="default"/>
      <w:sz w:val="32"/>
      <w:szCs w:val="32"/>
    </w:rPr>
  </w:style>
  <w:style w:type="paragraph" w:customStyle="1" w:styleId="p000">
    <w:name w:val="p00"/>
    <w:basedOn w:val="a"/>
    <w:rsid w:val="009519E3"/>
    <w:pPr>
      <w:overflowPunct/>
      <w:autoSpaceDE/>
      <w:autoSpaceDN/>
      <w:bidi w:val="0"/>
      <w:adjustRightInd/>
      <w:spacing w:before="100" w:beforeAutospacing="1" w:after="100" w:afterAutospacing="1"/>
      <w:textAlignment w:val="auto"/>
    </w:pPr>
    <w:rPr>
      <w:rFonts w:cs="Times New Roman"/>
      <w:sz w:val="24"/>
    </w:rPr>
  </w:style>
  <w:style w:type="paragraph" w:customStyle="1" w:styleId="ae">
    <w:name w:val="כללי"/>
    <w:basedOn w:val="a"/>
    <w:rsid w:val="009519E3"/>
    <w:pPr>
      <w:spacing w:after="240" w:line="280" w:lineRule="exact"/>
      <w:ind w:firstLine="284"/>
      <w:jc w:val="both"/>
      <w:textAlignment w:val="auto"/>
    </w:pPr>
    <w:rPr>
      <w:rFonts w:cs="FrankRuehl"/>
      <w:lang w:eastAsia="he-IL"/>
    </w:rPr>
  </w:style>
  <w:style w:type="paragraph" w:styleId="af">
    <w:name w:val="List Paragraph"/>
    <w:basedOn w:val="a"/>
    <w:uiPriority w:val="34"/>
    <w:qFormat/>
    <w:rsid w:val="009519E3"/>
    <w:pPr>
      <w:spacing w:line="360" w:lineRule="auto"/>
      <w:ind w:left="720"/>
      <w:contextualSpacing/>
    </w:pPr>
    <w:rPr>
      <w:rFonts w:ascii="Century" w:hAnsi="Century" w:cs="FrankRuehl"/>
      <w:spacing w:val="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upreme.court.gov.il/" TargetMode="External"/><Relationship Id="rId4" Type="http://schemas.openxmlformats.org/officeDocument/2006/relationships/styles" Target="styles.xml"/><Relationship Id="rId9" Type="http://schemas.openxmlformats.org/officeDocument/2006/relationships/hyperlink" Target="http://www.flying-cargo.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AF29B-0F8D-4C59-83A3-6FF5F0AB3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11383</Words>
  <Characters>55465</Characters>
  <Application>Microsoft Office Word</Application>
  <DocSecurity>0</DocSecurity>
  <Lines>462</Lines>
  <Paragraphs>133</Paragraphs>
  <ScaleCrop>false</ScaleCrop>
  <HeadingPairs>
    <vt:vector size="2" baseType="variant">
      <vt:variant>
        <vt:lpstr>שם</vt:lpstr>
      </vt:variant>
      <vt:variant>
        <vt:i4>1</vt:i4>
      </vt:variant>
    </vt:vector>
  </HeadingPairs>
  <TitlesOfParts>
    <vt:vector size="1" baseType="lpstr">
      <vt:lpstr>פסק-דין בתיק ע"א  3136/17</vt:lpstr>
    </vt:vector>
  </TitlesOfParts>
  <Company/>
  <LinksUpToDate>false</LinksUpToDate>
  <CharactersWithSpaces>66715</CharactersWithSpaces>
  <SharedDoc>false</SharedDoc>
  <HLinks>
    <vt:vector size="6" baseType="variant">
      <vt:variant>
        <vt:i4>1966158</vt:i4>
      </vt:variant>
      <vt:variant>
        <vt:i4>12</vt:i4>
      </vt:variant>
      <vt:variant>
        <vt:i4>0</vt:i4>
      </vt:variant>
      <vt:variant>
        <vt:i4>5</vt:i4>
      </vt:variant>
      <vt:variant>
        <vt:lpwstr>http://www.court.gov.il/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
  <cp:lastPrinted>2019-04-16T06:35:17Z</cp:lastPrinted>
  <dcterms:created xsi:type="dcterms:W3CDTF">2019-04-16T06:35:17Z</dcterms:created>
  <dcterms:modified xsi:type="dcterms:W3CDTF">2019-04-16T06:35:17Z</dcterms:modified>
</cp:coreProperties>
</file>