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372" w:type="dxa"/>
        <w:tblLook w:val="0000" w:firstRow="0" w:lastRow="0" w:firstColumn="0" w:lastColumn="0" w:noHBand="0" w:noVBand="0"/>
      </w:tblPr>
      <w:tblGrid>
        <w:gridCol w:w="9"/>
        <w:gridCol w:w="8354"/>
        <w:gridCol w:w="9"/>
      </w:tblGrid>
      <w:tr w:rsidR="00036227" w:rsidTr="00394EBB">
        <w:trPr>
          <w:gridBefore w:val="1"/>
          <w:wBefore w:w="9" w:type="dxa"/>
        </w:trPr>
        <w:tc>
          <w:tcPr>
            <w:tcW w:w="8363" w:type="dxa"/>
            <w:gridSpan w:val="2"/>
          </w:tcPr>
          <w:p w:rsidR="00916FF8" w:rsidRPr="00624A42" w:rsidRDefault="00F0579C" w:rsidP="00394EBB">
            <w:pPr>
              <w:pStyle w:val="FileNumber0"/>
              <w:spacing w:line="240" w:lineRule="auto"/>
              <w:rPr>
                <w:sz w:val="28"/>
                <w:u w:val="single"/>
                <w:rtl/>
              </w:rPr>
            </w:pPr>
            <w:r>
              <w:rPr>
                <w:u w:val="single"/>
                <w:rtl/>
              </w:rPr>
              <w:t>בבית המשפט העליון בשבתו כבית משפט לערעורים אזרחיים</w:t>
            </w:r>
          </w:p>
        </w:tc>
      </w:tr>
      <w:tr w:rsidR="00036227" w:rsidTr="00394EBB">
        <w:trPr>
          <w:gridAfter w:val="1"/>
          <w:wAfter w:w="9" w:type="dxa"/>
          <w:trHeight w:val="342"/>
        </w:trPr>
        <w:tc>
          <w:tcPr>
            <w:tcW w:w="8363" w:type="dxa"/>
            <w:gridSpan w:val="2"/>
          </w:tcPr>
          <w:p w:rsidR="00916FF8" w:rsidRPr="00810894" w:rsidRDefault="00F0579C" w:rsidP="00394EBB">
            <w:pPr>
              <w:pStyle w:val="FileNumber"/>
              <w:spacing w:line="240" w:lineRule="auto"/>
              <w:rPr>
                <w:sz w:val="28"/>
                <w:szCs w:val="28"/>
              </w:rPr>
            </w:pPr>
            <w:bookmarkStart w:id="0" w:name="casename_body"/>
            <w:r>
              <w:rPr>
                <w:sz w:val="28"/>
                <w:szCs w:val="28"/>
                <w:rtl/>
              </w:rPr>
              <w:t>ע"א  7481/17</w:t>
            </w:r>
          </w:p>
        </w:tc>
      </w:tr>
      <w:bookmarkEnd w:id="0"/>
    </w:tbl>
    <w:p w:rsidR="00916FF8" w:rsidRPr="00394EBB" w:rsidRDefault="00916FF8" w:rsidP="00394EBB">
      <w:pPr>
        <w:jc w:val="right"/>
        <w:rPr>
          <w:rFonts w:cs="Miriam"/>
          <w:b/>
          <w:bCs/>
          <w:sz w:val="12"/>
          <w:szCs w:val="16"/>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rsidP="00394EBB">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F0579C" w:rsidP="00394EBB">
            <w:pPr>
              <w:pStyle w:val="BodyRuller"/>
            </w:pPr>
            <w:r>
              <w:rPr>
                <w:rtl/>
              </w:rPr>
              <w:t>כבוד השופט י' עמית</w:t>
            </w:r>
          </w:p>
        </w:tc>
      </w:tr>
      <w:tr w:rsidR="00F0579C" w:rsidTr="00EC23AC">
        <w:trPr>
          <w:trHeight w:val="287"/>
        </w:trPr>
        <w:tc>
          <w:tcPr>
            <w:tcW w:w="3261" w:type="dxa"/>
          </w:tcPr>
          <w:p w:rsidR="00F0579C" w:rsidRDefault="00F0579C" w:rsidP="00394EBB">
            <w:pPr>
              <w:pStyle w:val="BodyRuller"/>
              <w:rPr>
                <w:rtl/>
              </w:rPr>
            </w:pPr>
          </w:p>
        </w:tc>
        <w:tc>
          <w:tcPr>
            <w:tcW w:w="5239" w:type="dxa"/>
          </w:tcPr>
          <w:p w:rsidR="00F0579C" w:rsidRDefault="00F0579C" w:rsidP="00394EBB">
            <w:pPr>
              <w:pStyle w:val="BodyRuller"/>
              <w:rPr>
                <w:rtl/>
              </w:rPr>
            </w:pPr>
            <w:r>
              <w:rPr>
                <w:rtl/>
              </w:rPr>
              <w:t>כבוד השופטת ע' ברון</w:t>
            </w:r>
          </w:p>
        </w:tc>
      </w:tr>
      <w:tr w:rsidR="00F0579C" w:rsidTr="00EC23AC">
        <w:trPr>
          <w:trHeight w:val="287"/>
        </w:trPr>
        <w:tc>
          <w:tcPr>
            <w:tcW w:w="3261" w:type="dxa"/>
          </w:tcPr>
          <w:p w:rsidR="00F0579C" w:rsidRDefault="00F0579C" w:rsidP="00394EBB">
            <w:pPr>
              <w:pStyle w:val="BodyRuller"/>
              <w:rPr>
                <w:rtl/>
              </w:rPr>
            </w:pPr>
          </w:p>
        </w:tc>
        <w:tc>
          <w:tcPr>
            <w:tcW w:w="5239" w:type="dxa"/>
          </w:tcPr>
          <w:p w:rsidR="00F0579C" w:rsidRDefault="00F0579C" w:rsidP="00394EBB">
            <w:pPr>
              <w:pStyle w:val="BodyRuller"/>
              <w:rPr>
                <w:rtl/>
              </w:rPr>
            </w:pPr>
            <w:r>
              <w:rPr>
                <w:rtl/>
              </w:rPr>
              <w:t>כבוד השופט ג' קרא</w:t>
            </w:r>
          </w:p>
        </w:tc>
      </w:tr>
    </w:tbl>
    <w:p w:rsidR="00916FF8" w:rsidRDefault="00916FF8" w:rsidP="00394EBB">
      <w:pPr>
        <w:pStyle w:val="Ruller3"/>
        <w:spacing w:line="240" w:lineRule="auto"/>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394EBB">
        <w:trPr>
          <w:trHeight w:val="287"/>
        </w:trPr>
        <w:tc>
          <w:tcPr>
            <w:tcW w:w="3210" w:type="dxa"/>
          </w:tcPr>
          <w:p w:rsidR="00D00CB7" w:rsidRPr="00E75223" w:rsidRDefault="00F0579C" w:rsidP="00394EBB">
            <w:pPr>
              <w:pStyle w:val="BodyRuller"/>
              <w:rPr>
                <w:rFonts w:ascii="David" w:hAnsi="David"/>
              </w:rPr>
            </w:pPr>
            <w:r>
              <w:rPr>
                <w:rFonts w:ascii="David" w:hAnsi="David"/>
                <w:rtl/>
              </w:rPr>
              <w:t>המערער:</w:t>
            </w:r>
          </w:p>
        </w:tc>
        <w:tc>
          <w:tcPr>
            <w:tcW w:w="5154" w:type="dxa"/>
          </w:tcPr>
          <w:p w:rsidR="00D00CB7" w:rsidRDefault="00F0579C" w:rsidP="00394EBB">
            <w:pPr>
              <w:pStyle w:val="BodyRuller"/>
            </w:pPr>
            <w:r>
              <w:rPr>
                <w:rtl/>
              </w:rPr>
              <w:t>פקיד שומה כפר סבא</w:t>
            </w:r>
          </w:p>
        </w:tc>
      </w:tr>
    </w:tbl>
    <w:p w:rsidR="00D00CB7" w:rsidRPr="00394EBB" w:rsidRDefault="00D00CB7" w:rsidP="00394EBB">
      <w:pPr>
        <w:pStyle w:val="Ruller3"/>
        <w:spacing w:line="240" w:lineRule="auto"/>
        <w:rPr>
          <w:sz w:val="14"/>
          <w:szCs w:val="20"/>
          <w:rtl/>
        </w:rPr>
      </w:pPr>
    </w:p>
    <w:tbl>
      <w:tblPr>
        <w:bidiVisual/>
        <w:tblW w:w="8363" w:type="dxa"/>
        <w:tblLook w:val="0000" w:firstRow="0" w:lastRow="0" w:firstColumn="0" w:lastColumn="0" w:noHBand="0" w:noVBand="0"/>
      </w:tblPr>
      <w:tblGrid>
        <w:gridCol w:w="3222"/>
        <w:gridCol w:w="5141"/>
      </w:tblGrid>
      <w:tr w:rsidR="00036227" w:rsidTr="00394EBB">
        <w:tc>
          <w:tcPr>
            <w:tcW w:w="3222" w:type="dxa"/>
          </w:tcPr>
          <w:p w:rsidR="00036227" w:rsidRDefault="00036227" w:rsidP="00394EBB">
            <w:pPr>
              <w:pStyle w:val="BodyRuller"/>
            </w:pPr>
          </w:p>
        </w:tc>
        <w:tc>
          <w:tcPr>
            <w:tcW w:w="5141" w:type="dxa"/>
          </w:tcPr>
          <w:p w:rsidR="00036227" w:rsidRDefault="00036227" w:rsidP="00394EBB">
            <w:pPr>
              <w:pStyle w:val="BodyRuller"/>
            </w:pPr>
            <w:r>
              <w:rPr>
                <w:rFonts w:hint="cs"/>
                <w:rtl/>
              </w:rPr>
              <w:t>נ</w:t>
            </w:r>
            <w:r>
              <w:t xml:space="preserve">  </w:t>
            </w:r>
            <w:r>
              <w:rPr>
                <w:rFonts w:hint="cs"/>
                <w:rtl/>
              </w:rPr>
              <w:t>ג</w:t>
            </w:r>
            <w:r>
              <w:t xml:space="preserve">  </w:t>
            </w:r>
            <w:r>
              <w:rPr>
                <w:rFonts w:hint="cs"/>
                <w:rtl/>
              </w:rPr>
              <w:t>ד</w:t>
            </w:r>
          </w:p>
        </w:tc>
      </w:tr>
    </w:tbl>
    <w:p w:rsidR="00916FF8" w:rsidRPr="00394EBB" w:rsidRDefault="00916FF8" w:rsidP="00394EBB">
      <w:pPr>
        <w:pStyle w:val="Ruller3"/>
        <w:spacing w:line="240" w:lineRule="auto"/>
        <w:rPr>
          <w:sz w:val="14"/>
          <w:szCs w:val="20"/>
          <w:rtl/>
        </w:rPr>
      </w:pPr>
    </w:p>
    <w:tbl>
      <w:tblPr>
        <w:bidiVisual/>
        <w:tblW w:w="8364" w:type="dxa"/>
        <w:tblLayout w:type="fixed"/>
        <w:tblLook w:val="0000" w:firstRow="0" w:lastRow="0" w:firstColumn="0" w:lastColumn="0" w:noHBand="0" w:noVBand="0"/>
      </w:tblPr>
      <w:tblGrid>
        <w:gridCol w:w="3210"/>
        <w:gridCol w:w="5154"/>
      </w:tblGrid>
      <w:tr w:rsidR="0083345F" w:rsidTr="00394EBB">
        <w:trPr>
          <w:trHeight w:val="287"/>
        </w:trPr>
        <w:tc>
          <w:tcPr>
            <w:tcW w:w="3210" w:type="dxa"/>
          </w:tcPr>
          <w:p w:rsidR="0083345F" w:rsidRPr="00E75223" w:rsidRDefault="00F0579C" w:rsidP="00394EBB">
            <w:pPr>
              <w:pStyle w:val="BodyRuller"/>
              <w:rPr>
                <w:rFonts w:ascii="David" w:hAnsi="David"/>
              </w:rPr>
            </w:pPr>
            <w:r>
              <w:rPr>
                <w:rFonts w:ascii="David" w:hAnsi="David"/>
                <w:rtl/>
              </w:rPr>
              <w:t>המשיבים:</w:t>
            </w:r>
          </w:p>
        </w:tc>
        <w:tc>
          <w:tcPr>
            <w:tcW w:w="5154" w:type="dxa"/>
          </w:tcPr>
          <w:p w:rsidR="0083345F" w:rsidRDefault="00F0579C" w:rsidP="00394EBB">
            <w:pPr>
              <w:pStyle w:val="BodyRuller"/>
            </w:pPr>
            <w:r>
              <w:rPr>
                <w:rtl/>
              </w:rPr>
              <w:t>1. ידין סגל</w:t>
            </w:r>
          </w:p>
        </w:tc>
      </w:tr>
      <w:tr w:rsidR="00F0579C" w:rsidTr="00394EBB">
        <w:trPr>
          <w:trHeight w:val="287"/>
        </w:trPr>
        <w:tc>
          <w:tcPr>
            <w:tcW w:w="3210" w:type="dxa"/>
          </w:tcPr>
          <w:p w:rsidR="00F0579C" w:rsidRDefault="00F0579C" w:rsidP="00394EBB">
            <w:pPr>
              <w:pStyle w:val="BodyRuller"/>
              <w:rPr>
                <w:rFonts w:ascii="David" w:hAnsi="David"/>
                <w:rtl/>
              </w:rPr>
            </w:pPr>
          </w:p>
        </w:tc>
        <w:tc>
          <w:tcPr>
            <w:tcW w:w="5154" w:type="dxa"/>
          </w:tcPr>
          <w:p w:rsidR="00F0579C" w:rsidRDefault="00F0579C" w:rsidP="00394EBB">
            <w:pPr>
              <w:pStyle w:val="BodyRuller"/>
              <w:rPr>
                <w:rtl/>
              </w:rPr>
            </w:pPr>
            <w:r>
              <w:rPr>
                <w:rtl/>
              </w:rPr>
              <w:t>2. סומת מבנים ופיתוח 1993 בע"מ</w:t>
            </w:r>
          </w:p>
        </w:tc>
      </w:tr>
    </w:tbl>
    <w:p w:rsidR="0083345F" w:rsidRDefault="0083345F" w:rsidP="00394EBB">
      <w:pPr>
        <w:pStyle w:val="Ruller3"/>
        <w:spacing w:line="240" w:lineRule="auto"/>
        <w:rPr>
          <w:rtl/>
        </w:rPr>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F0579C" w:rsidP="00394EBB">
            <w:pPr>
              <w:pStyle w:val="BodyRuller"/>
              <w:jc w:val="both"/>
              <w:rPr>
                <w:sz w:val="24"/>
                <w:szCs w:val="24"/>
              </w:rPr>
            </w:pPr>
            <w:r>
              <w:rPr>
                <w:sz w:val="24"/>
                <w:szCs w:val="24"/>
                <w:rtl/>
              </w:rPr>
              <w:t xml:space="preserve">ערעור על פסק דינו של בית המשפט המחוזי מרכז-לוד </w:t>
            </w:r>
            <w:r w:rsidR="00033991">
              <w:rPr>
                <w:rFonts w:hint="cs"/>
                <w:sz w:val="24"/>
                <w:szCs w:val="24"/>
                <w:rtl/>
              </w:rPr>
              <w:t>בתיק</w:t>
            </w:r>
            <w:r w:rsidR="00394EBB">
              <w:rPr>
                <w:rFonts w:hint="cs"/>
                <w:sz w:val="24"/>
                <w:szCs w:val="24"/>
                <w:rtl/>
              </w:rPr>
              <w:t>י</w:t>
            </w:r>
            <w:r w:rsidR="00033991">
              <w:rPr>
                <w:rFonts w:hint="cs"/>
                <w:sz w:val="24"/>
                <w:szCs w:val="24"/>
                <w:rtl/>
              </w:rPr>
              <w:t xml:space="preserve"> ע"מ 10456-03-12 </w:t>
            </w:r>
            <w:r w:rsidR="00394EBB">
              <w:rPr>
                <w:rFonts w:hint="cs"/>
                <w:sz w:val="24"/>
                <w:szCs w:val="24"/>
                <w:rtl/>
              </w:rPr>
              <w:t xml:space="preserve">ו-ע"מ 10510-03-12 </w:t>
            </w:r>
            <w:r w:rsidR="00033991">
              <w:rPr>
                <w:rFonts w:hint="cs"/>
                <w:sz w:val="24"/>
                <w:szCs w:val="24"/>
                <w:rtl/>
              </w:rPr>
              <w:t xml:space="preserve">שניתן </w:t>
            </w:r>
            <w:r w:rsidR="00394EBB">
              <w:rPr>
                <w:rFonts w:hint="cs"/>
                <w:sz w:val="24"/>
                <w:szCs w:val="24"/>
                <w:rtl/>
              </w:rPr>
              <w:t xml:space="preserve">ביום 26.6.2017 </w:t>
            </w:r>
            <w:r w:rsidR="00033991">
              <w:rPr>
                <w:rFonts w:hint="cs"/>
                <w:sz w:val="24"/>
                <w:szCs w:val="24"/>
                <w:rtl/>
              </w:rPr>
              <w:t>על ידי כב</w:t>
            </w:r>
            <w:r w:rsidR="00394EBB">
              <w:rPr>
                <w:rFonts w:hint="cs"/>
                <w:sz w:val="24"/>
                <w:szCs w:val="24"/>
                <w:rtl/>
              </w:rPr>
              <w:t>וד</w:t>
            </w:r>
            <w:r w:rsidR="00033991">
              <w:rPr>
                <w:rFonts w:hint="cs"/>
                <w:sz w:val="24"/>
                <w:szCs w:val="24"/>
                <w:rtl/>
              </w:rPr>
              <w:t xml:space="preserve"> השופט ד"ר אחיקם סטולר</w:t>
            </w:r>
          </w:p>
        </w:tc>
      </w:tr>
    </w:tbl>
    <w:p w:rsidR="00916FF8" w:rsidRPr="00394EBB" w:rsidRDefault="00916FF8" w:rsidP="00394EBB">
      <w:pPr>
        <w:pStyle w:val="Ruller3"/>
        <w:spacing w:line="240" w:lineRule="auto"/>
        <w:rPr>
          <w:sz w:val="20"/>
          <w:szCs w:val="26"/>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4141"/>
        <w:gridCol w:w="992"/>
      </w:tblGrid>
      <w:tr w:rsidR="008C2F11" w:rsidTr="00033991">
        <w:tc>
          <w:tcPr>
            <w:tcW w:w="3230" w:type="dxa"/>
            <w:tcBorders>
              <w:top w:val="nil"/>
              <w:left w:val="nil"/>
              <w:bottom w:val="nil"/>
              <w:right w:val="nil"/>
            </w:tcBorders>
          </w:tcPr>
          <w:p w:rsidR="008C2F11" w:rsidRPr="00265F6E" w:rsidRDefault="008C2F11" w:rsidP="00394EBB">
            <w:pPr>
              <w:pStyle w:val="BodyRuller"/>
              <w:rPr>
                <w:sz w:val="24"/>
                <w:szCs w:val="24"/>
              </w:rPr>
            </w:pPr>
            <w:r w:rsidRPr="00265F6E">
              <w:rPr>
                <w:sz w:val="24"/>
                <w:szCs w:val="24"/>
                <w:rtl/>
              </w:rPr>
              <w:t>תאריך הישיבה:</w:t>
            </w:r>
          </w:p>
        </w:tc>
        <w:tc>
          <w:tcPr>
            <w:tcW w:w="4141" w:type="dxa"/>
            <w:tcBorders>
              <w:top w:val="nil"/>
              <w:left w:val="nil"/>
              <w:bottom w:val="nil"/>
              <w:right w:val="nil"/>
            </w:tcBorders>
          </w:tcPr>
          <w:p w:rsidR="008C2F11" w:rsidRDefault="00033991" w:rsidP="00394EBB">
            <w:pPr>
              <w:pStyle w:val="BodyRuller"/>
              <w:rPr>
                <w:rtl/>
              </w:rPr>
            </w:pPr>
            <w:r w:rsidRPr="00033991">
              <w:rPr>
                <w:rFonts w:hint="cs"/>
                <w:sz w:val="24"/>
                <w:szCs w:val="24"/>
                <w:rtl/>
              </w:rPr>
              <w:t>כ'</w:t>
            </w:r>
            <w:r w:rsidRPr="00033991">
              <w:rPr>
                <w:sz w:val="24"/>
                <w:szCs w:val="24"/>
                <w:rtl/>
              </w:rPr>
              <w:t xml:space="preserve"> בתמוז התשע"ט (</w:t>
            </w:r>
            <w:r w:rsidRPr="00033991">
              <w:rPr>
                <w:rFonts w:hint="cs"/>
                <w:sz w:val="24"/>
                <w:szCs w:val="24"/>
                <w:rtl/>
              </w:rPr>
              <w:t>23</w:t>
            </w:r>
            <w:r w:rsidRPr="00033991">
              <w:rPr>
                <w:sz w:val="24"/>
                <w:szCs w:val="24"/>
                <w:rtl/>
              </w:rPr>
              <w:t>.</w:t>
            </w:r>
            <w:r>
              <w:rPr>
                <w:rFonts w:hint="cs"/>
                <w:sz w:val="24"/>
                <w:szCs w:val="24"/>
                <w:rtl/>
              </w:rPr>
              <w:t>7</w:t>
            </w:r>
            <w:r w:rsidRPr="00033991">
              <w:rPr>
                <w:sz w:val="24"/>
                <w:szCs w:val="24"/>
                <w:rtl/>
              </w:rPr>
              <w:t>.</w:t>
            </w:r>
            <w:r>
              <w:rPr>
                <w:rFonts w:hint="cs"/>
                <w:sz w:val="24"/>
                <w:szCs w:val="24"/>
                <w:rtl/>
              </w:rPr>
              <w:t>2019</w:t>
            </w:r>
            <w:r w:rsidRPr="00033991">
              <w:rPr>
                <w:sz w:val="24"/>
                <w:szCs w:val="24"/>
                <w:rtl/>
              </w:rPr>
              <w:t>)</w:t>
            </w:r>
          </w:p>
        </w:tc>
        <w:tc>
          <w:tcPr>
            <w:tcW w:w="992" w:type="dxa"/>
            <w:tcBorders>
              <w:top w:val="nil"/>
              <w:left w:val="nil"/>
              <w:bottom w:val="nil"/>
              <w:right w:val="nil"/>
            </w:tcBorders>
          </w:tcPr>
          <w:p w:rsidR="008C2F11" w:rsidRDefault="008C2F11" w:rsidP="00394EBB">
            <w:pPr>
              <w:pStyle w:val="BodyRuller"/>
              <w:rPr>
                <w:sz w:val="24"/>
                <w:szCs w:val="24"/>
                <w:rtl/>
              </w:rPr>
            </w:pPr>
          </w:p>
        </w:tc>
      </w:tr>
    </w:tbl>
    <w:p w:rsidR="00916FF8" w:rsidRPr="00394EBB" w:rsidRDefault="00916FF8" w:rsidP="00394EBB">
      <w:pPr>
        <w:pStyle w:val="Ruller3"/>
        <w:spacing w:line="240" w:lineRule="auto"/>
        <w:rPr>
          <w:sz w:val="18"/>
          <w:szCs w:val="24"/>
          <w:rtl/>
        </w:rPr>
      </w:pPr>
    </w:p>
    <w:tbl>
      <w:tblPr>
        <w:bidiVisual/>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
        <w:gridCol w:w="3186"/>
        <w:gridCol w:w="31"/>
        <w:gridCol w:w="5119"/>
        <w:gridCol w:w="27"/>
      </w:tblGrid>
      <w:tr w:rsidR="00036227" w:rsidTr="00033991">
        <w:trPr>
          <w:gridAfter w:val="1"/>
          <w:wAfter w:w="27" w:type="dxa"/>
        </w:trPr>
        <w:tc>
          <w:tcPr>
            <w:tcW w:w="3213" w:type="dxa"/>
            <w:gridSpan w:val="2"/>
            <w:tcBorders>
              <w:top w:val="nil"/>
              <w:left w:val="nil"/>
              <w:bottom w:val="nil"/>
              <w:right w:val="nil"/>
            </w:tcBorders>
          </w:tcPr>
          <w:p w:rsidR="00036227" w:rsidRDefault="00F0579C" w:rsidP="00394EBB">
            <w:pPr>
              <w:pStyle w:val="BodyRuller"/>
            </w:pPr>
            <w:r>
              <w:rPr>
                <w:rtl/>
              </w:rPr>
              <w:t>בשם המערער:</w:t>
            </w:r>
          </w:p>
        </w:tc>
        <w:tc>
          <w:tcPr>
            <w:tcW w:w="5150" w:type="dxa"/>
            <w:gridSpan w:val="2"/>
            <w:tcBorders>
              <w:top w:val="nil"/>
              <w:left w:val="nil"/>
              <w:bottom w:val="nil"/>
              <w:right w:val="nil"/>
            </w:tcBorders>
          </w:tcPr>
          <w:p w:rsidR="00036227" w:rsidRDefault="00F0579C" w:rsidP="00394EBB">
            <w:pPr>
              <w:pStyle w:val="BodyRuller"/>
            </w:pPr>
            <w:r>
              <w:rPr>
                <w:rtl/>
              </w:rPr>
              <w:t xml:space="preserve">עו"ד </w:t>
            </w:r>
            <w:r w:rsidR="00033991">
              <w:rPr>
                <w:rFonts w:hint="cs"/>
                <w:rtl/>
              </w:rPr>
              <w:t>עמנואל לינדר</w:t>
            </w:r>
          </w:p>
        </w:tc>
      </w:tr>
      <w:tr w:rsidR="00036227" w:rsidTr="00033991">
        <w:trPr>
          <w:gridBefore w:val="1"/>
          <w:wBefore w:w="27" w:type="dxa"/>
        </w:trPr>
        <w:tc>
          <w:tcPr>
            <w:tcW w:w="3217" w:type="dxa"/>
            <w:gridSpan w:val="2"/>
            <w:tcBorders>
              <w:top w:val="nil"/>
              <w:left w:val="nil"/>
              <w:bottom w:val="nil"/>
              <w:right w:val="nil"/>
            </w:tcBorders>
          </w:tcPr>
          <w:p w:rsidR="00036227" w:rsidRDefault="00F0579C" w:rsidP="00394EBB">
            <w:pPr>
              <w:pStyle w:val="BodyRuller"/>
            </w:pPr>
            <w:r>
              <w:rPr>
                <w:rtl/>
              </w:rPr>
              <w:t>בשם המשיבים:</w:t>
            </w:r>
          </w:p>
        </w:tc>
        <w:tc>
          <w:tcPr>
            <w:tcW w:w="5146" w:type="dxa"/>
            <w:gridSpan w:val="2"/>
            <w:tcBorders>
              <w:top w:val="nil"/>
              <w:left w:val="nil"/>
              <w:bottom w:val="nil"/>
              <w:right w:val="nil"/>
            </w:tcBorders>
          </w:tcPr>
          <w:p w:rsidR="00036227" w:rsidRDefault="00F0579C" w:rsidP="00394EBB">
            <w:pPr>
              <w:pStyle w:val="BodyRuller"/>
            </w:pPr>
            <w:r>
              <w:rPr>
                <w:rtl/>
              </w:rPr>
              <w:t xml:space="preserve">עו"ד </w:t>
            </w:r>
            <w:r w:rsidR="00033991">
              <w:rPr>
                <w:rFonts w:hint="cs"/>
                <w:rtl/>
              </w:rPr>
              <w:t xml:space="preserve">רמי </w:t>
            </w:r>
            <w:r>
              <w:rPr>
                <w:rtl/>
              </w:rPr>
              <w:t xml:space="preserve">אריה </w:t>
            </w:r>
          </w:p>
        </w:tc>
      </w:tr>
    </w:tbl>
    <w:p w:rsidR="00916FF8" w:rsidRPr="00394EBB" w:rsidRDefault="00916FF8" w:rsidP="00394EBB">
      <w:pPr>
        <w:tabs>
          <w:tab w:val="left" w:pos="2552"/>
        </w:tabs>
        <w:rPr>
          <w:sz w:val="10"/>
          <w:szCs w:val="14"/>
          <w:rtl/>
        </w:rPr>
      </w:pPr>
    </w:p>
    <w:p w:rsidR="00033991" w:rsidRDefault="00033991" w:rsidP="00394EBB">
      <w:pPr>
        <w:tabs>
          <w:tab w:val="left" w:pos="2552"/>
        </w:tabs>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F0579C" w:rsidP="00394EBB">
            <w:pPr>
              <w:pStyle w:val="DocumentHead"/>
              <w:spacing w:line="240" w:lineRule="auto"/>
            </w:pPr>
            <w:bookmarkStart w:id="1" w:name="secretary"/>
            <w:bookmarkStart w:id="2" w:name="BeginProtocol"/>
            <w:bookmarkEnd w:id="1"/>
            <w:bookmarkEnd w:id="2"/>
            <w:r>
              <w:rPr>
                <w:rtl/>
              </w:rPr>
              <w:t>פסק-דין</w:t>
            </w:r>
          </w:p>
        </w:tc>
      </w:tr>
    </w:tbl>
    <w:p w:rsidR="00916FF8" w:rsidRPr="00503A3E" w:rsidRDefault="00F0579C" w:rsidP="00394EBB">
      <w:pPr>
        <w:pStyle w:val="BODYVERDICT"/>
        <w:rPr>
          <w:rFonts w:cs="Miriam"/>
          <w:sz w:val="24"/>
          <w:szCs w:val="24"/>
          <w:u w:val="single"/>
          <w:rtl/>
        </w:rPr>
      </w:pPr>
      <w:bookmarkStart w:id="3" w:name="Writer_Name"/>
      <w:bookmarkEnd w:id="3"/>
      <w:r>
        <w:rPr>
          <w:rFonts w:cs="Miriam"/>
          <w:sz w:val="24"/>
          <w:szCs w:val="24"/>
          <w:u w:val="single"/>
          <w:rtl/>
        </w:rPr>
        <w:t>השופט י' עמית</w:t>
      </w:r>
      <w:r w:rsidRPr="00394EBB">
        <w:rPr>
          <w:rFonts w:cs="Miriam"/>
          <w:sz w:val="24"/>
          <w:szCs w:val="24"/>
          <w:rtl/>
        </w:rPr>
        <w:t>:</w:t>
      </w:r>
    </w:p>
    <w:p w:rsidR="000B1478" w:rsidRDefault="000B1478" w:rsidP="00A51FAE">
      <w:pPr>
        <w:pStyle w:val="Ruller41"/>
        <w:rPr>
          <w:rtl/>
        </w:rPr>
      </w:pPr>
    </w:p>
    <w:p w:rsidR="0010512C" w:rsidRDefault="0010512C" w:rsidP="0010512C">
      <w:pPr>
        <w:pStyle w:val="Ruller41"/>
        <w:rPr>
          <w:rtl/>
        </w:rPr>
      </w:pPr>
      <w:r>
        <w:rPr>
          <w:rFonts w:hint="cs"/>
          <w:rtl/>
        </w:rPr>
        <w:t>1.</w:t>
      </w:r>
      <w:r>
        <w:rPr>
          <w:rtl/>
        </w:rPr>
        <w:tab/>
      </w:r>
      <w:r>
        <w:rPr>
          <w:rFonts w:hint="cs"/>
          <w:rtl/>
        </w:rPr>
        <w:t xml:space="preserve">השאלה בערעור היא אם המשיב רשאי לקזז הפסד הון. בפסק דין מיום 26.6.2017, קבע בית המשפט המחוזי מרכז-לוד (השופט </w:t>
      </w:r>
      <w:r w:rsidRPr="00E26591">
        <w:rPr>
          <w:rFonts w:ascii="Century" w:hAnsi="Century" w:cs="Miriam" w:hint="cs"/>
          <w:b/>
          <w:spacing w:val="0"/>
          <w:szCs w:val="24"/>
          <w:rtl/>
        </w:rPr>
        <w:t>א' סטולר</w:t>
      </w:r>
      <w:r>
        <w:rPr>
          <w:rFonts w:hint="cs"/>
          <w:rtl/>
        </w:rPr>
        <w:t>) כי המשיב רשאי לקזז את ההפסד (ע"מ 10456-03-12 וע"מ 10510-03-12), ומכאן ערעורו של פקיד השומה.</w:t>
      </w:r>
    </w:p>
    <w:p w:rsidR="0010512C" w:rsidRPr="00394EBB" w:rsidRDefault="0010512C" w:rsidP="0010512C">
      <w:pPr>
        <w:pStyle w:val="Ruller41"/>
        <w:rPr>
          <w:sz w:val="18"/>
          <w:szCs w:val="24"/>
          <w:rtl/>
        </w:rPr>
      </w:pPr>
    </w:p>
    <w:p w:rsidR="0010512C" w:rsidRDefault="0010512C" w:rsidP="0010512C">
      <w:pPr>
        <w:pStyle w:val="Ruller41"/>
        <w:rPr>
          <w:rFonts w:ascii="Century" w:hAnsi="Century" w:cs="Miriam"/>
          <w:b/>
          <w:spacing w:val="0"/>
          <w:szCs w:val="24"/>
          <w:rtl/>
        </w:rPr>
      </w:pPr>
      <w:r w:rsidRPr="000D7F0D">
        <w:rPr>
          <w:rFonts w:ascii="Century" w:hAnsi="Century" w:cs="Miriam" w:hint="cs"/>
          <w:b/>
          <w:spacing w:val="0"/>
          <w:szCs w:val="24"/>
          <w:rtl/>
        </w:rPr>
        <w:t>רקע</w:t>
      </w:r>
    </w:p>
    <w:p w:rsidR="0010512C" w:rsidRPr="00394EBB" w:rsidRDefault="0010512C" w:rsidP="0010512C">
      <w:pPr>
        <w:pStyle w:val="Ruller41"/>
        <w:rPr>
          <w:sz w:val="14"/>
          <w:szCs w:val="20"/>
          <w:rtl/>
        </w:rPr>
      </w:pPr>
    </w:p>
    <w:p w:rsidR="00394EBB" w:rsidRDefault="00187267" w:rsidP="00394EBB">
      <w:pPr>
        <w:pStyle w:val="Ruller41"/>
        <w:rPr>
          <w:rtl/>
        </w:rPr>
      </w:pPr>
      <w:r>
        <w:rPr>
          <w:rFonts w:hint="cs"/>
          <w:noProof/>
          <w:rtl/>
        </w:rPr>
        <w:drawing>
          <wp:anchor distT="0" distB="0" distL="114300" distR="114300" simplePos="0" relativeHeight="251658240" behindDoc="0" locked="0" layoutInCell="1" allowOverlap="1">
            <wp:simplePos x="0" y="0"/>
            <wp:positionH relativeFrom="column">
              <wp:posOffset>206205</wp:posOffset>
            </wp:positionH>
            <wp:positionV relativeFrom="paragraph">
              <wp:posOffset>549408</wp:posOffset>
            </wp:positionV>
            <wp:extent cx="4777740" cy="1894205"/>
            <wp:effectExtent l="0" t="0" r="3810" b="0"/>
            <wp:wrapTopAndBottom/>
            <wp:docPr id="31"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8" cstate="print">
                      <a:extLst>
                        <a:ext uri="{28A0092B-C50C-407E-A947-70E740481C1C}">
                          <a14:useLocalDpi xmlns:a14="http://schemas.microsoft.com/office/drawing/2010/main" val="0"/>
                        </a:ext>
                      </a:extLst>
                    </a:blip>
                    <a:srcRect l="16562" t="31905" r="11316" b="17432"/>
                    <a:stretch>
                      <a:fillRect/>
                    </a:stretch>
                  </pic:blipFill>
                  <pic:spPr bwMode="auto">
                    <a:xfrm>
                      <a:off x="0" y="0"/>
                      <a:ext cx="4777740" cy="189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94EBB">
        <w:rPr>
          <w:rFonts w:hint="cs"/>
          <w:rtl/>
        </w:rPr>
        <w:t>2.</w:t>
      </w:r>
      <w:r w:rsidR="00394EBB">
        <w:rPr>
          <w:rtl/>
        </w:rPr>
        <w:tab/>
      </w:r>
      <w:r w:rsidR="00394EBB">
        <w:rPr>
          <w:rFonts w:hint="cs"/>
          <w:rtl/>
        </w:rPr>
        <w:t xml:space="preserve">המשיב 1 (להלן: </w:t>
      </w:r>
      <w:r w:rsidR="00394EBB" w:rsidRPr="007873A4">
        <w:rPr>
          <w:rFonts w:ascii="Century" w:hAnsi="Century" w:cs="Miriam" w:hint="cs"/>
          <w:b/>
          <w:spacing w:val="0"/>
          <w:szCs w:val="24"/>
          <w:rtl/>
        </w:rPr>
        <w:t>המשיב</w:t>
      </w:r>
      <w:r w:rsidR="00394EBB">
        <w:rPr>
          <w:rFonts w:hint="cs"/>
          <w:rtl/>
        </w:rPr>
        <w:t>) הוא הבעלים של חברות רבות</w:t>
      </w:r>
      <w:r>
        <w:rPr>
          <w:rFonts w:hint="cs"/>
          <w:rtl/>
        </w:rPr>
        <w:t xml:space="preserve"> (להלן גם: </w:t>
      </w:r>
      <w:r w:rsidRPr="00187267">
        <w:rPr>
          <w:rFonts w:ascii="Century" w:hAnsi="Century" w:cs="Miriam" w:hint="cs"/>
          <w:b/>
          <w:spacing w:val="0"/>
          <w:szCs w:val="24"/>
          <w:rtl/>
        </w:rPr>
        <w:t>קבוצת סומת</w:t>
      </w:r>
      <w:r>
        <w:rPr>
          <w:rFonts w:hint="cs"/>
          <w:rtl/>
        </w:rPr>
        <w:t>)</w:t>
      </w:r>
      <w:r w:rsidR="00394EBB">
        <w:rPr>
          <w:rFonts w:hint="cs"/>
          <w:rtl/>
        </w:rPr>
        <w:t>, ומערך החברות הרלוונטיות לענייננו הוא:</w:t>
      </w:r>
    </w:p>
    <w:p w:rsidR="0010512C" w:rsidRDefault="0010512C" w:rsidP="0010512C">
      <w:pPr>
        <w:pStyle w:val="Ruller41"/>
        <w:rPr>
          <w:rtl/>
        </w:rPr>
      </w:pPr>
    </w:p>
    <w:p w:rsidR="0010512C" w:rsidRDefault="0010512C" w:rsidP="0010512C">
      <w:pPr>
        <w:pStyle w:val="Ruller41"/>
        <w:rPr>
          <w:rtl/>
        </w:rPr>
      </w:pPr>
      <w:r>
        <w:rPr>
          <w:rtl/>
        </w:rPr>
        <w:tab/>
      </w:r>
      <w:r>
        <w:rPr>
          <w:rFonts w:hint="cs"/>
          <w:rtl/>
        </w:rPr>
        <w:t>לטובת ההבחנה בין הסוגיות המשפטיות הנפרדות, אתאר את הרקע העובדתי בשני צירים כרונולוגיים מקבילים, בהתאם למחלוקות העיקריות בין הצדדים. יש נקודות מגע בין הצירים, אך בנקודת המוצא השאלות המשפטיות הן שאלות נפרדות.</w:t>
      </w:r>
    </w:p>
    <w:p w:rsidR="0010512C" w:rsidRDefault="0010512C" w:rsidP="0010512C">
      <w:pPr>
        <w:pStyle w:val="Ruller41"/>
        <w:rPr>
          <w:rtl/>
        </w:rPr>
      </w:pPr>
    </w:p>
    <w:p w:rsidR="0010512C" w:rsidRPr="00B65FC7" w:rsidRDefault="0010512C" w:rsidP="0010512C">
      <w:pPr>
        <w:pStyle w:val="Ruller41"/>
        <w:rPr>
          <w:rFonts w:ascii="Century" w:hAnsi="Century" w:cs="Miriam"/>
          <w:b/>
          <w:spacing w:val="0"/>
          <w:szCs w:val="24"/>
          <w:rtl/>
        </w:rPr>
      </w:pPr>
      <w:r>
        <w:rPr>
          <w:rFonts w:ascii="Century" w:hAnsi="Century" w:cs="Miriam" w:hint="cs"/>
          <w:b/>
          <w:spacing w:val="0"/>
          <w:szCs w:val="24"/>
          <w:rtl/>
        </w:rPr>
        <w:t xml:space="preserve">סוגיה ראשונה: </w:t>
      </w:r>
      <w:r w:rsidRPr="00B65FC7">
        <w:rPr>
          <w:rFonts w:ascii="Century" w:hAnsi="Century" w:cs="Miriam" w:hint="cs"/>
          <w:b/>
          <w:spacing w:val="0"/>
          <w:szCs w:val="24"/>
          <w:rtl/>
        </w:rPr>
        <w:t>הפסד הון</w:t>
      </w:r>
    </w:p>
    <w:p w:rsidR="0010512C" w:rsidRDefault="0010512C" w:rsidP="0010512C">
      <w:pPr>
        <w:pStyle w:val="Ruller41"/>
        <w:rPr>
          <w:rtl/>
        </w:rPr>
      </w:pPr>
    </w:p>
    <w:p w:rsidR="0010512C" w:rsidRDefault="0010512C" w:rsidP="0010512C">
      <w:pPr>
        <w:pStyle w:val="Ruller41"/>
        <w:rPr>
          <w:rtl/>
        </w:rPr>
      </w:pPr>
      <w:r>
        <w:rPr>
          <w:rFonts w:hint="cs"/>
          <w:rtl/>
        </w:rPr>
        <w:t>3.</w:t>
      </w:r>
      <w:r>
        <w:rPr>
          <w:rtl/>
        </w:rPr>
        <w:tab/>
      </w:r>
      <w:r>
        <w:rPr>
          <w:rFonts w:hint="cs"/>
          <w:rtl/>
        </w:rPr>
        <w:t xml:space="preserve">המשיבה 2 (להלן: </w:t>
      </w:r>
      <w:r w:rsidRPr="008F5461">
        <w:rPr>
          <w:rFonts w:ascii="Century" w:hAnsi="Century" w:cs="Miriam" w:hint="cs"/>
          <w:b/>
          <w:spacing w:val="0"/>
          <w:szCs w:val="24"/>
          <w:rtl/>
        </w:rPr>
        <w:t>סומת</w:t>
      </w:r>
      <w:r>
        <w:rPr>
          <w:rFonts w:hint="cs"/>
          <w:rtl/>
        </w:rPr>
        <w:t xml:space="preserve">) היא חברה משפחתית כהגדרתה לפי סעיף 64א לפקודת מס הכנסה [נוסח חדש] (להלן: </w:t>
      </w:r>
      <w:r w:rsidRPr="008F5461">
        <w:rPr>
          <w:rFonts w:ascii="Century" w:hAnsi="Century" w:cs="Miriam" w:hint="cs"/>
          <w:b/>
          <w:spacing w:val="0"/>
          <w:szCs w:val="24"/>
          <w:rtl/>
        </w:rPr>
        <w:t>הפקודה</w:t>
      </w:r>
      <w:r>
        <w:rPr>
          <w:rFonts w:hint="cs"/>
          <w:rtl/>
        </w:rPr>
        <w:t xml:space="preserve">) (המשיב מחזיק ב-99% ממניותיה). המשמעות היא כי בהתקיים תנאים מסויימים, הכנסותיה של החברה מיוחסות באופן ישיר למשיב, הוא בעל המניות העיקרי. בשנת 1995 סומת רכשה מגרש באזור תעשיה בנתניה תמורת 21 מיליון ₪ (להלן: </w:t>
      </w:r>
      <w:r w:rsidRPr="008F5461">
        <w:rPr>
          <w:rFonts w:ascii="Century" w:hAnsi="Century" w:cs="Miriam" w:hint="cs"/>
          <w:b/>
          <w:spacing w:val="0"/>
          <w:szCs w:val="24"/>
          <w:rtl/>
        </w:rPr>
        <w:t>המגרש</w:t>
      </w:r>
      <w:r>
        <w:rPr>
          <w:rFonts w:hint="cs"/>
          <w:rtl/>
        </w:rPr>
        <w:t>). מימון הרכישה נעשה באמצעות הלוואת בעלים בסך 8 מיליון ₪ והלוואה מהבנק הבינלאומי בסך 13 מיליון ₪. בשנת 1996 המגרש נמכר לחברת סומ-אר, חברה ייעודית שהוקמה לשם כך, ש-50% ממניותיה בבעלות סומת ו-50% בבעלות חב' ש.י.פ.ק ששייכת לקבוצת ארנסון (שם החברה, סומ-אר, משלב את סומת וארנסון; לשלמות התמונה אציין כי בהמשך הצטרף ועזב שותף שלישי, אך הוא אינו רלוונטי לענייננו). לטענת המשיבים, יחד עם ש.י.פ.ק הם המשיכו להשקיע במגרש עוד כ-20 מיליון ₪, וגם השקעה זו מומנה בהלוואת בעלים ובהלוואה מהבנק הבינלאומי.</w:t>
      </w:r>
    </w:p>
    <w:p w:rsidR="0010512C" w:rsidRDefault="0010512C" w:rsidP="0010512C">
      <w:pPr>
        <w:pStyle w:val="Ruller41"/>
        <w:rPr>
          <w:rtl/>
        </w:rPr>
      </w:pPr>
    </w:p>
    <w:p w:rsidR="0010512C" w:rsidRDefault="0010512C" w:rsidP="0010512C">
      <w:pPr>
        <w:pStyle w:val="Ruller41"/>
        <w:rPr>
          <w:rtl/>
        </w:rPr>
      </w:pPr>
      <w:r>
        <w:rPr>
          <w:rtl/>
        </w:rPr>
        <w:tab/>
      </w:r>
      <w:r>
        <w:rPr>
          <w:rFonts w:hint="cs"/>
          <w:rtl/>
        </w:rPr>
        <w:t xml:space="preserve">בשנת 2005 נערכה עסקת קומבינציה במגרש. חברת סומ-אר מכרה 69% מהמגרש לחברות קבלניות (בראשות חברת דמרי), תמורת שירותי בניית שלד על יתרת הקרקע. המשיבים טענו כי ההשקעה במגרש התבררה כהשקעה כושלת, משום שבשלב זה המגרש כולו הוערך בשווי של 20 מיליון ₪ בלבד, לאחר שהושקעו בו כ-41 מיליון ₪ (21 מיליון ₪ רכישה ועוד 20 מיליון ₪ הוצאות מימון, השקעה ופיתוח). </w:t>
      </w:r>
    </w:p>
    <w:p w:rsidR="0010512C" w:rsidRDefault="0010512C" w:rsidP="0010512C">
      <w:pPr>
        <w:pStyle w:val="Ruller41"/>
        <w:rPr>
          <w:rtl/>
        </w:rPr>
      </w:pPr>
    </w:p>
    <w:p w:rsidR="0010512C" w:rsidRPr="00B65FC7" w:rsidRDefault="0010512C" w:rsidP="0010512C">
      <w:pPr>
        <w:pStyle w:val="Ruller41"/>
        <w:rPr>
          <w:rFonts w:ascii="Century" w:hAnsi="Century" w:cs="Miriam"/>
          <w:b/>
          <w:spacing w:val="0"/>
          <w:szCs w:val="24"/>
          <w:rtl/>
        </w:rPr>
      </w:pPr>
      <w:r>
        <w:rPr>
          <w:rFonts w:ascii="Century" w:hAnsi="Century" w:cs="Miriam" w:hint="cs"/>
          <w:b/>
          <w:spacing w:val="0"/>
          <w:szCs w:val="24"/>
          <w:rtl/>
        </w:rPr>
        <w:t xml:space="preserve">סוגיה שניה: </w:t>
      </w:r>
      <w:r w:rsidRPr="00B65FC7">
        <w:rPr>
          <w:rFonts w:ascii="Century" w:hAnsi="Century" w:cs="Miriam" w:hint="cs"/>
          <w:b/>
          <w:spacing w:val="0"/>
          <w:szCs w:val="24"/>
          <w:rtl/>
        </w:rPr>
        <w:t>עסקה מלאכותית</w:t>
      </w:r>
    </w:p>
    <w:p w:rsidR="0010512C" w:rsidRDefault="0010512C" w:rsidP="0010512C">
      <w:pPr>
        <w:pStyle w:val="Ruller41"/>
        <w:rPr>
          <w:rtl/>
        </w:rPr>
      </w:pPr>
    </w:p>
    <w:p w:rsidR="0010512C" w:rsidRDefault="0010512C" w:rsidP="0010512C">
      <w:pPr>
        <w:pStyle w:val="Ruller41"/>
        <w:rPr>
          <w:rtl/>
        </w:rPr>
      </w:pPr>
      <w:r>
        <w:rPr>
          <w:rFonts w:hint="cs"/>
          <w:rtl/>
        </w:rPr>
        <w:t>4.</w:t>
      </w:r>
      <w:r>
        <w:rPr>
          <w:rtl/>
        </w:rPr>
        <w:tab/>
      </w:r>
      <w:r>
        <w:rPr>
          <w:rFonts w:hint="cs"/>
          <w:rtl/>
        </w:rPr>
        <w:t xml:space="preserve">בסמיכות זמנים לעסקת הקומבינציה, לקראת סוף שנת 2005, נערכו עסקאות נוספות. ביום 7.12.2005, המשיב מכר מניות בחברת </w:t>
      </w:r>
      <w:r w:rsidRPr="007C0934">
        <w:rPr>
          <w:rFonts w:ascii="Times New Roman" w:hAnsi="Times New Roman" w:cs="Times New Roman"/>
        </w:rPr>
        <w:t>NOF LLC</w:t>
      </w:r>
      <w:r>
        <w:rPr>
          <w:rFonts w:hint="cs"/>
          <w:rtl/>
        </w:rPr>
        <w:t xml:space="preserve"> (הרשומה בארה"ב) ונוצר לו רווח הון של 11,622,331 ₪ (להלן: </w:t>
      </w:r>
      <w:r w:rsidRPr="008F5461">
        <w:rPr>
          <w:rFonts w:ascii="Century" w:hAnsi="Century" w:cs="Miriam" w:hint="cs"/>
          <w:b/>
          <w:spacing w:val="0"/>
          <w:szCs w:val="24"/>
          <w:rtl/>
        </w:rPr>
        <w:t>עסקת נוף</w:t>
      </w:r>
      <w:r>
        <w:rPr>
          <w:rFonts w:hint="cs"/>
          <w:rtl/>
        </w:rPr>
        <w:t xml:space="preserve">). שבועיים לאחר מכן, ביום 22.12.2005, נחתם הסכם הקומבינציה בין סומ-אר לבין הקבלנים. ביום 25.12.2005 סומת מכרה את מניות סומ-אר להילן החזקות (להלן: </w:t>
      </w:r>
      <w:r w:rsidRPr="008F5461">
        <w:rPr>
          <w:rFonts w:ascii="Century" w:hAnsi="Century" w:cs="Miriam" w:hint="cs"/>
          <w:b/>
          <w:spacing w:val="0"/>
          <w:szCs w:val="24"/>
          <w:rtl/>
        </w:rPr>
        <w:t>עסקת הילן</w:t>
      </w:r>
      <w:r>
        <w:rPr>
          <w:rFonts w:hint="cs"/>
          <w:rtl/>
        </w:rPr>
        <w:t xml:space="preserve">). הילן היא חברה לא פעילה, בבעלותו המלאה של המשיב. בדוח שהגיש המשיב לשנת המס 2005, נכתב כי מניות סומ-אר נמכרו להילן תמורת סכום של כ-150,000$, וכתוצאה מכך נוצר לסומת הפסד הון של 11,046,942 ₪. המשיב ביקש לקזז את הפסד ההון מרווח ההון שנוצר לו ממכירת מניות </w:t>
      </w:r>
      <w:r>
        <w:rPr>
          <w:rFonts w:hint="cs"/>
        </w:rPr>
        <w:t>NOF</w:t>
      </w:r>
      <w:r>
        <w:rPr>
          <w:rFonts w:hint="cs"/>
          <w:rtl/>
        </w:rPr>
        <w:t>. כפי שניתן להבחין, הסכומים דומים, ולכן דיווח המשיב על רווח הון נטו בשיעור של 575,389 ₪ בלבד.</w:t>
      </w:r>
    </w:p>
    <w:p w:rsidR="0010512C" w:rsidRDefault="0010512C" w:rsidP="0010512C">
      <w:pPr>
        <w:pStyle w:val="Ruller41"/>
        <w:rPr>
          <w:rtl/>
        </w:rPr>
      </w:pPr>
    </w:p>
    <w:p w:rsidR="0010512C" w:rsidRDefault="0010512C" w:rsidP="0010512C">
      <w:pPr>
        <w:pStyle w:val="Ruller41"/>
        <w:rPr>
          <w:rtl/>
        </w:rPr>
      </w:pPr>
      <w:r>
        <w:rPr>
          <w:rtl/>
        </w:rPr>
        <w:tab/>
      </w:r>
      <w:r>
        <w:rPr>
          <w:rFonts w:hint="cs"/>
          <w:rtl/>
        </w:rPr>
        <w:t>סמיכות הזמנים, מכירת המגרש בעסקה שבה המשיב הוא גם המוכר וגם הקונה, והקרבה בין גובה הרווח לגובה ההפסד, עוררו את חשדו של פקיד השומה. פקיד השומה קבע כי עסקת הילן היא עסקה מלאכותית, שתכליתה היא לייצר למשיב הפסד הון שניתן יהיה לקזז אותו אל מול הרווח מעסקת נוף.</w:t>
      </w:r>
    </w:p>
    <w:p w:rsidR="0010512C" w:rsidRDefault="0010512C" w:rsidP="0010512C">
      <w:pPr>
        <w:pStyle w:val="Ruller41"/>
        <w:rPr>
          <w:rtl/>
        </w:rPr>
      </w:pPr>
    </w:p>
    <w:p w:rsidR="0010512C" w:rsidRPr="00084906" w:rsidRDefault="0010512C" w:rsidP="0010512C">
      <w:pPr>
        <w:pStyle w:val="Ruller41"/>
        <w:rPr>
          <w:rFonts w:ascii="Century" w:hAnsi="Century" w:cs="Miriam"/>
          <w:b/>
          <w:spacing w:val="0"/>
          <w:szCs w:val="24"/>
          <w:rtl/>
        </w:rPr>
      </w:pPr>
      <w:r>
        <w:rPr>
          <w:rFonts w:ascii="Century" w:hAnsi="Century" w:cs="Miriam" w:hint="cs"/>
          <w:b/>
          <w:spacing w:val="0"/>
          <w:szCs w:val="24"/>
          <w:rtl/>
        </w:rPr>
        <w:t>פסק הדין מושא הערעור</w:t>
      </w:r>
    </w:p>
    <w:p w:rsidR="0010512C" w:rsidRDefault="0010512C" w:rsidP="0010512C">
      <w:pPr>
        <w:pStyle w:val="Ruller41"/>
        <w:rPr>
          <w:rtl/>
        </w:rPr>
      </w:pPr>
    </w:p>
    <w:p w:rsidR="0010512C" w:rsidRDefault="0010512C" w:rsidP="0010512C">
      <w:pPr>
        <w:pStyle w:val="Ruller41"/>
        <w:rPr>
          <w:rtl/>
        </w:rPr>
      </w:pPr>
      <w:r>
        <w:rPr>
          <w:rFonts w:hint="cs"/>
          <w:rtl/>
        </w:rPr>
        <w:t>5.</w:t>
      </w:r>
      <w:r>
        <w:rPr>
          <w:rtl/>
        </w:rPr>
        <w:tab/>
      </w:r>
      <w:r>
        <w:rPr>
          <w:rFonts w:hint="cs"/>
          <w:rtl/>
        </w:rPr>
        <w:t xml:space="preserve">בית משפט קמא פתח את פסק דינו בשאלה אם מכירת מניות סומ-אר מסומת להילן היא עסקה מלאכותית ואם היה לה טעם כלכלי מסחרי. בית המשפט השתכנע כי </w:t>
      </w:r>
      <w:r w:rsidRPr="00BA768D">
        <w:rPr>
          <w:rFonts w:ascii="Century" w:hAnsi="Century" w:hint="cs"/>
          <w:rtl/>
        </w:rPr>
        <w:t>"</w:t>
      </w:r>
      <w:r w:rsidRPr="00BA768D">
        <w:rPr>
          <w:rFonts w:ascii="Century" w:hAnsi="Century"/>
          <w:rtl/>
        </w:rPr>
        <w:t>נצמחו למערערת הפסדים כתוצאה מהשקעתה במגרש בית סומ-אר והפסדים אלו כבר היו ראויים בהכרה לצורכי מס, אף ללא תלות בביצוע עסקת מכירת ההשקעות בחב' בית סומ-אר לחב' הילן</w:t>
      </w:r>
      <w:r w:rsidRPr="00BA768D">
        <w:rPr>
          <w:rFonts w:ascii="Century" w:hAnsi="Century" w:hint="cs"/>
          <w:rtl/>
        </w:rPr>
        <w:t>"</w:t>
      </w:r>
      <w:r>
        <w:rPr>
          <w:rFonts w:ascii="Century" w:hAnsi="Century" w:hint="cs"/>
          <w:rtl/>
        </w:rPr>
        <w:t xml:space="preserve"> (פסקה 80)</w:t>
      </w:r>
      <w:r w:rsidRPr="00BA768D">
        <w:rPr>
          <w:rFonts w:ascii="Century" w:hAnsi="Century"/>
          <w:rtl/>
        </w:rPr>
        <w:t>.</w:t>
      </w:r>
      <w:r>
        <w:rPr>
          <w:rFonts w:hint="cs"/>
          <w:rtl/>
        </w:rPr>
        <w:t xml:space="preserve"> צויין כי ההפסד נבע מכך שהתגלו במגרש פגמים שסיכלו את השבחתו, ובין היתר, השפעה של קו מתח גבוה שהגביל את היקף הבנייה. הובאו ראיות מספקות לכך שבשנת 2005 שווי המגרש עמד על כ-20 מיליון ₪, ומכאן שהשקעתה של סומת במגרש היתה הפסדית. באספקלריה זו נבחנה גם עסקת הילן, ובפסקה 121 לפסק הדין </w:t>
      </w:r>
      <w:r w:rsidRPr="008F5461">
        <w:rPr>
          <w:rFonts w:ascii="Century" w:hAnsi="Century" w:hint="cs"/>
          <w:rtl/>
        </w:rPr>
        <w:t>נאמר כי "</w:t>
      </w:r>
      <w:r w:rsidRPr="008F5461">
        <w:rPr>
          <w:rFonts w:ascii="Century" w:hAnsi="Century"/>
          <w:rtl/>
        </w:rPr>
        <w:t>מנקודת המבט המשפטית המבחן הוא סובייקטיבי.</w:t>
      </w:r>
      <w:r w:rsidRPr="00EA48FF">
        <w:rPr>
          <w:rFonts w:ascii="Calibri" w:hAnsi="Calibri" w:cs="Narkisim"/>
          <w:spacing w:val="0"/>
          <w:sz w:val="26"/>
          <w:szCs w:val="26"/>
          <w:rtl/>
        </w:rPr>
        <w:t xml:space="preserve"> </w:t>
      </w:r>
      <w:r w:rsidRPr="008F5461">
        <w:rPr>
          <w:rFonts w:ascii="Century" w:hAnsi="Century"/>
          <w:rtl/>
        </w:rPr>
        <w:t>נכון לתום שנת 2005, לאחר כריתת הסכם הקומבינציה, התברר כי שווי המגרש הוא רק כמחצית שווי העלות שלו בספרי חב</w:t>
      </w:r>
      <w:r>
        <w:rPr>
          <w:rFonts w:ascii="Century" w:hAnsi="Century" w:hint="cs"/>
          <w:rtl/>
        </w:rPr>
        <w:t>'</w:t>
      </w:r>
      <w:r w:rsidRPr="008F5461">
        <w:rPr>
          <w:rFonts w:ascii="Century" w:hAnsi="Century"/>
          <w:rtl/>
        </w:rPr>
        <w:t xml:space="preserve"> בית סומ-אר, ואין כל סיכוי למערערת לקבל את ההשקעה שלה בחזרה</w:t>
      </w:r>
      <w:r w:rsidRPr="008F5461">
        <w:rPr>
          <w:rFonts w:ascii="Century" w:hAnsi="Century" w:hint="cs"/>
          <w:rtl/>
        </w:rPr>
        <w:t xml:space="preserve">". </w:t>
      </w:r>
      <w:r>
        <w:rPr>
          <w:rFonts w:hint="cs"/>
          <w:rtl/>
        </w:rPr>
        <w:t xml:space="preserve">כמו כן, בית המשפט קיבל את הטענה כי "טעם מסחרי ממשי" </w:t>
      </w:r>
      <w:r>
        <w:rPr>
          <w:rFonts w:hint="cs"/>
          <w:rtl/>
        </w:rPr>
        <w:lastRenderedPageBreak/>
        <w:t xml:space="preserve">לעסקת הילן, היה הרצון של סומת להיפטר מהשיעבוד שהטיל הבנק הבינלאומי על נכסיה. </w:t>
      </w:r>
    </w:p>
    <w:p w:rsidR="0010512C" w:rsidRDefault="0010512C" w:rsidP="0010512C">
      <w:pPr>
        <w:pStyle w:val="Ruller41"/>
        <w:rPr>
          <w:rtl/>
        </w:rPr>
      </w:pPr>
    </w:p>
    <w:p w:rsidR="0010512C" w:rsidRDefault="0010512C" w:rsidP="0010512C">
      <w:pPr>
        <w:pStyle w:val="Ruller41"/>
        <w:rPr>
          <w:rFonts w:ascii="Century" w:hAnsi="Century" w:cs="Miriam"/>
          <w:b/>
          <w:spacing w:val="0"/>
          <w:szCs w:val="24"/>
          <w:rtl/>
        </w:rPr>
      </w:pPr>
      <w:r>
        <w:rPr>
          <w:rFonts w:ascii="Century" w:hAnsi="Century" w:cs="Miriam" w:hint="cs"/>
          <w:b/>
          <w:spacing w:val="0"/>
          <w:szCs w:val="24"/>
          <w:rtl/>
        </w:rPr>
        <w:t>תמצית טענות הצדדים</w:t>
      </w:r>
    </w:p>
    <w:p w:rsidR="0010512C" w:rsidRPr="00084906" w:rsidRDefault="0010512C" w:rsidP="0010512C">
      <w:pPr>
        <w:pStyle w:val="Ruller41"/>
        <w:rPr>
          <w:rFonts w:ascii="Century" w:hAnsi="Century" w:cs="Miriam"/>
          <w:b/>
          <w:spacing w:val="0"/>
          <w:szCs w:val="24"/>
          <w:rtl/>
        </w:rPr>
      </w:pPr>
    </w:p>
    <w:p w:rsidR="0010512C" w:rsidRPr="0026719E" w:rsidRDefault="0010512C" w:rsidP="0010512C">
      <w:pPr>
        <w:pStyle w:val="Ruller41"/>
        <w:rPr>
          <w:rtl/>
        </w:rPr>
      </w:pPr>
      <w:r>
        <w:rPr>
          <w:rFonts w:hint="cs"/>
          <w:rtl/>
        </w:rPr>
        <w:t>6.</w:t>
      </w:r>
      <w:r>
        <w:rPr>
          <w:rtl/>
        </w:rPr>
        <w:tab/>
      </w:r>
      <w:r>
        <w:rPr>
          <w:rFonts w:hint="cs"/>
          <w:rtl/>
        </w:rPr>
        <w:t>פקיד השומה טען בערעורו כי בית משפט קמא שגה בכך שהתבסס על מבחן סובייקטיבי, בעוד שהמבחן הנכון להיווצרות הפסד הון הוא מבחן אובייקטיבי. כמו כן, נטען כי בית המשפט שגה כאשר הקדים את הדיון בשאלת העסקה המלאכותית לדיון בשאלה אם סומת הוכיחה הפסד בר-קיזוז. לשיטתו של פקיד השומה, יש לדחות את טענת הקיזוז כבר במישור של דיני ההפסדים, ומכל מקום גם העסקה עם הילן היא עסקה מלאכותית, אשר נערכה זמן קצר לאחר שהמשיב צבר רווח הון, וחוזה המכר של המגרש חתום על-ידי המשיב הן כמוכר הן כקונה.</w:t>
      </w:r>
    </w:p>
    <w:p w:rsidR="0010512C" w:rsidRDefault="0010512C" w:rsidP="0010512C">
      <w:pPr>
        <w:pStyle w:val="Ruller41"/>
        <w:ind w:left="75"/>
        <w:rPr>
          <w:rtl/>
        </w:rPr>
      </w:pPr>
    </w:p>
    <w:p w:rsidR="0010512C" w:rsidRDefault="0010512C" w:rsidP="00394EBB">
      <w:pPr>
        <w:pStyle w:val="Ruller41"/>
        <w:rPr>
          <w:rtl/>
        </w:rPr>
      </w:pPr>
      <w:r>
        <w:rPr>
          <w:rtl/>
        </w:rPr>
        <w:tab/>
      </w:r>
      <w:r>
        <w:rPr>
          <w:rFonts w:hint="cs"/>
          <w:rtl/>
        </w:rPr>
        <w:t>מנגד, המשיבים העלו טענת סף, שלפיה עסקת המכר של סומ-אר כבר אושרה על ידי רשויות מיסוי מקרקעין, ולכן פקיד השומה אינו מוסמך לקבוע שומה אחרת. לגוף העניין, המשיבים הדגישו כי לשיטתם הפסד ההון לא נובע מעסקת הילן, אלא מדובר בהפסד שדווח לרשויות המס כבר בשנת 2005 והוכח עובדתית בפני בית משפט קמא. ההשקעה של סומת בחברת הבת סומ-אר ירדה לטמיון, ועל פי דיני המס זהו הפסד בר-קיזוז. עסקת הילן מבטאת את השווי הכלכלי של המגרש באותו מועד, העסקה לא נועדה לייצר פתרון לבעיית מיסוי אלא היה לה טעם מסחרי ברור, כפי שקבע בית משפט קמא: לשחרר את המקרקעין של סומת משיעבודים שרבצו עליהם. המשיבים ערים לכך שיש בעסקה היבטים שלכאורה מעוררים חשד למלאכותיות, אך הם הדגישו כי סמיכות הזמנים בין הרווח לבין ההפסד היא אקראית ומועדי העסקאות לא נקבעו על-ידי המשיב אלא על פי גורמים אחרים.</w:t>
      </w:r>
    </w:p>
    <w:p w:rsidR="0010512C" w:rsidRDefault="0010512C" w:rsidP="0010512C">
      <w:pPr>
        <w:pStyle w:val="Ruller41"/>
        <w:rPr>
          <w:rtl/>
        </w:rPr>
      </w:pPr>
    </w:p>
    <w:p w:rsidR="0010512C" w:rsidRPr="00972813" w:rsidRDefault="0010512C" w:rsidP="0010512C">
      <w:pPr>
        <w:pStyle w:val="Ruller41"/>
        <w:rPr>
          <w:rFonts w:ascii="Century" w:hAnsi="Century" w:cs="Miriam"/>
          <w:b/>
          <w:spacing w:val="0"/>
          <w:szCs w:val="24"/>
          <w:rtl/>
        </w:rPr>
      </w:pPr>
      <w:r w:rsidRPr="00972813">
        <w:rPr>
          <w:rFonts w:ascii="Century" w:hAnsi="Century" w:cs="Miriam" w:hint="cs"/>
          <w:b/>
          <w:spacing w:val="0"/>
          <w:szCs w:val="24"/>
          <w:rtl/>
        </w:rPr>
        <w:t>דיון והכרעה</w:t>
      </w:r>
    </w:p>
    <w:p w:rsidR="0010512C" w:rsidRDefault="0010512C" w:rsidP="0010512C">
      <w:pPr>
        <w:pStyle w:val="Ruller41"/>
        <w:rPr>
          <w:rtl/>
        </w:rPr>
      </w:pPr>
    </w:p>
    <w:p w:rsidR="0010512C" w:rsidRPr="00877EEB" w:rsidRDefault="0010512C" w:rsidP="0010512C">
      <w:pPr>
        <w:pStyle w:val="Ruller41"/>
        <w:rPr>
          <w:rtl/>
        </w:rPr>
      </w:pPr>
      <w:r>
        <w:rPr>
          <w:rFonts w:hint="cs"/>
          <w:rtl/>
        </w:rPr>
        <w:t>7.</w:t>
      </w:r>
      <w:r>
        <w:rPr>
          <w:rtl/>
        </w:rPr>
        <w:tab/>
      </w:r>
      <w:r>
        <w:rPr>
          <w:rFonts w:hint="cs"/>
          <w:rtl/>
        </w:rPr>
        <w:t xml:space="preserve">בפתח הדברים אדרש לטענת הסף שהעלו המשיבים, ולפיה המערער לא היה מוסמך לדון בנושא, משום שסוגיית המיסוי של סומ-אר כבר הוכרעה על ידי מיסוי מקרקעין. אין בידי לקבל את הטענה. פקיד השומה לא הרהר אחר קביעותיו של מיסוי מקרקעין, אלא בחן את השומה שהוגשה לו עבור שנת 2005, ובפרט את השאלה אם המשיב רשאי לקזז את הפסד ההון הנטען. זוהי סוגיה הנתונה לסמכותו של פקיד השומה, </w:t>
      </w:r>
      <w:r>
        <w:rPr>
          <w:rFonts w:ascii="Century" w:hAnsi="Century" w:hint="cs"/>
          <w:rtl/>
        </w:rPr>
        <w:t xml:space="preserve">שלא הוכרעה על-ידי רשות אחרת </w:t>
      </w:r>
      <w:r w:rsidRPr="00877EEB">
        <w:rPr>
          <w:rFonts w:ascii="Century" w:hAnsi="Century" w:hint="cs"/>
          <w:rtl/>
        </w:rPr>
        <w:t xml:space="preserve">(ראו והשוו: </w:t>
      </w:r>
      <w:r w:rsidRPr="00877EEB">
        <w:rPr>
          <w:rFonts w:ascii="Century" w:hAnsi="Century"/>
          <w:rtl/>
        </w:rPr>
        <w:t>ע</w:t>
      </w:r>
      <w:r>
        <w:rPr>
          <w:rFonts w:ascii="Century" w:hAnsi="Century" w:hint="cs"/>
          <w:rtl/>
        </w:rPr>
        <w:t>"</w:t>
      </w:r>
      <w:r w:rsidRPr="00877EEB">
        <w:rPr>
          <w:rFonts w:ascii="Century" w:hAnsi="Century"/>
          <w:rtl/>
        </w:rPr>
        <w:t xml:space="preserve">א 4377/17 </w:t>
      </w:r>
      <w:r w:rsidRPr="00877EEB">
        <w:rPr>
          <w:rFonts w:ascii="Century" w:hAnsi="Century" w:cs="Miriam"/>
          <w:b/>
          <w:spacing w:val="0"/>
          <w:szCs w:val="24"/>
          <w:rtl/>
        </w:rPr>
        <w:t>גיבשטיין נ' מע"מ רחובות</w:t>
      </w:r>
      <w:r w:rsidRPr="00877EEB">
        <w:rPr>
          <w:rFonts w:ascii="Century" w:hAnsi="Century" w:hint="cs"/>
          <w:rtl/>
        </w:rPr>
        <w:t xml:space="preserve">, בפסקה 37 (2.6.2019)). לפיכך אין לנו צורך לדון בסמכותו של פקיד השומה לשנות </w:t>
      </w:r>
      <w:r w:rsidRPr="00877EEB">
        <w:rPr>
          <w:rFonts w:ascii="Century" w:hAnsi="Century" w:hint="cs"/>
          <w:rtl/>
        </w:rPr>
        <w:lastRenderedPageBreak/>
        <w:t xml:space="preserve">החלטה מינהלית קודמת, אך </w:t>
      </w:r>
      <w:r w:rsidRPr="00877EEB">
        <w:rPr>
          <w:rFonts w:hint="cs"/>
          <w:rtl/>
        </w:rPr>
        <w:t xml:space="preserve">למעלה מן הנדרש </w:t>
      </w:r>
      <w:r w:rsidRPr="00877EEB">
        <w:rPr>
          <w:rFonts w:ascii="Century" w:hAnsi="Century" w:hint="cs"/>
          <w:rtl/>
        </w:rPr>
        <w:t xml:space="preserve">אציין כי </w:t>
      </w:r>
      <w:r>
        <w:rPr>
          <w:rFonts w:ascii="Century" w:hAnsi="Century" w:hint="cs"/>
          <w:rtl/>
        </w:rPr>
        <w:t xml:space="preserve">יש נסיבות שבהן </w:t>
      </w:r>
      <w:r w:rsidRPr="00877EEB">
        <w:rPr>
          <w:rFonts w:ascii="Century" w:hAnsi="Century" w:hint="cs"/>
          <w:rtl/>
        </w:rPr>
        <w:t>הדבר אפשרי (</w:t>
      </w:r>
      <w:r w:rsidRPr="00877EEB">
        <w:rPr>
          <w:rFonts w:ascii="Century" w:hAnsi="Century"/>
          <w:rtl/>
        </w:rPr>
        <w:t>ע"א 9412/</w:t>
      </w:r>
      <w:r>
        <w:rPr>
          <w:rFonts w:ascii="Century" w:hAnsi="Century"/>
          <w:rtl/>
        </w:rPr>
        <w:t xml:space="preserve">03‏ </w:t>
      </w:r>
      <w:r w:rsidRPr="00877EEB">
        <w:rPr>
          <w:rFonts w:ascii="Century" w:hAnsi="Century" w:cs="Miriam"/>
          <w:b/>
          <w:spacing w:val="0"/>
          <w:szCs w:val="24"/>
          <w:rtl/>
        </w:rPr>
        <w:t>חזן נ' פקיד שומה, נתניה</w:t>
      </w:r>
      <w:r>
        <w:rPr>
          <w:rFonts w:ascii="Century" w:hAnsi="Century"/>
          <w:rtl/>
        </w:rPr>
        <w:t>, פ</w:t>
      </w:r>
      <w:r>
        <w:rPr>
          <w:rFonts w:ascii="Century" w:hAnsi="Century" w:hint="cs"/>
          <w:rtl/>
        </w:rPr>
        <w:t>"</w:t>
      </w:r>
      <w:r w:rsidRPr="00877EEB">
        <w:rPr>
          <w:rFonts w:ascii="Century" w:hAnsi="Century"/>
          <w:rtl/>
        </w:rPr>
        <w:t>ד נט(5) 538</w:t>
      </w:r>
      <w:r w:rsidRPr="00877EEB">
        <w:rPr>
          <w:rFonts w:ascii="Century" w:hAnsi="Century" w:hint="cs"/>
          <w:rtl/>
        </w:rPr>
        <w:t>, 557-556</w:t>
      </w:r>
      <w:r w:rsidRPr="00877EEB">
        <w:rPr>
          <w:rFonts w:ascii="Century" w:hAnsi="Century"/>
          <w:rtl/>
        </w:rPr>
        <w:t xml:space="preserve"> (2005)</w:t>
      </w:r>
      <w:r>
        <w:rPr>
          <w:rFonts w:ascii="Century" w:hAnsi="Century" w:hint="cs"/>
          <w:rtl/>
        </w:rPr>
        <w:t xml:space="preserve">; </w:t>
      </w:r>
      <w:r w:rsidRPr="00877EEB">
        <w:rPr>
          <w:rFonts w:ascii="Century" w:hAnsi="Century"/>
          <w:rtl/>
        </w:rPr>
        <w:t>ע</w:t>
      </w:r>
      <w:r w:rsidRPr="00877EEB">
        <w:rPr>
          <w:rFonts w:ascii="Century" w:hAnsi="Century" w:hint="cs"/>
          <w:rtl/>
        </w:rPr>
        <w:t>"</w:t>
      </w:r>
      <w:r w:rsidRPr="00877EEB">
        <w:rPr>
          <w:rFonts w:ascii="Century" w:hAnsi="Century"/>
          <w:rtl/>
        </w:rPr>
        <w:t xml:space="preserve">א 4576/15 </w:t>
      </w:r>
      <w:r w:rsidRPr="00877EEB">
        <w:rPr>
          <w:rFonts w:ascii="Century" w:hAnsi="Century" w:cs="Miriam"/>
          <w:b/>
          <w:spacing w:val="0"/>
          <w:szCs w:val="24"/>
          <w:rtl/>
        </w:rPr>
        <w:t>מ.מ.א ניהול בע"מ נ' פקיד שומה תל אביב</w:t>
      </w:r>
      <w:r>
        <w:rPr>
          <w:rFonts w:ascii="Century" w:hAnsi="Century" w:hint="cs"/>
          <w:rtl/>
        </w:rPr>
        <w:t>, בפסקה 5</w:t>
      </w:r>
      <w:r w:rsidRPr="00877EEB">
        <w:rPr>
          <w:rFonts w:ascii="Century" w:hAnsi="Century"/>
          <w:rtl/>
        </w:rPr>
        <w:t xml:space="preserve"> (11.5.2016)</w:t>
      </w:r>
      <w:r w:rsidRPr="00877EEB">
        <w:rPr>
          <w:rFonts w:ascii="Century" w:hAnsi="Century" w:hint="cs"/>
          <w:rtl/>
        </w:rPr>
        <w:t>).</w:t>
      </w:r>
      <w:r>
        <w:rPr>
          <w:rFonts w:ascii="Century" w:hAnsi="Century" w:hint="cs"/>
          <w:rtl/>
        </w:rPr>
        <w:t xml:space="preserve"> עם זאת, ראיתי להעיר לחובתו של המערער, ומכלי שתהיה לכך השלכה על הדיון בערעור, כי הדיון בשומה "נפתח" רק שנים ארוכות לאחר שהוגשה לפקיד השומה.</w:t>
      </w:r>
    </w:p>
    <w:p w:rsidR="0010512C" w:rsidRDefault="0010512C" w:rsidP="0010512C">
      <w:pPr>
        <w:pStyle w:val="Ruller41"/>
        <w:rPr>
          <w:rtl/>
        </w:rPr>
      </w:pPr>
    </w:p>
    <w:p w:rsidR="0010512C" w:rsidRPr="00624261" w:rsidRDefault="0010512C" w:rsidP="0010512C">
      <w:pPr>
        <w:pStyle w:val="Ruller41"/>
        <w:rPr>
          <w:b/>
          <w:bCs/>
          <w:sz w:val="32"/>
          <w:szCs w:val="32"/>
          <w:rtl/>
        </w:rPr>
      </w:pPr>
      <w:r>
        <w:rPr>
          <w:rFonts w:hint="cs"/>
          <w:rtl/>
        </w:rPr>
        <w:t>8.</w:t>
      </w:r>
      <w:r>
        <w:rPr>
          <w:rtl/>
        </w:rPr>
        <w:tab/>
      </w:r>
      <w:r>
        <w:rPr>
          <w:rFonts w:hint="cs"/>
          <w:rtl/>
        </w:rPr>
        <w:t xml:space="preserve">וכעת לגופו של עניין. כפי שציינתי לעיל, לצורך הדיון בערעור יש חשיבות להקפדה על סדר הדברים. מקובלת עליי טענת המערער (ומסתבר כי גם המשיבים מסכימים לכך; ראו פסקה 11.1 לסיכומים מטעמם), כי השאלה הראשונה והמכרעת היא אם הוכח הפסד הון של סומת בשנת 2005, בלי קשר לעסקת הילן. רק אם הוכח הפסד הון, אנו מגיעים לשאלה אם המשיב היה רשאי לקזז את רווח ההון באמצעות עסקת הילן. לעומת זאת, אם לא הוכח הפסד הון </w:t>
      </w:r>
      <w:r>
        <w:rPr>
          <w:rtl/>
        </w:rPr>
        <w:t>–</w:t>
      </w:r>
      <w:r>
        <w:rPr>
          <w:rFonts w:hint="cs"/>
          <w:rtl/>
        </w:rPr>
        <w:t xml:space="preserve"> קשה לטעון שעסקה זו, בין חברות אחיות, היא עסקה שמוכיחה או מגבשת את הפסד ההון הנטען. </w:t>
      </w:r>
    </w:p>
    <w:p w:rsidR="0010512C" w:rsidRDefault="0010512C" w:rsidP="0010512C">
      <w:pPr>
        <w:pStyle w:val="Ruller41"/>
        <w:rPr>
          <w:rtl/>
        </w:rPr>
      </w:pPr>
    </w:p>
    <w:p w:rsidR="0010512C" w:rsidRPr="006558F5" w:rsidRDefault="0010512C" w:rsidP="0010512C">
      <w:pPr>
        <w:pStyle w:val="Ruller41"/>
        <w:rPr>
          <w:rFonts w:ascii="Century" w:hAnsi="Century" w:cs="Miriam"/>
          <w:b/>
          <w:spacing w:val="0"/>
          <w:szCs w:val="24"/>
          <w:rtl/>
        </w:rPr>
      </w:pPr>
      <w:r>
        <w:rPr>
          <w:rFonts w:ascii="Century" w:hAnsi="Century" w:cs="Miriam" w:hint="cs"/>
          <w:b/>
          <w:spacing w:val="0"/>
          <w:szCs w:val="24"/>
          <w:rtl/>
        </w:rPr>
        <w:t>חוב אבוד כ</w:t>
      </w:r>
      <w:r w:rsidRPr="006558F5">
        <w:rPr>
          <w:rFonts w:ascii="Century" w:hAnsi="Century" w:cs="Miriam" w:hint="cs"/>
          <w:b/>
          <w:spacing w:val="0"/>
          <w:szCs w:val="24"/>
          <w:rtl/>
        </w:rPr>
        <w:t xml:space="preserve">הפסד הון: המסגרת הנורמטיבית </w:t>
      </w:r>
    </w:p>
    <w:p w:rsidR="0010512C" w:rsidRPr="00394EBB" w:rsidRDefault="0010512C" w:rsidP="00394EBB">
      <w:pPr>
        <w:pStyle w:val="Ruller41"/>
        <w:rPr>
          <w:rFonts w:ascii="Century" w:hAnsi="Century"/>
          <w:rtl/>
        </w:rPr>
      </w:pPr>
    </w:p>
    <w:p w:rsidR="0010512C" w:rsidRPr="00394EBB" w:rsidRDefault="0010512C" w:rsidP="00394EBB">
      <w:pPr>
        <w:pStyle w:val="Ruller41"/>
        <w:rPr>
          <w:rStyle w:val="default"/>
          <w:rFonts w:ascii="Century" w:hAnsi="Century" w:cs="FrankRuehl"/>
          <w:sz w:val="22"/>
          <w:szCs w:val="28"/>
          <w:rtl/>
        </w:rPr>
      </w:pPr>
      <w:r w:rsidRPr="00394EBB">
        <w:rPr>
          <w:rStyle w:val="default"/>
          <w:rFonts w:ascii="Century" w:hAnsi="Century" w:cs="FrankRuehl" w:hint="cs"/>
          <w:sz w:val="22"/>
          <w:szCs w:val="28"/>
          <w:rtl/>
        </w:rPr>
        <w:t>9.</w:t>
      </w:r>
      <w:r w:rsidRPr="00394EBB">
        <w:rPr>
          <w:rStyle w:val="default"/>
          <w:rFonts w:ascii="Century" w:hAnsi="Century" w:cs="FrankRuehl"/>
          <w:sz w:val="22"/>
          <w:szCs w:val="28"/>
          <w:rtl/>
        </w:rPr>
        <w:tab/>
      </w:r>
      <w:r w:rsidRPr="00394EBB">
        <w:rPr>
          <w:rStyle w:val="default"/>
          <w:rFonts w:ascii="Century" w:hAnsi="Century" w:cs="FrankRuehl" w:hint="cs"/>
          <w:sz w:val="22"/>
          <w:szCs w:val="28"/>
          <w:rtl/>
        </w:rPr>
        <w:t xml:space="preserve">זו לשונו של סעיף 92(א)(1) לפקודה: </w:t>
      </w:r>
    </w:p>
    <w:p w:rsidR="0010512C" w:rsidRPr="00394EBB" w:rsidRDefault="0010512C" w:rsidP="00394EBB">
      <w:pPr>
        <w:pStyle w:val="Ruller41"/>
        <w:rPr>
          <w:rStyle w:val="default"/>
          <w:rFonts w:ascii="Century" w:hAnsi="Century" w:cs="FrankRuehl"/>
          <w:sz w:val="22"/>
          <w:szCs w:val="28"/>
          <w:rtl/>
        </w:rPr>
      </w:pPr>
    </w:p>
    <w:p w:rsidR="0010512C" w:rsidRPr="007873A4" w:rsidRDefault="0010512C" w:rsidP="0010512C">
      <w:pPr>
        <w:pStyle w:val="Ruller5"/>
        <w:rPr>
          <w:rStyle w:val="big-number"/>
          <w:rFonts w:cs="Miriam"/>
          <w:b/>
          <w:spacing w:val="0"/>
          <w:szCs w:val="24"/>
          <w:rtl/>
        </w:rPr>
      </w:pPr>
      <w:r w:rsidRPr="007873A4">
        <w:rPr>
          <w:rStyle w:val="big-number"/>
          <w:rFonts w:cs="Miriam"/>
          <w:b/>
          <w:spacing w:val="0"/>
          <w:szCs w:val="24"/>
          <w:rtl/>
        </w:rPr>
        <w:t>92.</w:t>
      </w:r>
      <w:r w:rsidRPr="007873A4">
        <w:rPr>
          <w:rStyle w:val="big-number"/>
          <w:rFonts w:cs="Miriam" w:hint="cs"/>
          <w:b/>
          <w:spacing w:val="0"/>
          <w:szCs w:val="24"/>
          <w:rtl/>
        </w:rPr>
        <w:t xml:space="preserve"> קיזוז הפסדי הון</w:t>
      </w:r>
    </w:p>
    <w:p w:rsidR="0010512C" w:rsidRDefault="0010512C" w:rsidP="00394EBB">
      <w:pPr>
        <w:pStyle w:val="Ruller5"/>
        <w:rPr>
          <w:rStyle w:val="default"/>
          <w:rFonts w:ascii="Century" w:hAnsi="Century" w:cs="FrankRuehl"/>
          <w:sz w:val="22"/>
          <w:szCs w:val="28"/>
          <w:rtl/>
        </w:rPr>
      </w:pPr>
      <w:r w:rsidRPr="00394EBB">
        <w:rPr>
          <w:rStyle w:val="default"/>
          <w:rFonts w:ascii="Century" w:hAnsi="Century" w:cs="FrankRuehl"/>
          <w:sz w:val="22"/>
          <w:szCs w:val="28"/>
          <w:rtl/>
        </w:rPr>
        <w:t>(</w:t>
      </w:r>
      <w:r w:rsidRPr="00394EBB">
        <w:rPr>
          <w:rStyle w:val="default"/>
          <w:rFonts w:ascii="Century" w:hAnsi="Century" w:cs="FrankRuehl" w:hint="cs"/>
          <w:sz w:val="22"/>
          <w:szCs w:val="28"/>
          <w:rtl/>
        </w:rPr>
        <w:t>א)(1) סכום הפסד הון ש</w:t>
      </w:r>
      <w:r w:rsidRPr="00394EBB">
        <w:rPr>
          <w:rStyle w:val="default"/>
          <w:rFonts w:ascii="Century" w:hAnsi="Century" w:cs="FrankRuehl"/>
          <w:sz w:val="22"/>
          <w:szCs w:val="28"/>
          <w:rtl/>
        </w:rPr>
        <w:t>ה</w:t>
      </w:r>
      <w:r w:rsidRPr="00394EBB">
        <w:rPr>
          <w:rStyle w:val="default"/>
          <w:rFonts w:ascii="Century" w:hAnsi="Century" w:cs="FrankRuehl" w:hint="cs"/>
          <w:sz w:val="22"/>
          <w:szCs w:val="28"/>
          <w:rtl/>
        </w:rPr>
        <w:t>יה לאדם בשנת מס פל</w:t>
      </w:r>
      <w:r w:rsidRPr="00394EBB">
        <w:rPr>
          <w:rStyle w:val="default"/>
          <w:rFonts w:ascii="Century" w:hAnsi="Century" w:cs="FrankRuehl"/>
          <w:sz w:val="22"/>
          <w:szCs w:val="28"/>
          <w:rtl/>
        </w:rPr>
        <w:t>ו</w:t>
      </w:r>
      <w:r w:rsidRPr="00394EBB">
        <w:rPr>
          <w:rStyle w:val="default"/>
          <w:rFonts w:ascii="Century" w:hAnsi="Century" w:cs="FrankRuehl" w:hint="cs"/>
          <w:sz w:val="22"/>
          <w:szCs w:val="28"/>
          <w:rtl/>
        </w:rPr>
        <w:t>נ</w:t>
      </w:r>
      <w:r w:rsidRPr="00394EBB">
        <w:rPr>
          <w:rStyle w:val="default"/>
          <w:rFonts w:ascii="Century" w:hAnsi="Century" w:cs="FrankRuehl"/>
          <w:sz w:val="22"/>
          <w:szCs w:val="28"/>
          <w:rtl/>
        </w:rPr>
        <w:t>י</w:t>
      </w:r>
      <w:r w:rsidRPr="00394EBB">
        <w:rPr>
          <w:rStyle w:val="default"/>
          <w:rFonts w:ascii="Century" w:hAnsi="Century" w:cs="FrankRuehl" w:hint="cs"/>
          <w:sz w:val="22"/>
          <w:szCs w:val="28"/>
          <w:rtl/>
        </w:rPr>
        <w:t>ת ואי</w:t>
      </w:r>
      <w:r w:rsidRPr="00394EBB">
        <w:rPr>
          <w:rStyle w:val="default"/>
          <w:rFonts w:ascii="Century" w:hAnsi="Century" w:cs="FrankRuehl"/>
          <w:sz w:val="22"/>
          <w:szCs w:val="28"/>
          <w:rtl/>
        </w:rPr>
        <w:t>ל</w:t>
      </w:r>
      <w:r w:rsidRPr="00394EBB">
        <w:rPr>
          <w:rStyle w:val="default"/>
          <w:rFonts w:ascii="Century" w:hAnsi="Century" w:cs="FrankRuehl" w:hint="cs"/>
          <w:sz w:val="22"/>
          <w:szCs w:val="28"/>
          <w:rtl/>
        </w:rPr>
        <w:t>ו</w:t>
      </w:r>
      <w:r w:rsidRPr="00394EBB">
        <w:rPr>
          <w:rStyle w:val="default"/>
          <w:rFonts w:ascii="Century" w:hAnsi="Century" w:cs="FrankRuehl"/>
          <w:sz w:val="22"/>
          <w:szCs w:val="28"/>
          <w:rtl/>
        </w:rPr>
        <w:t xml:space="preserve"> </w:t>
      </w:r>
      <w:r w:rsidRPr="00394EBB">
        <w:rPr>
          <w:rStyle w:val="default"/>
          <w:rFonts w:ascii="Century" w:hAnsi="Century" w:cs="FrankRuehl" w:hint="cs"/>
          <w:sz w:val="22"/>
          <w:szCs w:val="28"/>
          <w:rtl/>
        </w:rPr>
        <w:t>הי</w:t>
      </w:r>
      <w:r w:rsidRPr="00394EBB">
        <w:rPr>
          <w:rStyle w:val="default"/>
          <w:rFonts w:ascii="Century" w:hAnsi="Century" w:cs="FrankRuehl"/>
          <w:sz w:val="22"/>
          <w:szCs w:val="28"/>
          <w:rtl/>
        </w:rPr>
        <w:t>ה</w:t>
      </w:r>
      <w:r w:rsidRPr="00394EBB">
        <w:rPr>
          <w:rStyle w:val="default"/>
          <w:rFonts w:ascii="Century" w:hAnsi="Century" w:cs="FrankRuehl" w:hint="cs"/>
          <w:sz w:val="22"/>
          <w:szCs w:val="28"/>
          <w:rtl/>
        </w:rPr>
        <w:t xml:space="preserve"> ריווח הון היה מתחייב עליו במס, יקוזז תחילה כנגד ר</w:t>
      </w:r>
      <w:r w:rsidRPr="00394EBB">
        <w:rPr>
          <w:rStyle w:val="default"/>
          <w:rFonts w:ascii="Century" w:hAnsi="Century" w:cs="FrankRuehl"/>
          <w:sz w:val="22"/>
          <w:szCs w:val="28"/>
          <w:rtl/>
        </w:rPr>
        <w:t>יווח ההו</w:t>
      </w:r>
      <w:r w:rsidRPr="00394EBB">
        <w:rPr>
          <w:rStyle w:val="default"/>
          <w:rFonts w:ascii="Century" w:hAnsi="Century" w:cs="FrankRuehl" w:hint="cs"/>
          <w:sz w:val="22"/>
          <w:szCs w:val="28"/>
          <w:rtl/>
        </w:rPr>
        <w:t xml:space="preserve">ן הריאלי </w:t>
      </w:r>
      <w:r w:rsidRPr="00394EBB">
        <w:rPr>
          <w:rStyle w:val="default"/>
          <w:rFonts w:ascii="Century" w:hAnsi="Century" w:cs="FrankRuehl"/>
          <w:sz w:val="22"/>
          <w:szCs w:val="28"/>
          <w:rtl/>
        </w:rPr>
        <w:t>וכל</w:t>
      </w:r>
      <w:r w:rsidRPr="00394EBB">
        <w:rPr>
          <w:rStyle w:val="default"/>
          <w:rFonts w:ascii="Century" w:hAnsi="Century" w:cs="FrankRuehl" w:hint="cs"/>
          <w:sz w:val="22"/>
          <w:szCs w:val="28"/>
          <w:rtl/>
        </w:rPr>
        <w:t xml:space="preserve"> שק</w:t>
      </w:r>
      <w:r w:rsidRPr="00394EBB">
        <w:rPr>
          <w:rStyle w:val="default"/>
          <w:rFonts w:ascii="Century" w:hAnsi="Century" w:cs="FrankRuehl"/>
          <w:sz w:val="22"/>
          <w:szCs w:val="28"/>
          <w:rtl/>
        </w:rPr>
        <w:t>ל</w:t>
      </w:r>
      <w:r w:rsidRPr="00394EBB">
        <w:rPr>
          <w:rStyle w:val="default"/>
          <w:rFonts w:ascii="Century" w:hAnsi="Century" w:cs="FrankRuehl" w:hint="cs"/>
          <w:sz w:val="22"/>
          <w:szCs w:val="28"/>
          <w:rtl/>
        </w:rPr>
        <w:t xml:space="preserve"> </w:t>
      </w:r>
      <w:r w:rsidRPr="00394EBB">
        <w:rPr>
          <w:rStyle w:val="default"/>
          <w:rFonts w:ascii="Century" w:hAnsi="Century" w:cs="FrankRuehl"/>
          <w:sz w:val="22"/>
          <w:szCs w:val="28"/>
          <w:rtl/>
        </w:rPr>
        <w:t>חד</w:t>
      </w:r>
      <w:r w:rsidRPr="00394EBB">
        <w:rPr>
          <w:rStyle w:val="default"/>
          <w:rFonts w:ascii="Century" w:hAnsi="Century" w:cs="FrankRuehl" w:hint="cs"/>
          <w:sz w:val="22"/>
          <w:szCs w:val="28"/>
          <w:rtl/>
        </w:rPr>
        <w:t xml:space="preserve">ש </w:t>
      </w:r>
      <w:r w:rsidRPr="00394EBB">
        <w:rPr>
          <w:rStyle w:val="default"/>
          <w:rFonts w:ascii="Century" w:hAnsi="Century" w:cs="FrankRuehl"/>
          <w:sz w:val="22"/>
          <w:szCs w:val="28"/>
          <w:rtl/>
        </w:rPr>
        <w:t>של</w:t>
      </w:r>
      <w:r w:rsidRPr="00394EBB">
        <w:rPr>
          <w:rStyle w:val="default"/>
          <w:rFonts w:ascii="Century" w:hAnsi="Century" w:cs="FrankRuehl" w:hint="cs"/>
          <w:sz w:val="22"/>
          <w:szCs w:val="28"/>
          <w:rtl/>
        </w:rPr>
        <w:t xml:space="preserve"> היתרה</w:t>
      </w:r>
      <w:r w:rsidRPr="00394EBB">
        <w:rPr>
          <w:rStyle w:val="default"/>
          <w:rFonts w:ascii="Century" w:hAnsi="Century" w:cs="FrankRuehl"/>
          <w:sz w:val="22"/>
          <w:szCs w:val="28"/>
          <w:rtl/>
        </w:rPr>
        <w:t xml:space="preserve"> י</w:t>
      </w:r>
      <w:r w:rsidRPr="00394EBB">
        <w:rPr>
          <w:rStyle w:val="default"/>
          <w:rFonts w:ascii="Century" w:hAnsi="Century" w:cs="FrankRuehl" w:hint="cs"/>
          <w:sz w:val="22"/>
          <w:szCs w:val="28"/>
          <w:rtl/>
        </w:rPr>
        <w:t>קוזז כנגד שלושה וחצי שקלים חדשים של סכום אינפלציוני חייב</w:t>
      </w:r>
      <w:r w:rsidRPr="00394EBB">
        <w:rPr>
          <w:rStyle w:val="default"/>
          <w:rFonts w:ascii="Century" w:hAnsi="Century" w:cs="FrankRuehl"/>
          <w:sz w:val="22"/>
          <w:szCs w:val="28"/>
          <w:rtl/>
        </w:rPr>
        <w:t>; ל</w:t>
      </w:r>
      <w:r w:rsidRPr="00394EBB">
        <w:rPr>
          <w:rStyle w:val="default"/>
          <w:rFonts w:ascii="Century" w:hAnsi="Century" w:cs="FrankRuehl" w:hint="cs"/>
          <w:sz w:val="22"/>
          <w:szCs w:val="28"/>
          <w:rtl/>
        </w:rPr>
        <w:t>ענין ז</w:t>
      </w:r>
      <w:r w:rsidRPr="00394EBB">
        <w:rPr>
          <w:rStyle w:val="default"/>
          <w:rFonts w:ascii="Century" w:hAnsi="Century" w:cs="FrankRuehl"/>
          <w:sz w:val="22"/>
          <w:szCs w:val="28"/>
          <w:rtl/>
        </w:rPr>
        <w:t xml:space="preserve">ה </w:t>
      </w:r>
      <w:r w:rsidRPr="00394EBB">
        <w:rPr>
          <w:rStyle w:val="default"/>
          <w:rFonts w:ascii="Century" w:hAnsi="Century" w:cs="FrankRuehl" w:hint="cs"/>
          <w:sz w:val="22"/>
          <w:szCs w:val="28"/>
          <w:rtl/>
        </w:rPr>
        <w:t>רואים שבח והפס</w:t>
      </w:r>
      <w:r w:rsidRPr="00394EBB">
        <w:rPr>
          <w:rStyle w:val="default"/>
          <w:rFonts w:ascii="Century" w:hAnsi="Century" w:cs="FrankRuehl"/>
          <w:sz w:val="22"/>
          <w:szCs w:val="28"/>
          <w:rtl/>
        </w:rPr>
        <w:t>ד</w:t>
      </w:r>
      <w:r w:rsidRPr="00394EBB">
        <w:rPr>
          <w:rStyle w:val="default"/>
          <w:rFonts w:ascii="Century" w:hAnsi="Century" w:cs="FrankRuehl" w:hint="cs"/>
          <w:sz w:val="22"/>
          <w:szCs w:val="28"/>
          <w:rtl/>
        </w:rPr>
        <w:t xml:space="preserve"> כמשמעות</w:t>
      </w:r>
      <w:r w:rsidRPr="00394EBB">
        <w:rPr>
          <w:rStyle w:val="default"/>
          <w:rFonts w:ascii="Century" w:hAnsi="Century" w:cs="FrankRuehl"/>
          <w:sz w:val="22"/>
          <w:szCs w:val="28"/>
          <w:rtl/>
        </w:rPr>
        <w:t xml:space="preserve">ם </w:t>
      </w:r>
      <w:r w:rsidRPr="00394EBB">
        <w:rPr>
          <w:rStyle w:val="default"/>
          <w:rFonts w:ascii="Century" w:hAnsi="Century" w:cs="FrankRuehl" w:hint="cs"/>
          <w:sz w:val="22"/>
          <w:szCs w:val="28"/>
          <w:rtl/>
        </w:rPr>
        <w:t>ב</w:t>
      </w:r>
      <w:r w:rsidRPr="00394EBB">
        <w:rPr>
          <w:rStyle w:val="default"/>
          <w:rFonts w:ascii="Century" w:hAnsi="Century" w:cs="FrankRuehl"/>
          <w:sz w:val="22"/>
          <w:szCs w:val="28"/>
          <w:rtl/>
        </w:rPr>
        <w:t>חוק</w:t>
      </w:r>
      <w:r w:rsidRPr="00394EBB">
        <w:rPr>
          <w:rStyle w:val="default"/>
          <w:rFonts w:ascii="Century" w:hAnsi="Century" w:cs="FrankRuehl" w:hint="cs"/>
          <w:sz w:val="22"/>
          <w:szCs w:val="28"/>
          <w:rtl/>
        </w:rPr>
        <w:t xml:space="preserve"> מי</w:t>
      </w:r>
      <w:r w:rsidRPr="00394EBB">
        <w:rPr>
          <w:rStyle w:val="default"/>
          <w:rFonts w:ascii="Century" w:hAnsi="Century" w:cs="FrankRuehl"/>
          <w:sz w:val="22"/>
          <w:szCs w:val="28"/>
          <w:rtl/>
        </w:rPr>
        <w:t>ס</w:t>
      </w:r>
      <w:r w:rsidRPr="00394EBB">
        <w:rPr>
          <w:rStyle w:val="default"/>
          <w:rFonts w:ascii="Century" w:hAnsi="Century" w:cs="FrankRuehl" w:hint="cs"/>
          <w:sz w:val="22"/>
          <w:szCs w:val="28"/>
          <w:rtl/>
        </w:rPr>
        <w:t xml:space="preserve">וי </w:t>
      </w:r>
      <w:r w:rsidRPr="00394EBB">
        <w:rPr>
          <w:rStyle w:val="default"/>
          <w:rFonts w:ascii="Century" w:hAnsi="Century" w:cs="FrankRuehl"/>
          <w:sz w:val="22"/>
          <w:szCs w:val="28"/>
          <w:rtl/>
        </w:rPr>
        <w:t>מ</w:t>
      </w:r>
      <w:r w:rsidRPr="00394EBB">
        <w:rPr>
          <w:rStyle w:val="default"/>
          <w:rFonts w:ascii="Century" w:hAnsi="Century" w:cs="FrankRuehl" w:hint="cs"/>
          <w:sz w:val="22"/>
          <w:szCs w:val="28"/>
          <w:rtl/>
        </w:rPr>
        <w:t>קרקע</w:t>
      </w:r>
      <w:r w:rsidRPr="00394EBB">
        <w:rPr>
          <w:rStyle w:val="default"/>
          <w:rFonts w:ascii="Century" w:hAnsi="Century" w:cs="FrankRuehl"/>
          <w:sz w:val="22"/>
          <w:szCs w:val="28"/>
          <w:rtl/>
        </w:rPr>
        <w:t>י</w:t>
      </w:r>
      <w:r w:rsidRPr="00394EBB">
        <w:rPr>
          <w:rStyle w:val="default"/>
          <w:rFonts w:ascii="Century" w:hAnsi="Century" w:cs="FrankRuehl" w:hint="cs"/>
          <w:sz w:val="22"/>
          <w:szCs w:val="28"/>
          <w:rtl/>
        </w:rPr>
        <w:t>ן, תשכ"ג-1963, כאילו היו ריוו</w:t>
      </w:r>
      <w:r w:rsidRPr="00394EBB">
        <w:rPr>
          <w:rStyle w:val="default"/>
          <w:rFonts w:ascii="Century" w:hAnsi="Century" w:cs="FrankRuehl"/>
          <w:sz w:val="22"/>
          <w:szCs w:val="28"/>
          <w:rtl/>
        </w:rPr>
        <w:t>ח</w:t>
      </w:r>
      <w:r w:rsidRPr="00394EBB">
        <w:rPr>
          <w:rStyle w:val="default"/>
          <w:rFonts w:ascii="Century" w:hAnsi="Century" w:cs="FrankRuehl" w:hint="cs"/>
          <w:sz w:val="22"/>
          <w:szCs w:val="28"/>
          <w:rtl/>
        </w:rPr>
        <w:t xml:space="preserve"> הון או הפסד הון, לפי הענין</w:t>
      </w:r>
      <w:r w:rsidRPr="00394EBB">
        <w:rPr>
          <w:rStyle w:val="default"/>
          <w:rFonts w:ascii="Century" w:hAnsi="Century" w:cs="FrankRuehl"/>
          <w:sz w:val="22"/>
          <w:szCs w:val="28"/>
          <w:rtl/>
        </w:rPr>
        <w:t>;</w:t>
      </w:r>
    </w:p>
    <w:p w:rsidR="00394EBB" w:rsidRDefault="00394EBB" w:rsidP="00394EBB">
      <w:pPr>
        <w:pStyle w:val="Ruller5"/>
        <w:rPr>
          <w:rStyle w:val="default"/>
          <w:rFonts w:ascii="Century" w:hAnsi="Century" w:cs="FrankRuehl"/>
          <w:sz w:val="22"/>
          <w:szCs w:val="28"/>
          <w:rtl/>
        </w:rPr>
      </w:pPr>
    </w:p>
    <w:p w:rsidR="00394EBB" w:rsidRDefault="00394EBB" w:rsidP="00394EBB">
      <w:pPr>
        <w:pStyle w:val="Ruller41"/>
        <w:rPr>
          <w:rStyle w:val="default"/>
          <w:rFonts w:ascii="Century" w:hAnsi="Century" w:cs="FrankRuehl"/>
          <w:sz w:val="22"/>
          <w:szCs w:val="28"/>
          <w:rtl/>
        </w:rPr>
      </w:pPr>
    </w:p>
    <w:p w:rsidR="0010512C" w:rsidRPr="004E15DA" w:rsidRDefault="00394EBB" w:rsidP="00394EBB">
      <w:pPr>
        <w:pStyle w:val="Ruller41"/>
        <w:rPr>
          <w:rFonts w:ascii="Century" w:hAnsi="Century"/>
          <w:rtl/>
        </w:rPr>
      </w:pPr>
      <w:r w:rsidRPr="00394EBB">
        <w:rPr>
          <w:rFonts w:ascii="Century" w:hAnsi="Century"/>
          <w:rtl/>
        </w:rPr>
        <w:tab/>
      </w:r>
      <w:r w:rsidRPr="00394EBB">
        <w:rPr>
          <w:rFonts w:ascii="Century" w:hAnsi="Century" w:hint="cs"/>
          <w:rtl/>
        </w:rPr>
        <w:t>ה</w:t>
      </w:r>
      <w:r w:rsidR="0010512C" w:rsidRPr="00394EBB">
        <w:rPr>
          <w:rFonts w:ascii="Century" w:hAnsi="Century" w:hint="cs"/>
          <w:rtl/>
        </w:rPr>
        <w:t>חשוב לענייננו, הוא האפשרות לקזז "הפסד הון ש</w:t>
      </w:r>
      <w:r w:rsidR="0010512C" w:rsidRPr="00394EBB">
        <w:rPr>
          <w:rFonts w:ascii="Century" w:hAnsi="Century"/>
          <w:rtl/>
        </w:rPr>
        <w:t>ה</w:t>
      </w:r>
      <w:r w:rsidR="0010512C" w:rsidRPr="00394EBB">
        <w:rPr>
          <w:rFonts w:ascii="Century" w:hAnsi="Century" w:hint="cs"/>
          <w:rtl/>
        </w:rPr>
        <w:t>יה לאדם בשנת מס פל</w:t>
      </w:r>
      <w:r w:rsidR="0010512C" w:rsidRPr="00394EBB">
        <w:rPr>
          <w:rFonts w:ascii="Century" w:hAnsi="Century"/>
          <w:rtl/>
        </w:rPr>
        <w:t>ו</w:t>
      </w:r>
      <w:r w:rsidR="0010512C" w:rsidRPr="00394EBB">
        <w:rPr>
          <w:rFonts w:ascii="Century" w:hAnsi="Century" w:hint="cs"/>
          <w:rtl/>
        </w:rPr>
        <w:t>נ</w:t>
      </w:r>
      <w:r w:rsidR="0010512C" w:rsidRPr="00394EBB">
        <w:rPr>
          <w:rFonts w:ascii="Century" w:hAnsi="Century"/>
          <w:rtl/>
        </w:rPr>
        <w:t>י</w:t>
      </w:r>
      <w:r w:rsidR="0010512C" w:rsidRPr="00394EBB">
        <w:rPr>
          <w:rFonts w:ascii="Century" w:hAnsi="Century" w:hint="cs"/>
          <w:rtl/>
        </w:rPr>
        <w:t>ת ואי</w:t>
      </w:r>
      <w:r w:rsidR="0010512C" w:rsidRPr="00394EBB">
        <w:rPr>
          <w:rFonts w:ascii="Century" w:hAnsi="Century"/>
          <w:rtl/>
        </w:rPr>
        <w:t>ל</w:t>
      </w:r>
      <w:r w:rsidR="0010512C" w:rsidRPr="00394EBB">
        <w:rPr>
          <w:rFonts w:ascii="Century" w:hAnsi="Century" w:hint="cs"/>
          <w:rtl/>
        </w:rPr>
        <w:t>ו</w:t>
      </w:r>
      <w:r w:rsidR="0010512C" w:rsidRPr="00394EBB">
        <w:rPr>
          <w:rFonts w:ascii="Century" w:hAnsi="Century"/>
          <w:rtl/>
        </w:rPr>
        <w:t xml:space="preserve"> </w:t>
      </w:r>
      <w:r w:rsidR="0010512C" w:rsidRPr="00394EBB">
        <w:rPr>
          <w:rFonts w:ascii="Century" w:hAnsi="Century" w:hint="cs"/>
          <w:rtl/>
        </w:rPr>
        <w:t>הי</w:t>
      </w:r>
      <w:r w:rsidR="0010512C" w:rsidRPr="00394EBB">
        <w:rPr>
          <w:rFonts w:ascii="Century" w:hAnsi="Century"/>
          <w:rtl/>
        </w:rPr>
        <w:t>ה</w:t>
      </w:r>
      <w:r w:rsidR="0010512C" w:rsidRPr="00394EBB">
        <w:rPr>
          <w:rFonts w:ascii="Century" w:hAnsi="Century" w:hint="cs"/>
          <w:rtl/>
        </w:rPr>
        <w:t xml:space="preserve"> ריווח הון היה מתחייב עליו במס". כפי שציינתי במקום אחר: "</w:t>
      </w:r>
      <w:r w:rsidR="0010512C" w:rsidRPr="00394EBB">
        <w:rPr>
          <w:rFonts w:ascii="Century" w:hAnsi="Century"/>
          <w:rtl/>
        </w:rPr>
        <w:t>תכלית סעיף 92 לפקודה, כפי שאף עולה בבירור מלשון החוק, היא לאפשר את קיזוז הסכום שאלמלא</w:t>
      </w:r>
      <w:r w:rsidR="0010512C" w:rsidRPr="00394EBB">
        <w:rPr>
          <w:rFonts w:ascii="FrankRuehl" w:hAnsi="FrankRuehl"/>
          <w:sz w:val="28"/>
          <w:rtl/>
        </w:rPr>
        <w:t xml:space="preserve"> </w:t>
      </w:r>
      <w:r w:rsidR="0010512C" w:rsidRPr="008948A8">
        <w:rPr>
          <w:rFonts w:ascii="Century" w:hAnsi="Century"/>
          <w:rtl/>
        </w:rPr>
        <w:t>היה הפסד, היה בגדר רווח הון</w:t>
      </w:r>
      <w:r w:rsidR="0010512C" w:rsidRPr="008948A8">
        <w:rPr>
          <w:rFonts w:ascii="Century" w:hAnsi="Century" w:hint="cs"/>
          <w:rtl/>
        </w:rPr>
        <w:t>" (</w:t>
      </w:r>
      <w:r w:rsidR="0010512C" w:rsidRPr="008948A8">
        <w:rPr>
          <w:rFonts w:ascii="Century" w:hAnsi="Century"/>
          <w:rtl/>
        </w:rPr>
        <w:t>ע</w:t>
      </w:r>
      <w:r w:rsidR="0010512C">
        <w:rPr>
          <w:rFonts w:ascii="Century" w:hAnsi="Century" w:hint="cs"/>
          <w:rtl/>
        </w:rPr>
        <w:t>"</w:t>
      </w:r>
      <w:r w:rsidR="0010512C" w:rsidRPr="008948A8">
        <w:rPr>
          <w:rFonts w:ascii="Century" w:hAnsi="Century"/>
          <w:rtl/>
        </w:rPr>
        <w:t xml:space="preserve">א 3555/15 </w:t>
      </w:r>
      <w:r w:rsidR="0010512C" w:rsidRPr="000B0FE0">
        <w:rPr>
          <w:rFonts w:ascii="Century" w:hAnsi="Century" w:cs="Miriam"/>
          <w:b/>
          <w:spacing w:val="0"/>
          <w:szCs w:val="24"/>
          <w:rtl/>
        </w:rPr>
        <w:t>מוזס נ' פקיד שומה למפעלים גדולים</w:t>
      </w:r>
      <w:r w:rsidR="0010512C" w:rsidRPr="008948A8">
        <w:rPr>
          <w:rFonts w:ascii="Century" w:hAnsi="Century" w:hint="cs"/>
          <w:rtl/>
        </w:rPr>
        <w:t>, בפסקה 20 (12.9.2016)</w:t>
      </w:r>
      <w:r w:rsidR="0010512C">
        <w:rPr>
          <w:rFonts w:ascii="Century" w:hAnsi="Century" w:hint="cs"/>
          <w:rtl/>
        </w:rPr>
        <w:t>)</w:t>
      </w:r>
      <w:r w:rsidR="0010512C" w:rsidRPr="008948A8">
        <w:rPr>
          <w:rFonts w:ascii="Century" w:hAnsi="Century" w:hint="cs"/>
          <w:rtl/>
        </w:rPr>
        <w:t>.</w:t>
      </w:r>
      <w:r w:rsidR="0010512C">
        <w:rPr>
          <w:rFonts w:ascii="Century" w:hAnsi="Century" w:hint="cs"/>
          <w:rtl/>
        </w:rPr>
        <w:t xml:space="preserve"> לשלמות התמונה אציין כי לצד ההסדר שנקבע בסעיף 92 עומד הסדר מקביל של קיזוז הפסדים במישור הפירותי, אשר מעוגן בסעיף 28 לפקודה </w:t>
      </w:r>
      <w:r w:rsidR="0010512C" w:rsidRPr="004E15DA">
        <w:rPr>
          <w:rFonts w:ascii="Century" w:hAnsi="Century" w:hint="cs"/>
          <w:rtl/>
        </w:rPr>
        <w:t xml:space="preserve">(להרחבה ראו: </w:t>
      </w:r>
      <w:r w:rsidR="0010512C" w:rsidRPr="004E15DA">
        <w:rPr>
          <w:rFonts w:ascii="Century" w:hAnsi="Century"/>
          <w:rtl/>
        </w:rPr>
        <w:t xml:space="preserve">ע"א 2895/08 </w:t>
      </w:r>
      <w:r w:rsidR="0010512C" w:rsidRPr="000B0FE0">
        <w:rPr>
          <w:rFonts w:ascii="Century" w:hAnsi="Century" w:cs="Miriam"/>
          <w:b/>
          <w:spacing w:val="0"/>
          <w:szCs w:val="24"/>
          <w:rtl/>
        </w:rPr>
        <w:t>פקיד השומה למפעלים גדולים נ' חברת מודול בטון השקעות בתעשיה בע"מ</w:t>
      </w:r>
      <w:r w:rsidR="0010512C" w:rsidRPr="004E15DA">
        <w:rPr>
          <w:rFonts w:ascii="Century" w:hAnsi="Century" w:hint="cs"/>
          <w:rtl/>
        </w:rPr>
        <w:t>, בפסקאות 16-14</w:t>
      </w:r>
      <w:r w:rsidR="0010512C" w:rsidRPr="004E15DA">
        <w:rPr>
          <w:rFonts w:ascii="Century" w:hAnsi="Century"/>
          <w:rtl/>
        </w:rPr>
        <w:t xml:space="preserve"> (21.2.2010</w:t>
      </w:r>
      <w:r w:rsidR="0010512C" w:rsidRPr="004E15DA">
        <w:rPr>
          <w:rFonts w:ascii="Century" w:hAnsi="Century" w:hint="cs"/>
          <w:rtl/>
        </w:rPr>
        <w:t xml:space="preserve">); </w:t>
      </w:r>
      <w:r w:rsidR="0010512C" w:rsidRPr="004E15DA">
        <w:rPr>
          <w:rFonts w:ascii="Century" w:hAnsi="Century"/>
          <w:rtl/>
        </w:rPr>
        <w:t>דוד גליקסב</w:t>
      </w:r>
      <w:r w:rsidR="0010512C">
        <w:rPr>
          <w:rFonts w:ascii="Century" w:hAnsi="Century"/>
          <w:rtl/>
        </w:rPr>
        <w:t>רג "דיני קיזוז ההפסדים השוטפים</w:t>
      </w:r>
      <w:r w:rsidR="0010512C">
        <w:rPr>
          <w:rFonts w:ascii="Century" w:hAnsi="Century" w:hint="cs"/>
          <w:rtl/>
        </w:rPr>
        <w:t xml:space="preserve"> </w:t>
      </w:r>
      <w:r w:rsidR="0010512C" w:rsidRPr="004E15DA">
        <w:rPr>
          <w:rFonts w:ascii="Century" w:hAnsi="Century"/>
          <w:rtl/>
        </w:rPr>
        <w:t xml:space="preserve">וכוונת המחוקק" </w:t>
      </w:r>
      <w:r w:rsidR="0010512C" w:rsidRPr="00F95D6D">
        <w:rPr>
          <w:rFonts w:ascii="Century" w:hAnsi="Century" w:cs="Miriam"/>
          <w:b/>
          <w:spacing w:val="0"/>
          <w:szCs w:val="24"/>
          <w:rtl/>
        </w:rPr>
        <w:t>משפטים</w:t>
      </w:r>
      <w:r w:rsidR="0010512C" w:rsidRPr="00F95D6D">
        <w:rPr>
          <w:rFonts w:ascii="Century" w:hAnsi="Century"/>
          <w:rtl/>
        </w:rPr>
        <w:t xml:space="preserve"> </w:t>
      </w:r>
      <w:r w:rsidR="0010512C" w:rsidRPr="004E15DA">
        <w:rPr>
          <w:rFonts w:ascii="Century" w:hAnsi="Century"/>
          <w:rtl/>
        </w:rPr>
        <w:t>כא 531 (תשנ"ב)</w:t>
      </w:r>
      <w:r w:rsidR="0010512C">
        <w:rPr>
          <w:rFonts w:ascii="Century" w:hAnsi="Century" w:hint="cs"/>
          <w:rtl/>
        </w:rPr>
        <w:t xml:space="preserve"> (להלן: </w:t>
      </w:r>
      <w:r w:rsidR="0010512C" w:rsidRPr="005A4F77">
        <w:rPr>
          <w:rFonts w:ascii="Century" w:hAnsi="Century" w:cs="Miriam" w:hint="cs"/>
          <w:b/>
          <w:spacing w:val="0"/>
          <w:szCs w:val="24"/>
          <w:rtl/>
        </w:rPr>
        <w:t>גליקסברג</w:t>
      </w:r>
      <w:r w:rsidR="0010512C">
        <w:rPr>
          <w:rFonts w:ascii="Century" w:hAnsi="Century" w:hint="cs"/>
          <w:rtl/>
        </w:rPr>
        <w:t>)</w:t>
      </w:r>
      <w:r w:rsidR="0010512C" w:rsidRPr="004E15DA">
        <w:rPr>
          <w:rFonts w:ascii="Century" w:hAnsi="Century" w:hint="cs"/>
          <w:rtl/>
        </w:rPr>
        <w:t>).</w:t>
      </w:r>
    </w:p>
    <w:p w:rsidR="0010512C" w:rsidRDefault="0010512C" w:rsidP="0010512C">
      <w:pPr>
        <w:pStyle w:val="Ruller41"/>
        <w:rPr>
          <w:rtl/>
        </w:rPr>
      </w:pPr>
    </w:p>
    <w:p w:rsidR="0010512C" w:rsidRPr="005A4F77" w:rsidRDefault="0010512C" w:rsidP="0010512C">
      <w:pPr>
        <w:pStyle w:val="Ruller41"/>
        <w:rPr>
          <w:rFonts w:ascii="Century" w:hAnsi="Century"/>
          <w:rtl/>
        </w:rPr>
      </w:pPr>
      <w:r>
        <w:rPr>
          <w:rFonts w:hint="cs"/>
          <w:rtl/>
        </w:rPr>
        <w:t>10.</w:t>
      </w:r>
      <w:r>
        <w:rPr>
          <w:rtl/>
        </w:rPr>
        <w:tab/>
      </w:r>
      <w:r>
        <w:rPr>
          <w:rFonts w:hint="cs"/>
          <w:rtl/>
        </w:rPr>
        <w:t xml:space="preserve">מיסוי רווחי הון מבוסס על עיקרון המימוש. על פי עיקרון זה </w:t>
      </w:r>
      <w:r>
        <w:rPr>
          <w:rFonts w:ascii="FrankRuehl" w:hAnsi="FrankRuehl" w:hint="cs"/>
          <w:b/>
          <w:rtl/>
        </w:rPr>
        <w:t>"</w:t>
      </w:r>
      <w:r>
        <w:rPr>
          <w:rFonts w:ascii="FrankRuehl" w:hAnsi="FrankRuehl"/>
          <w:b/>
          <w:rtl/>
        </w:rPr>
        <w:t>אין מטילים ברגיל מס אם אין מימוש. רווח בלתי ממומש אינו ממוסה. כך, אין מטילים מס רווח הון בגין עליית ערך נכס הון כל עוד לא מומש רווח זה במכירת הנכס</w:t>
      </w:r>
      <w:r>
        <w:rPr>
          <w:rFonts w:hint="cs"/>
          <w:rtl/>
        </w:rPr>
        <w:t>" (</w:t>
      </w:r>
      <w:r>
        <w:rPr>
          <w:rFonts w:ascii="FrankRuehl" w:hAnsi="FrankRuehl"/>
          <w:color w:val="000000"/>
          <w:sz w:val="28"/>
          <w:rtl/>
        </w:rPr>
        <w:t>ע"א 6126/98</w:t>
      </w:r>
      <w:r>
        <w:rPr>
          <w:rFonts w:ascii="FrankRuehl" w:hAnsi="FrankRuehl" w:hint="cs"/>
          <w:color w:val="000000"/>
          <w:sz w:val="28"/>
          <w:rtl/>
        </w:rPr>
        <w:t xml:space="preserve"> </w:t>
      </w:r>
      <w:r w:rsidRPr="00A17DBD">
        <w:rPr>
          <w:rFonts w:ascii="Century" w:hAnsi="Century" w:cs="Miriam"/>
          <w:b/>
          <w:spacing w:val="0"/>
          <w:szCs w:val="24"/>
          <w:rtl/>
        </w:rPr>
        <w:t>חברת חלקה 510 במגרש 6043 בע"מ (בפירוק מרצון) נ' הוועדה המקומית לתכנון ולבנייה, חולון</w:t>
      </w:r>
      <w:r>
        <w:rPr>
          <w:rFonts w:ascii="FrankRuehl" w:hAnsi="FrankRuehl"/>
          <w:color w:val="000000"/>
          <w:sz w:val="28"/>
          <w:rtl/>
        </w:rPr>
        <w:t>, פ</w:t>
      </w:r>
      <w:r>
        <w:rPr>
          <w:rFonts w:ascii="FrankRuehl" w:hAnsi="FrankRuehl" w:hint="cs"/>
          <w:color w:val="000000"/>
          <w:sz w:val="28"/>
          <w:rtl/>
        </w:rPr>
        <w:t>"</w:t>
      </w:r>
      <w:r w:rsidRPr="004E15DA">
        <w:rPr>
          <w:rFonts w:ascii="Century" w:hAnsi="Century"/>
          <w:rtl/>
        </w:rPr>
        <w:t>ד נה(4) 769</w:t>
      </w:r>
      <w:r w:rsidRPr="004E15DA">
        <w:rPr>
          <w:rFonts w:ascii="Century" w:hAnsi="Century" w:hint="cs"/>
          <w:rtl/>
        </w:rPr>
        <w:t xml:space="preserve">, 778 (2001); </w:t>
      </w:r>
      <w:r w:rsidRPr="004E15DA">
        <w:rPr>
          <w:rFonts w:ascii="Century" w:hAnsi="Century"/>
          <w:rtl/>
        </w:rPr>
        <w:t xml:space="preserve">ע"א 217/65 </w:t>
      </w:r>
      <w:r w:rsidRPr="00A17DBD">
        <w:rPr>
          <w:rFonts w:ascii="Century" w:hAnsi="Century" w:cs="Miriam"/>
          <w:b/>
          <w:spacing w:val="0"/>
          <w:szCs w:val="24"/>
          <w:rtl/>
        </w:rPr>
        <w:t>כהן נ' פקיד השומה גוש דן, רמת-גן</w:t>
      </w:r>
      <w:r w:rsidRPr="004E15DA">
        <w:rPr>
          <w:rFonts w:ascii="Century" w:hAnsi="Century"/>
          <w:rtl/>
        </w:rPr>
        <w:t xml:space="preserve">, </w:t>
      </w:r>
      <w:r w:rsidRPr="004E15DA">
        <w:rPr>
          <w:rFonts w:ascii="Century" w:hAnsi="Century" w:hint="cs"/>
          <w:rtl/>
        </w:rPr>
        <w:t xml:space="preserve">פ"ד </w:t>
      </w:r>
      <w:r w:rsidRPr="004E15DA">
        <w:rPr>
          <w:rFonts w:ascii="Century" w:hAnsi="Century"/>
          <w:rtl/>
        </w:rPr>
        <w:t>כ(2) 421</w:t>
      </w:r>
      <w:r w:rsidRPr="004E15DA">
        <w:rPr>
          <w:rFonts w:ascii="Century" w:hAnsi="Century" w:hint="cs"/>
          <w:rtl/>
        </w:rPr>
        <w:t>,</w:t>
      </w:r>
      <w:r w:rsidRPr="004E15DA">
        <w:rPr>
          <w:rFonts w:ascii="Century" w:hAnsi="Century"/>
          <w:rtl/>
        </w:rPr>
        <w:t xml:space="preserve"> </w:t>
      </w:r>
      <w:r w:rsidRPr="004E15DA">
        <w:rPr>
          <w:rFonts w:ascii="Century" w:hAnsi="Century" w:hint="cs"/>
          <w:rtl/>
        </w:rPr>
        <w:t xml:space="preserve">435 </w:t>
      </w:r>
      <w:r w:rsidRPr="004E15DA">
        <w:rPr>
          <w:rFonts w:ascii="Century" w:hAnsi="Century"/>
          <w:rtl/>
        </w:rPr>
        <w:t>(1966)</w:t>
      </w:r>
      <w:r w:rsidRPr="004E15DA">
        <w:rPr>
          <w:rFonts w:ascii="Century" w:hAnsi="Century" w:hint="cs"/>
          <w:rtl/>
        </w:rPr>
        <w:t>). דרכי</w:t>
      </w:r>
      <w:r w:rsidRPr="004E15DA">
        <w:rPr>
          <w:rFonts w:hint="cs"/>
          <w:rtl/>
        </w:rPr>
        <w:t xml:space="preserve"> </w:t>
      </w:r>
      <w:r>
        <w:rPr>
          <w:rFonts w:hint="cs"/>
          <w:rtl/>
        </w:rPr>
        <w:t xml:space="preserve">המימוש מוגדרות באופן רחב בהגדרת "מכירה" </w:t>
      </w:r>
      <w:r w:rsidRPr="004E15DA">
        <w:rPr>
          <w:rFonts w:ascii="Century" w:hAnsi="Century" w:hint="cs"/>
          <w:rtl/>
        </w:rPr>
        <w:t>בסעיף 88 לפקודה: "</w:t>
      </w:r>
      <w:r w:rsidRPr="004E15DA">
        <w:rPr>
          <w:rStyle w:val="default"/>
          <w:rFonts w:ascii="Century" w:hAnsi="Century" w:hint="cs"/>
          <w:rtl/>
        </w:rPr>
        <w:t>'מ</w:t>
      </w:r>
      <w:r w:rsidRPr="004E15DA">
        <w:rPr>
          <w:rStyle w:val="default"/>
          <w:rFonts w:ascii="Century" w:hAnsi="Century"/>
          <w:rtl/>
        </w:rPr>
        <w:t>כירה</w:t>
      </w:r>
      <w:r w:rsidRPr="004E15DA">
        <w:rPr>
          <w:rStyle w:val="default"/>
          <w:rFonts w:ascii="Century" w:hAnsi="Century" w:hint="cs"/>
          <w:rtl/>
        </w:rPr>
        <w:t xml:space="preserve">' </w:t>
      </w:r>
      <w:r w:rsidRPr="004E15DA">
        <w:rPr>
          <w:rStyle w:val="default"/>
          <w:rFonts w:ascii="Century" w:hAnsi="Century"/>
          <w:rtl/>
        </w:rPr>
        <w:t>–</w:t>
      </w:r>
      <w:r w:rsidRPr="004E15DA">
        <w:rPr>
          <w:rStyle w:val="default"/>
          <w:rFonts w:ascii="Century" w:hAnsi="Century" w:hint="cs"/>
          <w:rtl/>
        </w:rPr>
        <w:t xml:space="preserve"> לרבות חליפין, </w:t>
      </w:r>
      <w:r w:rsidRPr="004E15DA">
        <w:rPr>
          <w:rStyle w:val="default"/>
          <w:rFonts w:ascii="Century" w:hAnsi="Century"/>
          <w:rtl/>
        </w:rPr>
        <w:t>וית</w:t>
      </w:r>
      <w:r w:rsidRPr="004E15DA">
        <w:rPr>
          <w:rStyle w:val="default"/>
          <w:rFonts w:ascii="Century" w:hAnsi="Century" w:hint="cs"/>
          <w:rtl/>
        </w:rPr>
        <w:t>ור, הס</w:t>
      </w:r>
      <w:r w:rsidRPr="004E15DA">
        <w:rPr>
          <w:rStyle w:val="default"/>
          <w:rFonts w:ascii="Century" w:hAnsi="Century"/>
          <w:rtl/>
        </w:rPr>
        <w:t>ב</w:t>
      </w:r>
      <w:r w:rsidRPr="004E15DA">
        <w:rPr>
          <w:rStyle w:val="default"/>
          <w:rFonts w:ascii="Century" w:hAnsi="Century" w:hint="cs"/>
          <w:rtl/>
        </w:rPr>
        <w:t xml:space="preserve">ה, </w:t>
      </w:r>
      <w:r w:rsidRPr="004E15DA">
        <w:rPr>
          <w:rStyle w:val="default"/>
          <w:rFonts w:ascii="Century" w:hAnsi="Century"/>
          <w:rtl/>
        </w:rPr>
        <w:t>ה</w:t>
      </w:r>
      <w:r w:rsidRPr="004E15DA">
        <w:rPr>
          <w:rStyle w:val="default"/>
          <w:rFonts w:ascii="Century" w:hAnsi="Century" w:hint="cs"/>
          <w:rtl/>
        </w:rPr>
        <w:t>עב</w:t>
      </w:r>
      <w:r w:rsidRPr="004E15DA">
        <w:rPr>
          <w:rStyle w:val="default"/>
          <w:rFonts w:ascii="Century" w:hAnsi="Century"/>
          <w:rtl/>
        </w:rPr>
        <w:t>רה</w:t>
      </w:r>
      <w:r w:rsidRPr="004E15DA">
        <w:rPr>
          <w:rStyle w:val="default"/>
          <w:rFonts w:ascii="Century" w:hAnsi="Century" w:hint="cs"/>
          <w:rtl/>
        </w:rPr>
        <w:t>, הענקה, מתנה, פדיון, וכן כ</w:t>
      </w:r>
      <w:r w:rsidRPr="004E15DA">
        <w:rPr>
          <w:rStyle w:val="default"/>
          <w:rFonts w:ascii="Century" w:hAnsi="Century"/>
          <w:rtl/>
        </w:rPr>
        <w:t>ל</w:t>
      </w:r>
      <w:r w:rsidRPr="004E15DA">
        <w:rPr>
          <w:rStyle w:val="default"/>
          <w:rFonts w:ascii="Century" w:hAnsi="Century" w:hint="cs"/>
          <w:rtl/>
        </w:rPr>
        <w:t xml:space="preserve"> </w:t>
      </w:r>
      <w:r w:rsidRPr="004E15DA">
        <w:rPr>
          <w:rStyle w:val="default"/>
          <w:rFonts w:ascii="Century" w:hAnsi="Century"/>
          <w:rtl/>
        </w:rPr>
        <w:t>פ</w:t>
      </w:r>
      <w:r w:rsidRPr="004E15DA">
        <w:rPr>
          <w:rStyle w:val="default"/>
          <w:rFonts w:ascii="Century" w:hAnsi="Century" w:hint="cs"/>
          <w:rtl/>
        </w:rPr>
        <w:t>ע</w:t>
      </w:r>
      <w:r w:rsidRPr="004E15DA">
        <w:rPr>
          <w:rStyle w:val="default"/>
          <w:rFonts w:ascii="Century" w:hAnsi="Century"/>
          <w:rtl/>
        </w:rPr>
        <w:t>ו</w:t>
      </w:r>
      <w:r w:rsidRPr="004E15DA">
        <w:rPr>
          <w:rStyle w:val="default"/>
          <w:rFonts w:ascii="Century" w:hAnsi="Century" w:hint="cs"/>
          <w:rtl/>
        </w:rPr>
        <w:t>ל</w:t>
      </w:r>
      <w:r w:rsidRPr="004E15DA">
        <w:rPr>
          <w:rStyle w:val="default"/>
          <w:rFonts w:ascii="Century" w:hAnsi="Century"/>
          <w:rtl/>
        </w:rPr>
        <w:t>ה</w:t>
      </w:r>
      <w:r w:rsidRPr="004E15DA">
        <w:rPr>
          <w:rStyle w:val="default"/>
          <w:rFonts w:ascii="Century" w:hAnsi="Century" w:hint="cs"/>
          <w:rtl/>
        </w:rPr>
        <w:t xml:space="preserve"> </w:t>
      </w:r>
      <w:r w:rsidRPr="004E15DA">
        <w:rPr>
          <w:rStyle w:val="default"/>
          <w:rFonts w:ascii="Century" w:hAnsi="Century"/>
          <w:rtl/>
        </w:rPr>
        <w:t>א</w:t>
      </w:r>
      <w:r w:rsidRPr="004E15DA">
        <w:rPr>
          <w:rStyle w:val="default"/>
          <w:rFonts w:ascii="Century" w:hAnsi="Century" w:hint="cs"/>
          <w:rtl/>
        </w:rPr>
        <w:t>ו</w:t>
      </w:r>
      <w:r w:rsidRPr="004E15DA">
        <w:rPr>
          <w:rStyle w:val="default"/>
          <w:rFonts w:ascii="Century" w:hAnsi="Century"/>
          <w:rtl/>
        </w:rPr>
        <w:t xml:space="preserve"> </w:t>
      </w:r>
      <w:r w:rsidRPr="004E15DA">
        <w:rPr>
          <w:rStyle w:val="default"/>
          <w:rFonts w:ascii="Century" w:hAnsi="Century" w:hint="cs"/>
          <w:rtl/>
        </w:rPr>
        <w:t>א</w:t>
      </w:r>
      <w:r w:rsidRPr="004E15DA">
        <w:rPr>
          <w:rStyle w:val="default"/>
          <w:rFonts w:ascii="Century" w:hAnsi="Century"/>
          <w:rtl/>
        </w:rPr>
        <w:t>י</w:t>
      </w:r>
      <w:r w:rsidRPr="004E15DA">
        <w:rPr>
          <w:rStyle w:val="default"/>
          <w:rFonts w:ascii="Century" w:hAnsi="Century" w:hint="cs"/>
          <w:rtl/>
        </w:rPr>
        <w:t>ר</w:t>
      </w:r>
      <w:r w:rsidRPr="004E15DA">
        <w:rPr>
          <w:rStyle w:val="default"/>
          <w:rFonts w:ascii="Century" w:hAnsi="Century"/>
          <w:rtl/>
        </w:rPr>
        <w:t xml:space="preserve">וע </w:t>
      </w:r>
      <w:r w:rsidRPr="004E15DA">
        <w:rPr>
          <w:rStyle w:val="default"/>
          <w:rFonts w:ascii="Century" w:hAnsi="Century" w:hint="cs"/>
          <w:rtl/>
        </w:rPr>
        <w:t>א</w:t>
      </w:r>
      <w:r w:rsidRPr="004E15DA">
        <w:rPr>
          <w:rStyle w:val="default"/>
          <w:rFonts w:ascii="Century" w:hAnsi="Century"/>
          <w:rtl/>
        </w:rPr>
        <w:t xml:space="preserve">חרים </w:t>
      </w:r>
      <w:r w:rsidRPr="004E15DA">
        <w:rPr>
          <w:rStyle w:val="default"/>
          <w:rFonts w:ascii="Century" w:hAnsi="Century" w:cs="Miriam"/>
          <w:b/>
          <w:spacing w:val="0"/>
          <w:szCs w:val="24"/>
          <w:rtl/>
        </w:rPr>
        <w:t>שבעקבותם יצ</w:t>
      </w:r>
      <w:r w:rsidRPr="004E15DA">
        <w:rPr>
          <w:rStyle w:val="default"/>
          <w:rFonts w:ascii="Century" w:hAnsi="Century" w:cs="Miriam" w:hint="cs"/>
          <w:b/>
          <w:spacing w:val="0"/>
          <w:szCs w:val="24"/>
          <w:rtl/>
        </w:rPr>
        <w:t>א נכס</w:t>
      </w:r>
      <w:r w:rsidRPr="004E15DA">
        <w:rPr>
          <w:rStyle w:val="default"/>
          <w:rFonts w:ascii="Century" w:hAnsi="Century" w:cs="Miriam"/>
          <w:b/>
          <w:spacing w:val="0"/>
          <w:szCs w:val="24"/>
          <w:rtl/>
        </w:rPr>
        <w:t xml:space="preserve"> </w:t>
      </w:r>
      <w:r w:rsidRPr="004E15DA">
        <w:rPr>
          <w:rStyle w:val="default"/>
          <w:rFonts w:ascii="Century" w:hAnsi="Century" w:cs="Miriam" w:hint="cs"/>
          <w:b/>
          <w:spacing w:val="0"/>
          <w:szCs w:val="24"/>
          <w:rtl/>
        </w:rPr>
        <w:t>בד</w:t>
      </w:r>
      <w:r w:rsidRPr="004E15DA">
        <w:rPr>
          <w:rStyle w:val="default"/>
          <w:rFonts w:ascii="Century" w:hAnsi="Century" w:cs="Miriam"/>
          <w:b/>
          <w:spacing w:val="0"/>
          <w:szCs w:val="24"/>
          <w:rtl/>
        </w:rPr>
        <w:t xml:space="preserve">רך </w:t>
      </w:r>
      <w:r w:rsidRPr="004E15DA">
        <w:rPr>
          <w:rStyle w:val="default"/>
          <w:rFonts w:ascii="Century" w:hAnsi="Century" w:cs="Miriam" w:hint="cs"/>
          <w:b/>
          <w:spacing w:val="0"/>
          <w:szCs w:val="24"/>
          <w:rtl/>
        </w:rPr>
        <w:t>כ</w:t>
      </w:r>
      <w:r w:rsidRPr="004E15DA">
        <w:rPr>
          <w:rStyle w:val="default"/>
          <w:rFonts w:ascii="Century" w:hAnsi="Century" w:cs="Miriam"/>
          <w:b/>
          <w:spacing w:val="0"/>
          <w:szCs w:val="24"/>
          <w:rtl/>
        </w:rPr>
        <w:t>ל</w:t>
      </w:r>
      <w:r w:rsidRPr="004E15DA">
        <w:rPr>
          <w:rStyle w:val="default"/>
          <w:rFonts w:ascii="Century" w:hAnsi="Century" w:cs="Miriam" w:hint="cs"/>
          <w:b/>
          <w:spacing w:val="0"/>
          <w:szCs w:val="24"/>
          <w:rtl/>
        </w:rPr>
        <w:t xml:space="preserve"> </w:t>
      </w:r>
      <w:r w:rsidRPr="004E15DA">
        <w:rPr>
          <w:rStyle w:val="default"/>
          <w:rFonts w:ascii="Century" w:hAnsi="Century" w:cs="Miriam"/>
          <w:b/>
          <w:spacing w:val="0"/>
          <w:szCs w:val="24"/>
          <w:rtl/>
        </w:rPr>
        <w:t>ש</w:t>
      </w:r>
      <w:r w:rsidRPr="004E15DA">
        <w:rPr>
          <w:rStyle w:val="default"/>
          <w:rFonts w:ascii="Century" w:hAnsi="Century" w:cs="Miriam" w:hint="cs"/>
          <w:b/>
          <w:spacing w:val="0"/>
          <w:szCs w:val="24"/>
          <w:rtl/>
        </w:rPr>
        <w:t>היא מרשותו של אדם</w:t>
      </w:r>
      <w:r w:rsidRPr="004E15DA">
        <w:rPr>
          <w:rStyle w:val="default"/>
          <w:rFonts w:ascii="Century" w:hAnsi="Century" w:hint="cs"/>
          <w:rtl/>
        </w:rPr>
        <w:t>, והכל בין במישרין ובין בעקיפין, א</w:t>
      </w:r>
      <w:r w:rsidRPr="004E15DA">
        <w:rPr>
          <w:rStyle w:val="default"/>
          <w:rFonts w:ascii="Century" w:hAnsi="Century"/>
          <w:rtl/>
        </w:rPr>
        <w:t>ך למעט ה</w:t>
      </w:r>
      <w:r w:rsidRPr="004E15DA">
        <w:rPr>
          <w:rStyle w:val="default"/>
          <w:rFonts w:ascii="Century" w:hAnsi="Century" w:hint="cs"/>
          <w:rtl/>
        </w:rPr>
        <w:t>ורשה</w:t>
      </w:r>
      <w:r>
        <w:rPr>
          <w:rFonts w:hint="cs"/>
          <w:rtl/>
        </w:rPr>
        <w:t xml:space="preserve">" (ראו גם </w:t>
      </w:r>
      <w:r w:rsidRPr="00DD3CFE">
        <w:rPr>
          <w:rFonts w:ascii="Century" w:hAnsi="Century" w:hint="cs"/>
          <w:rtl/>
        </w:rPr>
        <w:t>אהרן נמדר</w:t>
      </w:r>
      <w:r>
        <w:rPr>
          <w:rFonts w:hint="cs"/>
          <w:rtl/>
        </w:rPr>
        <w:t xml:space="preserve"> </w:t>
      </w:r>
      <w:r w:rsidRPr="00DD3CFE">
        <w:rPr>
          <w:rFonts w:ascii="Century" w:hAnsi="Century" w:cs="Miriam" w:hint="cs"/>
          <w:b/>
          <w:spacing w:val="0"/>
          <w:szCs w:val="24"/>
          <w:rtl/>
        </w:rPr>
        <w:t>מס הכנסה: יסודות ועיקרים</w:t>
      </w:r>
      <w:r>
        <w:rPr>
          <w:rFonts w:hint="cs"/>
          <w:rtl/>
        </w:rPr>
        <w:t xml:space="preserve">, 557-556 (2013) (להלן: </w:t>
      </w:r>
      <w:r w:rsidRPr="00DD3CFE">
        <w:rPr>
          <w:rFonts w:ascii="Century" w:hAnsi="Century" w:cs="Miriam" w:hint="cs"/>
          <w:b/>
          <w:spacing w:val="0"/>
          <w:szCs w:val="24"/>
          <w:rtl/>
        </w:rPr>
        <w:t>נמדר</w:t>
      </w:r>
      <w:r>
        <w:rPr>
          <w:rFonts w:hint="cs"/>
          <w:rtl/>
        </w:rPr>
        <w:t>)).</w:t>
      </w:r>
      <w:r>
        <w:rPr>
          <w:rFonts w:ascii="Century" w:hAnsi="Century" w:hint="cs"/>
          <w:rtl/>
        </w:rPr>
        <w:t xml:space="preserve"> המימוש הוא נקודת הזמן שבה התגבש רווח ההון, משום שהנכס יצא מרשותו של הנישום, ומרגע זה, תנודות עתידיות בערכו של הנכס כבר אינן משפיעות על ההתעשרות של הנישום. </w:t>
      </w:r>
      <w:r>
        <w:rPr>
          <w:rFonts w:hint="cs"/>
          <w:rtl/>
        </w:rPr>
        <w:t xml:space="preserve">בהתאם לכך, גם קיזוז הפסד הון מותנה בכך שההפסד מומש. ירידת ערך של נכס איננה משפיעה על החבות במס רווחי הון, ורק ירידת ערך שמומשה בפעולה של "מכירה", ניתנת לקיזוז כנגד רווח הון. [במאמר מוסגר: אפשרות המימוש מסורה כמובן לבעל הנכס וכך הוא יכול להשפיע על תזמון אירוע המס; היו שראו בכך שיקול להגבלת האפשרות לקיזוז הפסדים </w:t>
      </w:r>
      <w:r w:rsidRPr="005A4F77">
        <w:rPr>
          <w:rFonts w:ascii="Century" w:hAnsi="Century" w:hint="cs"/>
          <w:rtl/>
        </w:rPr>
        <w:t>(</w:t>
      </w:r>
      <w:r w:rsidRPr="00E8460C">
        <w:rPr>
          <w:rFonts w:ascii="Century" w:hAnsi="Century" w:cs="Miriam" w:hint="cs"/>
          <w:b/>
          <w:noProof/>
          <w:spacing w:val="0"/>
          <w:szCs w:val="24"/>
          <w:rtl/>
        </w:rPr>
        <w:t>גליקסברג</w:t>
      </w:r>
      <w:r>
        <w:rPr>
          <w:rFonts w:ascii="Century" w:hAnsi="Century" w:hint="cs"/>
          <w:noProof/>
          <w:rtl/>
        </w:rPr>
        <w:t xml:space="preserve"> בעמ' 547, וראו גם שם בעמ' 549 בעניין החשש מפני "שימוש לרעה" בעיקרון המימוש)].</w:t>
      </w:r>
      <w:r>
        <w:rPr>
          <w:rFonts w:ascii="Century" w:hAnsi="Century" w:hint="cs"/>
          <w:rtl/>
        </w:rPr>
        <w:t xml:space="preserve"> "עקרון המימוש" הוא כלל מוכר, אך מצאתי לנכון לחזור על הדברים נוכח חשיבותם להכרעה במקרה דנא, כפי שיתבהר להלן.</w:t>
      </w:r>
    </w:p>
    <w:p w:rsidR="0010512C" w:rsidRDefault="0010512C" w:rsidP="0010512C">
      <w:pPr>
        <w:pStyle w:val="Ruller41"/>
        <w:rPr>
          <w:rFonts w:ascii="Century" w:hAnsi="Century"/>
          <w:rtl/>
        </w:rPr>
      </w:pPr>
    </w:p>
    <w:p w:rsidR="0010512C" w:rsidRPr="0018193F" w:rsidRDefault="0010512C" w:rsidP="0010512C">
      <w:pPr>
        <w:pStyle w:val="Ruller41"/>
        <w:rPr>
          <w:rFonts w:ascii="Century" w:hAnsi="Century"/>
        </w:rPr>
      </w:pPr>
      <w:r>
        <w:rPr>
          <w:rFonts w:ascii="Century" w:hAnsi="Century" w:hint="cs"/>
          <w:rtl/>
        </w:rPr>
        <w:t>11.</w:t>
      </w:r>
      <w:r>
        <w:rPr>
          <w:rFonts w:ascii="Century" w:hAnsi="Century"/>
          <w:rtl/>
        </w:rPr>
        <w:tab/>
      </w:r>
      <w:r>
        <w:rPr>
          <w:rFonts w:ascii="Century" w:hAnsi="Century" w:hint="cs"/>
          <w:rtl/>
        </w:rPr>
        <w:t xml:space="preserve">במקרה הנוכחי, הטענה היא להפסד הון בשל חוב אבוד. השקעה כספית שירדה לטמיון משמעה הפסד, וגם הלוואה שמוגדרת "חוב אבוד" או "חוב רע" עשויה להוות הפסד הון. מבחינת הלווה, מחילת חוב עשויה ליצור </w:t>
      </w:r>
      <w:r w:rsidRPr="002E61D4">
        <w:rPr>
          <w:rFonts w:ascii="Century" w:hAnsi="Century" w:cs="Miriam" w:hint="cs"/>
          <w:b/>
          <w:spacing w:val="0"/>
          <w:szCs w:val="24"/>
          <w:rtl/>
        </w:rPr>
        <w:t>הכנסה</w:t>
      </w:r>
      <w:r>
        <w:rPr>
          <w:rFonts w:ascii="Century" w:hAnsi="Century" w:hint="cs"/>
          <w:rtl/>
        </w:rPr>
        <w:t xml:space="preserve"> הונית (סעיף 3(ב)(3) לפקודה; </w:t>
      </w:r>
      <w:r w:rsidRPr="00E54C69">
        <w:rPr>
          <w:rFonts w:ascii="Century" w:hAnsi="Century"/>
          <w:rtl/>
        </w:rPr>
        <w:t>ע</w:t>
      </w:r>
      <w:r>
        <w:rPr>
          <w:rFonts w:ascii="Century" w:hAnsi="Century" w:hint="cs"/>
          <w:rtl/>
        </w:rPr>
        <w:t>"</w:t>
      </w:r>
      <w:r w:rsidRPr="00E54C69">
        <w:rPr>
          <w:rFonts w:ascii="Century" w:hAnsi="Century"/>
          <w:rtl/>
        </w:rPr>
        <w:t>א 9715/03‏</w:t>
      </w:r>
      <w:r>
        <w:rPr>
          <w:rFonts w:ascii="Century" w:hAnsi="Century" w:hint="cs"/>
          <w:rtl/>
        </w:rPr>
        <w:t xml:space="preserve"> </w:t>
      </w:r>
      <w:r w:rsidRPr="00E54C69">
        <w:rPr>
          <w:rFonts w:ascii="Century" w:hAnsi="Century" w:cs="Miriam"/>
          <w:b/>
          <w:spacing w:val="0"/>
          <w:szCs w:val="24"/>
          <w:rtl/>
        </w:rPr>
        <w:t>הורוביץ נ' פקיד שומה ת"א 4</w:t>
      </w:r>
      <w:r w:rsidRPr="00E54C69">
        <w:rPr>
          <w:rFonts w:ascii="Century" w:hAnsi="Century"/>
          <w:rtl/>
        </w:rPr>
        <w:t>‏</w:t>
      </w:r>
      <w:r w:rsidRPr="00E54C69">
        <w:rPr>
          <w:rFonts w:ascii="Century" w:hAnsi="Century" w:hint="cs"/>
          <w:rtl/>
        </w:rPr>
        <w:t xml:space="preserve"> (24.1.2005)</w:t>
      </w:r>
      <w:r>
        <w:rPr>
          <w:rFonts w:ascii="Century" w:hAnsi="Century" w:hint="cs"/>
          <w:rtl/>
        </w:rPr>
        <w:t xml:space="preserve">); ומבחינתו של המלווה, כספי הלוואה שירדו לטמיון מהווים </w:t>
      </w:r>
      <w:r w:rsidRPr="002E61D4">
        <w:rPr>
          <w:rFonts w:ascii="Century" w:hAnsi="Century" w:cs="Miriam" w:hint="cs"/>
          <w:b/>
          <w:spacing w:val="0"/>
          <w:szCs w:val="24"/>
          <w:rtl/>
        </w:rPr>
        <w:t>הפסד</w:t>
      </w:r>
      <w:r w:rsidRPr="002E61D4">
        <w:rPr>
          <w:rFonts w:ascii="Century" w:hAnsi="Century" w:hint="cs"/>
          <w:rtl/>
        </w:rPr>
        <w:t xml:space="preserve"> </w:t>
      </w:r>
      <w:r w:rsidRPr="0018193F">
        <w:rPr>
          <w:rFonts w:ascii="Century" w:hAnsi="Century" w:hint="cs"/>
          <w:rtl/>
        </w:rPr>
        <w:t>הון. כך גם כשמדובר בהלוואת בעלים, והוא הדין במימוש ערבות אישית (</w:t>
      </w:r>
      <w:r w:rsidRPr="00003750">
        <w:rPr>
          <w:rFonts w:ascii="Century" w:hAnsi="Century"/>
          <w:rtl/>
        </w:rPr>
        <w:t>ע</w:t>
      </w:r>
      <w:r w:rsidRPr="0018193F">
        <w:rPr>
          <w:rFonts w:ascii="Century" w:hAnsi="Century" w:hint="cs"/>
          <w:rtl/>
        </w:rPr>
        <w:t>"</w:t>
      </w:r>
      <w:r w:rsidRPr="0018193F">
        <w:rPr>
          <w:rFonts w:ascii="Century" w:hAnsi="Century"/>
          <w:rtl/>
        </w:rPr>
        <w:t>א 14/85</w:t>
      </w:r>
      <w:r w:rsidRPr="00003750">
        <w:rPr>
          <w:rFonts w:ascii="Century" w:hAnsi="Century"/>
        </w:rPr>
        <w:t xml:space="preserve"> </w:t>
      </w:r>
      <w:r w:rsidRPr="00003750">
        <w:rPr>
          <w:rFonts w:ascii="Century" w:hAnsi="Century"/>
          <w:cs/>
        </w:rPr>
        <w:t>‎</w:t>
      </w:r>
      <w:r w:rsidRPr="003840FE">
        <w:rPr>
          <w:rFonts w:ascii="Century" w:hAnsi="Century" w:cs="Miriam"/>
          <w:b/>
          <w:spacing w:val="0"/>
          <w:szCs w:val="24"/>
          <w:rtl/>
        </w:rPr>
        <w:t>פקיד שומה חיפה</w:t>
      </w:r>
      <w:r w:rsidRPr="003840FE">
        <w:rPr>
          <w:rFonts w:ascii="Century" w:hAnsi="Century" w:cs="Miriam"/>
          <w:b/>
          <w:spacing w:val="0"/>
          <w:szCs w:val="24"/>
          <w:cs/>
        </w:rPr>
        <w:t>‎</w:t>
      </w:r>
      <w:r w:rsidRPr="003840FE">
        <w:rPr>
          <w:rFonts w:ascii="Century" w:hAnsi="Century" w:cs="Miriam"/>
          <w:b/>
          <w:spacing w:val="0"/>
          <w:szCs w:val="24"/>
        </w:rPr>
        <w:t xml:space="preserve"> </w:t>
      </w:r>
      <w:r w:rsidRPr="003840FE">
        <w:rPr>
          <w:rFonts w:ascii="Century" w:hAnsi="Century" w:cs="Miriam"/>
          <w:b/>
          <w:spacing w:val="0"/>
          <w:szCs w:val="24"/>
          <w:cs/>
        </w:rPr>
        <w:t>‎</w:t>
      </w:r>
      <w:r w:rsidRPr="003840FE">
        <w:rPr>
          <w:rFonts w:ascii="Century" w:hAnsi="Century" w:cs="Miriam"/>
          <w:b/>
          <w:spacing w:val="0"/>
          <w:szCs w:val="24"/>
          <w:rtl/>
        </w:rPr>
        <w:t>נ' גולדשטיין</w:t>
      </w:r>
      <w:r w:rsidRPr="00003750">
        <w:rPr>
          <w:rFonts w:ascii="Century" w:hAnsi="Century"/>
          <w:rtl/>
        </w:rPr>
        <w:t>, פ</w:t>
      </w:r>
      <w:r w:rsidRPr="0018193F">
        <w:rPr>
          <w:rFonts w:ascii="Century" w:hAnsi="Century" w:hint="cs"/>
          <w:rtl/>
        </w:rPr>
        <w:t>"</w:t>
      </w:r>
      <w:r w:rsidRPr="00003750">
        <w:rPr>
          <w:rFonts w:ascii="Century" w:hAnsi="Century"/>
          <w:rtl/>
        </w:rPr>
        <w:t>ד מא(1) 835</w:t>
      </w:r>
      <w:r w:rsidRPr="0018193F">
        <w:rPr>
          <w:rFonts w:ascii="Century" w:hAnsi="Century" w:hint="cs"/>
          <w:rtl/>
        </w:rPr>
        <w:t>, 839 (1987)</w:t>
      </w:r>
      <w:r>
        <w:rPr>
          <w:rFonts w:ascii="Century" w:hAnsi="Century" w:hint="cs"/>
          <w:rtl/>
        </w:rPr>
        <w:t>).</w:t>
      </w:r>
    </w:p>
    <w:p w:rsidR="0010512C" w:rsidRDefault="0010512C" w:rsidP="0010512C">
      <w:pPr>
        <w:pStyle w:val="Ruller41"/>
        <w:rPr>
          <w:rFonts w:ascii="Century" w:hAnsi="Century"/>
          <w:rtl/>
        </w:rPr>
      </w:pPr>
    </w:p>
    <w:p w:rsidR="0010512C" w:rsidRDefault="0010512C" w:rsidP="0010512C">
      <w:pPr>
        <w:pStyle w:val="Ruller41"/>
        <w:rPr>
          <w:rFonts w:ascii="Century" w:hAnsi="Century"/>
        </w:rPr>
      </w:pPr>
      <w:r>
        <w:rPr>
          <w:rFonts w:ascii="Century" w:hAnsi="Century"/>
          <w:rtl/>
        </w:rPr>
        <w:tab/>
      </w:r>
      <w:r>
        <w:rPr>
          <w:rFonts w:ascii="Century" w:hAnsi="Century" w:hint="cs"/>
          <w:rtl/>
        </w:rPr>
        <w:t>אימתי מתגבש הפסד הון עקב "חוב אבוד"? הגישה המקובלת היא כי המבחנים שנקבעו ל"חוב רע" לצורך ניכוי הכנסה במישור הפירות</w:t>
      </w:r>
      <w:r w:rsidRPr="001A24EB">
        <w:rPr>
          <w:rFonts w:ascii="Century" w:hAnsi="Century" w:hint="cs"/>
          <w:rtl/>
        </w:rPr>
        <w:t>י (</w:t>
      </w:r>
      <w:r w:rsidRPr="001A24EB">
        <w:rPr>
          <w:rFonts w:ascii="Century" w:hAnsi="Century" w:hint="eastAsia"/>
          <w:rtl/>
        </w:rPr>
        <w:t>סעיף</w:t>
      </w:r>
      <w:r w:rsidRPr="001A24EB">
        <w:rPr>
          <w:rFonts w:ascii="Century" w:hAnsi="Century"/>
          <w:rtl/>
        </w:rPr>
        <w:t xml:space="preserve"> 17(4)</w:t>
      </w:r>
      <w:r w:rsidRPr="001A24EB">
        <w:rPr>
          <w:rFonts w:ascii="Century" w:hAnsi="Century" w:hint="cs"/>
          <w:rtl/>
        </w:rPr>
        <w:t xml:space="preserve"> לפקודה)</w:t>
      </w:r>
      <w:r>
        <w:rPr>
          <w:rFonts w:ascii="Century" w:hAnsi="Century" w:hint="cs"/>
          <w:rtl/>
        </w:rPr>
        <w:t>, ניתנים ליישום גם לגבי הכרה בהפסד במישור ההוני (</w:t>
      </w:r>
      <w:r w:rsidRPr="00FA0120">
        <w:rPr>
          <w:rFonts w:ascii="Century" w:hAnsi="Century"/>
          <w:rtl/>
        </w:rPr>
        <w:t>ע"מ 1179/09 (</w:t>
      </w:r>
      <w:r>
        <w:rPr>
          <w:rFonts w:ascii="FrankRuehl" w:hAnsi="FrankRuehl"/>
          <w:rtl/>
        </w:rPr>
        <w:t xml:space="preserve">מחוזי ת"א) </w:t>
      </w:r>
      <w:r>
        <w:rPr>
          <w:rFonts w:ascii="Century" w:hAnsi="Century" w:cs="Miriam"/>
          <w:b/>
          <w:spacing w:val="0"/>
          <w:szCs w:val="24"/>
          <w:rtl/>
        </w:rPr>
        <w:t>עגיב יעוץ וניהול נ' פקיד שומה תל-אביב-יפו</w:t>
      </w:r>
      <w:r>
        <w:rPr>
          <w:rFonts w:ascii="FrankRuehl" w:hAnsi="FrankRuehl"/>
          <w:rtl/>
        </w:rPr>
        <w:t xml:space="preserve">, </w:t>
      </w:r>
      <w:r w:rsidRPr="00FA0120">
        <w:rPr>
          <w:rFonts w:ascii="Century" w:hAnsi="Century" w:hint="cs"/>
          <w:rtl/>
        </w:rPr>
        <w:t>ב</w:t>
      </w:r>
      <w:r w:rsidRPr="003840FE">
        <w:rPr>
          <w:rFonts w:ascii="Century" w:hAnsi="Century"/>
          <w:rtl/>
        </w:rPr>
        <w:t>פסקה 11 (23.2.2013)</w:t>
      </w:r>
      <w:r>
        <w:rPr>
          <w:rFonts w:ascii="Century" w:hAnsi="Century" w:hint="cs"/>
          <w:rtl/>
        </w:rPr>
        <w:t xml:space="preserve"> (להלן: עניין </w:t>
      </w:r>
      <w:r>
        <w:rPr>
          <w:rFonts w:ascii="Century" w:hAnsi="Century" w:cs="Miriam" w:hint="cs"/>
          <w:b/>
          <w:spacing w:val="0"/>
          <w:szCs w:val="24"/>
          <w:rtl/>
        </w:rPr>
        <w:t>עגיב</w:t>
      </w:r>
      <w:r>
        <w:rPr>
          <w:rFonts w:ascii="Century" w:hAnsi="Century" w:hint="cs"/>
          <w:rtl/>
        </w:rPr>
        <w:t>)</w:t>
      </w:r>
      <w:r w:rsidRPr="003840FE">
        <w:rPr>
          <w:rFonts w:ascii="Century" w:hAnsi="Century" w:hint="cs"/>
          <w:rtl/>
        </w:rPr>
        <w:t xml:space="preserve">; </w:t>
      </w:r>
      <w:r w:rsidRPr="003840FE">
        <w:rPr>
          <w:rFonts w:ascii="Century" w:hAnsi="Century"/>
          <w:rtl/>
        </w:rPr>
        <w:t>ע</w:t>
      </w:r>
      <w:r w:rsidRPr="003840FE">
        <w:rPr>
          <w:rFonts w:ascii="Century" w:hAnsi="Century" w:hint="cs"/>
          <w:rtl/>
        </w:rPr>
        <w:t>"</w:t>
      </w:r>
      <w:r w:rsidRPr="003840FE">
        <w:rPr>
          <w:rFonts w:ascii="Century" w:hAnsi="Century"/>
          <w:rtl/>
        </w:rPr>
        <w:t xml:space="preserve">א 4060/12 </w:t>
      </w:r>
      <w:r w:rsidRPr="003840FE">
        <w:rPr>
          <w:rFonts w:ascii="Century" w:hAnsi="Century" w:cs="Miriam"/>
          <w:b/>
          <w:spacing w:val="0"/>
          <w:szCs w:val="24"/>
          <w:rtl/>
        </w:rPr>
        <w:t>שנהב נ' פקיד שומה ת"א 3</w:t>
      </w:r>
      <w:r>
        <w:rPr>
          <w:rFonts w:ascii="Century" w:hAnsi="Century" w:hint="cs"/>
          <w:rtl/>
        </w:rPr>
        <w:t>, בפסקה</w:t>
      </w:r>
      <w:r w:rsidRPr="003840FE">
        <w:rPr>
          <w:rFonts w:ascii="Century" w:hAnsi="Century" w:hint="cs"/>
          <w:rtl/>
        </w:rPr>
        <w:t xml:space="preserve"> 26 (27.4.2014)</w:t>
      </w:r>
      <w:r>
        <w:rPr>
          <w:rFonts w:ascii="Century" w:hAnsi="Century" w:hint="cs"/>
          <w:rtl/>
        </w:rPr>
        <w:t xml:space="preserve"> (להלן: עניין </w:t>
      </w:r>
      <w:r w:rsidRPr="003840FE">
        <w:rPr>
          <w:rFonts w:ascii="Century" w:hAnsi="Century" w:cs="Miriam" w:hint="cs"/>
          <w:b/>
          <w:spacing w:val="0"/>
          <w:szCs w:val="24"/>
          <w:rtl/>
        </w:rPr>
        <w:t>שנהב</w:t>
      </w:r>
      <w:r>
        <w:rPr>
          <w:rFonts w:ascii="Century" w:hAnsi="Century" w:hint="cs"/>
          <w:rtl/>
        </w:rPr>
        <w:t>)</w:t>
      </w:r>
      <w:r w:rsidRPr="003840FE">
        <w:rPr>
          <w:rFonts w:ascii="Century" w:hAnsi="Century" w:hint="cs"/>
          <w:rtl/>
        </w:rPr>
        <w:t>)</w:t>
      </w:r>
      <w:r>
        <w:rPr>
          <w:rFonts w:ascii="Century" w:hAnsi="Century" w:hint="cs"/>
          <w:rtl/>
        </w:rPr>
        <w:t xml:space="preserve">; וכן </w:t>
      </w:r>
      <w:r>
        <w:rPr>
          <w:rFonts w:ascii="Century" w:hAnsi="Century" w:hint="cs"/>
          <w:rtl/>
        </w:rPr>
        <w:lastRenderedPageBreak/>
        <w:t xml:space="preserve">פסק הדין שניתן לאחרונה </w:t>
      </w:r>
      <w:r w:rsidRPr="002D35A8">
        <w:rPr>
          <w:rFonts w:ascii="Century" w:hAnsi="Century" w:hint="cs"/>
          <w:rtl/>
        </w:rPr>
        <w:t xml:space="preserve">בע"מ 25908-12-17 </w:t>
      </w:r>
      <w:r w:rsidRPr="002D35A8">
        <w:rPr>
          <w:rFonts w:ascii="Century" w:hAnsi="Century" w:cs="Miriam" w:hint="cs"/>
          <w:b/>
          <w:spacing w:val="0"/>
          <w:szCs w:val="24"/>
          <w:rtl/>
        </w:rPr>
        <w:t>וינברג נ' פקיד שומה תל אביב 1</w:t>
      </w:r>
      <w:r w:rsidRPr="002D35A8">
        <w:rPr>
          <w:rFonts w:ascii="Century" w:hAnsi="Century" w:hint="cs"/>
          <w:rtl/>
        </w:rPr>
        <w:t xml:space="preserve">, בפסקה 25 (17.7.2019) (להלן: עניין </w:t>
      </w:r>
      <w:r w:rsidRPr="002D35A8">
        <w:rPr>
          <w:rFonts w:ascii="Century" w:hAnsi="Century" w:cs="Miriam" w:hint="cs"/>
          <w:b/>
          <w:spacing w:val="0"/>
          <w:szCs w:val="24"/>
          <w:rtl/>
        </w:rPr>
        <w:t>וינברג</w:t>
      </w:r>
      <w:r w:rsidRPr="00D06CE6">
        <w:rPr>
          <w:rFonts w:ascii="Century" w:hAnsi="Century" w:hint="cs"/>
          <w:rtl/>
        </w:rPr>
        <w:t>)</w:t>
      </w:r>
      <w:r w:rsidRPr="00435368">
        <w:rPr>
          <w:rFonts w:ascii="Century" w:hAnsi="Century" w:hint="cs"/>
          <w:rtl/>
        </w:rPr>
        <w:t>).</w:t>
      </w:r>
      <w:r>
        <w:rPr>
          <w:rFonts w:ascii="Century" w:hAnsi="Century" w:hint="cs"/>
          <w:rtl/>
        </w:rPr>
        <w:t xml:space="preserve"> ככלל, ומבלי שאדרש להסתברות המדוייקת של אבדן החוב או להבדל בין "חוב רע" לבין "חוב מסופק", המשמעות היא כי ניתן להכיר בהפסד רק כאשר הוכח שהלוואה לא תיפרע וההנחה הסבירה היא כי הנכס "ירד לטמיון". לעומת זאת, קשיי גבייה או ספקות בעלמא לגבי היתכנות הפירעון אינם מגבשים הפסד מבחינת דיני המס (</w:t>
      </w:r>
      <w:r>
        <w:rPr>
          <w:rFonts w:ascii="FrankRuehl" w:hAnsi="FrankRuehl" w:hint="cs"/>
          <w:sz w:val="28"/>
          <w:rtl/>
        </w:rPr>
        <w:t xml:space="preserve">ראו גם: </w:t>
      </w:r>
      <w:r w:rsidRPr="00A17DBD">
        <w:rPr>
          <w:rFonts w:ascii="FrankRuehl" w:hAnsi="FrankRuehl" w:hint="eastAsia"/>
          <w:sz w:val="28"/>
          <w:rtl/>
        </w:rPr>
        <w:t>ע</w:t>
      </w:r>
      <w:r w:rsidRPr="00A17DBD">
        <w:rPr>
          <w:rFonts w:ascii="FrankRuehl" w:hAnsi="FrankRuehl"/>
          <w:sz w:val="28"/>
          <w:rtl/>
        </w:rPr>
        <w:t>"</w:t>
      </w:r>
      <w:r w:rsidRPr="00A17DBD">
        <w:rPr>
          <w:rFonts w:ascii="FrankRuehl" w:hAnsi="FrankRuehl" w:hint="eastAsia"/>
          <w:sz w:val="28"/>
          <w:rtl/>
        </w:rPr>
        <w:t>מ</w:t>
      </w:r>
      <w:r w:rsidRPr="00A17DBD">
        <w:rPr>
          <w:rFonts w:ascii="FrankRuehl" w:hAnsi="FrankRuehl"/>
          <w:sz w:val="28"/>
          <w:rtl/>
        </w:rPr>
        <w:t xml:space="preserve"> 37568-07-11 </w:t>
      </w:r>
      <w:r>
        <w:rPr>
          <w:rFonts w:ascii="FrankRuehl" w:hAnsi="FrankRuehl" w:hint="cs"/>
          <w:sz w:val="28"/>
          <w:rtl/>
        </w:rPr>
        <w:t>(מחוזי ת"א)</w:t>
      </w:r>
      <w:r w:rsidRPr="00A17DBD">
        <w:rPr>
          <w:rFonts w:ascii="FrankRuehl" w:hAnsi="FrankRuehl"/>
          <w:sz w:val="28"/>
          <w:rtl/>
        </w:rPr>
        <w:t xml:space="preserve"> </w:t>
      </w:r>
      <w:r w:rsidRPr="00A80583">
        <w:rPr>
          <w:rFonts w:ascii="Century" w:hAnsi="Century" w:cs="Miriam" w:hint="eastAsia"/>
          <w:b/>
          <w:spacing w:val="0"/>
          <w:szCs w:val="24"/>
          <w:rtl/>
        </w:rPr>
        <w:t>פישמן</w:t>
      </w:r>
      <w:r w:rsidRPr="00A80583">
        <w:rPr>
          <w:rFonts w:ascii="Century" w:hAnsi="Century" w:cs="Miriam"/>
          <w:b/>
          <w:spacing w:val="0"/>
          <w:szCs w:val="24"/>
          <w:rtl/>
        </w:rPr>
        <w:t xml:space="preserve"> </w:t>
      </w:r>
      <w:r w:rsidRPr="00A80583">
        <w:rPr>
          <w:rFonts w:ascii="Century" w:hAnsi="Century" w:cs="Miriam" w:hint="eastAsia"/>
          <w:b/>
          <w:spacing w:val="0"/>
          <w:szCs w:val="24"/>
          <w:rtl/>
        </w:rPr>
        <w:t>רשתות</w:t>
      </w:r>
      <w:r w:rsidRPr="00A80583">
        <w:rPr>
          <w:rFonts w:ascii="Century" w:hAnsi="Century" w:cs="Miriam"/>
          <w:b/>
          <w:spacing w:val="0"/>
          <w:szCs w:val="24"/>
          <w:rtl/>
        </w:rPr>
        <w:t xml:space="preserve"> </w:t>
      </w:r>
      <w:r w:rsidRPr="00A80583">
        <w:rPr>
          <w:rFonts w:ascii="Century" w:hAnsi="Century" w:cs="Miriam" w:hint="eastAsia"/>
          <w:b/>
          <w:spacing w:val="0"/>
          <w:szCs w:val="24"/>
          <w:rtl/>
        </w:rPr>
        <w:t>בע</w:t>
      </w:r>
      <w:r w:rsidRPr="00A80583">
        <w:rPr>
          <w:rFonts w:ascii="Century" w:hAnsi="Century" w:cs="Miriam"/>
          <w:b/>
          <w:spacing w:val="0"/>
          <w:szCs w:val="24"/>
          <w:rtl/>
        </w:rPr>
        <w:t>"</w:t>
      </w:r>
      <w:r w:rsidRPr="00A80583">
        <w:rPr>
          <w:rFonts w:ascii="Century" w:hAnsi="Century" w:cs="Miriam" w:hint="eastAsia"/>
          <w:b/>
          <w:spacing w:val="0"/>
          <w:szCs w:val="24"/>
          <w:rtl/>
        </w:rPr>
        <w:t>מ</w:t>
      </w:r>
      <w:r w:rsidRPr="00A80583">
        <w:rPr>
          <w:rFonts w:ascii="Century" w:hAnsi="Century" w:cs="Miriam"/>
          <w:b/>
          <w:spacing w:val="0"/>
          <w:szCs w:val="24"/>
          <w:rtl/>
        </w:rPr>
        <w:t xml:space="preserve"> </w:t>
      </w:r>
      <w:r w:rsidRPr="00A80583">
        <w:rPr>
          <w:rFonts w:ascii="Century" w:hAnsi="Century" w:cs="Miriam" w:hint="eastAsia"/>
          <w:b/>
          <w:spacing w:val="0"/>
          <w:szCs w:val="24"/>
          <w:rtl/>
        </w:rPr>
        <w:t>נ</w:t>
      </w:r>
      <w:r w:rsidRPr="00A80583">
        <w:rPr>
          <w:rFonts w:ascii="Century" w:hAnsi="Century" w:cs="Miriam"/>
          <w:b/>
          <w:spacing w:val="0"/>
          <w:szCs w:val="24"/>
          <w:rtl/>
        </w:rPr>
        <w:t xml:space="preserve">' </w:t>
      </w:r>
      <w:r w:rsidRPr="00A80583">
        <w:rPr>
          <w:rFonts w:ascii="Century" w:hAnsi="Century" w:cs="Miriam" w:hint="eastAsia"/>
          <w:b/>
          <w:spacing w:val="0"/>
          <w:szCs w:val="24"/>
          <w:rtl/>
        </w:rPr>
        <w:t>פקיד</w:t>
      </w:r>
      <w:r w:rsidRPr="00A80583">
        <w:rPr>
          <w:rFonts w:ascii="Century" w:hAnsi="Century" w:cs="Miriam"/>
          <w:b/>
          <w:spacing w:val="0"/>
          <w:szCs w:val="24"/>
          <w:rtl/>
        </w:rPr>
        <w:t xml:space="preserve"> </w:t>
      </w:r>
      <w:r w:rsidRPr="00A80583">
        <w:rPr>
          <w:rFonts w:ascii="Century" w:hAnsi="Century" w:cs="Miriam" w:hint="eastAsia"/>
          <w:b/>
          <w:spacing w:val="0"/>
          <w:szCs w:val="24"/>
          <w:rtl/>
        </w:rPr>
        <w:t>שומה</w:t>
      </w:r>
      <w:r w:rsidRPr="00A80583">
        <w:rPr>
          <w:rFonts w:ascii="Century" w:hAnsi="Century" w:cs="Miriam"/>
          <w:b/>
          <w:spacing w:val="0"/>
          <w:szCs w:val="24"/>
          <w:rtl/>
        </w:rPr>
        <w:t xml:space="preserve"> </w:t>
      </w:r>
      <w:r w:rsidRPr="00A80583">
        <w:rPr>
          <w:rFonts w:ascii="Century" w:hAnsi="Century" w:cs="Miriam" w:hint="eastAsia"/>
          <w:b/>
          <w:spacing w:val="0"/>
          <w:szCs w:val="24"/>
          <w:rtl/>
        </w:rPr>
        <w:t>מפעלים</w:t>
      </w:r>
      <w:r w:rsidRPr="00A80583">
        <w:rPr>
          <w:rFonts w:ascii="Century" w:hAnsi="Century" w:cs="Miriam"/>
          <w:b/>
          <w:spacing w:val="0"/>
          <w:szCs w:val="24"/>
          <w:rtl/>
        </w:rPr>
        <w:t xml:space="preserve"> </w:t>
      </w:r>
      <w:r w:rsidRPr="00A80583">
        <w:rPr>
          <w:rFonts w:ascii="Century" w:hAnsi="Century" w:cs="Miriam" w:hint="eastAsia"/>
          <w:b/>
          <w:spacing w:val="0"/>
          <w:szCs w:val="24"/>
          <w:rtl/>
        </w:rPr>
        <w:t>גדולים</w:t>
      </w:r>
      <w:r>
        <w:rPr>
          <w:rFonts w:ascii="FrankRuehl" w:hAnsi="FrankRuehl" w:hint="cs"/>
          <w:sz w:val="28"/>
          <w:rtl/>
        </w:rPr>
        <w:t>, בפסקה 3</w:t>
      </w:r>
      <w:r w:rsidRPr="00A17DBD">
        <w:rPr>
          <w:rFonts w:ascii="FrankRuehl" w:hAnsi="FrankRuehl"/>
          <w:sz w:val="28"/>
          <w:rtl/>
        </w:rPr>
        <w:t xml:space="preserve"> </w:t>
      </w:r>
      <w:r>
        <w:rPr>
          <w:rFonts w:ascii="FrankRuehl" w:hAnsi="FrankRuehl" w:hint="cs"/>
          <w:sz w:val="28"/>
          <w:rtl/>
        </w:rPr>
        <w:t>(</w:t>
      </w:r>
      <w:r>
        <w:rPr>
          <w:rFonts w:ascii="FrankRuehl" w:hAnsi="FrankRuehl"/>
          <w:sz w:val="28"/>
          <w:rtl/>
        </w:rPr>
        <w:t>11.12.2014</w:t>
      </w:r>
      <w:r w:rsidRPr="008F5461">
        <w:rPr>
          <w:rFonts w:ascii="Century" w:hAnsi="Century" w:hint="cs"/>
          <w:rtl/>
        </w:rPr>
        <w:t>)</w:t>
      </w:r>
      <w:r>
        <w:rPr>
          <w:rFonts w:ascii="Century" w:hAnsi="Century" w:hint="cs"/>
          <w:rtl/>
        </w:rPr>
        <w:t xml:space="preserve"> (להלן: עניין </w:t>
      </w:r>
      <w:r w:rsidRPr="00A80583">
        <w:rPr>
          <w:rFonts w:ascii="Century" w:hAnsi="Century" w:cs="Miriam" w:hint="cs"/>
          <w:b/>
          <w:spacing w:val="0"/>
          <w:szCs w:val="24"/>
          <w:rtl/>
        </w:rPr>
        <w:t>פישמן</w:t>
      </w:r>
      <w:r>
        <w:rPr>
          <w:rFonts w:ascii="Century" w:hAnsi="Century" w:hint="cs"/>
          <w:rtl/>
        </w:rPr>
        <w:t>),</w:t>
      </w:r>
      <w:r w:rsidRPr="008F5461">
        <w:rPr>
          <w:rFonts w:ascii="Century" w:hAnsi="Century" w:hint="cs"/>
          <w:rtl/>
        </w:rPr>
        <w:t xml:space="preserve"> הערעור נדחה ב</w:t>
      </w:r>
      <w:r w:rsidRPr="008F5461">
        <w:rPr>
          <w:rFonts w:ascii="Century" w:hAnsi="Century"/>
          <w:rtl/>
        </w:rPr>
        <w:t>ע</w:t>
      </w:r>
      <w:r w:rsidRPr="008F5461">
        <w:rPr>
          <w:rFonts w:ascii="Century" w:hAnsi="Century" w:hint="cs"/>
          <w:rtl/>
        </w:rPr>
        <w:t>"</w:t>
      </w:r>
      <w:r w:rsidRPr="008F5461">
        <w:rPr>
          <w:rFonts w:ascii="Century" w:hAnsi="Century"/>
          <w:rtl/>
        </w:rPr>
        <w:t xml:space="preserve">א 918/15 </w:t>
      </w:r>
      <w:r w:rsidRPr="00A80583">
        <w:rPr>
          <w:rFonts w:ascii="Century" w:hAnsi="Century" w:cs="Miriam"/>
          <w:b/>
          <w:spacing w:val="0"/>
          <w:szCs w:val="24"/>
          <w:rtl/>
        </w:rPr>
        <w:t>פישמן רשתות בע"מ נ' פקיד שומה למפעלים גדולים</w:t>
      </w:r>
      <w:r w:rsidRPr="008F5461">
        <w:rPr>
          <w:rFonts w:ascii="Century" w:hAnsi="Century" w:hint="cs"/>
          <w:rtl/>
        </w:rPr>
        <w:t xml:space="preserve"> (28.7.201</w:t>
      </w:r>
      <w:r>
        <w:rPr>
          <w:rFonts w:ascii="Century" w:hAnsi="Century" w:hint="cs"/>
          <w:rtl/>
        </w:rPr>
        <w:t xml:space="preserve">6) וראו שם בפסקה 10; </w:t>
      </w:r>
      <w:r w:rsidRPr="0063355D">
        <w:rPr>
          <w:rFonts w:ascii="Century" w:hAnsi="Century"/>
          <w:rtl/>
        </w:rPr>
        <w:t>ע</w:t>
      </w:r>
      <w:r>
        <w:rPr>
          <w:rFonts w:ascii="Century" w:hAnsi="Century" w:hint="cs"/>
          <w:rtl/>
        </w:rPr>
        <w:t>"</w:t>
      </w:r>
      <w:r w:rsidRPr="0063355D">
        <w:rPr>
          <w:rFonts w:ascii="Century" w:hAnsi="Century"/>
          <w:rtl/>
        </w:rPr>
        <w:t>מ (</w:t>
      </w:r>
      <w:r>
        <w:rPr>
          <w:rFonts w:ascii="Century" w:hAnsi="Century" w:hint="cs"/>
          <w:rtl/>
        </w:rPr>
        <w:t xml:space="preserve">מחוזי </w:t>
      </w:r>
      <w:r w:rsidRPr="0063355D">
        <w:rPr>
          <w:rFonts w:ascii="Century" w:hAnsi="Century"/>
          <w:rtl/>
        </w:rPr>
        <w:t>ת"א) 1142-04‏</w:t>
      </w:r>
      <w:r>
        <w:rPr>
          <w:rFonts w:ascii="Century" w:hAnsi="Century" w:hint="cs"/>
          <w:rtl/>
        </w:rPr>
        <w:t xml:space="preserve"> </w:t>
      </w:r>
      <w:r w:rsidRPr="0063355D">
        <w:rPr>
          <w:rFonts w:ascii="Century" w:hAnsi="Century" w:cs="Miriam"/>
          <w:b/>
          <w:spacing w:val="0"/>
          <w:szCs w:val="24"/>
          <w:rtl/>
        </w:rPr>
        <w:t>נווה דור החזקות בע"מ נ' פקיד שומה תל-אביב-יפו 3‏</w:t>
      </w:r>
      <w:r>
        <w:rPr>
          <w:rFonts w:ascii="Century" w:hAnsi="Century" w:hint="cs"/>
          <w:rtl/>
        </w:rPr>
        <w:t xml:space="preserve">, </w:t>
      </w:r>
      <w:r w:rsidRPr="0063355D">
        <w:rPr>
          <w:rFonts w:ascii="Century" w:hAnsi="Century" w:hint="cs"/>
          <w:rtl/>
        </w:rPr>
        <w:t>בפסקה 39</w:t>
      </w:r>
      <w:r w:rsidRPr="0063355D">
        <w:rPr>
          <w:rFonts w:ascii="Century" w:hAnsi="Century"/>
          <w:rtl/>
        </w:rPr>
        <w:t xml:space="preserve"> (22.11.2012)</w:t>
      </w:r>
      <w:r w:rsidRPr="0063355D">
        <w:rPr>
          <w:rFonts w:ascii="Century" w:hAnsi="Century" w:hint="cs"/>
          <w:rtl/>
        </w:rPr>
        <w:t xml:space="preserve">, </w:t>
      </w:r>
      <w:r w:rsidRPr="0063355D">
        <w:rPr>
          <w:rFonts w:ascii="Century" w:hAnsi="Century"/>
          <w:rtl/>
        </w:rPr>
        <w:t xml:space="preserve">הערעור נדחה </w:t>
      </w:r>
      <w:r>
        <w:rPr>
          <w:rFonts w:ascii="Century" w:hAnsi="Century" w:hint="cs"/>
          <w:rtl/>
        </w:rPr>
        <w:t>ב</w:t>
      </w:r>
      <w:r w:rsidRPr="0063355D">
        <w:rPr>
          <w:rFonts w:ascii="Century" w:hAnsi="Century"/>
          <w:rtl/>
        </w:rPr>
        <w:t>ע</w:t>
      </w:r>
      <w:r>
        <w:rPr>
          <w:rFonts w:ascii="Century" w:hAnsi="Century" w:hint="cs"/>
          <w:rtl/>
        </w:rPr>
        <w:t>"</w:t>
      </w:r>
      <w:r w:rsidRPr="0063355D">
        <w:rPr>
          <w:rFonts w:ascii="Century" w:hAnsi="Century"/>
          <w:rtl/>
        </w:rPr>
        <w:t>א 125/13</w:t>
      </w:r>
      <w:r>
        <w:rPr>
          <w:rFonts w:ascii="Century" w:hAnsi="Century" w:hint="cs"/>
          <w:rtl/>
        </w:rPr>
        <w:t xml:space="preserve"> </w:t>
      </w:r>
      <w:r w:rsidRPr="0063355D">
        <w:rPr>
          <w:rFonts w:ascii="Century" w:hAnsi="Century" w:cs="Miriam"/>
          <w:b/>
          <w:spacing w:val="0"/>
          <w:szCs w:val="24"/>
          <w:rtl/>
        </w:rPr>
        <w:t xml:space="preserve">פרץ נ' פקיד שומה ירושלים 3‏ </w:t>
      </w:r>
      <w:r w:rsidRPr="0063355D">
        <w:rPr>
          <w:rFonts w:ascii="Century" w:hAnsi="Century"/>
          <w:rtl/>
        </w:rPr>
        <w:t>(7.4.2014)</w:t>
      </w:r>
      <w:r>
        <w:rPr>
          <w:rFonts w:ascii="Century" w:hAnsi="Century" w:hint="cs"/>
          <w:rtl/>
        </w:rPr>
        <w:t xml:space="preserve">; </w:t>
      </w:r>
      <w:r w:rsidRPr="002D694B">
        <w:rPr>
          <w:rFonts w:ascii="Century" w:hAnsi="Century"/>
          <w:rtl/>
        </w:rPr>
        <w:t>ע</w:t>
      </w:r>
      <w:r>
        <w:rPr>
          <w:rFonts w:ascii="Century" w:hAnsi="Century" w:hint="cs"/>
          <w:rtl/>
        </w:rPr>
        <w:t>"</w:t>
      </w:r>
      <w:r w:rsidRPr="002D694B">
        <w:rPr>
          <w:rFonts w:ascii="Century" w:hAnsi="Century"/>
          <w:rtl/>
        </w:rPr>
        <w:t>מ (</w:t>
      </w:r>
      <w:r>
        <w:rPr>
          <w:rFonts w:ascii="Century" w:hAnsi="Century" w:hint="cs"/>
          <w:rtl/>
        </w:rPr>
        <w:t xml:space="preserve">מחוזי </w:t>
      </w:r>
      <w:r w:rsidRPr="002D694B">
        <w:rPr>
          <w:rFonts w:ascii="Century" w:hAnsi="Century"/>
          <w:rtl/>
        </w:rPr>
        <w:t>ת"א) 36608-02-12‏</w:t>
      </w:r>
      <w:r w:rsidRPr="002D694B">
        <w:rPr>
          <w:rFonts w:ascii="Century" w:hAnsi="Century" w:hint="cs"/>
          <w:rtl/>
        </w:rPr>
        <w:t xml:space="preserve"> </w:t>
      </w:r>
      <w:r w:rsidRPr="005E1A69">
        <w:rPr>
          <w:rFonts w:ascii="Century" w:hAnsi="Century" w:cs="Miriam"/>
          <w:b/>
          <w:spacing w:val="0"/>
          <w:szCs w:val="24"/>
          <w:rtl/>
        </w:rPr>
        <w:t>שפירא נ' פקיד שומה תל אביב 1‏</w:t>
      </w:r>
      <w:r w:rsidRPr="002D694B">
        <w:rPr>
          <w:rFonts w:ascii="Century" w:hAnsi="Century" w:hint="cs"/>
          <w:noProof/>
          <w:rtl/>
        </w:rPr>
        <w:t>, בפסקה 122 (28.12.2016)</w:t>
      </w:r>
      <w:r>
        <w:rPr>
          <w:rFonts w:ascii="Century" w:hAnsi="Century" w:hint="cs"/>
          <w:rtl/>
        </w:rPr>
        <w:t xml:space="preserve"> (להלן: עניין </w:t>
      </w:r>
      <w:r w:rsidRPr="008F5461">
        <w:rPr>
          <w:rFonts w:ascii="Century" w:hAnsi="Century" w:cs="Miriam" w:hint="cs"/>
          <w:b/>
          <w:spacing w:val="0"/>
          <w:szCs w:val="24"/>
          <w:rtl/>
        </w:rPr>
        <w:t>שפירא</w:t>
      </w:r>
      <w:r>
        <w:rPr>
          <w:rFonts w:ascii="Century" w:hAnsi="Century" w:hint="cs"/>
          <w:rtl/>
        </w:rPr>
        <w:t xml:space="preserve">); </w:t>
      </w:r>
      <w:r w:rsidRPr="003840FE">
        <w:rPr>
          <w:rFonts w:ascii="Century" w:hAnsi="Century" w:cs="Miriam" w:hint="cs"/>
          <w:b/>
          <w:spacing w:val="0"/>
          <w:szCs w:val="24"/>
          <w:rtl/>
        </w:rPr>
        <w:t>וינברג</w:t>
      </w:r>
      <w:r>
        <w:rPr>
          <w:rFonts w:ascii="Century" w:hAnsi="Century" w:hint="cs"/>
          <w:rtl/>
        </w:rPr>
        <w:t xml:space="preserve">, בפסקה 25; עניין </w:t>
      </w:r>
      <w:r w:rsidRPr="003840FE">
        <w:rPr>
          <w:rFonts w:ascii="Century" w:hAnsi="Century" w:cs="Miriam" w:hint="cs"/>
          <w:b/>
          <w:spacing w:val="0"/>
          <w:szCs w:val="24"/>
          <w:rtl/>
        </w:rPr>
        <w:t>עגיב</w:t>
      </w:r>
      <w:r>
        <w:rPr>
          <w:rFonts w:ascii="Century" w:hAnsi="Century" w:hint="cs"/>
          <w:rtl/>
        </w:rPr>
        <w:t xml:space="preserve">, בפסקה 11; אמנון רפאל </w:t>
      </w:r>
      <w:r w:rsidRPr="003840FE">
        <w:rPr>
          <w:rFonts w:ascii="Century" w:hAnsi="Century" w:cs="Miriam" w:hint="cs"/>
          <w:b/>
          <w:spacing w:val="0"/>
          <w:szCs w:val="24"/>
          <w:rtl/>
        </w:rPr>
        <w:t>מס הכנסה</w:t>
      </w:r>
      <w:r>
        <w:rPr>
          <w:rFonts w:ascii="Century" w:hAnsi="Century" w:hint="cs"/>
          <w:rtl/>
        </w:rPr>
        <w:t xml:space="preserve"> כרך א 510-500 (מהדורה רביעית, 2009) (להלן: </w:t>
      </w:r>
      <w:r w:rsidRPr="003840FE">
        <w:rPr>
          <w:rFonts w:ascii="Century" w:hAnsi="Century" w:cs="Miriam" w:hint="cs"/>
          <w:b/>
          <w:spacing w:val="0"/>
          <w:szCs w:val="24"/>
          <w:rtl/>
        </w:rPr>
        <w:t>רפאל</w:t>
      </w:r>
      <w:r>
        <w:rPr>
          <w:rFonts w:ascii="Century" w:hAnsi="Century" w:hint="cs"/>
          <w:rtl/>
        </w:rPr>
        <w:t xml:space="preserve">); </w:t>
      </w:r>
      <w:r w:rsidRPr="001A24EB">
        <w:rPr>
          <w:rFonts w:ascii="Century" w:hAnsi="Century" w:hint="eastAsia"/>
          <w:rtl/>
        </w:rPr>
        <w:t>אהוד</w:t>
      </w:r>
      <w:r w:rsidRPr="001A24EB">
        <w:rPr>
          <w:rFonts w:ascii="Century" w:hAnsi="Century"/>
          <w:rtl/>
        </w:rPr>
        <w:t xml:space="preserve"> </w:t>
      </w:r>
      <w:r w:rsidRPr="001A24EB">
        <w:rPr>
          <w:rFonts w:ascii="Century" w:hAnsi="Century" w:hint="eastAsia"/>
          <w:rtl/>
        </w:rPr>
        <w:t>ברזלי</w:t>
      </w:r>
      <w:r w:rsidRPr="001A24EB">
        <w:rPr>
          <w:rFonts w:ascii="Century" w:hAnsi="Century" w:hint="cs"/>
          <w:rtl/>
        </w:rPr>
        <w:t xml:space="preserve"> ו</w:t>
      </w:r>
      <w:r w:rsidRPr="001A24EB">
        <w:rPr>
          <w:rFonts w:ascii="Century" w:hAnsi="Century" w:hint="eastAsia"/>
          <w:rtl/>
        </w:rPr>
        <w:t>יעל</w:t>
      </w:r>
      <w:r w:rsidRPr="001A24EB">
        <w:rPr>
          <w:rFonts w:ascii="Century" w:hAnsi="Century"/>
          <w:rtl/>
        </w:rPr>
        <w:t xml:space="preserve"> </w:t>
      </w:r>
      <w:r w:rsidRPr="001A24EB">
        <w:rPr>
          <w:rFonts w:ascii="Century" w:hAnsi="Century" w:hint="eastAsia"/>
          <w:rtl/>
        </w:rPr>
        <w:t>קאטץ</w:t>
      </w:r>
      <w:r w:rsidRPr="001A24EB">
        <w:rPr>
          <w:rFonts w:ascii="Century" w:hAnsi="Century" w:hint="cs"/>
          <w:rtl/>
        </w:rPr>
        <w:t xml:space="preserve"> </w:t>
      </w:r>
      <w:r w:rsidRPr="001A24EB">
        <w:rPr>
          <w:rFonts w:ascii="Century" w:hAnsi="Century"/>
          <w:rtl/>
        </w:rPr>
        <w:t>"</w:t>
      </w:r>
      <w:r w:rsidRPr="001A24EB">
        <w:rPr>
          <w:rFonts w:ascii="Century" w:hAnsi="Century" w:hint="eastAsia"/>
          <w:rtl/>
        </w:rPr>
        <w:t>הוצאות</w:t>
      </w:r>
      <w:r w:rsidRPr="001A24EB">
        <w:rPr>
          <w:rFonts w:ascii="Century" w:hAnsi="Century"/>
          <w:rtl/>
        </w:rPr>
        <w:t xml:space="preserve"> </w:t>
      </w:r>
      <w:r w:rsidRPr="001A24EB">
        <w:rPr>
          <w:rFonts w:ascii="Century" w:hAnsi="Century" w:hint="eastAsia"/>
          <w:rtl/>
        </w:rPr>
        <w:t>בגין</w:t>
      </w:r>
      <w:r w:rsidRPr="001A24EB">
        <w:rPr>
          <w:rFonts w:ascii="Century" w:hAnsi="Century"/>
          <w:rtl/>
        </w:rPr>
        <w:t xml:space="preserve"> </w:t>
      </w:r>
      <w:r w:rsidRPr="001A24EB">
        <w:rPr>
          <w:rFonts w:ascii="Century" w:hAnsi="Century" w:hint="eastAsia"/>
          <w:rtl/>
        </w:rPr>
        <w:t>מימוש</w:t>
      </w:r>
      <w:r w:rsidRPr="001A24EB">
        <w:rPr>
          <w:rFonts w:ascii="Century" w:hAnsi="Century"/>
          <w:rtl/>
        </w:rPr>
        <w:t xml:space="preserve"> </w:t>
      </w:r>
      <w:r w:rsidRPr="001A24EB">
        <w:rPr>
          <w:rFonts w:ascii="Century" w:hAnsi="Century" w:hint="eastAsia"/>
          <w:rtl/>
        </w:rPr>
        <w:t>ערבות</w:t>
      </w:r>
      <w:r w:rsidRPr="001A24EB">
        <w:rPr>
          <w:rFonts w:ascii="Century" w:hAnsi="Century"/>
          <w:rtl/>
        </w:rPr>
        <w:t xml:space="preserve"> </w:t>
      </w:r>
      <w:r w:rsidRPr="001A24EB">
        <w:rPr>
          <w:rFonts w:ascii="Century" w:hAnsi="Century" w:hint="eastAsia"/>
          <w:rtl/>
        </w:rPr>
        <w:t>לחברה</w:t>
      </w:r>
      <w:r w:rsidRPr="001A24EB">
        <w:rPr>
          <w:rFonts w:ascii="Century" w:hAnsi="Century"/>
          <w:rtl/>
        </w:rPr>
        <w:t xml:space="preserve"> </w:t>
      </w:r>
      <w:r w:rsidRPr="001A24EB">
        <w:rPr>
          <w:rFonts w:ascii="Century" w:hAnsi="Century" w:hint="eastAsia"/>
          <w:rtl/>
        </w:rPr>
        <w:t>בשליטה</w:t>
      </w:r>
      <w:r w:rsidRPr="001A24EB">
        <w:rPr>
          <w:rFonts w:ascii="Century" w:hAnsi="Century" w:hint="cs"/>
          <w:rtl/>
        </w:rPr>
        <w:t xml:space="preserve">" </w:t>
      </w:r>
      <w:r w:rsidRPr="001A24EB">
        <w:rPr>
          <w:rFonts w:ascii="Century" w:hAnsi="Century" w:cs="Miriam" w:hint="eastAsia"/>
          <w:b/>
          <w:spacing w:val="0"/>
          <w:szCs w:val="24"/>
          <w:rtl/>
        </w:rPr>
        <w:t>מיסים</w:t>
      </w:r>
      <w:r w:rsidRPr="001A24EB">
        <w:rPr>
          <w:rFonts w:ascii="Century" w:hAnsi="Century"/>
          <w:rtl/>
        </w:rPr>
        <w:t xml:space="preserve"> </w:t>
      </w:r>
      <w:r w:rsidRPr="001A24EB">
        <w:rPr>
          <w:rFonts w:ascii="Century" w:hAnsi="Century" w:hint="eastAsia"/>
          <w:rtl/>
        </w:rPr>
        <w:t>ח</w:t>
      </w:r>
      <w:r w:rsidRPr="001A24EB">
        <w:rPr>
          <w:rFonts w:ascii="Century" w:hAnsi="Century"/>
          <w:rtl/>
        </w:rPr>
        <w:t>/2 (1994)</w:t>
      </w:r>
      <w:r>
        <w:rPr>
          <w:rFonts w:ascii="Century" w:hAnsi="Century" w:hint="cs"/>
          <w:rtl/>
        </w:rPr>
        <w:t xml:space="preserve">). עוד הובהר בפסיקה, כי </w:t>
      </w:r>
      <w:r>
        <w:rPr>
          <w:rFonts w:ascii="FrankRuehl" w:hAnsi="FrankRuehl" w:hint="cs"/>
          <w:rtl/>
        </w:rPr>
        <w:t>לצורך הגדרת "חוב רע", המבחן הוא "</w:t>
      </w:r>
      <w:r>
        <w:rPr>
          <w:rFonts w:ascii="FrankRuehl" w:hAnsi="FrankRuehl"/>
          <w:rtl/>
        </w:rPr>
        <w:t>מבחן אובייקטיבי המשלב אמות מידה של שכל ישר והתנהלות עסקית סבירה והינו תלוי נסיבותיו של כל מקרה</w:t>
      </w:r>
      <w:r>
        <w:rPr>
          <w:rFonts w:ascii="Century" w:hAnsi="Century" w:hint="cs"/>
          <w:rtl/>
        </w:rPr>
        <w:t>" (</w:t>
      </w:r>
      <w:r w:rsidRPr="0071535E">
        <w:rPr>
          <w:rFonts w:ascii="Century" w:hAnsi="Century"/>
          <w:rtl/>
        </w:rPr>
        <w:t>ע</w:t>
      </w:r>
      <w:r>
        <w:rPr>
          <w:rFonts w:ascii="Century" w:hAnsi="Century" w:hint="cs"/>
          <w:rtl/>
        </w:rPr>
        <w:t>"</w:t>
      </w:r>
      <w:r w:rsidRPr="0071535E">
        <w:rPr>
          <w:rFonts w:ascii="Century" w:hAnsi="Century"/>
          <w:rtl/>
        </w:rPr>
        <w:t xml:space="preserve">א 2571/08 </w:t>
      </w:r>
      <w:r w:rsidRPr="00644AF2">
        <w:rPr>
          <w:rFonts w:ascii="Century" w:hAnsi="Century" w:cs="Miriam"/>
          <w:b/>
          <w:spacing w:val="0"/>
          <w:szCs w:val="24"/>
          <w:rtl/>
        </w:rPr>
        <w:t>אורפז חשמל בע"מ נ' פקיד שומה חדרה</w:t>
      </w:r>
      <w:r w:rsidRPr="00644AF2">
        <w:rPr>
          <w:rFonts w:ascii="Century" w:hAnsi="Century" w:cs="Miriam" w:hint="cs"/>
          <w:b/>
          <w:spacing w:val="0"/>
          <w:szCs w:val="24"/>
          <w:rtl/>
        </w:rPr>
        <w:t xml:space="preserve"> </w:t>
      </w:r>
      <w:r>
        <w:rPr>
          <w:rFonts w:ascii="Century" w:hAnsi="Century" w:hint="cs"/>
          <w:rtl/>
        </w:rPr>
        <w:t>(25.2.2010)).</w:t>
      </w:r>
    </w:p>
    <w:p w:rsidR="0010512C" w:rsidRDefault="0010512C" w:rsidP="0010512C">
      <w:pPr>
        <w:pStyle w:val="Ruller41"/>
        <w:rPr>
          <w:rFonts w:ascii="Century" w:hAnsi="Century"/>
          <w:rtl/>
        </w:rPr>
      </w:pPr>
    </w:p>
    <w:p w:rsidR="0010512C" w:rsidRDefault="0010512C" w:rsidP="0010512C">
      <w:pPr>
        <w:pStyle w:val="Ruller41"/>
        <w:rPr>
          <w:rFonts w:ascii="Century" w:hAnsi="Century"/>
          <w:rtl/>
        </w:rPr>
      </w:pPr>
      <w:r>
        <w:rPr>
          <w:rFonts w:ascii="Century" w:hAnsi="Century"/>
          <w:rtl/>
        </w:rPr>
        <w:tab/>
      </w:r>
      <w:r>
        <w:rPr>
          <w:rFonts w:ascii="Century" w:hAnsi="Century" w:hint="cs"/>
          <w:rtl/>
        </w:rPr>
        <w:t xml:space="preserve">המועד שבו נוצר הפסד הון הוא בעל חשיבות רבה מבחינת דיני המס, גם מפאת השפעתו על אפשרות הקיזוז. כאשר מדובר בוויתור על חוב, עשוי להתעורר קושי לקבוע את המועד המדויק שבו החוב הפך ל"חוב אבוד". בהקשר זה נקבע כי </w:t>
      </w:r>
      <w:r w:rsidRPr="002D694B">
        <w:rPr>
          <w:rFonts w:ascii="Century" w:hAnsi="Century" w:hint="cs"/>
          <w:rtl/>
        </w:rPr>
        <w:t>"</w:t>
      </w:r>
      <w:r w:rsidRPr="00AD22DC">
        <w:rPr>
          <w:rFonts w:ascii="FrankRuehl" w:hAnsi="FrankRuehl"/>
          <w:sz w:val="28"/>
          <w:rtl/>
        </w:rPr>
        <w:t>הנטל המוטל על המערערים</w:t>
      </w:r>
      <w:r>
        <w:rPr>
          <w:rFonts w:ascii="FrankRuehl" w:hAnsi="FrankRuehl" w:hint="cs"/>
          <w:sz w:val="28"/>
          <w:rtl/>
        </w:rPr>
        <w:t xml:space="preserve"> [הנישומים </w:t>
      </w:r>
      <w:r>
        <w:rPr>
          <w:rFonts w:ascii="FrankRuehl" w:hAnsi="FrankRuehl"/>
          <w:sz w:val="28"/>
          <w:rtl/>
        </w:rPr>
        <w:t>–</w:t>
      </w:r>
      <w:r>
        <w:rPr>
          <w:rFonts w:ascii="FrankRuehl" w:hAnsi="FrankRuehl" w:hint="cs"/>
          <w:sz w:val="28"/>
          <w:rtl/>
        </w:rPr>
        <w:t xml:space="preserve"> י"ע]</w:t>
      </w:r>
      <w:r w:rsidRPr="00AD22DC">
        <w:rPr>
          <w:rFonts w:ascii="FrankRuehl" w:hAnsi="FrankRuehl"/>
          <w:sz w:val="28"/>
          <w:rtl/>
        </w:rPr>
        <w:t xml:space="preserve"> הוא להוכיח כי מדובר על ויתור החוב בשנת המס </w:t>
      </w:r>
      <w:r w:rsidRPr="00184C32">
        <w:rPr>
          <w:rFonts w:ascii="Century" w:hAnsi="Century"/>
          <w:rtl/>
        </w:rPr>
        <w:t>הרלוונטית</w:t>
      </w:r>
      <w:r w:rsidRPr="00184C32">
        <w:rPr>
          <w:rFonts w:ascii="Century" w:hAnsi="Century" w:hint="cs"/>
          <w:rtl/>
        </w:rPr>
        <w:t>" (</w:t>
      </w:r>
      <w:r w:rsidRPr="00184C32">
        <w:rPr>
          <w:rFonts w:ascii="Century" w:hAnsi="Century"/>
          <w:rtl/>
        </w:rPr>
        <w:t>ע</w:t>
      </w:r>
      <w:r w:rsidRPr="00184C32">
        <w:rPr>
          <w:rFonts w:ascii="Century" w:hAnsi="Century" w:hint="cs"/>
          <w:rtl/>
        </w:rPr>
        <w:t>"</w:t>
      </w:r>
      <w:r w:rsidRPr="00184C32">
        <w:rPr>
          <w:rFonts w:ascii="Century" w:hAnsi="Century"/>
          <w:rtl/>
        </w:rPr>
        <w:t xml:space="preserve">א 5495/05 </w:t>
      </w:r>
      <w:r w:rsidRPr="005E1A69">
        <w:rPr>
          <w:rFonts w:ascii="Century" w:hAnsi="Century" w:cs="Miriam"/>
          <w:b/>
          <w:spacing w:val="0"/>
          <w:szCs w:val="24"/>
          <w:rtl/>
        </w:rPr>
        <w:t>ב.ברניצקי בע"מ</w:t>
      </w:r>
      <w:r w:rsidRPr="005E1A69">
        <w:rPr>
          <w:rFonts w:ascii="Century" w:hAnsi="Century" w:cs="Miriam" w:hint="cs"/>
          <w:b/>
          <w:spacing w:val="0"/>
          <w:szCs w:val="24"/>
          <w:rtl/>
        </w:rPr>
        <w:t xml:space="preserve"> </w:t>
      </w:r>
      <w:r w:rsidRPr="005E1A69">
        <w:rPr>
          <w:rFonts w:ascii="Century" w:hAnsi="Century" w:cs="Miriam"/>
          <w:b/>
          <w:spacing w:val="0"/>
          <w:szCs w:val="24"/>
          <w:rtl/>
        </w:rPr>
        <w:t>נ' פקיד שומה פתח תקווה</w:t>
      </w:r>
      <w:r>
        <w:rPr>
          <w:rFonts w:ascii="Century" w:hAnsi="Century" w:hint="cs"/>
          <w:rtl/>
        </w:rPr>
        <w:t>, בפסקה</w:t>
      </w:r>
      <w:r w:rsidRPr="002D694B">
        <w:rPr>
          <w:rFonts w:ascii="Century" w:hAnsi="Century" w:hint="cs"/>
          <w:rtl/>
        </w:rPr>
        <w:t xml:space="preserve"> 11 (18.2.2007); ראו </w:t>
      </w:r>
      <w:r>
        <w:rPr>
          <w:rFonts w:ascii="Century" w:hAnsi="Century" w:hint="cs"/>
          <w:rtl/>
        </w:rPr>
        <w:t>והשוו:</w:t>
      </w:r>
      <w:r w:rsidRPr="002D694B">
        <w:rPr>
          <w:rFonts w:ascii="Century" w:hAnsi="Century" w:hint="cs"/>
          <w:rtl/>
        </w:rPr>
        <w:t xml:space="preserve"> </w:t>
      </w:r>
      <w:r>
        <w:rPr>
          <w:rFonts w:ascii="Century" w:hAnsi="Century" w:hint="cs"/>
          <w:rtl/>
        </w:rPr>
        <w:t xml:space="preserve">עניין </w:t>
      </w:r>
      <w:r w:rsidRPr="008F5461">
        <w:rPr>
          <w:rFonts w:ascii="Century" w:hAnsi="Century" w:cs="Miriam" w:hint="cs"/>
          <w:b/>
          <w:spacing w:val="0"/>
          <w:szCs w:val="24"/>
          <w:rtl/>
        </w:rPr>
        <w:t>שפירא</w:t>
      </w:r>
      <w:r>
        <w:rPr>
          <w:rFonts w:ascii="Century" w:hAnsi="Century" w:hint="cs"/>
          <w:rtl/>
        </w:rPr>
        <w:t>, בפסקה 122</w:t>
      </w:r>
      <w:r w:rsidRPr="002D694B">
        <w:rPr>
          <w:rFonts w:ascii="Century" w:hAnsi="Century" w:hint="cs"/>
          <w:rtl/>
        </w:rPr>
        <w:t xml:space="preserve">; </w:t>
      </w:r>
      <w:r w:rsidRPr="00535D02">
        <w:rPr>
          <w:rFonts w:ascii="Century" w:hAnsi="Century"/>
          <w:rtl/>
        </w:rPr>
        <w:t>ע</w:t>
      </w:r>
      <w:r w:rsidRPr="00535D02">
        <w:rPr>
          <w:rFonts w:ascii="Century" w:hAnsi="Century" w:hint="cs"/>
          <w:rtl/>
        </w:rPr>
        <w:t>"</w:t>
      </w:r>
      <w:r w:rsidRPr="00535D02">
        <w:rPr>
          <w:rFonts w:ascii="Century" w:hAnsi="Century"/>
          <w:rtl/>
        </w:rPr>
        <w:t xml:space="preserve">מ (מחוזי ת"א) 48488-01-14 </w:t>
      </w:r>
      <w:r w:rsidRPr="00535D02">
        <w:rPr>
          <w:rFonts w:ascii="Century" w:hAnsi="Century" w:cs="Miriam"/>
          <w:b/>
          <w:spacing w:val="0"/>
          <w:szCs w:val="24"/>
          <w:rtl/>
        </w:rPr>
        <w:t>עטיה נכסים והשקעות בע״מ נ' פקיד שומה תל אביב 1</w:t>
      </w:r>
      <w:r w:rsidRPr="00535D02">
        <w:rPr>
          <w:rFonts w:ascii="Century" w:hAnsi="Century"/>
          <w:rtl/>
        </w:rPr>
        <w:t>, בפסקאות 79-68 (11.2.2016)</w:t>
      </w:r>
      <w:r>
        <w:rPr>
          <w:rFonts w:ascii="Century" w:hAnsi="Century" w:hint="cs"/>
          <w:rtl/>
        </w:rPr>
        <w:t xml:space="preserve">; </w:t>
      </w:r>
      <w:r w:rsidRPr="002D694B">
        <w:rPr>
          <w:rFonts w:ascii="Century" w:hAnsi="Century" w:hint="cs"/>
          <w:rtl/>
        </w:rPr>
        <w:t xml:space="preserve">וכן </w:t>
      </w:r>
      <w:r w:rsidRPr="002D694B">
        <w:rPr>
          <w:rFonts w:ascii="Century" w:hAnsi="Century" w:hint="eastAsia"/>
          <w:rtl/>
        </w:rPr>
        <w:t>הראל</w:t>
      </w:r>
      <w:r w:rsidRPr="002D694B">
        <w:rPr>
          <w:rFonts w:ascii="Century" w:hAnsi="Century"/>
          <w:rtl/>
        </w:rPr>
        <w:t xml:space="preserve"> </w:t>
      </w:r>
      <w:r w:rsidRPr="002D694B">
        <w:rPr>
          <w:rFonts w:ascii="Century" w:hAnsi="Century" w:hint="eastAsia"/>
          <w:rtl/>
        </w:rPr>
        <w:t>בורן</w:t>
      </w:r>
      <w:r w:rsidRPr="002D694B">
        <w:rPr>
          <w:rFonts w:ascii="Century" w:hAnsi="Century"/>
          <w:rtl/>
        </w:rPr>
        <w:t xml:space="preserve"> "</w:t>
      </w:r>
      <w:r w:rsidRPr="002D694B">
        <w:rPr>
          <w:rFonts w:ascii="Century" w:hAnsi="Century" w:hint="eastAsia"/>
          <w:rtl/>
        </w:rPr>
        <w:t>הלוואה</w:t>
      </w:r>
      <w:r w:rsidRPr="002D694B">
        <w:rPr>
          <w:rFonts w:ascii="Century" w:hAnsi="Century"/>
          <w:rtl/>
        </w:rPr>
        <w:t xml:space="preserve"> </w:t>
      </w:r>
      <w:r w:rsidRPr="002D694B">
        <w:rPr>
          <w:rFonts w:ascii="Century" w:hAnsi="Century" w:hint="eastAsia"/>
          <w:rtl/>
        </w:rPr>
        <w:t>אבודה</w:t>
      </w:r>
      <w:r w:rsidRPr="002D694B">
        <w:rPr>
          <w:rFonts w:ascii="Century" w:hAnsi="Century"/>
          <w:rtl/>
        </w:rPr>
        <w:t xml:space="preserve"> </w:t>
      </w:r>
      <w:r w:rsidRPr="0018193F">
        <w:rPr>
          <w:rFonts w:ascii="Century" w:hAnsi="Century"/>
          <w:rtl/>
        </w:rPr>
        <w:t>-</w:t>
      </w:r>
      <w:r w:rsidRPr="0018193F">
        <w:rPr>
          <w:rFonts w:ascii="Century" w:hAnsi="Century" w:hint="cs"/>
          <w:rtl/>
        </w:rPr>
        <w:t xml:space="preserve"> </w:t>
      </w:r>
      <w:r w:rsidRPr="0018193F">
        <w:rPr>
          <w:rFonts w:ascii="Century" w:hAnsi="Century" w:hint="eastAsia"/>
          <w:rtl/>
        </w:rPr>
        <w:t>האם</w:t>
      </w:r>
      <w:r w:rsidRPr="0018193F">
        <w:rPr>
          <w:rFonts w:ascii="Century" w:hAnsi="Century"/>
          <w:rtl/>
        </w:rPr>
        <w:t xml:space="preserve"> </w:t>
      </w:r>
      <w:r w:rsidRPr="0018193F">
        <w:rPr>
          <w:rFonts w:ascii="Century" w:hAnsi="Century" w:hint="eastAsia"/>
          <w:rtl/>
        </w:rPr>
        <w:t>ניתנת</w:t>
      </w:r>
      <w:r w:rsidRPr="0018193F">
        <w:rPr>
          <w:rFonts w:ascii="Century" w:hAnsi="Century"/>
          <w:rtl/>
        </w:rPr>
        <w:t xml:space="preserve"> </w:t>
      </w:r>
      <w:r w:rsidRPr="0018193F">
        <w:rPr>
          <w:rFonts w:ascii="Century" w:hAnsi="Century" w:hint="eastAsia"/>
          <w:rtl/>
        </w:rPr>
        <w:t>לגבייה</w:t>
      </w:r>
      <w:r w:rsidRPr="0018193F">
        <w:rPr>
          <w:rFonts w:ascii="Century" w:hAnsi="Century"/>
          <w:rtl/>
        </w:rPr>
        <w:t xml:space="preserve"> </w:t>
      </w:r>
      <w:r w:rsidRPr="0018193F">
        <w:rPr>
          <w:rFonts w:ascii="Century" w:hAnsi="Century" w:hint="eastAsia"/>
          <w:rtl/>
        </w:rPr>
        <w:t>עתידית</w:t>
      </w:r>
      <w:r w:rsidRPr="0018193F">
        <w:rPr>
          <w:rFonts w:ascii="Century" w:hAnsi="Century"/>
          <w:rtl/>
        </w:rPr>
        <w:t>?</w:t>
      </w:r>
      <w:r>
        <w:rPr>
          <w:rFonts w:ascii="Century" w:hAnsi="Century" w:hint="cs"/>
          <w:rtl/>
        </w:rPr>
        <w:t xml:space="preserve">" </w:t>
      </w:r>
      <w:r w:rsidRPr="005E1A69">
        <w:rPr>
          <w:rFonts w:ascii="Century" w:hAnsi="Century" w:cs="Miriam" w:hint="eastAsia"/>
          <w:b/>
          <w:spacing w:val="0"/>
          <w:szCs w:val="24"/>
          <w:rtl/>
        </w:rPr>
        <w:t>מיסים</w:t>
      </w:r>
      <w:r w:rsidRPr="005E1A69">
        <w:rPr>
          <w:rFonts w:ascii="Century" w:hAnsi="Century"/>
          <w:rtl/>
        </w:rPr>
        <w:t xml:space="preserve"> </w:t>
      </w:r>
      <w:r w:rsidRPr="0018193F">
        <w:rPr>
          <w:rFonts w:ascii="Century" w:hAnsi="Century" w:hint="eastAsia"/>
          <w:rtl/>
        </w:rPr>
        <w:t>ה</w:t>
      </w:r>
      <w:r w:rsidRPr="0018193F">
        <w:rPr>
          <w:rFonts w:ascii="Century" w:hAnsi="Century"/>
          <w:rtl/>
        </w:rPr>
        <w:t>/1 (1991)</w:t>
      </w:r>
      <w:r>
        <w:rPr>
          <w:rFonts w:ascii="Century" w:hAnsi="Century" w:hint="cs"/>
          <w:rtl/>
        </w:rPr>
        <w:t>).</w:t>
      </w:r>
    </w:p>
    <w:p w:rsidR="0010512C" w:rsidRPr="00003750" w:rsidRDefault="0010512C" w:rsidP="0010512C">
      <w:pPr>
        <w:pStyle w:val="Ruller41"/>
        <w:rPr>
          <w:rFonts w:ascii="Century" w:hAnsi="Century"/>
          <w:rtl/>
        </w:rPr>
      </w:pPr>
    </w:p>
    <w:p w:rsidR="0010512C" w:rsidRPr="00972813" w:rsidRDefault="0010512C" w:rsidP="0010512C">
      <w:pPr>
        <w:pStyle w:val="Ruller41"/>
        <w:rPr>
          <w:rFonts w:ascii="Century" w:hAnsi="Century" w:cs="Miriam"/>
          <w:b/>
          <w:spacing w:val="0"/>
          <w:szCs w:val="24"/>
        </w:rPr>
      </w:pPr>
      <w:r>
        <w:rPr>
          <w:rFonts w:ascii="Century" w:hAnsi="Century" w:cs="Miriam" w:hint="cs"/>
          <w:b/>
          <w:spacing w:val="0"/>
          <w:szCs w:val="24"/>
          <w:rtl/>
        </w:rPr>
        <w:t>האם הוכח הפסד הון של סומת לפני העסקה עם הילן?</w:t>
      </w:r>
    </w:p>
    <w:p w:rsidR="0010512C" w:rsidRPr="002D694B" w:rsidRDefault="0010512C" w:rsidP="0010512C">
      <w:pPr>
        <w:pStyle w:val="Ruller41"/>
        <w:rPr>
          <w:rFonts w:ascii="Century" w:hAnsi="Century"/>
          <w:rtl/>
        </w:rPr>
      </w:pPr>
    </w:p>
    <w:p w:rsidR="0010512C" w:rsidRDefault="0010512C" w:rsidP="0010512C">
      <w:pPr>
        <w:pStyle w:val="Ruller41"/>
        <w:rPr>
          <w:rtl/>
        </w:rPr>
      </w:pPr>
      <w:r>
        <w:rPr>
          <w:rFonts w:ascii="Century" w:hAnsi="Century" w:hint="cs"/>
          <w:rtl/>
        </w:rPr>
        <w:t>12.</w:t>
      </w:r>
      <w:r>
        <w:rPr>
          <w:rFonts w:ascii="Century" w:hAnsi="Century"/>
          <w:rtl/>
        </w:rPr>
        <w:tab/>
      </w:r>
      <w:r w:rsidRPr="002D694B">
        <w:rPr>
          <w:rFonts w:ascii="Century" w:hAnsi="Century" w:hint="cs"/>
          <w:rtl/>
        </w:rPr>
        <w:t>שוויו של המגרש שבבעלות סומ-אר, נ</w:t>
      </w:r>
      <w:r>
        <w:rPr>
          <w:rFonts w:ascii="Century" w:hAnsi="Century" w:hint="cs"/>
          <w:rtl/>
        </w:rPr>
        <w:t>אמד בשנת 2005</w:t>
      </w:r>
      <w:r w:rsidRPr="002D694B">
        <w:rPr>
          <w:rFonts w:ascii="Century" w:hAnsi="Century" w:hint="cs"/>
          <w:rtl/>
        </w:rPr>
        <w:t xml:space="preserve"> בסכום של </w:t>
      </w:r>
      <w:r>
        <w:rPr>
          <w:rFonts w:ascii="Century" w:hAnsi="Century" w:hint="cs"/>
          <w:rtl/>
        </w:rPr>
        <w:t xml:space="preserve">כ-20 מיליון </w:t>
      </w:r>
      <w:r>
        <w:rPr>
          <w:rFonts w:ascii="Century" w:hAnsi="Century" w:hint="eastAsia"/>
          <w:rtl/>
        </w:rPr>
        <w:t>₪</w:t>
      </w:r>
      <w:r>
        <w:rPr>
          <w:rFonts w:ascii="Century" w:hAnsi="Century" w:hint="cs"/>
          <w:rtl/>
        </w:rPr>
        <w:t>,</w:t>
      </w:r>
      <w:r w:rsidRPr="002D694B">
        <w:rPr>
          <w:rFonts w:ascii="Century" w:hAnsi="Century" w:hint="cs"/>
          <w:rtl/>
        </w:rPr>
        <w:t xml:space="preserve"> </w:t>
      </w:r>
      <w:r>
        <w:rPr>
          <w:rFonts w:ascii="Century" w:hAnsi="Century" w:hint="cs"/>
          <w:rtl/>
        </w:rPr>
        <w:t>ו</w:t>
      </w:r>
      <w:r>
        <w:rPr>
          <w:rFonts w:hint="cs"/>
          <w:rtl/>
        </w:rPr>
        <w:t xml:space="preserve">נראה שאין על כך מחלוקת. כך עולה משמאות שנערכה עבור בנק הפועלים (נספח 5 למש/14), וגם מנהל מיסוי מקרקעין אישר את שווי העסקה וגבה מס בהתאם. לטענתה של סומת, עד לאותה שנה הושקע במגרש סכום כולל של כ-40 מיליון ₪, ומכאן שחברת סומ-אר היתה בגירעון של כ-20 מיליון ₪. גירעון אינו מהווה הפסד מבחינת דיני המס, </w:t>
      </w:r>
      <w:r>
        <w:rPr>
          <w:rFonts w:hint="cs"/>
          <w:rtl/>
        </w:rPr>
        <w:lastRenderedPageBreak/>
        <w:t>וכפי שהודגש לעיל, החשוב לענייננו הוא מימוש של ההפסד. טענתם של המשיבים היא כי ההפסד מתבטא ב"מחיקת ההשקעה של [סומת] בחברת הבת, בית סומ-אר. מדובר במחיקה של הלוואות שנתנה סומת לחברה בת בסך של כ-11 מיליון ₪, אשר במהלך שנת 2005 הוברר כי הם לעולם לא יוכלו להיות מוחזרים למערערת [...]" (פסקה 8.3 לסיכומים).</w:t>
      </w:r>
    </w:p>
    <w:p w:rsidR="0010512C" w:rsidRDefault="0010512C" w:rsidP="0010512C">
      <w:pPr>
        <w:pStyle w:val="Ruller41"/>
        <w:rPr>
          <w:rtl/>
        </w:rPr>
      </w:pPr>
    </w:p>
    <w:p w:rsidR="0010512C" w:rsidRDefault="0010512C" w:rsidP="0010512C">
      <w:pPr>
        <w:pStyle w:val="Ruller41"/>
        <w:rPr>
          <w:rtl/>
        </w:rPr>
      </w:pPr>
      <w:r>
        <w:rPr>
          <w:rFonts w:hint="cs"/>
          <w:rtl/>
        </w:rPr>
        <w:t>13.</w:t>
      </w:r>
      <w:r>
        <w:rPr>
          <w:rtl/>
        </w:rPr>
        <w:tab/>
      </w:r>
      <w:r>
        <w:rPr>
          <w:rFonts w:hint="cs"/>
          <w:rtl/>
        </w:rPr>
        <w:t xml:space="preserve">בית משפט קמא קיבל את טענת המשיבים על סמך הנחה כי "מנקודת המבט המשפטית המבחן הוא סובייקטיבי" (פסקה 121 לפסק הדין). ברם, כבר עמדנו על כך שהמבחן הנכון הוא אובייקטיבי, ולא כל אימת שהנישום טוען להפסד הון, הוא רשאי לקזז אותו כנגד רווח הון. בית משפט קמא קבע כי "שווי המגרש הוא רק כמחצית שווי העלות שלו בספרי חב' בית סומ-אר, ואין כל סיכוי למערערת לקבל את ההשקעה שלה בחזרה" (שם). הרישא הוכחה ומבוססת בראיות אובייקטיביות (ראו פסקאות 110 ו-113 לפסק הדין), אך הסיפא לא הוכחה והיא נשענת על עמדתם הסובייקטיבית של המשיבים. </w:t>
      </w:r>
    </w:p>
    <w:p w:rsidR="0010512C" w:rsidRDefault="0010512C" w:rsidP="0010512C">
      <w:pPr>
        <w:pStyle w:val="Ruller41"/>
        <w:rPr>
          <w:rtl/>
        </w:rPr>
      </w:pPr>
    </w:p>
    <w:p w:rsidR="0010512C" w:rsidRPr="00B06989" w:rsidRDefault="00B06989" w:rsidP="00B06989">
      <w:pPr>
        <w:pStyle w:val="Ruller41"/>
        <w:rPr>
          <w:rFonts w:ascii="Century" w:hAnsi="Century"/>
          <w:rtl/>
        </w:rPr>
      </w:pPr>
      <w:r>
        <w:rPr>
          <w:rFonts w:ascii="Century" w:hAnsi="Century"/>
          <w:rtl/>
        </w:rPr>
        <w:tab/>
      </w:r>
      <w:r w:rsidR="0010512C" w:rsidRPr="00B06989">
        <w:rPr>
          <w:rFonts w:ascii="Century" w:hAnsi="Century" w:hint="cs"/>
          <w:rtl/>
        </w:rPr>
        <w:t>ענייננו אפוא בטענה כי בשנת 2005 סומת הבינה שהחוב אבוד ולכן מחלה עליו. דא עקא, כפי שציינתי בעניין שנהב: "מחילת חוב מוחלטת ללא תמורה היא פעולה 'חשודה' כשלעצמה, במיוחד כשמתקיימים יחסים מיוחדים בין הצדדים, במיוחד בהינתן עיתוי המחילה הסמוך לרווח הון שנצמח בעסקה אחרת, ובמיוחד בהינתן סכום המחילה התואם את רווח ההון" (שם, בפסקה 14</w:t>
      </w:r>
      <w:r w:rsidR="0010512C" w:rsidRPr="00B06989">
        <w:rPr>
          <w:rFonts w:ascii="Century" w:hAnsi="Century" w:hint="cs"/>
        </w:rPr>
        <w:t xml:space="preserve"> </w:t>
      </w:r>
      <w:r w:rsidR="0010512C" w:rsidRPr="00B06989">
        <w:rPr>
          <w:rFonts w:ascii="Century" w:hAnsi="Century" w:hint="cs"/>
          <w:rtl/>
        </w:rPr>
        <w:t xml:space="preserve">(הדגשות במקור </w:t>
      </w:r>
      <w:r w:rsidR="0010512C" w:rsidRPr="00B06989">
        <w:rPr>
          <w:rFonts w:ascii="Century" w:hAnsi="Century"/>
          <w:rtl/>
        </w:rPr>
        <w:t>–</w:t>
      </w:r>
      <w:r w:rsidR="0010512C" w:rsidRPr="00B06989">
        <w:rPr>
          <w:rFonts w:ascii="Century" w:hAnsi="Century" w:hint="cs"/>
          <w:rtl/>
        </w:rPr>
        <w:t xml:space="preserve"> י"ע); וראו גם תקנה 2(5) לתקנות מס הכנסה (תכנון מס החייב בדיווח), התשס"ז-2006, בעניין מחילת חוב לקרוב). ובדומה, נתקבלה בעניין פישמן טענת פקיד השומה כי "מחילת חוב חשודה כמלאכותית בהתקיים יחסים מיוחדים בין הצדדים, ובמיוחד כשהיא נעשית בסמוך לצמיחת רווח ההון". כפי שאפרט להלן (במסגרת הדיון בעסקה מלאכותית), הפרמטרים "החשודים" של יחסים מיוחדים, עיתוי וסכום, מתבטאים במובהק בענייננו. בשלב זה, עדיין איננו נדרשים לכך, אלא תרים אחר ראיה פוזיטיבית לכך שהפסד ההון של סומת אכן התגבש בשנת 2005.</w:t>
      </w:r>
    </w:p>
    <w:p w:rsidR="0010512C" w:rsidRDefault="0010512C" w:rsidP="0010512C">
      <w:pPr>
        <w:pStyle w:val="Pskdinhead"/>
        <w:jc w:val="both"/>
        <w:rPr>
          <w:b w:val="0"/>
          <w:bCs w:val="0"/>
          <w:sz w:val="22"/>
          <w:u w:val="none"/>
          <w:rtl/>
        </w:rPr>
      </w:pPr>
    </w:p>
    <w:p w:rsidR="0010512C" w:rsidRDefault="0010512C" w:rsidP="0010512C">
      <w:pPr>
        <w:pStyle w:val="Ruller41"/>
      </w:pPr>
      <w:r>
        <w:rPr>
          <w:rFonts w:hint="cs"/>
          <w:rtl/>
        </w:rPr>
        <w:t>14.</w:t>
      </w:r>
      <w:r>
        <w:rPr>
          <w:rtl/>
        </w:rPr>
        <w:tab/>
      </w:r>
      <w:r>
        <w:rPr>
          <w:rFonts w:hint="cs"/>
          <w:rtl/>
        </w:rPr>
        <w:t>המשיבים ביססו את טענתם על שווי המגרש באותו מועד. כאמור, זוהי הוכחה לגירעון של סומ-אר אך אין בכך כדי להוכיח כי לסומת "לא נותרה ברירה, אלא למחוק את ההשקעה כהפסד, אשר אין כל סיכוי לגבייתו" (פסקה 8.17 לסיכומים).</w:t>
      </w:r>
    </w:p>
    <w:p w:rsidR="0010512C" w:rsidRDefault="0010512C" w:rsidP="0010512C">
      <w:pPr>
        <w:pStyle w:val="Pskdinhead"/>
        <w:jc w:val="both"/>
        <w:rPr>
          <w:b w:val="0"/>
          <w:bCs w:val="0"/>
          <w:sz w:val="22"/>
          <w:u w:val="none"/>
          <w:rtl/>
        </w:rPr>
      </w:pPr>
    </w:p>
    <w:p w:rsidR="0010512C" w:rsidRDefault="0010512C" w:rsidP="0010512C">
      <w:pPr>
        <w:pStyle w:val="Ruller41"/>
        <w:rPr>
          <w:rtl/>
        </w:rPr>
      </w:pPr>
      <w:r>
        <w:rPr>
          <w:rtl/>
        </w:rPr>
        <w:tab/>
      </w:r>
      <w:r w:rsidRPr="00765579">
        <w:rPr>
          <w:rFonts w:hint="cs"/>
          <w:rtl/>
        </w:rPr>
        <w:t>המקרים הנפוצים ל</w:t>
      </w:r>
      <w:r>
        <w:rPr>
          <w:rFonts w:hint="cs"/>
          <w:rtl/>
        </w:rPr>
        <w:t>הכרה ב"</w:t>
      </w:r>
      <w:r w:rsidRPr="00765579">
        <w:rPr>
          <w:rFonts w:hint="cs"/>
          <w:rtl/>
        </w:rPr>
        <w:t>חוב אבוד</w:t>
      </w:r>
      <w:r>
        <w:rPr>
          <w:rFonts w:hint="cs"/>
          <w:rtl/>
        </w:rPr>
        <w:t>"</w:t>
      </w:r>
      <w:r w:rsidRPr="00765579">
        <w:rPr>
          <w:rFonts w:hint="cs"/>
          <w:rtl/>
        </w:rPr>
        <w:t xml:space="preserve"> הם פשיטת רגל של החייב</w:t>
      </w:r>
      <w:r>
        <w:rPr>
          <w:rFonts w:hint="cs"/>
          <w:rtl/>
        </w:rPr>
        <w:t xml:space="preserve"> ואישור של </w:t>
      </w:r>
      <w:r w:rsidRPr="00765579">
        <w:rPr>
          <w:rFonts w:hint="cs"/>
          <w:rtl/>
        </w:rPr>
        <w:t xml:space="preserve">כונס נכסים </w:t>
      </w:r>
      <w:r>
        <w:rPr>
          <w:rFonts w:hint="cs"/>
          <w:rtl/>
        </w:rPr>
        <w:t xml:space="preserve">לכך </w:t>
      </w:r>
      <w:r w:rsidRPr="00765579">
        <w:rPr>
          <w:rFonts w:hint="cs"/>
          <w:rtl/>
        </w:rPr>
        <w:t xml:space="preserve">שלא ניתן לגבות את החוב; </w:t>
      </w:r>
      <w:r>
        <w:rPr>
          <w:rFonts w:hint="cs"/>
          <w:rtl/>
        </w:rPr>
        <w:t xml:space="preserve">כאשר </w:t>
      </w:r>
      <w:r w:rsidRPr="00765579">
        <w:rPr>
          <w:rFonts w:hint="cs"/>
          <w:rtl/>
        </w:rPr>
        <w:t xml:space="preserve">לא ניתן לאתר את החייב; </w:t>
      </w:r>
      <w:r>
        <w:rPr>
          <w:rFonts w:hint="cs"/>
          <w:rtl/>
        </w:rPr>
        <w:t xml:space="preserve">מקרה שבו </w:t>
      </w:r>
      <w:r w:rsidRPr="00765579">
        <w:rPr>
          <w:rFonts w:hint="cs"/>
          <w:rtl/>
        </w:rPr>
        <w:t xml:space="preserve">החייב נפטר ולא השאיר עיזבון; </w:t>
      </w:r>
      <w:r>
        <w:rPr>
          <w:rFonts w:hint="cs"/>
          <w:rtl/>
        </w:rPr>
        <w:t xml:space="preserve">או כאשר חלה </w:t>
      </w:r>
      <w:r w:rsidRPr="00765579">
        <w:rPr>
          <w:rFonts w:hint="cs"/>
          <w:rtl/>
        </w:rPr>
        <w:t xml:space="preserve">התיישנות שאינה מאפשרת לגבות את </w:t>
      </w:r>
      <w:r w:rsidRPr="00765579">
        <w:rPr>
          <w:rFonts w:hint="cs"/>
          <w:rtl/>
        </w:rPr>
        <w:lastRenderedPageBreak/>
        <w:t>החוב</w:t>
      </w:r>
      <w:r>
        <w:rPr>
          <w:rFonts w:hint="cs"/>
          <w:rtl/>
        </w:rPr>
        <w:t xml:space="preserve"> (</w:t>
      </w:r>
      <w:r w:rsidRPr="00FB04F9">
        <w:rPr>
          <w:rFonts w:ascii="Century" w:hAnsi="Century" w:hint="eastAsia"/>
          <w:rtl/>
        </w:rPr>
        <w:t>ליאור</w:t>
      </w:r>
      <w:r w:rsidRPr="00FB04F9">
        <w:rPr>
          <w:rFonts w:ascii="Century" w:hAnsi="Century"/>
          <w:rtl/>
        </w:rPr>
        <w:t xml:space="preserve"> </w:t>
      </w:r>
      <w:r w:rsidRPr="00FB04F9">
        <w:rPr>
          <w:rFonts w:ascii="Century" w:hAnsi="Century" w:hint="eastAsia"/>
          <w:rtl/>
        </w:rPr>
        <w:t>נוימן</w:t>
      </w:r>
      <w:r>
        <w:rPr>
          <w:rFonts w:ascii="Century" w:hAnsi="Century" w:hint="cs"/>
          <w:rtl/>
        </w:rPr>
        <w:t xml:space="preserve"> ו</w:t>
      </w:r>
      <w:r w:rsidRPr="00FB04F9">
        <w:rPr>
          <w:rFonts w:ascii="Century" w:hAnsi="Century" w:hint="eastAsia"/>
          <w:rtl/>
        </w:rPr>
        <w:t>אופיר</w:t>
      </w:r>
      <w:r w:rsidRPr="00FB04F9">
        <w:rPr>
          <w:rFonts w:ascii="Century" w:hAnsi="Century"/>
          <w:rtl/>
        </w:rPr>
        <w:t xml:space="preserve"> </w:t>
      </w:r>
      <w:r>
        <w:rPr>
          <w:rFonts w:ascii="Century" w:hAnsi="Century" w:hint="eastAsia"/>
          <w:rtl/>
        </w:rPr>
        <w:t>קפל</w:t>
      </w:r>
      <w:r>
        <w:rPr>
          <w:rFonts w:ascii="Century" w:hAnsi="Century" w:hint="cs"/>
          <w:rtl/>
        </w:rPr>
        <w:t xml:space="preserve">ן </w:t>
      </w:r>
      <w:r w:rsidRPr="00FB04F9">
        <w:rPr>
          <w:rFonts w:ascii="Century" w:hAnsi="Century"/>
          <w:rtl/>
        </w:rPr>
        <w:t>"</w:t>
      </w:r>
      <w:r w:rsidRPr="00FB04F9">
        <w:rPr>
          <w:rFonts w:ascii="Century" w:hAnsi="Century" w:hint="eastAsia"/>
          <w:rtl/>
        </w:rPr>
        <w:t>מה</w:t>
      </w:r>
      <w:r w:rsidRPr="00FB04F9">
        <w:rPr>
          <w:rFonts w:ascii="Century" w:hAnsi="Century"/>
          <w:rtl/>
        </w:rPr>
        <w:t xml:space="preserve"> </w:t>
      </w:r>
      <w:r w:rsidRPr="00FB04F9">
        <w:rPr>
          <w:rFonts w:ascii="Century" w:hAnsi="Century" w:hint="eastAsia"/>
          <w:rtl/>
        </w:rPr>
        <w:t>בין</w:t>
      </w:r>
      <w:r w:rsidRPr="00FB04F9">
        <w:rPr>
          <w:rFonts w:ascii="Century" w:hAnsi="Century"/>
          <w:rtl/>
        </w:rPr>
        <w:t xml:space="preserve"> '</w:t>
      </w:r>
      <w:r w:rsidRPr="00FB04F9">
        <w:rPr>
          <w:rFonts w:ascii="Century" w:hAnsi="Century" w:hint="eastAsia"/>
          <w:rtl/>
        </w:rPr>
        <w:t>חוב</w:t>
      </w:r>
      <w:r w:rsidRPr="00FB04F9">
        <w:rPr>
          <w:rFonts w:ascii="Century" w:hAnsi="Century"/>
          <w:rtl/>
        </w:rPr>
        <w:t xml:space="preserve"> </w:t>
      </w:r>
      <w:r w:rsidRPr="00FB04F9">
        <w:rPr>
          <w:rFonts w:ascii="Century" w:hAnsi="Century" w:hint="eastAsia"/>
          <w:rtl/>
        </w:rPr>
        <w:t>אבוד</w:t>
      </w:r>
      <w:r w:rsidRPr="00FB04F9">
        <w:rPr>
          <w:rFonts w:ascii="Century" w:hAnsi="Century"/>
          <w:rtl/>
        </w:rPr>
        <w:t>', '</w:t>
      </w:r>
      <w:r w:rsidRPr="00FB04F9">
        <w:rPr>
          <w:rFonts w:ascii="Century" w:hAnsi="Century" w:hint="eastAsia"/>
          <w:rtl/>
        </w:rPr>
        <w:t>חוב</w:t>
      </w:r>
      <w:r w:rsidRPr="00FB04F9">
        <w:rPr>
          <w:rFonts w:ascii="Century" w:hAnsi="Century"/>
          <w:rtl/>
        </w:rPr>
        <w:t xml:space="preserve"> </w:t>
      </w:r>
      <w:r w:rsidRPr="00FB04F9">
        <w:rPr>
          <w:rFonts w:ascii="Century" w:hAnsi="Century" w:hint="eastAsia"/>
          <w:rtl/>
        </w:rPr>
        <w:t>תלוי</w:t>
      </w:r>
      <w:r w:rsidRPr="00FB04F9">
        <w:rPr>
          <w:rFonts w:ascii="Century" w:hAnsi="Century"/>
          <w:rtl/>
        </w:rPr>
        <w:t xml:space="preserve">' </w:t>
      </w:r>
      <w:r w:rsidRPr="00FB04F9">
        <w:rPr>
          <w:rFonts w:ascii="Century" w:hAnsi="Century" w:hint="eastAsia"/>
          <w:rtl/>
        </w:rPr>
        <w:t>ו</w:t>
      </w:r>
      <w:r w:rsidRPr="00FB04F9">
        <w:rPr>
          <w:rFonts w:ascii="Century" w:hAnsi="Century"/>
          <w:rtl/>
        </w:rPr>
        <w:t>'</w:t>
      </w:r>
      <w:r w:rsidRPr="00FB04F9">
        <w:rPr>
          <w:rFonts w:ascii="Century" w:hAnsi="Century" w:hint="eastAsia"/>
          <w:rtl/>
        </w:rPr>
        <w:t>מחילת</w:t>
      </w:r>
      <w:r w:rsidRPr="00FB04F9">
        <w:rPr>
          <w:rFonts w:ascii="Century" w:hAnsi="Century"/>
          <w:rtl/>
        </w:rPr>
        <w:t xml:space="preserve"> </w:t>
      </w:r>
      <w:r w:rsidRPr="00FB04F9">
        <w:rPr>
          <w:rFonts w:ascii="Century" w:hAnsi="Century" w:hint="eastAsia"/>
          <w:rtl/>
        </w:rPr>
        <w:t>חוב</w:t>
      </w:r>
      <w:r>
        <w:rPr>
          <w:rFonts w:ascii="Century" w:hAnsi="Century"/>
          <w:rtl/>
        </w:rPr>
        <w:t>'?</w:t>
      </w:r>
      <w:r>
        <w:rPr>
          <w:rFonts w:ascii="Century" w:hAnsi="Century" w:hint="cs"/>
          <w:rtl/>
        </w:rPr>
        <w:t>"</w:t>
      </w:r>
      <w:r w:rsidRPr="00FB04F9">
        <w:rPr>
          <w:rFonts w:ascii="Century" w:hAnsi="Century"/>
          <w:rtl/>
        </w:rPr>
        <w:t xml:space="preserve"> </w:t>
      </w:r>
      <w:r w:rsidRPr="003840FE">
        <w:rPr>
          <w:rFonts w:ascii="Century" w:hAnsi="Century" w:cs="Miriam" w:hint="eastAsia"/>
          <w:b/>
          <w:spacing w:val="0"/>
          <w:szCs w:val="24"/>
          <w:rtl/>
        </w:rPr>
        <w:t>מיסים</w:t>
      </w:r>
      <w:r w:rsidRPr="003840FE">
        <w:rPr>
          <w:rFonts w:ascii="Century" w:hAnsi="Century"/>
          <w:rtl/>
        </w:rPr>
        <w:t xml:space="preserve"> </w:t>
      </w:r>
      <w:r w:rsidRPr="00FB04F9">
        <w:rPr>
          <w:rFonts w:ascii="Century" w:hAnsi="Century" w:hint="eastAsia"/>
          <w:rtl/>
        </w:rPr>
        <w:t>יט</w:t>
      </w:r>
      <w:r w:rsidRPr="00FB04F9">
        <w:rPr>
          <w:rFonts w:ascii="Century" w:hAnsi="Century"/>
          <w:rtl/>
        </w:rPr>
        <w:t>/2 (</w:t>
      </w:r>
      <w:r>
        <w:rPr>
          <w:rFonts w:ascii="Century" w:hAnsi="Century"/>
          <w:rtl/>
        </w:rPr>
        <w:t>200</w:t>
      </w:r>
      <w:r w:rsidRPr="00DD3CFE">
        <w:rPr>
          <w:rFonts w:ascii="Century" w:hAnsi="Century"/>
          <w:rtl/>
        </w:rPr>
        <w:t>5</w:t>
      </w:r>
      <w:r w:rsidRPr="00DD3CFE">
        <w:rPr>
          <w:rFonts w:ascii="Century" w:hAnsi="Century" w:hint="cs"/>
          <w:rtl/>
        </w:rPr>
        <w:t xml:space="preserve">); להלן: </w:t>
      </w:r>
      <w:r>
        <w:rPr>
          <w:rFonts w:ascii="Century" w:hAnsi="Century" w:cs="Miriam" w:hint="cs"/>
          <w:b/>
          <w:spacing w:val="0"/>
          <w:szCs w:val="24"/>
          <w:rtl/>
        </w:rPr>
        <w:t>נ</w:t>
      </w:r>
      <w:r w:rsidRPr="00D26C7D">
        <w:rPr>
          <w:rFonts w:ascii="Century" w:hAnsi="Century" w:cs="Miriam" w:hint="cs"/>
          <w:b/>
          <w:spacing w:val="0"/>
          <w:szCs w:val="24"/>
          <w:rtl/>
        </w:rPr>
        <w:t>וימן</w:t>
      </w:r>
      <w:r>
        <w:rPr>
          <w:rFonts w:ascii="Century" w:hAnsi="Century" w:cs="Miriam" w:hint="cs"/>
          <w:b/>
          <w:spacing w:val="0"/>
          <w:szCs w:val="24"/>
          <w:rtl/>
        </w:rPr>
        <w:t xml:space="preserve"> ו</w:t>
      </w:r>
      <w:r w:rsidRPr="00D26C7D">
        <w:rPr>
          <w:rFonts w:ascii="Century" w:hAnsi="Century" w:cs="Miriam" w:hint="cs"/>
          <w:b/>
          <w:spacing w:val="0"/>
          <w:szCs w:val="24"/>
          <w:rtl/>
        </w:rPr>
        <w:t>קפלן</w:t>
      </w:r>
      <w:r>
        <w:rPr>
          <w:rFonts w:ascii="Century" w:hAnsi="Century" w:hint="cs"/>
          <w:rtl/>
        </w:rPr>
        <w:t>)</w:t>
      </w:r>
      <w:r w:rsidRPr="00765579">
        <w:rPr>
          <w:rFonts w:hint="cs"/>
          <w:rtl/>
        </w:rPr>
        <w:t>. המקרה הנוכחי שונה מאד.</w:t>
      </w:r>
      <w:r>
        <w:rPr>
          <w:rFonts w:hint="cs"/>
          <w:rtl/>
        </w:rPr>
        <w:t xml:space="preserve"> עסקינן במגרש שאמנם נתגלו בו פגמים לאחר הרכישה, אך בשנת 2005 עדיין אין אינדיקציה לכך שההשקעה הכספית ירדה לטמיון (ולא למותר לציין כי לחברת סומ-אר לא נרשמה בשום שלב הערת "עסק חי"). בין היתר, בסמוך לאותו מועד נערכה עסקת קומבינציה. תכליתן של עסקאות מסוג זה, היא כמובן להניב הכנסות לבעל המגרש. המערער טען כי עסקת הקומבינציה היא "סממן של הצלחה" והמשיב טען כי גובה התמורה מבטא את ההיפך. החשוב לענייננו הוא כי, ככלל, מבחינתו של בעל הקרקע עסקת קומבינציה איננה מסמנת את סוף הדרך של ההשקעה במקרקעין אלא שלב ביניים. </w:t>
      </w:r>
    </w:p>
    <w:p w:rsidR="0010512C" w:rsidRDefault="0010512C" w:rsidP="0010512C">
      <w:pPr>
        <w:pStyle w:val="Ruller41"/>
        <w:rPr>
          <w:rtl/>
        </w:rPr>
      </w:pPr>
    </w:p>
    <w:p w:rsidR="0010512C" w:rsidRDefault="0010512C" w:rsidP="0010512C">
      <w:pPr>
        <w:pStyle w:val="Ruller41"/>
        <w:rPr>
          <w:rtl/>
        </w:rPr>
      </w:pPr>
      <w:r>
        <w:rPr>
          <w:rFonts w:hint="cs"/>
          <w:rtl/>
        </w:rPr>
        <w:t>15.</w:t>
      </w:r>
      <w:r>
        <w:rPr>
          <w:rtl/>
        </w:rPr>
        <w:tab/>
      </w:r>
      <w:r>
        <w:rPr>
          <w:rFonts w:hint="cs"/>
          <w:rtl/>
        </w:rPr>
        <w:t xml:space="preserve">המערער הציג אינדיקציות נוספות לכך ששנת 2005 לא היוותה את "סוף הדרך" מבחינת ההשקעה ההונית של סומת בפרוייקט. לאחר עסקת הקומבינציה, קבוצת סומת המשיכה להחזיק בחלק המגרש שלא נמכר לקבלנים, בשותפות עם קבוצת ארנסון. קבוצת סומת המשיכה להשקיע כספים במגרש, ולטעמי עצם ההשקעה הרציפה במגרש במרוצת השנים, מהווה ראיה לכך שלא מדובר בהשקעה שירדה לטמיון. ניטול לדוגמה יזם שהקים חברה משפחתית כדי לפתוח מפעל, ולשם כך העניק לחברה הלוואת בעלים. היזם יכול לטעון שההלוואה ירדה לטמיון ולכן יש להכיר בה כהפסד הון; אך במקרה שבו היזם ממשיך להשקיע בחברה, קשה לשמוע מפיו את אותה טענה (השוו לעניין </w:t>
      </w:r>
      <w:r w:rsidRPr="007970BC">
        <w:rPr>
          <w:rFonts w:ascii="Century" w:hAnsi="Century" w:cs="Miriam" w:hint="cs"/>
          <w:b/>
          <w:spacing w:val="0"/>
          <w:szCs w:val="24"/>
          <w:rtl/>
        </w:rPr>
        <w:t>וינברג</w:t>
      </w:r>
      <w:r>
        <w:rPr>
          <w:rFonts w:hint="cs"/>
          <w:rtl/>
        </w:rPr>
        <w:t>, בפסקה 28).</w:t>
      </w:r>
    </w:p>
    <w:p w:rsidR="0010512C" w:rsidRDefault="0010512C" w:rsidP="0010512C">
      <w:pPr>
        <w:pStyle w:val="Ruller41"/>
        <w:rPr>
          <w:rtl/>
        </w:rPr>
      </w:pPr>
    </w:p>
    <w:p w:rsidR="0010512C" w:rsidRDefault="0010512C" w:rsidP="0010512C">
      <w:pPr>
        <w:pStyle w:val="Ruller41"/>
        <w:rPr>
          <w:rtl/>
        </w:rPr>
      </w:pPr>
      <w:r>
        <w:rPr>
          <w:rtl/>
        </w:rPr>
        <w:tab/>
      </w:r>
      <w:r>
        <w:rPr>
          <w:rFonts w:hint="cs"/>
          <w:rtl/>
        </w:rPr>
        <w:t>בנוסף, בשנים 2012-2010 (ומסתבר שגם בשנים הבאות), סומת אכן נהנתה מהכנסות שהניב המגרש בדמות דמי שכירות, הגם שלכולי עלמא מדובר בהכנסות נמוכות יחסית להשקעה ההונית (מש/47, מש/48, מש/49). המערער ביקש למצוא בכך ראיה לטענה שההשקעה לא ירדה לטמיון, ואילו המשיבים טענו שדווקא ההכנסות הזעומות ממחישות שמדובר בהשקעה כושלת. להתפתחויות מאוחרות אלה יש להתייחס בזהירות, שכן את השאלה אם הפסד ההון התגבש בשנת 2005 יש לבחון בהתאם לנתונים שהיו זמינים באותו מועד ולא על פי "חכמה בדיעבד". בנסיבות המקרה, ומאחר ששני הצדדים התייחסו לכך, אני סבור כי ניתן להיעזר גם בהתפתחויות אלה כאינדיקציה ראייתית. החשוב הוא כי בשנה שבה התבקשנו להכיר בהפסד הון, נערכה עסקת קומבינציה, שמטבע הדברים יצרה צפי להכנסות עתידיות (כפי שאכן אירע בפועל), ובנוסף, המשיבים התחייבו להמשיך להשקיע כספים במגרש. תמונה כללית זו אינה מתיישבת עם הטענה לאבדן השקעה הונית.</w:t>
      </w:r>
    </w:p>
    <w:p w:rsidR="0010512C" w:rsidRDefault="0010512C" w:rsidP="0010512C">
      <w:pPr>
        <w:pStyle w:val="Ruller41"/>
        <w:rPr>
          <w:rtl/>
        </w:rPr>
      </w:pPr>
    </w:p>
    <w:p w:rsidR="0010512C" w:rsidRDefault="0010512C" w:rsidP="0010512C">
      <w:pPr>
        <w:pStyle w:val="Ruller41"/>
        <w:rPr>
          <w:rtl/>
        </w:rPr>
      </w:pPr>
      <w:r>
        <w:rPr>
          <w:rFonts w:hint="cs"/>
          <w:rtl/>
        </w:rPr>
        <w:lastRenderedPageBreak/>
        <w:t>16.</w:t>
      </w:r>
      <w:r>
        <w:rPr>
          <w:rtl/>
        </w:rPr>
        <w:tab/>
      </w:r>
      <w:r>
        <w:rPr>
          <w:rFonts w:hint="cs"/>
          <w:rtl/>
        </w:rPr>
        <w:t>זאת ועוד. בהנחה שההשקעה של סומת אכן ירדה לטמיון ומדובר בחוב אבוד, היינו מצפים לראות שני מהלכים מקבילים: ש.י.פ.ק, שותפתה של סומת, היתה צריכה לדווח גם היא על השקעתה כחוב אבוד; וסומ-אר היתה אמורה לרשום הכנסה ממחילת חוב. שתי הפעולות המשלימות הללו לא דווחו ולא נר</w:t>
      </w:r>
      <w:r w:rsidRPr="00E21B9A">
        <w:rPr>
          <w:rFonts w:ascii="Century" w:hAnsi="Century" w:hint="cs"/>
          <w:rtl/>
        </w:rPr>
        <w:t>שמו (מש/36; עמ' 172 לפרוטוקול), והמשיבים סיפקו לכך הסברים שאינם קשורים לעני</w:t>
      </w:r>
      <w:r>
        <w:rPr>
          <w:rFonts w:hint="cs"/>
          <w:rtl/>
        </w:rPr>
        <w:t>יננו ושלא נתמכו בתיעוד בכתב (כגון הטענה כי ארנסון לא מחקה את החוב בגלל שהיה לה אינטרס למכור את החברה, ומאחר שארנסון לא מחקה סומ-אר לא דיווחה). אין בידי להכריע בדבר נכונותם של ההסברים החלופיים, ואף איני נדרש ליחס שבין "מחילת חוב" (כהכנסה מצידו של הלווה) לבין "חוב אבוד" (כהפסד מצד המלווה) (</w:t>
      </w:r>
      <w:r>
        <w:rPr>
          <w:rFonts w:ascii="Century" w:hAnsi="Century" w:hint="cs"/>
          <w:rtl/>
        </w:rPr>
        <w:t xml:space="preserve">בהקשר זה ראו: </w:t>
      </w:r>
      <w:r w:rsidRPr="003840FE">
        <w:rPr>
          <w:rFonts w:ascii="Century" w:hAnsi="Century" w:cs="Miriam" w:hint="cs"/>
          <w:b/>
          <w:spacing w:val="0"/>
          <w:szCs w:val="24"/>
          <w:rtl/>
        </w:rPr>
        <w:t>נמדר</w:t>
      </w:r>
      <w:r>
        <w:rPr>
          <w:rFonts w:ascii="Century" w:hAnsi="Century" w:hint="cs"/>
          <w:rtl/>
        </w:rPr>
        <w:t xml:space="preserve">, בעמ' 240; </w:t>
      </w:r>
      <w:r w:rsidRPr="00DC37F5">
        <w:rPr>
          <w:rFonts w:ascii="Century" w:hAnsi="Century" w:cs="Miriam" w:hint="cs"/>
          <w:b/>
          <w:spacing w:val="0"/>
          <w:szCs w:val="24"/>
          <w:rtl/>
        </w:rPr>
        <w:t>רפאל</w:t>
      </w:r>
      <w:r>
        <w:rPr>
          <w:rFonts w:ascii="Century" w:hAnsi="Century" w:hint="cs"/>
          <w:rtl/>
        </w:rPr>
        <w:t xml:space="preserve">, בעמ' 282-281 ו-510; </w:t>
      </w:r>
      <w:r w:rsidRPr="00DD3CFE">
        <w:rPr>
          <w:rFonts w:ascii="Century" w:hAnsi="Century" w:cs="Miriam" w:hint="cs"/>
          <w:b/>
          <w:spacing w:val="0"/>
          <w:szCs w:val="24"/>
          <w:rtl/>
        </w:rPr>
        <w:t>נוימן וקפלן</w:t>
      </w:r>
      <w:r w:rsidRPr="0018193F">
        <w:rPr>
          <w:rFonts w:ascii="Century" w:hAnsi="Century" w:hint="cs"/>
          <w:rtl/>
        </w:rPr>
        <w:t>).</w:t>
      </w:r>
      <w:r>
        <w:rPr>
          <w:rFonts w:hint="cs"/>
          <w:rtl/>
        </w:rPr>
        <w:t xml:space="preserve"> לענייננו, ניתן להסתפק בכך שטענתם של המשיבים </w:t>
      </w:r>
      <w:r>
        <w:rPr>
          <w:rtl/>
        </w:rPr>
        <w:t>–</w:t>
      </w:r>
      <w:r>
        <w:rPr>
          <w:rFonts w:hint="cs"/>
          <w:rtl/>
        </w:rPr>
        <w:t xml:space="preserve"> בדבר הפסד הון בשנת 2005 </w:t>
      </w:r>
      <w:r>
        <w:rPr>
          <w:rtl/>
        </w:rPr>
        <w:t>–</w:t>
      </w:r>
      <w:r>
        <w:rPr>
          <w:rFonts w:hint="cs"/>
          <w:rtl/>
        </w:rPr>
        <w:t xml:space="preserve"> עומדת בפני עצמה, איננה משתלבת בתמונה הרחבה יותר ולא ניכרת ברישומים ובדיווחים של יתר החברות המעורבות. מתוך שלוש חברות מעורבות (סומת, ש.י.פ.ק וסומ-אר), רק סומת נתנה ביטוי כלשהו למחיקת החוב, וביטוי זה הוא דיווח על הפסד שמכסה (כמעט) בדיוק את הרווח שנוצר למשיב שבועיים קודם. [בהערת אגב, וכפי שציינתי בעניין </w:t>
      </w:r>
      <w:r w:rsidRPr="00B44345">
        <w:rPr>
          <w:rFonts w:ascii="Century" w:hAnsi="Century" w:cs="Miriam" w:hint="cs"/>
          <w:b/>
          <w:spacing w:val="0"/>
          <w:szCs w:val="24"/>
          <w:rtl/>
        </w:rPr>
        <w:t>שנהב</w:t>
      </w:r>
      <w:r>
        <w:rPr>
          <w:rFonts w:hint="cs"/>
          <w:rtl/>
        </w:rPr>
        <w:t xml:space="preserve"> בפסקה 25, אילו סומת וש.י.פ.ק היו מוחלות על החוב וסומ-אר היתה רושמת הכנסה בגובה החוב שנמחל, התוצאה היתה שאין שינוי בהון של בעל השליטה].</w:t>
      </w:r>
    </w:p>
    <w:p w:rsidR="0010512C" w:rsidRDefault="0010512C" w:rsidP="00B06989">
      <w:pPr>
        <w:pStyle w:val="Ruller41"/>
        <w:rPr>
          <w:rtl/>
        </w:rPr>
      </w:pPr>
    </w:p>
    <w:p w:rsidR="0010512C" w:rsidRPr="00E90D70" w:rsidRDefault="0010512C" w:rsidP="00B06989">
      <w:pPr>
        <w:pStyle w:val="Ruller41"/>
        <w:rPr>
          <w:rtl/>
        </w:rPr>
      </w:pPr>
      <w:r>
        <w:rPr>
          <w:rFonts w:ascii="FrankRuehl" w:hAnsi="FrankRuehl" w:hint="cs"/>
          <w:rtl/>
        </w:rPr>
        <w:t>17.</w:t>
      </w:r>
      <w:r>
        <w:rPr>
          <w:rFonts w:ascii="FrankRuehl" w:hAnsi="FrankRuehl"/>
          <w:rtl/>
        </w:rPr>
        <w:tab/>
      </w:r>
      <w:r>
        <w:rPr>
          <w:rFonts w:ascii="FrankRuehl" w:hAnsi="FrankRuehl" w:hint="cs"/>
          <w:rtl/>
        </w:rPr>
        <w:t>בשלב זה אחזור ואציין כי "</w:t>
      </w:r>
      <w:r w:rsidRPr="00E90D70">
        <w:rPr>
          <w:rFonts w:ascii="FrankRuehl" w:hAnsi="FrankRuehl"/>
          <w:rtl/>
        </w:rPr>
        <w:t>הכרה במחילת חוב ללא טעם מסחרי, אך על סמך הצהרת המערער כי סיכויי גביית החוב קלושים, מאפשרת למעשה לנישום לעקוף את המבחנים שנקבעו לצורך הכרה בחובות אבודים</w:t>
      </w:r>
      <w:r>
        <w:rPr>
          <w:rFonts w:ascii="FrankRuehl" w:hAnsi="FrankRuehl" w:hint="cs"/>
          <w:rtl/>
        </w:rPr>
        <w:t xml:space="preserve">" (עניין </w:t>
      </w:r>
      <w:r w:rsidRPr="00E90D70">
        <w:rPr>
          <w:rFonts w:cs="Miriam" w:hint="cs"/>
          <w:b/>
          <w:spacing w:val="0"/>
          <w:szCs w:val="24"/>
          <w:rtl/>
        </w:rPr>
        <w:t>שנהב</w:t>
      </w:r>
      <w:r>
        <w:rPr>
          <w:rFonts w:ascii="FrankRuehl" w:hAnsi="FrankRuehl" w:hint="cs"/>
          <w:rtl/>
        </w:rPr>
        <w:t>, בפסקה 25).</w:t>
      </w:r>
      <w:r>
        <w:rPr>
          <w:rFonts w:hint="cs"/>
          <w:rtl/>
        </w:rPr>
        <w:t xml:space="preserve"> כמו בעניין </w:t>
      </w:r>
      <w:r w:rsidRPr="00F76B3A">
        <w:rPr>
          <w:rFonts w:cs="Miriam" w:hint="cs"/>
          <w:b/>
          <w:spacing w:val="0"/>
          <w:szCs w:val="24"/>
          <w:rtl/>
        </w:rPr>
        <w:t>שנהב</w:t>
      </w:r>
      <w:r>
        <w:rPr>
          <w:rFonts w:hint="cs"/>
          <w:rtl/>
        </w:rPr>
        <w:t xml:space="preserve">, גם במקרה דנא מדובר למעשה בבעל מניות יחיד שהעניק הלוואת בעלים לחברה שבבעלותו המלאה, ובנקודת זמן מסויימת הצהיר על מחילת חוב (והשוו גם לפסקה 5 בפסק דינו של השופט </w:t>
      </w:r>
      <w:r w:rsidRPr="00A80583">
        <w:rPr>
          <w:rFonts w:cs="Miriam" w:hint="cs"/>
          <w:b/>
          <w:spacing w:val="0"/>
          <w:szCs w:val="24"/>
          <w:rtl/>
        </w:rPr>
        <w:t>מ' אלטוביה</w:t>
      </w:r>
      <w:r w:rsidRPr="00A80583">
        <w:rPr>
          <w:rFonts w:hint="cs"/>
          <w:rtl/>
        </w:rPr>
        <w:t xml:space="preserve"> </w:t>
      </w:r>
      <w:r>
        <w:rPr>
          <w:rFonts w:hint="cs"/>
          <w:rtl/>
        </w:rPr>
        <w:t xml:space="preserve">בעניין </w:t>
      </w:r>
      <w:r w:rsidRPr="00A80583">
        <w:rPr>
          <w:rFonts w:cs="Miriam" w:hint="cs"/>
          <w:b/>
          <w:spacing w:val="0"/>
          <w:szCs w:val="24"/>
          <w:rtl/>
        </w:rPr>
        <w:t>פישמן</w:t>
      </w:r>
      <w:r>
        <w:rPr>
          <w:rFonts w:hint="cs"/>
          <w:rtl/>
        </w:rPr>
        <w:t xml:space="preserve">). בנסיבות כאלה, ניתן להכיר בהפסד הון רק אם הוכח שההשקעה ההונית אכן ירדה לטמיון, ובענייננו, כמו בעניין </w:t>
      </w:r>
      <w:r w:rsidRPr="005F6039">
        <w:rPr>
          <w:rFonts w:cs="Miriam" w:hint="cs"/>
          <w:b/>
          <w:spacing w:val="0"/>
          <w:szCs w:val="24"/>
          <w:rtl/>
        </w:rPr>
        <w:t>שנהב</w:t>
      </w:r>
      <w:r>
        <w:rPr>
          <w:rFonts w:hint="cs"/>
          <w:rtl/>
        </w:rPr>
        <w:t xml:space="preserve">, לא הובאו לכך תימוכין מספקים. </w:t>
      </w:r>
    </w:p>
    <w:p w:rsidR="0010512C" w:rsidRDefault="0010512C" w:rsidP="00B06989">
      <w:pPr>
        <w:pStyle w:val="Ruller41"/>
        <w:rPr>
          <w:rFonts w:ascii="Century" w:hAnsi="Century"/>
          <w:rtl/>
        </w:rPr>
      </w:pPr>
    </w:p>
    <w:p w:rsidR="0010512C" w:rsidRDefault="0010512C" w:rsidP="00B06989">
      <w:pPr>
        <w:pStyle w:val="Ruller41"/>
        <w:rPr>
          <w:rtl/>
        </w:rPr>
      </w:pPr>
      <w:r w:rsidRPr="00ED5F4D">
        <w:rPr>
          <w:rFonts w:hint="cs"/>
          <w:rtl/>
        </w:rPr>
        <w:t>18.</w:t>
      </w:r>
      <w:r w:rsidRPr="00ED5F4D">
        <w:rPr>
          <w:rtl/>
        </w:rPr>
        <w:tab/>
      </w:r>
      <w:r w:rsidRPr="00D26C7D">
        <w:rPr>
          <w:rFonts w:cs="Miriam" w:hint="cs"/>
          <w:spacing w:val="0"/>
          <w:szCs w:val="24"/>
          <w:rtl/>
        </w:rPr>
        <w:t>מסקנה:</w:t>
      </w:r>
      <w:r>
        <w:rPr>
          <w:rFonts w:hint="cs"/>
          <w:rtl/>
        </w:rPr>
        <w:t xml:space="preserve"> </w:t>
      </w:r>
      <w:r w:rsidRPr="00B459DE">
        <w:rPr>
          <w:rFonts w:hint="cs"/>
          <w:rtl/>
        </w:rPr>
        <w:t xml:space="preserve">לא מצאתי בטענותיהם של המשיבים אינדיקציה ממשית לכך שהלוואת הבעלים הפכה לחוב אבוד בשנת 2005. ניתן להניח כי בשנת 2005 חברת סומ-אר היתה בגירעון, אבל לא הוכח כי ההשקעה של סומת </w:t>
      </w:r>
      <w:r>
        <w:rPr>
          <w:rFonts w:hint="cs"/>
          <w:rtl/>
        </w:rPr>
        <w:t>ירדה לטמיון וכי ניתן היה ל</w:t>
      </w:r>
      <w:r w:rsidRPr="00B459DE">
        <w:rPr>
          <w:rFonts w:hint="cs"/>
          <w:rtl/>
        </w:rPr>
        <w:t>הגד</w:t>
      </w:r>
      <w:r>
        <w:rPr>
          <w:rFonts w:hint="cs"/>
          <w:rtl/>
        </w:rPr>
        <w:t>י</w:t>
      </w:r>
      <w:r w:rsidRPr="00B459DE">
        <w:rPr>
          <w:rFonts w:hint="cs"/>
          <w:rtl/>
        </w:rPr>
        <w:t>ר</w:t>
      </w:r>
      <w:r>
        <w:rPr>
          <w:rFonts w:hint="cs"/>
          <w:rtl/>
        </w:rPr>
        <w:t xml:space="preserve"> אות</w:t>
      </w:r>
      <w:r w:rsidRPr="00B459DE">
        <w:rPr>
          <w:rFonts w:hint="cs"/>
          <w:rtl/>
        </w:rPr>
        <w:t>ה כ"חוב אבוד</w:t>
      </w:r>
      <w:r>
        <w:rPr>
          <w:rFonts w:hint="cs"/>
          <w:rtl/>
        </w:rPr>
        <w:t>". קביעתו של בית משפט קמא מבוססת על הירידה בערכו של המגרש ועל מבחן סובייקטיבי, אך אלו אינם מובילים להכרה בהפסד הון. למעשה, לא הונחה תשתית עובדתית שמצביעה על התגבשות של הפסד הון, והטענה בדבר השקעה כושלת, כשלעצמה, אינה מספיקה כדי להתיר למשיב לקזז את ההשקעה כנגד רווח הון.</w:t>
      </w:r>
    </w:p>
    <w:p w:rsidR="0010512C" w:rsidRDefault="0010512C" w:rsidP="00B06989">
      <w:pPr>
        <w:pStyle w:val="Ruller41"/>
        <w:rPr>
          <w:rtl/>
        </w:rPr>
      </w:pPr>
    </w:p>
    <w:p w:rsidR="0010512C" w:rsidRDefault="0010512C" w:rsidP="00B06989">
      <w:pPr>
        <w:pStyle w:val="Ruller41"/>
        <w:rPr>
          <w:rtl/>
        </w:rPr>
      </w:pPr>
      <w:r>
        <w:rPr>
          <w:rFonts w:hint="cs"/>
          <w:rtl/>
        </w:rPr>
        <w:t>19.</w:t>
      </w:r>
      <w:r>
        <w:rPr>
          <w:rFonts w:hint="cs"/>
          <w:rtl/>
        </w:rPr>
        <w:tab/>
        <w:t>בשלב זה עדיין נותרה אפשרות להכיר בהפסד ההון של סומת, על יסוד העסקה שבה נמכרו מניות סומ-אר לחברת הילן. עסקה זו מהווה לכאורה מימוש של הפסד ההון, אך לטענת המערער מדובר בעסקה מלאכותית, ובשאלה זו נדון כעת.</w:t>
      </w:r>
    </w:p>
    <w:p w:rsidR="0010512C" w:rsidRPr="001A55FB" w:rsidRDefault="0010512C" w:rsidP="00B06989">
      <w:pPr>
        <w:pStyle w:val="Ruller41"/>
        <w:rPr>
          <w:color w:val="70AD47"/>
          <w:rtl/>
        </w:rPr>
      </w:pPr>
    </w:p>
    <w:p w:rsidR="0010512C" w:rsidRPr="004D054D" w:rsidRDefault="0010512C" w:rsidP="0010512C">
      <w:pPr>
        <w:pStyle w:val="Ruller41"/>
        <w:rPr>
          <w:rFonts w:ascii="Century" w:hAnsi="Century" w:cs="Miriam"/>
          <w:b/>
          <w:spacing w:val="0"/>
          <w:szCs w:val="24"/>
          <w:rtl/>
        </w:rPr>
      </w:pPr>
      <w:r w:rsidRPr="004D054D">
        <w:rPr>
          <w:rFonts w:ascii="Century" w:hAnsi="Century" w:cs="Miriam" w:hint="cs"/>
          <w:b/>
          <w:spacing w:val="0"/>
          <w:szCs w:val="24"/>
          <w:rtl/>
        </w:rPr>
        <w:t>האם עסק</w:t>
      </w:r>
      <w:r>
        <w:rPr>
          <w:rFonts w:ascii="Century" w:hAnsi="Century" w:cs="Miriam" w:hint="cs"/>
          <w:b/>
          <w:spacing w:val="0"/>
          <w:szCs w:val="24"/>
          <w:rtl/>
        </w:rPr>
        <w:t>ת ה</w:t>
      </w:r>
      <w:r w:rsidRPr="004D054D">
        <w:rPr>
          <w:rFonts w:ascii="Century" w:hAnsi="Century" w:cs="Miriam" w:hint="cs"/>
          <w:b/>
          <w:spacing w:val="0"/>
          <w:szCs w:val="24"/>
          <w:rtl/>
        </w:rPr>
        <w:t>ילן היא עסקה מלאכותית?</w:t>
      </w:r>
    </w:p>
    <w:p w:rsidR="0010512C" w:rsidRDefault="0010512C" w:rsidP="0010512C">
      <w:pPr>
        <w:pStyle w:val="Ruller41"/>
        <w:rPr>
          <w:rtl/>
        </w:rPr>
      </w:pPr>
    </w:p>
    <w:p w:rsidR="0010512C" w:rsidRDefault="0010512C" w:rsidP="0010512C">
      <w:pPr>
        <w:pStyle w:val="Ruller41"/>
        <w:rPr>
          <w:rtl/>
        </w:rPr>
      </w:pPr>
      <w:r>
        <w:rPr>
          <w:rFonts w:hint="cs"/>
          <w:rtl/>
        </w:rPr>
        <w:t>20.</w:t>
      </w:r>
      <w:r>
        <w:rPr>
          <w:rtl/>
        </w:rPr>
        <w:tab/>
      </w:r>
      <w:r>
        <w:rPr>
          <w:rFonts w:hint="cs"/>
          <w:rtl/>
        </w:rPr>
        <w:t xml:space="preserve">חברת סומת, שהחזיקה ב-50% ממניות סומ-אר, מכרה אותן לחברת הילן ביום 25.12.2005. לכאורה, זוהי "מכירה" (לפי סעיף </w:t>
      </w:r>
      <w:r w:rsidR="00187267">
        <w:rPr>
          <w:rFonts w:hint="cs"/>
          <w:rtl/>
        </w:rPr>
        <w:t xml:space="preserve">88 </w:t>
      </w:r>
      <w:r>
        <w:rPr>
          <w:rFonts w:hint="cs"/>
          <w:rtl/>
        </w:rPr>
        <w:t>לפקודה), ומכיוון שהמגרש נמכר בסכום נמוך מהסכום שהושקע בו, התגבש לסומת הפסד הון. השאלה העיקרית העומדת לדיון היא אם מדובר בעסקה מלאכותית, לפי סעיף 86(א) לפקודה:</w:t>
      </w:r>
    </w:p>
    <w:p w:rsidR="0010512C" w:rsidRDefault="0010512C" w:rsidP="0010512C">
      <w:pPr>
        <w:pStyle w:val="Ruller41"/>
        <w:rPr>
          <w:rtl/>
        </w:rPr>
      </w:pPr>
    </w:p>
    <w:p w:rsidR="0010512C" w:rsidRPr="004D054D" w:rsidRDefault="0010512C" w:rsidP="0010512C">
      <w:pPr>
        <w:pStyle w:val="Ruller5"/>
        <w:rPr>
          <w:rFonts w:ascii="Century" w:hAnsi="Century" w:cs="Miriam"/>
          <w:b/>
          <w:spacing w:val="0"/>
          <w:szCs w:val="24"/>
          <w:rtl/>
        </w:rPr>
      </w:pPr>
      <w:bookmarkStart w:id="4" w:name="Seif151"/>
      <w:bookmarkEnd w:id="4"/>
      <w:r w:rsidRPr="004D054D">
        <w:rPr>
          <w:rFonts w:ascii="Century" w:hAnsi="Century" w:cs="Miriam" w:hint="cs"/>
          <w:b/>
          <w:spacing w:val="0"/>
          <w:szCs w:val="24"/>
          <w:rtl/>
        </w:rPr>
        <w:t xml:space="preserve">86. </w:t>
      </w:r>
      <w:r w:rsidRPr="004D054D">
        <w:rPr>
          <w:rFonts w:ascii="Century" w:hAnsi="Century" w:cs="Miriam"/>
          <w:b/>
          <w:spacing w:val="0"/>
          <w:szCs w:val="24"/>
          <w:rtl/>
        </w:rPr>
        <w:t>סמכות להתעלם מעסקאות מסוימות</w:t>
      </w:r>
    </w:p>
    <w:p w:rsidR="0010512C" w:rsidRPr="004D054D" w:rsidRDefault="0010512C" w:rsidP="0010512C">
      <w:pPr>
        <w:pStyle w:val="Ruller5"/>
        <w:rPr>
          <w:rFonts w:ascii="Century" w:hAnsi="Century"/>
          <w:rtl/>
        </w:rPr>
      </w:pPr>
      <w:r w:rsidRPr="004D054D">
        <w:rPr>
          <w:rFonts w:ascii="Century" w:hAnsi="Century"/>
          <w:rtl/>
        </w:rPr>
        <w:t>(א)</w:t>
      </w:r>
      <w:r w:rsidRPr="004D054D">
        <w:rPr>
          <w:rFonts w:ascii="Century" w:hAnsi="Century"/>
          <w:rtl/>
        </w:rPr>
        <w:tab/>
        <w:t>היה פקיד השומה סבור, כי עסקה פלונית המפחיתה, או העלולה להפחית, את סכום המס המשתלם על ידי אדם פלוני היא מלאכותית או בדויה, או שהסבה פלונית אינה מופעלת למעשה, או כי אחת ממטרותיה העיקריות של עסקה פלונית היא הימנעות ממס או הפחתת מס בלתי נאותות, רשאי הוא להתעלם מן העסקה או מן ההסבה, והאדם הנוגע בדבר יהא נישום לפי זה. הימנעות ממס או הפחתת מס ניתן לראותן כבלתי נאותות אפילו אינן נוגדות את החוק.</w:t>
      </w:r>
    </w:p>
    <w:p w:rsidR="0010512C" w:rsidRDefault="0010512C" w:rsidP="0010512C">
      <w:pPr>
        <w:pStyle w:val="Ruller5"/>
        <w:rPr>
          <w:rFonts w:ascii="Century" w:hAnsi="Century"/>
          <w:rtl/>
        </w:rPr>
      </w:pPr>
      <w:r w:rsidRPr="004D054D">
        <w:rPr>
          <w:rFonts w:ascii="Century" w:hAnsi="Century"/>
          <w:rtl/>
        </w:rPr>
        <w:t xml:space="preserve">לענין זה, </w:t>
      </w:r>
      <w:r>
        <w:rPr>
          <w:rFonts w:ascii="Century" w:hAnsi="Century" w:hint="cs"/>
          <w:rtl/>
        </w:rPr>
        <w:t>'</w:t>
      </w:r>
      <w:r w:rsidRPr="004D054D">
        <w:rPr>
          <w:rFonts w:ascii="Century" w:hAnsi="Century"/>
          <w:rtl/>
        </w:rPr>
        <w:t>עסקה</w:t>
      </w:r>
      <w:r>
        <w:rPr>
          <w:rFonts w:ascii="Century" w:hAnsi="Century" w:hint="cs"/>
          <w:rtl/>
        </w:rPr>
        <w:t>'</w:t>
      </w:r>
      <w:r w:rsidRPr="004D054D">
        <w:rPr>
          <w:rFonts w:ascii="Century" w:hAnsi="Century"/>
          <w:rtl/>
        </w:rPr>
        <w:t xml:space="preserve"> - לרבות פעולה.</w:t>
      </w:r>
    </w:p>
    <w:p w:rsidR="00187267" w:rsidRPr="004D054D" w:rsidRDefault="00187267" w:rsidP="0010512C">
      <w:pPr>
        <w:pStyle w:val="Ruller5"/>
        <w:rPr>
          <w:rFonts w:ascii="Century" w:hAnsi="Century"/>
          <w:rtl/>
        </w:rPr>
      </w:pPr>
    </w:p>
    <w:p w:rsidR="0010512C" w:rsidRDefault="0010512C" w:rsidP="0010512C">
      <w:pPr>
        <w:pStyle w:val="Ruller41"/>
        <w:rPr>
          <w:rtl/>
        </w:rPr>
      </w:pPr>
    </w:p>
    <w:p w:rsidR="0010512C" w:rsidRDefault="0010512C" w:rsidP="0010512C">
      <w:pPr>
        <w:pStyle w:val="Ruller41"/>
        <w:rPr>
          <w:rFonts w:ascii="FrankRuehl" w:hAnsi="FrankRuehl"/>
          <w:rtl/>
        </w:rPr>
      </w:pPr>
      <w:r>
        <w:rPr>
          <w:rtl/>
        </w:rPr>
        <w:tab/>
      </w:r>
      <w:r>
        <w:rPr>
          <w:rFonts w:hint="cs"/>
          <w:rtl/>
        </w:rPr>
        <w:t>מכוח סעיף זה, פקיד השומה רשאי להתעלם מ</w:t>
      </w:r>
      <w:r>
        <w:rPr>
          <w:rFonts w:ascii="FrankRuehl" w:hAnsi="FrankRuehl"/>
          <w:rtl/>
        </w:rPr>
        <w:t xml:space="preserve">עסקה </w:t>
      </w:r>
      <w:r>
        <w:rPr>
          <w:rFonts w:ascii="FrankRuehl" w:hAnsi="FrankRuehl" w:hint="cs"/>
          <w:rtl/>
        </w:rPr>
        <w:t xml:space="preserve">שהנישום לא היה מבצע אותה אלמלא היתה מיטיבה את מצבו מבחינת דיני המס. </w:t>
      </w:r>
      <w:bookmarkStart w:id="5" w:name="Text1"/>
      <w:r>
        <w:rPr>
          <w:rFonts w:ascii="FrankRuehl" w:hAnsi="FrankRuehl" w:hint="cs"/>
          <w:rtl/>
        </w:rPr>
        <w:t>כך נפסק ב</w:t>
      </w:r>
      <w:r w:rsidRPr="007F00DB">
        <w:rPr>
          <w:rFonts w:ascii="Century" w:hAnsi="Century"/>
          <w:rtl/>
        </w:rPr>
        <w:t>ע</w:t>
      </w:r>
      <w:r>
        <w:rPr>
          <w:rFonts w:ascii="Century" w:hAnsi="Century" w:hint="cs"/>
          <w:rtl/>
        </w:rPr>
        <w:t>"</w:t>
      </w:r>
      <w:r w:rsidRPr="007F00DB">
        <w:rPr>
          <w:rFonts w:ascii="Century" w:hAnsi="Century"/>
          <w:rtl/>
        </w:rPr>
        <w:t>א 2965/08</w:t>
      </w:r>
      <w:r>
        <w:rPr>
          <w:rFonts w:ascii="Century" w:hAnsi="Century" w:hint="cs"/>
          <w:rtl/>
        </w:rPr>
        <w:t xml:space="preserve"> </w:t>
      </w:r>
      <w:r w:rsidRPr="00121052">
        <w:rPr>
          <w:rFonts w:ascii="Century" w:hAnsi="Century" w:cs="Miriam"/>
          <w:b/>
          <w:spacing w:val="0"/>
          <w:szCs w:val="24"/>
          <w:rtl/>
        </w:rPr>
        <w:t>סגנון שרותי תקשוב בע"מ נ' פקיד שומה פתח-תקווה</w:t>
      </w:r>
      <w:bookmarkEnd w:id="5"/>
      <w:r>
        <w:rPr>
          <w:rFonts w:ascii="Century" w:hAnsi="Century" w:hint="cs"/>
          <w:rtl/>
        </w:rPr>
        <w:t xml:space="preserve">, </w:t>
      </w:r>
      <w:r>
        <w:rPr>
          <w:rFonts w:ascii="FrankRuehl" w:hAnsi="FrankRuehl" w:hint="cs"/>
          <w:rtl/>
        </w:rPr>
        <w:t>בפסקאות 27-28</w:t>
      </w:r>
      <w:r>
        <w:rPr>
          <w:rFonts w:ascii="Century" w:hAnsi="Century" w:hint="cs"/>
          <w:rtl/>
        </w:rPr>
        <w:t xml:space="preserve"> (21.6.2011)</w:t>
      </w:r>
      <w:r>
        <w:rPr>
          <w:rFonts w:ascii="FrankRuehl" w:hAnsi="FrankRuehl" w:hint="cs"/>
          <w:rtl/>
        </w:rPr>
        <w:t xml:space="preserve">: </w:t>
      </w:r>
    </w:p>
    <w:p w:rsidR="0010512C" w:rsidRDefault="0010512C" w:rsidP="0010512C">
      <w:pPr>
        <w:pStyle w:val="Ruller41"/>
        <w:rPr>
          <w:rFonts w:ascii="FrankRuehl" w:hAnsi="FrankRuehl"/>
          <w:rtl/>
        </w:rPr>
      </w:pPr>
    </w:p>
    <w:p w:rsidR="0010512C" w:rsidRDefault="0010512C" w:rsidP="0010512C">
      <w:pPr>
        <w:pStyle w:val="Ruller5"/>
        <w:rPr>
          <w:rtl/>
        </w:rPr>
      </w:pPr>
      <w:r>
        <w:rPr>
          <w:rFonts w:hint="cs"/>
          <w:rtl/>
        </w:rPr>
        <w:t>"</w:t>
      </w:r>
      <w:r>
        <w:rPr>
          <w:rtl/>
        </w:rPr>
        <w:t xml:space="preserve">עסקה </w:t>
      </w:r>
      <w:r w:rsidRPr="00121052">
        <w:rPr>
          <w:rFonts w:ascii="Century" w:hAnsi="Century" w:cs="Miriam"/>
          <w:b/>
          <w:spacing w:val="0"/>
          <w:szCs w:val="24"/>
          <w:rtl/>
        </w:rPr>
        <w:t>אינה</w:t>
      </w:r>
      <w:r w:rsidRPr="00121052">
        <w:rPr>
          <w:rtl/>
        </w:rPr>
        <w:t xml:space="preserve"> </w:t>
      </w:r>
      <w:r>
        <w:rPr>
          <w:rtl/>
        </w:rPr>
        <w:t xml:space="preserve">מלאכותית אם לולא המטרה המסחרית – לא היה מבצע הנישום את העסקה. המבחן אינו בודק רק אם קיימת מטרה מסחרית, ואין ספק בדבר שקיומה של זו הוא תנאי הכרחי, אך אין זה תנאי מספיק. לצורך סיפוקו של המבחן נדרש גם כי המטרה המסחרית תהיה סיבה </w:t>
      </w:r>
      <w:r>
        <w:rPr>
          <w:rFonts w:hint="cs"/>
          <w:rtl/>
        </w:rPr>
        <w:t>'</w:t>
      </w:r>
      <w:r>
        <w:rPr>
          <w:rtl/>
        </w:rPr>
        <w:t>יסודית</w:t>
      </w:r>
      <w:r>
        <w:rPr>
          <w:rFonts w:hint="cs"/>
          <w:rtl/>
        </w:rPr>
        <w:t>'</w:t>
      </w:r>
      <w:r>
        <w:rPr>
          <w:rtl/>
        </w:rPr>
        <w:t>, כך שלולא ציפייתו של הנישום כי זו תתממש, לא היה נכנס לעסקה מלכתחילה</w:t>
      </w:r>
      <w:r>
        <w:rPr>
          <w:rFonts w:hint="cs"/>
          <w:rtl/>
        </w:rPr>
        <w:t xml:space="preserve"> [...] </w:t>
      </w:r>
      <w:r>
        <w:rPr>
          <w:rtl/>
        </w:rPr>
        <w:t>אם עלה בידי הנישום להוכיח כי עמד טעם מסחרי יסודי בבסיס העסקה, כי אז לא תסווג העסקה כמלאכותית</w:t>
      </w:r>
      <w:r>
        <w:rPr>
          <w:rFonts w:hint="cs"/>
          <w:rtl/>
        </w:rPr>
        <w:t xml:space="preserve"> [...]" (בקשה לדיון נוסף נדחתה ביום 13.5.2012 (</w:t>
      </w:r>
      <w:r w:rsidRPr="007F00DB">
        <w:rPr>
          <w:rFonts w:hint="eastAsia"/>
          <w:rtl/>
        </w:rPr>
        <w:t>דנ</w:t>
      </w:r>
      <w:r>
        <w:rPr>
          <w:rFonts w:hint="cs"/>
          <w:rtl/>
        </w:rPr>
        <w:t>"</w:t>
      </w:r>
      <w:r w:rsidRPr="007F00DB">
        <w:rPr>
          <w:rFonts w:hint="eastAsia"/>
          <w:rtl/>
        </w:rPr>
        <w:t>א</w:t>
      </w:r>
      <w:r w:rsidRPr="007F00DB">
        <w:rPr>
          <w:rtl/>
        </w:rPr>
        <w:t xml:space="preserve"> 6983/11</w:t>
      </w:r>
      <w:r>
        <w:rPr>
          <w:rFonts w:hint="cs"/>
          <w:rtl/>
        </w:rPr>
        <w:t>)).</w:t>
      </w:r>
    </w:p>
    <w:p w:rsidR="00187267" w:rsidRPr="00121052" w:rsidRDefault="00187267" w:rsidP="0010512C">
      <w:pPr>
        <w:pStyle w:val="Ruller5"/>
      </w:pPr>
    </w:p>
    <w:p w:rsidR="0010512C" w:rsidRDefault="0010512C" w:rsidP="0010512C">
      <w:pPr>
        <w:pStyle w:val="Ruller41"/>
        <w:ind w:left="75"/>
        <w:rPr>
          <w:rFonts w:ascii="Century" w:hAnsi="Century"/>
          <w:rtl/>
        </w:rPr>
      </w:pPr>
    </w:p>
    <w:p w:rsidR="0010512C" w:rsidRDefault="0010512C" w:rsidP="0010512C">
      <w:pPr>
        <w:pStyle w:val="Ruller41"/>
        <w:rPr>
          <w:rtl/>
        </w:rPr>
      </w:pPr>
      <w:r>
        <w:rPr>
          <w:rFonts w:ascii="FrankRuehl" w:hAnsi="FrankRuehl"/>
          <w:rtl/>
        </w:rPr>
        <w:tab/>
      </w:r>
      <w:r>
        <w:rPr>
          <w:rFonts w:ascii="FrankRuehl" w:hAnsi="FrankRuehl" w:hint="cs"/>
          <w:rtl/>
        </w:rPr>
        <w:t xml:space="preserve">בעניין </w:t>
      </w:r>
      <w:r w:rsidRPr="00121052">
        <w:rPr>
          <w:rFonts w:ascii="Century" w:hAnsi="Century" w:cs="Miriam" w:hint="cs"/>
          <w:b/>
          <w:spacing w:val="0"/>
          <w:szCs w:val="24"/>
          <w:rtl/>
        </w:rPr>
        <w:t>שנהב</w:t>
      </w:r>
      <w:r w:rsidRPr="00121052">
        <w:rPr>
          <w:rFonts w:ascii="FrankRuehl" w:hAnsi="FrankRuehl" w:hint="cs"/>
          <w:rtl/>
        </w:rPr>
        <w:t xml:space="preserve"> </w:t>
      </w:r>
      <w:r>
        <w:rPr>
          <w:rFonts w:ascii="FrankRuehl" w:hAnsi="FrankRuehl" w:hint="cs"/>
          <w:rtl/>
        </w:rPr>
        <w:t>ציינתי בקצרה כי "</w:t>
      </w:r>
      <w:r>
        <w:rPr>
          <w:rFonts w:ascii="FrankRuehl" w:hAnsi="FrankRuehl"/>
          <w:rtl/>
        </w:rPr>
        <w:t xml:space="preserve">עסקה מלאכותית הינה </w:t>
      </w:r>
      <w:r>
        <w:rPr>
          <w:rFonts w:ascii="FrankRuehl" w:hAnsi="FrankRuehl" w:hint="cs"/>
          <w:rtl/>
        </w:rPr>
        <w:t xml:space="preserve">עסקה </w:t>
      </w:r>
      <w:r>
        <w:rPr>
          <w:rFonts w:ascii="FrankRuehl" w:hAnsi="FrankRuehl"/>
          <w:rtl/>
        </w:rPr>
        <w:t xml:space="preserve">חוקית, שהמחוקק אפשר לפקיד השומה להתעלם מתוצאותיה. מבחן מרכזי בפסיקה לקביעת מלאכותיות </w:t>
      </w:r>
      <w:r>
        <w:rPr>
          <w:rFonts w:ascii="FrankRuehl" w:hAnsi="FrankRuehl"/>
          <w:rtl/>
        </w:rPr>
        <w:lastRenderedPageBreak/>
        <w:t xml:space="preserve">העסקה הוא </w:t>
      </w:r>
      <w:r>
        <w:rPr>
          <w:rFonts w:ascii="FrankRuehl" w:hAnsi="FrankRuehl" w:hint="cs"/>
          <w:rtl/>
        </w:rPr>
        <w:t>'</w:t>
      </w:r>
      <w:r>
        <w:rPr>
          <w:rFonts w:ascii="FrankRuehl" w:hAnsi="FrankRuehl"/>
          <w:rtl/>
        </w:rPr>
        <w:t>מבחן הטעם המסחרי</w:t>
      </w:r>
      <w:r>
        <w:rPr>
          <w:rFonts w:ascii="FrankRuehl" w:hAnsi="FrankRuehl" w:hint="cs"/>
          <w:rtl/>
        </w:rPr>
        <w:t>'</w:t>
      </w:r>
      <w:r>
        <w:rPr>
          <w:rFonts w:ascii="FrankRuehl" w:hAnsi="FrankRuehl"/>
          <w:rtl/>
        </w:rPr>
        <w:t>, אשר לפיו יש לבחון האם לאור מכלול נסיבות העסקה ותכליותיה עומד ביסודה טעם כלכלי ממשי, או שמא כל מטרתה היא להביא להפחתת מס</w:t>
      </w:r>
      <w:r>
        <w:rPr>
          <w:rFonts w:ascii="FrankRuehl" w:hAnsi="FrankRuehl" w:hint="cs"/>
          <w:rtl/>
        </w:rPr>
        <w:t>"</w:t>
      </w:r>
      <w:r>
        <w:rPr>
          <w:rFonts w:hint="cs"/>
          <w:rtl/>
        </w:rPr>
        <w:t xml:space="preserve"> (</w:t>
      </w:r>
      <w:r w:rsidRPr="00121052">
        <w:rPr>
          <w:rFonts w:ascii="Century" w:hAnsi="Century" w:cs="Miriam" w:hint="cs"/>
          <w:b/>
          <w:spacing w:val="0"/>
          <w:szCs w:val="24"/>
          <w:rtl/>
        </w:rPr>
        <w:t>שם</w:t>
      </w:r>
      <w:r>
        <w:rPr>
          <w:rFonts w:ascii="FrankRuehl" w:hAnsi="FrankRuehl" w:hint="cs"/>
          <w:rtl/>
        </w:rPr>
        <w:t xml:space="preserve">, בפסקה 10; </w:t>
      </w:r>
      <w:r>
        <w:rPr>
          <w:rFonts w:hint="cs"/>
          <w:rtl/>
        </w:rPr>
        <w:t xml:space="preserve">להרחבה עיינו באסמכתאות שהוזכרו שם). </w:t>
      </w:r>
    </w:p>
    <w:p w:rsidR="0010512C" w:rsidRDefault="0010512C" w:rsidP="0010512C">
      <w:pPr>
        <w:pStyle w:val="Ruller41"/>
        <w:rPr>
          <w:rFonts w:ascii="Century" w:hAnsi="Century"/>
          <w:rtl/>
        </w:rPr>
      </w:pPr>
    </w:p>
    <w:p w:rsidR="0010512C" w:rsidRDefault="0010512C" w:rsidP="0010512C">
      <w:pPr>
        <w:pStyle w:val="Ruller41"/>
        <w:rPr>
          <w:rFonts w:ascii="Century" w:hAnsi="Century"/>
          <w:rtl/>
        </w:rPr>
      </w:pPr>
      <w:r>
        <w:rPr>
          <w:rFonts w:ascii="Century" w:hAnsi="Century" w:hint="cs"/>
          <w:rtl/>
        </w:rPr>
        <w:t>21.</w:t>
      </w:r>
      <w:r>
        <w:rPr>
          <w:rFonts w:ascii="Century" w:hAnsi="Century"/>
          <w:rtl/>
        </w:rPr>
        <w:tab/>
      </w:r>
      <w:r>
        <w:rPr>
          <w:rFonts w:ascii="Century" w:hAnsi="Century" w:hint="cs"/>
          <w:rtl/>
        </w:rPr>
        <w:t xml:space="preserve">עסקה לרכישת מניותיה של חברה מפסידה, עשויה להיתפס כעסקה מלאכותית. </w:t>
      </w:r>
    </w:p>
    <w:p w:rsidR="0010512C" w:rsidRPr="00175B42" w:rsidRDefault="0010512C" w:rsidP="0010512C">
      <w:pPr>
        <w:pStyle w:val="Ruller41"/>
        <w:rPr>
          <w:rFonts w:ascii="Century" w:hAnsi="Century"/>
        </w:rPr>
      </w:pPr>
      <w:r w:rsidRPr="00121052">
        <w:rPr>
          <w:rFonts w:ascii="Century" w:hAnsi="Century" w:hint="cs"/>
          <w:rtl/>
        </w:rPr>
        <w:t>ב</w:t>
      </w:r>
      <w:r w:rsidRPr="00121052">
        <w:rPr>
          <w:rFonts w:ascii="Century" w:hAnsi="Century"/>
          <w:rtl/>
        </w:rPr>
        <w:t xml:space="preserve">ע"א 3415/97 </w:t>
      </w:r>
      <w:r w:rsidRPr="00121052">
        <w:rPr>
          <w:rFonts w:ascii="Century" w:hAnsi="Century" w:cs="Miriam"/>
          <w:b/>
          <w:spacing w:val="0"/>
          <w:szCs w:val="24"/>
          <w:rtl/>
        </w:rPr>
        <w:t>פקיד שומה למפעלים גדולים נ' יואב רובינשטיין ושות' חברה לבנין פיתוח ומימון בע"מ</w:t>
      </w:r>
      <w:r w:rsidRPr="00121052">
        <w:rPr>
          <w:rFonts w:ascii="Century" w:hAnsi="Century"/>
          <w:rtl/>
        </w:rPr>
        <w:t xml:space="preserve">, </w:t>
      </w:r>
      <w:r>
        <w:rPr>
          <w:rFonts w:ascii="Century" w:hAnsi="Century" w:hint="cs"/>
          <w:rtl/>
        </w:rPr>
        <w:t xml:space="preserve">פ"ד </w:t>
      </w:r>
      <w:r w:rsidRPr="00121052">
        <w:rPr>
          <w:rFonts w:ascii="Century" w:hAnsi="Century"/>
          <w:rtl/>
        </w:rPr>
        <w:t>נז(5) 915 (2003)</w:t>
      </w:r>
      <w:r w:rsidRPr="00121052">
        <w:rPr>
          <w:rFonts w:ascii="Century" w:hAnsi="Century" w:hint="cs"/>
          <w:rtl/>
        </w:rPr>
        <w:t xml:space="preserve"> נדון מקרה של רכישת חברה כדי </w:t>
      </w:r>
      <w:r w:rsidRPr="00121052">
        <w:rPr>
          <w:rFonts w:ascii="Century" w:hAnsi="Century"/>
          <w:rtl/>
        </w:rPr>
        <w:t xml:space="preserve">לקזז </w:t>
      </w:r>
      <w:r w:rsidRPr="00121052">
        <w:rPr>
          <w:rFonts w:ascii="Century" w:hAnsi="Century" w:hint="cs"/>
          <w:rtl/>
        </w:rPr>
        <w:t xml:space="preserve">את </w:t>
      </w:r>
      <w:r w:rsidRPr="00121052">
        <w:rPr>
          <w:rFonts w:ascii="Century" w:hAnsi="Century"/>
          <w:rtl/>
        </w:rPr>
        <w:t>הפסדי</w:t>
      </w:r>
      <w:r w:rsidRPr="00121052">
        <w:rPr>
          <w:rFonts w:ascii="Century" w:hAnsi="Century" w:hint="cs"/>
          <w:rtl/>
        </w:rPr>
        <w:t xml:space="preserve">ה כנגד פעילות </w:t>
      </w:r>
      <w:r w:rsidRPr="0052229A">
        <w:rPr>
          <w:rFonts w:ascii="FrankRuehl" w:hAnsi="FrankRuehl" w:hint="cs"/>
          <w:rtl/>
        </w:rPr>
        <w:t xml:space="preserve">רווחית, ובית המשפט קבע כי מדובר בעסקה מלאכותית. </w:t>
      </w:r>
      <w:r>
        <w:rPr>
          <w:rFonts w:ascii="FrankRuehl" w:hAnsi="FrankRuehl" w:hint="cs"/>
          <w:rtl/>
        </w:rPr>
        <w:t xml:space="preserve">יחד עם זאת </w:t>
      </w:r>
      <w:r>
        <w:rPr>
          <w:rFonts w:ascii="FrankRuehl" w:hAnsi="FrankRuehl" w:hint="cs"/>
          <w:rtl/>
          <w:lang w:eastAsia="zh-CN"/>
        </w:rPr>
        <w:t xml:space="preserve">הובהר כי </w:t>
      </w:r>
      <w:r w:rsidRPr="0052229A">
        <w:rPr>
          <w:rFonts w:ascii="FrankRuehl" w:hAnsi="FrankRuehl" w:hint="cs"/>
          <w:rtl/>
          <w:lang w:eastAsia="zh-CN"/>
        </w:rPr>
        <w:t xml:space="preserve">לא </w:t>
      </w:r>
      <w:r w:rsidRPr="0052229A">
        <w:rPr>
          <w:rFonts w:ascii="FrankRuehl" w:hAnsi="FrankRuehl"/>
          <w:rtl/>
          <w:lang w:eastAsia="zh-CN"/>
        </w:rPr>
        <w:t xml:space="preserve">כל רכישת מניות </w:t>
      </w:r>
      <w:r w:rsidRPr="0052229A">
        <w:rPr>
          <w:rFonts w:ascii="FrankRuehl" w:hAnsi="FrankRuehl" w:hint="cs"/>
          <w:rtl/>
          <w:lang w:eastAsia="zh-CN"/>
        </w:rPr>
        <w:t xml:space="preserve">של </w:t>
      </w:r>
      <w:r w:rsidRPr="0052229A">
        <w:rPr>
          <w:rFonts w:ascii="FrankRuehl" w:hAnsi="FrankRuehl"/>
          <w:rtl/>
          <w:lang w:eastAsia="zh-CN"/>
        </w:rPr>
        <w:t>חברה מפסידה היא עסקה מלאכותית</w:t>
      </w:r>
      <w:r>
        <w:rPr>
          <w:rFonts w:hint="cs"/>
          <w:rtl/>
        </w:rPr>
        <w:t>, ו"</w:t>
      </w:r>
      <w:r w:rsidRPr="0052229A">
        <w:rPr>
          <w:rFonts w:ascii="FrankRuehl" w:hAnsi="FrankRuehl"/>
          <w:rtl/>
          <w:lang w:eastAsia="zh-CN"/>
        </w:rPr>
        <w:t>קביעת המלאכותיות של העיסקה תלויה בנסיבות ובמטרות</w:t>
      </w:r>
      <w:r w:rsidRPr="0052229A">
        <w:rPr>
          <w:rFonts w:ascii="FrankRuehl" w:hAnsi="FrankRuehl" w:hint="cs"/>
          <w:rtl/>
          <w:lang w:eastAsia="zh-CN"/>
        </w:rPr>
        <w:t>" (</w:t>
      </w:r>
      <w:r w:rsidRPr="00ED5F4D">
        <w:rPr>
          <w:rFonts w:ascii="Century" w:hAnsi="Century" w:cs="Miriam" w:hint="cs"/>
          <w:b/>
          <w:spacing w:val="0"/>
          <w:szCs w:val="24"/>
          <w:rtl/>
          <w:lang w:eastAsia="zh-CN"/>
        </w:rPr>
        <w:t>שם</w:t>
      </w:r>
      <w:r>
        <w:rPr>
          <w:rFonts w:ascii="FrankRuehl" w:hAnsi="FrankRuehl" w:hint="cs"/>
          <w:rtl/>
          <w:lang w:eastAsia="zh-CN"/>
        </w:rPr>
        <w:t xml:space="preserve">, בעמ' 928; </w:t>
      </w:r>
      <w:r w:rsidRPr="0052229A">
        <w:rPr>
          <w:rFonts w:ascii="FrankRuehl" w:hAnsi="FrankRuehl" w:hint="cs"/>
          <w:rtl/>
          <w:lang w:eastAsia="zh-CN"/>
        </w:rPr>
        <w:t>בקשה לדיון נוסף נ</w:t>
      </w:r>
      <w:r w:rsidRPr="00175B42">
        <w:rPr>
          <w:rFonts w:ascii="Century" w:hAnsi="Century" w:hint="cs"/>
          <w:rtl/>
          <w:lang w:eastAsia="zh-CN"/>
        </w:rPr>
        <w:t xml:space="preserve">דחתה </w:t>
      </w:r>
      <w:r>
        <w:rPr>
          <w:rFonts w:ascii="Century" w:hAnsi="Century" w:hint="cs"/>
          <w:rtl/>
          <w:lang w:eastAsia="zh-CN"/>
        </w:rPr>
        <w:t>ביום 28.6.2004 (</w:t>
      </w:r>
      <w:r w:rsidRPr="00175B42">
        <w:rPr>
          <w:rFonts w:ascii="Century" w:hAnsi="Century"/>
          <w:rtl/>
        </w:rPr>
        <w:t>דנ"א 8349/03</w:t>
      </w:r>
      <w:r>
        <w:rPr>
          <w:rFonts w:ascii="Century" w:hAnsi="Century" w:hint="cs"/>
          <w:rtl/>
        </w:rPr>
        <w:t>)</w:t>
      </w:r>
      <w:r w:rsidRPr="00175B42">
        <w:rPr>
          <w:rFonts w:ascii="Century" w:hAnsi="Century" w:hint="cs"/>
          <w:rtl/>
        </w:rPr>
        <w:t>).</w:t>
      </w:r>
    </w:p>
    <w:p w:rsidR="0010512C" w:rsidRPr="00ED5F4D" w:rsidRDefault="0010512C" w:rsidP="0010512C">
      <w:pPr>
        <w:pStyle w:val="Ruller41"/>
        <w:rPr>
          <w:rtl/>
        </w:rPr>
      </w:pPr>
    </w:p>
    <w:p w:rsidR="0010512C" w:rsidRDefault="0010512C" w:rsidP="0010512C">
      <w:pPr>
        <w:pStyle w:val="Ruller41"/>
        <w:rPr>
          <w:rtl/>
        </w:rPr>
      </w:pPr>
      <w:r>
        <w:rPr>
          <w:rFonts w:hint="cs"/>
          <w:rtl/>
        </w:rPr>
        <w:t>22.</w:t>
      </w:r>
      <w:r>
        <w:rPr>
          <w:rtl/>
        </w:rPr>
        <w:tab/>
      </w:r>
      <w:r>
        <w:rPr>
          <w:rFonts w:hint="cs"/>
          <w:rtl/>
        </w:rPr>
        <w:t>במקרה הנוכחי מדובר בעסקת מכר, שהעבירה את מניות סומ-אר מחברה משפחתית לחברה אחות. כאמור, המשיב חתום על הסכם המכר הן כמוכר והן כקונה (מש/10), ולמעשה מניות סומ-אר עברו מידו האחת לידו השניה. החברה הרוכשת, הילן, לא היתה פעילה, ולמעשה בעל השליטה (המשיב) שילם מכיסו את התמורה עבור רכישת סומ-אר (עמ' 126 לפרוטוקול). על סמך עסקה זו ביקש המשיב הפחתת מס משמעותית בדרך של קיזוז רווח הון בסך כ-10 מיליון ₪. בנסיבות אלה, גם המשיבים הסכימו כי זוהי עסקה "חשודה" במלאכותיות (ס' 11.2 לסיכומים). זוהי נקודת המוצא לדיו</w:t>
      </w:r>
      <w:r w:rsidRPr="003048C5">
        <w:rPr>
          <w:rFonts w:ascii="Century" w:hAnsi="Century" w:hint="cs"/>
          <w:rtl/>
        </w:rPr>
        <w:t>ן, אך המשיבים הצליחו לשכנע את בית משפט קמא כי "</w:t>
      </w:r>
      <w:r w:rsidRPr="003048C5">
        <w:rPr>
          <w:rFonts w:ascii="Century" w:hAnsi="Century"/>
          <w:rtl/>
        </w:rPr>
        <w:t xml:space="preserve">היה טעם מסחרי ממשי </w:t>
      </w:r>
      <w:r w:rsidRPr="003048C5">
        <w:rPr>
          <w:rFonts w:ascii="Century" w:hAnsi="Century" w:hint="cs"/>
          <w:rtl/>
        </w:rPr>
        <w:t>[...]</w:t>
      </w:r>
      <w:r w:rsidRPr="003048C5">
        <w:rPr>
          <w:rFonts w:ascii="Century" w:hAnsi="Century"/>
          <w:rtl/>
        </w:rPr>
        <w:t xml:space="preserve"> להעביר את הבעלות על חב' בית סומ-אר </w:t>
      </w:r>
      <w:r>
        <w:rPr>
          <w:rFonts w:ascii="Century" w:hAnsi="Century" w:hint="cs"/>
          <w:rtl/>
        </w:rPr>
        <w:t>[...]</w:t>
      </w:r>
      <w:r w:rsidRPr="003048C5">
        <w:rPr>
          <w:rFonts w:ascii="Century" w:hAnsi="Century"/>
          <w:rtl/>
        </w:rPr>
        <w:t xml:space="preserve"> לידי חב' הילן, כדי להימנע מלתת ערבות </w:t>
      </w:r>
      <w:r>
        <w:rPr>
          <w:rFonts w:ascii="Century" w:hAnsi="Century" w:hint="cs"/>
          <w:rtl/>
        </w:rPr>
        <w:t xml:space="preserve">[של סומת </w:t>
      </w:r>
      <w:r>
        <w:rPr>
          <w:rFonts w:ascii="Century" w:hAnsi="Century"/>
          <w:rtl/>
        </w:rPr>
        <w:t>–</w:t>
      </w:r>
      <w:r>
        <w:rPr>
          <w:rFonts w:ascii="Century" w:hAnsi="Century" w:hint="cs"/>
          <w:rtl/>
        </w:rPr>
        <w:t xml:space="preserve"> י"ע]</w:t>
      </w:r>
      <w:r w:rsidRPr="003048C5">
        <w:rPr>
          <w:rFonts w:ascii="Century" w:hAnsi="Century"/>
          <w:rtl/>
        </w:rPr>
        <w:t xml:space="preserve"> בגין המימון החלופי מבנק הפועלים</w:t>
      </w:r>
      <w:r w:rsidRPr="003048C5">
        <w:rPr>
          <w:rFonts w:ascii="Century" w:hAnsi="Century" w:hint="cs"/>
          <w:rtl/>
        </w:rPr>
        <w:t>" (פסקה 97).</w:t>
      </w:r>
    </w:p>
    <w:p w:rsidR="0010512C" w:rsidRDefault="0010512C" w:rsidP="0010512C">
      <w:pPr>
        <w:pStyle w:val="Ruller41"/>
        <w:rPr>
          <w:rtl/>
        </w:rPr>
      </w:pPr>
    </w:p>
    <w:p w:rsidR="0010512C" w:rsidRDefault="0010512C" w:rsidP="0010512C">
      <w:pPr>
        <w:pStyle w:val="Ruller41"/>
        <w:rPr>
          <w:rtl/>
        </w:rPr>
      </w:pPr>
      <w:r>
        <w:rPr>
          <w:rtl/>
        </w:rPr>
        <w:tab/>
      </w:r>
      <w:r>
        <w:rPr>
          <w:rFonts w:hint="cs"/>
          <w:rtl/>
        </w:rPr>
        <w:t xml:space="preserve">נסביר את הטענה. לשיטתם של המשיבים, </w:t>
      </w:r>
      <w:r w:rsidRPr="00624261">
        <w:rPr>
          <w:rFonts w:ascii="Century" w:hAnsi="Century" w:hint="cs"/>
          <w:rtl/>
        </w:rPr>
        <w:t>הערבויות</w:t>
      </w:r>
      <w:r>
        <w:rPr>
          <w:rFonts w:hint="cs"/>
          <w:rtl/>
        </w:rPr>
        <w:t xml:space="preserve"> שניתנו לבנק הבינלאומי  על ידי סומת, כנגד המימון לרכישת המגרש מלכתחילה, בשנת 1995, הכבידו על סומת. לשיטתם, "היה צורך לשחרר את </w:t>
      </w:r>
      <w:r w:rsidRPr="00624261">
        <w:rPr>
          <w:rFonts w:ascii="Century" w:hAnsi="Century" w:cs="Miriam" w:hint="cs"/>
          <w:b/>
          <w:spacing w:val="0"/>
          <w:szCs w:val="24"/>
          <w:rtl/>
        </w:rPr>
        <w:t>הערבויות</w:t>
      </w:r>
      <w:r>
        <w:rPr>
          <w:rFonts w:hint="cs"/>
          <w:rtl/>
        </w:rPr>
        <w:t xml:space="preserve"> </w:t>
      </w:r>
      <w:r w:rsidRPr="00624261">
        <w:rPr>
          <w:rFonts w:ascii="Century" w:hAnsi="Century" w:cs="Miriam" w:hint="cs"/>
          <w:b/>
          <w:spacing w:val="0"/>
          <w:szCs w:val="24"/>
          <w:rtl/>
        </w:rPr>
        <w:t xml:space="preserve">והשיעבודים </w:t>
      </w:r>
      <w:r>
        <w:rPr>
          <w:rFonts w:hint="cs"/>
          <w:rtl/>
        </w:rPr>
        <w:t xml:space="preserve">שהטילו הבנקים על סומת" (פסקה 11.2 לסיכומים). במסגרת עסקת הקומבינציה, הקבלנים ביקשו שהליווי הבנקאי ייעשה באמצעות בנק הפועלים, והמשיבים טענו כי הם ניצלו את ההזדמנות הזו כדי לחלץ את נכסי סומת מתחת ידי הבנקים. כלומר, סומת מכרה את מניות סומ-אר לחברת הילן, כדי שבנק הפועלים ידרוש כערבות נכסים של הילן (חברת האם הנוכחית) ולא של סומת (חברת האם לשעבר). ואכן, הבנק הסתפק בערבות של הילן ושל חברה נוספת בקבוצה (סומת החזקות בע"מ), וכך "השתחררו" נכסי המקרקעין של סומת "מסכנת מימוש וכינוס על ידי הבנק" (פסקה 11.8.11 לסיכומים). המשיבים הוסיפו כי בשנת </w:t>
      </w:r>
      <w:r>
        <w:rPr>
          <w:rFonts w:hint="cs"/>
          <w:rtl/>
        </w:rPr>
        <w:lastRenderedPageBreak/>
        <w:t>2008 סומת אכן מכרה את אחד מנכסי המקרקעין שהיו בבעלותה, ולשיטתם המכירה התאפשרה רק בעקבות המהלך של העברת מניות סומ-אר לחברת הילן.</w:t>
      </w:r>
    </w:p>
    <w:p w:rsidR="0010512C" w:rsidRDefault="0010512C" w:rsidP="0010512C">
      <w:pPr>
        <w:pStyle w:val="Ruller41"/>
        <w:rPr>
          <w:rtl/>
        </w:rPr>
      </w:pPr>
    </w:p>
    <w:p w:rsidR="00187267" w:rsidRDefault="0010512C" w:rsidP="0010512C">
      <w:pPr>
        <w:pStyle w:val="Ruller41"/>
        <w:rPr>
          <w:rtl/>
        </w:rPr>
      </w:pPr>
      <w:r>
        <w:rPr>
          <w:rFonts w:hint="cs"/>
          <w:rtl/>
        </w:rPr>
        <w:t>23.</w:t>
      </w:r>
      <w:r>
        <w:rPr>
          <w:rtl/>
        </w:rPr>
        <w:tab/>
      </w:r>
      <w:r>
        <w:rPr>
          <w:rFonts w:hint="cs"/>
          <w:rtl/>
        </w:rPr>
        <w:t xml:space="preserve">להלן אדון בטענה זו, אך תחילה אדגיש כי אינני מקבל את הטענה שלפיה מכירת המניות להילן נעשתה כדי להסתיר מבנק הפועלים את העובדה שחברת סומ-אר מוחזקת בידי </w:t>
      </w:r>
      <w:r w:rsidRPr="00E910FB">
        <w:rPr>
          <w:rFonts w:ascii="Century" w:hAnsi="Century" w:cs="Miriam" w:hint="cs"/>
          <w:b/>
          <w:spacing w:val="0"/>
          <w:szCs w:val="24"/>
          <w:rtl/>
        </w:rPr>
        <w:t>קבוצת</w:t>
      </w:r>
      <w:r>
        <w:rPr>
          <w:rFonts w:hint="cs"/>
          <w:rtl/>
        </w:rPr>
        <w:t xml:space="preserve"> סומת, וכך "לשחרר" את נכסי הנדל"ן שבבעלות חברת סומת. קשה להלום כי בנק שמעניק מימון בהיקף של כ-10 מיליון ₪ לא ידע מול מי הוא מתנהל. ואכן, בפועל הבנק דרש וקיבל ערבויות נוספות מחברה אחרת בקבוצת סומת. גם רו"ח גוברמן מטעם המשיבים, העיד כי "המשא ומתן מול בנק הפועלים נוהל בכובע כללי של קבוצת סומת" (עמ' 94 לפרוטוקול). לכל היותר, המכירה להילן נועדה להרחיק את סומ-אר מהנכסים שהיו בידי </w:t>
      </w:r>
      <w:r w:rsidRPr="00ED5F4D">
        <w:rPr>
          <w:rFonts w:ascii="Century" w:hAnsi="Century" w:cs="Miriam" w:hint="cs"/>
          <w:b/>
          <w:spacing w:val="0"/>
          <w:szCs w:val="24"/>
          <w:rtl/>
        </w:rPr>
        <w:t>חברת</w:t>
      </w:r>
      <w:r w:rsidRPr="00ED5F4D">
        <w:rPr>
          <w:rFonts w:hint="cs"/>
          <w:rtl/>
        </w:rPr>
        <w:t xml:space="preserve"> </w:t>
      </w:r>
      <w:r>
        <w:rPr>
          <w:rFonts w:hint="cs"/>
          <w:rtl/>
        </w:rPr>
        <w:t>סומת (היא המשיבה 2: סומת מבנים ופיתוח 1993 בע"מ). בהקשר זה נראה לכאורה כי בית משפט קמא נפל לכדי טעות, ולמצער אי-בהירות. טענת המשיבים היא כי הם העבירו את מניות סומ-אר להילן כדי להסתיר מהבנק את השליטה של סומת, ואילו בפסק הדין נאמר ההיפך, שהמשיבים ניסו להסתיר את העברת הבעלות לחברת הילן (ראו פסקה 94 לפסק הדין</w:t>
      </w:r>
      <w:r w:rsidR="00187267">
        <w:rPr>
          <w:rFonts w:hint="cs"/>
          <w:rtl/>
        </w:rPr>
        <w:t>).</w:t>
      </w:r>
    </w:p>
    <w:p w:rsidR="0010512C" w:rsidRDefault="0010512C" w:rsidP="0010512C">
      <w:pPr>
        <w:pStyle w:val="Ruller41"/>
        <w:rPr>
          <w:rtl/>
        </w:rPr>
      </w:pPr>
    </w:p>
    <w:p w:rsidR="0010512C" w:rsidRDefault="0010512C" w:rsidP="0010512C">
      <w:pPr>
        <w:pStyle w:val="Ruller41"/>
        <w:rPr>
          <w:rtl/>
        </w:rPr>
      </w:pPr>
      <w:r>
        <w:rPr>
          <w:rFonts w:hint="cs"/>
          <w:rtl/>
        </w:rPr>
        <w:t>24.</w:t>
      </w:r>
      <w:r>
        <w:rPr>
          <w:rtl/>
        </w:rPr>
        <w:tab/>
      </w:r>
      <w:r>
        <w:rPr>
          <w:rFonts w:hint="cs"/>
          <w:rtl/>
        </w:rPr>
        <w:t xml:space="preserve">הטעם המסחרי הנטען מבוסס על ההנחה שהבנק הבינלאומי איים לממש את </w:t>
      </w:r>
      <w:r w:rsidRPr="00624261">
        <w:rPr>
          <w:rFonts w:ascii="Century" w:hAnsi="Century" w:cs="Miriam" w:hint="cs"/>
          <w:b/>
          <w:spacing w:val="0"/>
          <w:szCs w:val="24"/>
          <w:rtl/>
        </w:rPr>
        <w:t>הערבויות</w:t>
      </w:r>
      <w:r>
        <w:rPr>
          <w:rFonts w:hint="cs"/>
          <w:rtl/>
        </w:rPr>
        <w:t xml:space="preserve"> שסומ-אר העמידה לו בתמורה למימון רכישת המגרש. המשיבים טענו כי הם היו נתונים ל"איומים שקיבלו ביטוי בשרשרת ארוכה של אתראות", אך בפנינו הוצג רק מכתב אחד, לקוני למדי, מיום 4.8.2005 ("[...] קיימת יתרת חובה [...] הנכם נדרשים לסור לסניפנו תוך 7 ימים מתאריך מכתב זה לסילוק חובכם [...] אם לא תעשו כן נאלץ לנקוט בצעדים משפטיים מתאימים לרבות מימוש הבטחונות שבידינו"). בשונה מבית משפט קמא (בפסקה 89 לפסק דינו), מסופקני אם אמנם באותה שעה ריחף איום ממשי על כינוס נכסיה של חברת סומת, שכללו, מלבד סומ-אר, גם נכסי נדל"ן נוספים (בנתניה, בקרית גת ובאור עקיבא). בית משפט קמא הניח כי מגרשים אלה היו </w:t>
      </w:r>
      <w:r w:rsidRPr="00624261">
        <w:rPr>
          <w:rFonts w:ascii="Century" w:hAnsi="Century" w:cs="Miriam" w:hint="cs"/>
          <w:b/>
          <w:spacing w:val="0"/>
          <w:szCs w:val="24"/>
          <w:rtl/>
        </w:rPr>
        <w:t>משועבדים</w:t>
      </w:r>
      <w:r>
        <w:rPr>
          <w:rFonts w:hint="cs"/>
          <w:rtl/>
        </w:rPr>
        <w:t xml:space="preserve"> לבנק הבינלאומי, אך למעשה לא הוכח שיעבוד כזה. בנספח מש/14, אליו הפנו המשיבים, ניתן למצוא כתב </w:t>
      </w:r>
      <w:r w:rsidRPr="00E070CF">
        <w:rPr>
          <w:rFonts w:ascii="Century" w:hAnsi="Century" w:cs="Miriam" w:hint="cs"/>
          <w:b/>
          <w:spacing w:val="0"/>
          <w:szCs w:val="24"/>
          <w:rtl/>
        </w:rPr>
        <w:t>ערבות</w:t>
      </w:r>
      <w:r w:rsidRPr="00E070CF">
        <w:rPr>
          <w:rFonts w:hint="cs"/>
          <w:rtl/>
        </w:rPr>
        <w:t xml:space="preserve"> </w:t>
      </w:r>
      <w:r>
        <w:rPr>
          <w:rFonts w:hint="cs"/>
          <w:rtl/>
        </w:rPr>
        <w:t xml:space="preserve">מטעם סומת, וגם ברישום בטאבו לא מצאתי תיעוד לשיעבוד של המגרש (מש/14). ובקיצור, לא הונחה תשתית ראייתית של ממש לטענה כי בשל ערבותה של סומת לבנק הבינלאומי, היא עמדה בסכנה כי הבנק יפעל למימוש הערבות בתובענה כספית שבמסגרתה יתמנה כונס נכסים על נכסיה ואלו יימכרו על ידו. כמו כן, אילו האיום מצד הבנקים היה ממשי, היינו מצפים לראות מהלך מעין זה גם מכיוונה של ש.י.פ.ק, שותפתה של סומת שעמדה במצב דומה. כך או כך, אם המוטיבציה של סומת היתה "לשחרר" את המקרקעין שבבעלותה כדי למכור אותם בשוק החופשי, היא היתה יכולה </w:t>
      </w:r>
      <w:r>
        <w:rPr>
          <w:rFonts w:hint="cs"/>
          <w:rtl/>
        </w:rPr>
        <w:lastRenderedPageBreak/>
        <w:t>לכל הפחות להציע לבנק הבינלאומי, או לבנק הפועלים, להמיר את הערבויות בנכסים אחרים של חברות בקבוצה. אין בפנינו טענה או ראיה לניסיון כזה, ונזכיר כי בסופו של דבר, בנק הפועלים הסכים ליטול על עצמו את המימון לאחר שהועמדו בטוחות מאת חברה אחרת בקבוצה.</w:t>
      </w:r>
    </w:p>
    <w:p w:rsidR="0010512C" w:rsidRDefault="0010512C" w:rsidP="0010512C">
      <w:pPr>
        <w:pStyle w:val="Ruller41"/>
        <w:rPr>
          <w:rtl/>
        </w:rPr>
      </w:pPr>
    </w:p>
    <w:p w:rsidR="0010512C" w:rsidRDefault="0010512C" w:rsidP="0010512C">
      <w:pPr>
        <w:pStyle w:val="Ruller41"/>
        <w:rPr>
          <w:rtl/>
        </w:rPr>
      </w:pPr>
      <w:r>
        <w:rPr>
          <w:rFonts w:hint="cs"/>
          <w:rtl/>
        </w:rPr>
        <w:t>25.</w:t>
      </w:r>
      <w:r>
        <w:rPr>
          <w:rtl/>
        </w:rPr>
        <w:tab/>
      </w:r>
      <w:r>
        <w:rPr>
          <w:rFonts w:hint="cs"/>
          <w:rtl/>
        </w:rPr>
        <w:t xml:space="preserve">שלוש תהיות נוספות עולות לגבי כנות העסקה שבה נמכרה סומ-אר להילן. </w:t>
      </w:r>
    </w:p>
    <w:p w:rsidR="0010512C" w:rsidRDefault="0010512C" w:rsidP="0010512C">
      <w:pPr>
        <w:pStyle w:val="Ruller41"/>
        <w:rPr>
          <w:rtl/>
        </w:rPr>
      </w:pPr>
    </w:p>
    <w:p w:rsidR="0010512C" w:rsidRPr="00EC742D" w:rsidRDefault="0010512C" w:rsidP="0010512C">
      <w:pPr>
        <w:pStyle w:val="Ruller41"/>
        <w:rPr>
          <w:rFonts w:ascii="Century" w:hAnsi="Century"/>
          <w:rtl/>
        </w:rPr>
      </w:pPr>
      <w:r>
        <w:rPr>
          <w:rtl/>
        </w:rPr>
        <w:tab/>
      </w:r>
      <w:r w:rsidRPr="005F4D47">
        <w:rPr>
          <w:rFonts w:ascii="Century" w:hAnsi="Century" w:cs="Miriam" w:hint="cs"/>
          <w:b/>
          <w:spacing w:val="0"/>
          <w:szCs w:val="24"/>
          <w:rtl/>
        </w:rPr>
        <w:t>ראשית</w:t>
      </w:r>
      <w:r>
        <w:rPr>
          <w:rFonts w:hint="cs"/>
          <w:rtl/>
        </w:rPr>
        <w:t>, לא ברור כיצד נקבע מחיר העסקה ומה הוא משקף. חברת סומ-אר נמכרה לחברת הילן בסכום של 150,000$. אבל לטענת המשיבים, חובותיה של חברת סומ-אר עלו בהרבה על נכסיה ולכל היותר היא היתה שווה אפס (ראו עדות המשיב בעמ' 184 לפרוטוקול). אם כך, לא ברור כיצד נקבע מחיר העסקה, מה הוא משקף, ועבור מה שילמה הילן. עיינתי גם בנספח 9 למש/1, אך מדובר בתחשיב שנערך בדיעבד, בשנת 2010, וקשה להסתמך עליו. אמנם מנהל מיסוי מקרקעין הכיר בתחשיב זה, אך סביר להניח שההתמקדות היתה בשווי הקרקע ולא בהלוואת הבעלים [במאמר מוסגר: המשיבים צודקים כי התשלום מהילן לסומת הקטין את הפסד ההון של המשיב, ובכך הגדיל את נטל המס (באופן זניח יחסית), אך סימני השאלה לגבי העסקה הם מהותיים</w:t>
      </w:r>
      <w:r w:rsidRPr="00B8258A">
        <w:rPr>
          <w:rFonts w:hint="cs"/>
          <w:rtl/>
        </w:rPr>
        <w:t xml:space="preserve">]. </w:t>
      </w:r>
    </w:p>
    <w:p w:rsidR="0010512C" w:rsidRPr="00EC742D" w:rsidRDefault="0010512C" w:rsidP="0010512C">
      <w:pPr>
        <w:pStyle w:val="Ruller41"/>
        <w:rPr>
          <w:rFonts w:ascii="Century" w:hAnsi="Century"/>
          <w:rtl/>
        </w:rPr>
      </w:pPr>
    </w:p>
    <w:p w:rsidR="0010512C" w:rsidRPr="00624261" w:rsidRDefault="0010512C" w:rsidP="0010512C">
      <w:pPr>
        <w:pStyle w:val="Ruller41"/>
        <w:rPr>
          <w:rFonts w:ascii="Century" w:hAnsi="Century"/>
          <w:rtl/>
        </w:rPr>
      </w:pPr>
      <w:r>
        <w:rPr>
          <w:rFonts w:ascii="Century" w:hAnsi="Century" w:cs="Miriam"/>
          <w:b/>
          <w:spacing w:val="0"/>
          <w:szCs w:val="24"/>
          <w:rtl/>
        </w:rPr>
        <w:tab/>
      </w:r>
      <w:r w:rsidRPr="00B8258A">
        <w:rPr>
          <w:rFonts w:ascii="Century" w:hAnsi="Century" w:cs="Miriam" w:hint="cs"/>
          <w:b/>
          <w:spacing w:val="0"/>
          <w:szCs w:val="24"/>
          <w:rtl/>
        </w:rPr>
        <w:t>שנית</w:t>
      </w:r>
      <w:r>
        <w:rPr>
          <w:rFonts w:hint="cs"/>
          <w:rtl/>
        </w:rPr>
        <w:t xml:space="preserve">, העסקה עם הילן נותרה "מאחורי הקלעים" ובהתכתבויות של סומ-אר עם הבנקים לאחר העסקה, האזכור הוא של סומת (הבעלים לשעבר) ולא של הילן (הבעלים הנוכחי) (מש/28-25). כאמור, </w:t>
      </w:r>
      <w:r w:rsidRPr="00624261">
        <w:rPr>
          <w:rFonts w:ascii="Century" w:hAnsi="Century" w:hint="cs"/>
          <w:rtl/>
        </w:rPr>
        <w:t>עובדה זו אינה מתיישבת עם הטענה כי</w:t>
      </w:r>
      <w:r>
        <w:rPr>
          <w:rFonts w:ascii="Century" w:hAnsi="Century" w:hint="cs"/>
          <w:rtl/>
        </w:rPr>
        <w:t xml:space="preserve"> נעשה ניסיון להסתיר את סומת מבנק הפועלים, וגם מעבר לכך, היא מעוררת תמיהה לגבי המשמעות המעשית של העסקה.</w:t>
      </w:r>
    </w:p>
    <w:p w:rsidR="0010512C" w:rsidRDefault="0010512C" w:rsidP="0010512C">
      <w:pPr>
        <w:pStyle w:val="Ruller41"/>
        <w:rPr>
          <w:rFonts w:ascii="Century" w:hAnsi="Century" w:cs="Miriam"/>
          <w:b/>
          <w:spacing w:val="0"/>
          <w:szCs w:val="24"/>
          <w:rtl/>
        </w:rPr>
      </w:pPr>
    </w:p>
    <w:p w:rsidR="0010512C" w:rsidRDefault="0010512C" w:rsidP="0010512C">
      <w:pPr>
        <w:pStyle w:val="Ruller41"/>
        <w:rPr>
          <w:rtl/>
        </w:rPr>
      </w:pPr>
      <w:r>
        <w:rPr>
          <w:rFonts w:ascii="Century" w:hAnsi="Century" w:cs="Miriam"/>
          <w:b/>
          <w:spacing w:val="0"/>
          <w:szCs w:val="24"/>
          <w:rtl/>
        </w:rPr>
        <w:tab/>
      </w:r>
      <w:r w:rsidRPr="005F4D47">
        <w:rPr>
          <w:rFonts w:ascii="Century" w:hAnsi="Century" w:cs="Miriam" w:hint="cs"/>
          <w:b/>
          <w:spacing w:val="0"/>
          <w:szCs w:val="24"/>
          <w:rtl/>
        </w:rPr>
        <w:t>שלישית</w:t>
      </w:r>
      <w:r>
        <w:rPr>
          <w:rFonts w:hint="cs"/>
          <w:rtl/>
        </w:rPr>
        <w:t>, החיפזון בהשלמת עסקת הילן מעורר תהיה. רו"ח גוברמן מטעם המשיבים, העיד כי היתה דחיפות להעביר את מניות סומ-אר להילן ("מבחינתי זה היה מיידי [...] באותה שניה כשנחתם הסכם הקומבינציה היה צריך גם לחתום על הסכם המכירה [...] מסומת מבנים להילן"). בהילות זו, בפרק זמן של ימים ספורים, אינה מובנת, שהרי גם לדברי גוברמן עצמו, ברגע שנחתמה עסקת הקומבינציה החל "לתקתק שעון של סעיף מתלה של 6 חודשים להשגת הליווי [הבנקאי]" (עמ' 104 לפרוטוקול). ואכן, הסדרת נושא המימון מול בנק הפועלים נמשכה עוד חודשים ארוכים. לעומת זאת, אם עסקת הילן היתה מתעכבת עוד ימים ספורים, ונדחית לשנת המס 2006, מסתבר שהפסד ההון לא היה מועיל למשיב לצורך קיזוז הרווח מעסקת נוף.</w:t>
      </w:r>
    </w:p>
    <w:p w:rsidR="0010512C" w:rsidRDefault="0010512C" w:rsidP="0010512C">
      <w:pPr>
        <w:pStyle w:val="Ruller41"/>
        <w:rPr>
          <w:rtl/>
        </w:rPr>
      </w:pPr>
    </w:p>
    <w:p w:rsidR="0010512C" w:rsidRDefault="0010512C" w:rsidP="0010512C">
      <w:pPr>
        <w:pStyle w:val="Ruller41"/>
        <w:rPr>
          <w:rFonts w:ascii="Century" w:hAnsi="Century"/>
          <w:rtl/>
        </w:rPr>
      </w:pPr>
      <w:r>
        <w:rPr>
          <w:rFonts w:hint="cs"/>
          <w:rtl/>
        </w:rPr>
        <w:lastRenderedPageBreak/>
        <w:t>26.</w:t>
      </w:r>
      <w:r>
        <w:rPr>
          <w:rtl/>
        </w:rPr>
        <w:tab/>
      </w:r>
      <w:r>
        <w:rPr>
          <w:rFonts w:hint="cs"/>
          <w:rtl/>
        </w:rPr>
        <w:t xml:space="preserve">לצורך הדיון בשאלה אם מדובר בעסקה מלאכותית, חשובים עוד יותר המאפיינים של </w:t>
      </w:r>
      <w:r w:rsidRPr="00296296">
        <w:rPr>
          <w:rFonts w:ascii="Century" w:hAnsi="Century" w:cs="Miriam" w:hint="cs"/>
          <w:b/>
          <w:spacing w:val="0"/>
          <w:szCs w:val="24"/>
          <w:rtl/>
        </w:rPr>
        <w:t>זהות הצדדים</w:t>
      </w:r>
      <w:r w:rsidRPr="00296296">
        <w:rPr>
          <w:rFonts w:hint="cs"/>
          <w:rtl/>
        </w:rPr>
        <w:t xml:space="preserve"> </w:t>
      </w:r>
      <w:r>
        <w:rPr>
          <w:rFonts w:hint="cs"/>
          <w:rtl/>
        </w:rPr>
        <w:t xml:space="preserve">לעסקה, </w:t>
      </w:r>
      <w:r w:rsidRPr="00296296">
        <w:rPr>
          <w:rFonts w:ascii="Century" w:hAnsi="Century" w:cs="Miriam" w:hint="cs"/>
          <w:b/>
          <w:spacing w:val="0"/>
          <w:szCs w:val="24"/>
          <w:rtl/>
        </w:rPr>
        <w:t>סמיכות הזמנים</w:t>
      </w:r>
      <w:r w:rsidRPr="00296296">
        <w:rPr>
          <w:rFonts w:hint="cs"/>
          <w:rtl/>
        </w:rPr>
        <w:t xml:space="preserve"> </w:t>
      </w:r>
      <w:r>
        <w:rPr>
          <w:rFonts w:hint="cs"/>
          <w:rtl/>
        </w:rPr>
        <w:t>להפסד ההון ו</w:t>
      </w:r>
      <w:r w:rsidRPr="00296296">
        <w:rPr>
          <w:rFonts w:ascii="Century" w:hAnsi="Century" w:cs="Miriam" w:hint="cs"/>
          <w:b/>
          <w:spacing w:val="0"/>
          <w:szCs w:val="24"/>
          <w:rtl/>
        </w:rPr>
        <w:t>התאמת הסכומים</w:t>
      </w:r>
      <w:r>
        <w:rPr>
          <w:rFonts w:hint="cs"/>
          <w:rtl/>
        </w:rPr>
        <w:t xml:space="preserve"> של ההפסד הנטען ורווח ההון. כאמור, המשיב חתום על העסקה הן כמוכר הן כקונה. המכירה והרכישה נעשו באמצעות חברות שבפועל הן בבעלותו המלאה של המשיב, וסומת היא חברה משפחתית, </w:t>
      </w:r>
      <w:r w:rsidRPr="00DB53B4">
        <w:rPr>
          <w:rFonts w:ascii="Century" w:hAnsi="Century" w:hint="cs"/>
          <w:rtl/>
        </w:rPr>
        <w:t>שעל</w:t>
      </w:r>
      <w:r>
        <w:rPr>
          <w:rFonts w:ascii="Century" w:hAnsi="Century" w:hint="cs"/>
          <w:rtl/>
        </w:rPr>
        <w:t>י</w:t>
      </w:r>
      <w:r w:rsidRPr="00DB53B4">
        <w:rPr>
          <w:rFonts w:ascii="Century" w:hAnsi="Century" w:hint="cs"/>
          <w:rtl/>
        </w:rPr>
        <w:t>ה נאמר כי היא "</w:t>
      </w:r>
      <w:r w:rsidRPr="00DB53B4">
        <w:rPr>
          <w:rFonts w:ascii="Century" w:hAnsi="Century"/>
          <w:rtl/>
        </w:rPr>
        <w:t>יצור כלאיים לצרכי מס, המצוי בתפר שבין חברה ליחיד</w:t>
      </w:r>
      <w:r w:rsidRPr="00DB53B4">
        <w:rPr>
          <w:rFonts w:ascii="Century" w:hAnsi="Century" w:hint="cs"/>
          <w:rtl/>
        </w:rPr>
        <w:t>" (</w:t>
      </w:r>
      <w:bookmarkStart w:id="6" w:name="LastJudge"/>
      <w:r w:rsidRPr="00DB53B4">
        <w:rPr>
          <w:rFonts w:ascii="Century" w:hAnsi="Century"/>
          <w:rtl/>
        </w:rPr>
        <w:t>ע</w:t>
      </w:r>
      <w:r w:rsidRPr="00DB53B4">
        <w:rPr>
          <w:rFonts w:ascii="Century" w:hAnsi="Century" w:hint="cs"/>
          <w:rtl/>
        </w:rPr>
        <w:t>"</w:t>
      </w:r>
      <w:r w:rsidRPr="00DB53B4">
        <w:rPr>
          <w:rFonts w:ascii="Century" w:hAnsi="Century"/>
          <w:rtl/>
        </w:rPr>
        <w:t>א 1038/17 ‏</w:t>
      </w:r>
      <w:r w:rsidRPr="00DB53B4">
        <w:rPr>
          <w:rFonts w:ascii="Century" w:hAnsi="Century" w:cs="Miriam"/>
          <w:b/>
          <w:spacing w:val="0"/>
          <w:szCs w:val="24"/>
          <w:rtl/>
        </w:rPr>
        <w:t>אור שרה בע"מ נ' פקיד השומה למפעלים גדולים</w:t>
      </w:r>
      <w:bookmarkEnd w:id="6"/>
      <w:r w:rsidRPr="00DB53B4">
        <w:rPr>
          <w:rFonts w:ascii="Century" w:hAnsi="Century" w:hint="cs"/>
          <w:rtl/>
        </w:rPr>
        <w:t>, בפסקה 5 (6.5.2018)).</w:t>
      </w:r>
      <w:r>
        <w:rPr>
          <w:rFonts w:hint="cs"/>
          <w:rtl/>
        </w:rPr>
        <w:t xml:space="preserve"> סומת מכרה את מניות סומ-אר להילן לקראת סוף שנת המס, כשבועיים לאחר שצמח למערער רווח הון בעסקת נוף. לעניין סמיכות הזמנים, אני מקבל את טענת המשיב שהתזמון של עסקת נוף לא היה בשליטתו (פסקה 139 </w:t>
      </w:r>
      <w:r w:rsidRPr="009D49A3">
        <w:rPr>
          <w:rFonts w:ascii="Century" w:hAnsi="Century" w:hint="cs"/>
          <w:rtl/>
        </w:rPr>
        <w:t xml:space="preserve">לפסק דינו של בית משפט קמא), אך אינני מקבל את הטענה </w:t>
      </w:r>
      <w:r>
        <w:rPr>
          <w:rFonts w:ascii="Century" w:hAnsi="Century" w:hint="cs"/>
          <w:rtl/>
        </w:rPr>
        <w:t>כי</w:t>
      </w:r>
      <w:r w:rsidRPr="009D49A3">
        <w:rPr>
          <w:rFonts w:ascii="Century" w:hAnsi="Century" w:hint="cs"/>
          <w:rtl/>
        </w:rPr>
        <w:t xml:space="preserve"> </w:t>
      </w:r>
      <w:r>
        <w:rPr>
          <w:rFonts w:ascii="Century" w:hAnsi="Century" w:hint="cs"/>
          <w:rtl/>
        </w:rPr>
        <w:t>סמיכות הזמנים ל</w:t>
      </w:r>
      <w:r w:rsidRPr="009D49A3">
        <w:rPr>
          <w:rFonts w:ascii="Century" w:hAnsi="Century" w:hint="cs"/>
          <w:rtl/>
        </w:rPr>
        <w:t>עסקת הקומבינציה ו</w:t>
      </w:r>
      <w:r>
        <w:rPr>
          <w:rFonts w:ascii="Century" w:hAnsi="Century" w:hint="cs"/>
          <w:rtl/>
        </w:rPr>
        <w:t>ל</w:t>
      </w:r>
      <w:r w:rsidRPr="009D49A3">
        <w:rPr>
          <w:rFonts w:ascii="Century" w:hAnsi="Century" w:hint="cs"/>
          <w:rtl/>
        </w:rPr>
        <w:t xml:space="preserve">עסקת הילן </w:t>
      </w:r>
      <w:r>
        <w:rPr>
          <w:rFonts w:ascii="Century" w:hAnsi="Century" w:hint="cs"/>
          <w:rtl/>
        </w:rPr>
        <w:t xml:space="preserve">הוא אקראי </w:t>
      </w:r>
      <w:r w:rsidRPr="009D49A3">
        <w:rPr>
          <w:rFonts w:ascii="Century" w:hAnsi="Century" w:hint="cs"/>
          <w:rtl/>
        </w:rPr>
        <w:t>(</w:t>
      </w:r>
      <w:r>
        <w:rPr>
          <w:rFonts w:ascii="Century" w:hAnsi="Century" w:hint="cs"/>
          <w:rtl/>
        </w:rPr>
        <w:t>שם, ב</w:t>
      </w:r>
      <w:r w:rsidRPr="009D49A3">
        <w:rPr>
          <w:rFonts w:ascii="Century" w:hAnsi="Century" w:hint="cs"/>
          <w:rtl/>
        </w:rPr>
        <w:t>פסקה 141: "</w:t>
      </w:r>
      <w:r w:rsidRPr="009D49A3">
        <w:rPr>
          <w:rFonts w:ascii="Century" w:hAnsi="Century"/>
          <w:rtl/>
        </w:rPr>
        <w:t>יצא, שהעסקה נחתמה ביום שנחתמה</w:t>
      </w:r>
      <w:r w:rsidRPr="009D49A3">
        <w:rPr>
          <w:rFonts w:ascii="Century" w:hAnsi="Century" w:hint="cs"/>
          <w:rtl/>
        </w:rPr>
        <w:t>"</w:t>
      </w:r>
      <w:r>
        <w:rPr>
          <w:rFonts w:ascii="Century" w:hAnsi="Century" w:hint="cs"/>
          <w:rtl/>
        </w:rPr>
        <w:t>)</w:t>
      </w:r>
      <w:r w:rsidRPr="009D49A3">
        <w:rPr>
          <w:rFonts w:ascii="Century" w:hAnsi="Century" w:hint="cs"/>
          <w:rtl/>
        </w:rPr>
        <w:t>.</w:t>
      </w:r>
      <w:r>
        <w:rPr>
          <w:rFonts w:ascii="Century" w:hAnsi="Century" w:hint="cs"/>
          <w:rtl/>
        </w:rPr>
        <w:t xml:space="preserve"> לבסוף, </w:t>
      </w:r>
      <w:r>
        <w:rPr>
          <w:rFonts w:hint="cs"/>
          <w:rtl/>
        </w:rPr>
        <w:t>הפסד ההון הנטען בעסקת סומ-אר חופף כמעט במלואו לרווח ההון בעסקת נוף (מש/4, מש/5). בנסיבות אלה, בחינת העסקה כמכלול מחזקת את המסקנה כי מטרתה העיקרית של עסקת הילן היא הפחתת נטל המס המוטל על המשיב.</w:t>
      </w:r>
    </w:p>
    <w:p w:rsidR="0010512C" w:rsidRDefault="0010512C" w:rsidP="0010512C">
      <w:pPr>
        <w:pStyle w:val="Ruller41"/>
        <w:rPr>
          <w:rtl/>
        </w:rPr>
      </w:pPr>
    </w:p>
    <w:p w:rsidR="0010512C" w:rsidRDefault="0010512C" w:rsidP="0010512C">
      <w:pPr>
        <w:pStyle w:val="Ruller41"/>
        <w:rPr>
          <w:rtl/>
        </w:rPr>
      </w:pPr>
      <w:r>
        <w:rPr>
          <w:rFonts w:hint="cs"/>
          <w:rtl/>
        </w:rPr>
        <w:t>27.</w:t>
      </w:r>
      <w:r>
        <w:rPr>
          <w:rtl/>
        </w:rPr>
        <w:tab/>
      </w:r>
      <w:r>
        <w:rPr>
          <w:rFonts w:hint="cs"/>
          <w:rtl/>
        </w:rPr>
        <w:t xml:space="preserve">כאמור, לא הוכח שעבוד של המקרקעין של סומת לטובת הבנק הבינלאומי ולא התחלה של צעדים כלשהם למימוש הערבות על ידי מינוי כונס נכסים מטעם הבנק למימוש נכסי המקרקעין של סומת. אך אפילו אם אקבל את הטענה כי עסקת הילן שירתה את המשיבים בכך שאפשרה את "שחרור" המקרקעין של סומת מידי הבנקים, ואף בהנחה שטעם כלכלי זה עמד לעיני המשיבים בזמן ביצוע עסקת הילן (ראו גם עמ' 146 לפרוטוקול) </w:t>
      </w:r>
      <w:r>
        <w:rPr>
          <w:rtl/>
        </w:rPr>
        <w:t>–</w:t>
      </w:r>
      <w:r>
        <w:rPr>
          <w:rFonts w:hint="cs"/>
          <w:rtl/>
        </w:rPr>
        <w:t xml:space="preserve"> הרי שהטעם העיקרי שעמד בבסיס העסקה, שבלעדיו היא לא היתה מתבצעת, הוא הניסיון להיטיב את מצבו של המשיב מול רשויות המס, באמצעות יצירת הפסד הון. כפי שנאמר בעניין </w:t>
      </w:r>
      <w:r w:rsidRPr="00831C53">
        <w:rPr>
          <w:rFonts w:ascii="Century" w:hAnsi="Century" w:cs="Miriam" w:hint="cs"/>
          <w:b/>
          <w:spacing w:val="0"/>
          <w:szCs w:val="24"/>
          <w:rtl/>
        </w:rPr>
        <w:t>סגנון</w:t>
      </w:r>
      <w:r>
        <w:rPr>
          <w:rFonts w:hint="cs"/>
          <w:rtl/>
        </w:rPr>
        <w:t xml:space="preserve">, בפסקה 39: </w:t>
      </w:r>
    </w:p>
    <w:p w:rsidR="0010512C" w:rsidRDefault="0010512C" w:rsidP="0010512C">
      <w:pPr>
        <w:pStyle w:val="Ruller41"/>
        <w:rPr>
          <w:rtl/>
        </w:rPr>
      </w:pPr>
    </w:p>
    <w:p w:rsidR="0010512C" w:rsidRDefault="0010512C" w:rsidP="0010512C">
      <w:pPr>
        <w:pStyle w:val="Ruller5"/>
        <w:rPr>
          <w:rtl/>
        </w:rPr>
      </w:pPr>
      <w:r>
        <w:rPr>
          <w:rFonts w:hint="cs"/>
          <w:rtl/>
        </w:rPr>
        <w:t>"</w:t>
      </w:r>
      <w:r>
        <w:rPr>
          <w:rtl/>
        </w:rPr>
        <w:t>אכן, הטענה כי טעם מסחרי, בדמות השאת רווחיה של המערערת, עמד בבסיס עריכת העסקה, אינה יכולה להישלל. מוכן אני אף להניח כי מטרה זו עמדה לנגד עיניה של המערערת בעת עריכת העסקאות. פקיד השומה נדרש להוכיח מבחינה אובייקטיבית כי העסקה היא מלאכותית, ובנטל זה הוא עמד. המערערת לא הצליחה להוכיח כי המטרה של השאת רווחיה הייתה מטרה שבלעדיה לא הייתה מבצעת את העסקאות האמורות. זוהי עסקה אשר נשענת רובה ככולה על הידיעה הברורה כי המערערת תצליח להימנע מתשלום המס.</w:t>
      </w:r>
      <w:r>
        <w:rPr>
          <w:rFonts w:hint="cs"/>
          <w:rtl/>
        </w:rPr>
        <w:t>"</w:t>
      </w:r>
    </w:p>
    <w:p w:rsidR="00187267" w:rsidRDefault="00187267" w:rsidP="0010512C">
      <w:pPr>
        <w:pStyle w:val="Ruller5"/>
        <w:rPr>
          <w:rtl/>
        </w:rPr>
      </w:pPr>
    </w:p>
    <w:p w:rsidR="0010512C" w:rsidRDefault="0010512C" w:rsidP="0010512C">
      <w:pPr>
        <w:pStyle w:val="Ruller41"/>
        <w:rPr>
          <w:rtl/>
        </w:rPr>
      </w:pPr>
    </w:p>
    <w:p w:rsidR="0010512C" w:rsidRDefault="0010512C" w:rsidP="0010512C">
      <w:pPr>
        <w:pStyle w:val="Ruller41"/>
        <w:rPr>
          <w:rtl/>
        </w:rPr>
      </w:pPr>
      <w:r>
        <w:rPr>
          <w:rtl/>
        </w:rPr>
        <w:tab/>
      </w:r>
      <w:r>
        <w:rPr>
          <w:rFonts w:hint="cs"/>
          <w:rtl/>
        </w:rPr>
        <w:t xml:space="preserve">אל מול הטעם המסחרי של ביטול האחיזה של הבנק הבינלאומי במקרקעין של סומת </w:t>
      </w:r>
      <w:r>
        <w:rPr>
          <w:rtl/>
        </w:rPr>
        <w:t>–</w:t>
      </w:r>
      <w:r>
        <w:rPr>
          <w:rFonts w:hint="cs"/>
          <w:rtl/>
        </w:rPr>
        <w:t xml:space="preserve"> טענה שלא הוכחה לטעמי </w:t>
      </w:r>
      <w:r>
        <w:rPr>
          <w:rtl/>
        </w:rPr>
        <w:t>–</w:t>
      </w:r>
      <w:r>
        <w:rPr>
          <w:rFonts w:hint="cs"/>
          <w:rtl/>
        </w:rPr>
        <w:t xml:space="preserve"> ואשר נראה כי ניתן היה להשיגו בדרכים אחרות, </w:t>
      </w:r>
      <w:r>
        <w:rPr>
          <w:rFonts w:hint="cs"/>
          <w:rtl/>
        </w:rPr>
        <w:lastRenderedPageBreak/>
        <w:t xml:space="preserve">החיסכון במס רווחי הון (על סכום של כ-10 מיליון ₪) הוא משמעותי ומיידי. הרווח הכלכלי הצפוי מהחיסכון במס הוא שיקול לצורך קביעת הטעם המסחרי היסודי של העסקה (עניין </w:t>
      </w:r>
      <w:r w:rsidRPr="00381ECE">
        <w:rPr>
          <w:rFonts w:ascii="Century" w:hAnsi="Century" w:cs="Miriam" w:hint="cs"/>
          <w:b/>
          <w:spacing w:val="0"/>
          <w:szCs w:val="24"/>
          <w:rtl/>
        </w:rPr>
        <w:t>סגנון</w:t>
      </w:r>
      <w:r>
        <w:rPr>
          <w:rFonts w:hint="cs"/>
          <w:rtl/>
        </w:rPr>
        <w:t xml:space="preserve">, בפסקה 28) ויש הסבורים כי מדובר בשיקול מכריע </w:t>
      </w:r>
      <w:r w:rsidRPr="001A24EB">
        <w:rPr>
          <w:rFonts w:ascii="Century" w:hAnsi="Century" w:hint="cs"/>
          <w:rtl/>
        </w:rPr>
        <w:t>(דוד גליקסברג</w:t>
      </w:r>
      <w:r w:rsidRPr="001A24EB">
        <w:rPr>
          <w:rFonts w:ascii="Century" w:hAnsi="Century" w:cs="Miriam" w:hint="cs"/>
          <w:b/>
          <w:spacing w:val="0"/>
          <w:szCs w:val="24"/>
          <w:rtl/>
        </w:rPr>
        <w:t xml:space="preserve"> </w:t>
      </w:r>
      <w:r>
        <w:rPr>
          <w:rFonts w:ascii="Century" w:hAnsi="Century" w:cs="Miriam" w:hint="cs"/>
          <w:b/>
          <w:spacing w:val="0"/>
          <w:szCs w:val="24"/>
          <w:rtl/>
        </w:rPr>
        <w:t>גבולות תכנון המס</w:t>
      </w:r>
      <w:r>
        <w:rPr>
          <w:rFonts w:hint="cs"/>
          <w:rtl/>
        </w:rPr>
        <w:t xml:space="preserve"> 230 (1990)). בית משפט קמא יצא מנקודת הנחה כי הפסד ההון כבר התגבש, ומכאן קצרה הדרך למסקנה שעסקת הילן איננה "עסקה מלאכותית" (פסקאות 81-80 לפסק הדין). לאחר שהגעתי למסקנה שונה בחלק הראשון של הדיון, הטעם הפיסקלי של חיסכון במס רווחי הון הוא בעל משקל כלכלי כבד, ואני סבור כי הוא זה אשר הוביל את המשיבים למכור את מניות סומ-אר לחברת הילן, שהיתה כאמור חברה לא פעילה, בבעלות מלאה של המשיב.</w:t>
      </w:r>
    </w:p>
    <w:p w:rsidR="0010512C" w:rsidRPr="00B8258A" w:rsidRDefault="0010512C" w:rsidP="0010512C">
      <w:pPr>
        <w:pStyle w:val="Ruller41"/>
        <w:rPr>
          <w:rFonts w:ascii="Century" w:hAnsi="Century"/>
          <w:rtl/>
        </w:rPr>
      </w:pPr>
    </w:p>
    <w:p w:rsidR="0010512C" w:rsidRDefault="0010512C" w:rsidP="0010512C">
      <w:pPr>
        <w:pStyle w:val="Ruller41"/>
        <w:rPr>
          <w:rtl/>
        </w:rPr>
      </w:pPr>
      <w:r w:rsidRPr="00B8258A">
        <w:rPr>
          <w:rFonts w:ascii="Century" w:hAnsi="Century" w:hint="cs"/>
          <w:rtl/>
        </w:rPr>
        <w:t>28.</w:t>
      </w:r>
      <w:r>
        <w:rPr>
          <w:rFonts w:ascii="Century" w:hAnsi="Century" w:cs="Miriam"/>
          <w:b/>
          <w:spacing w:val="0"/>
          <w:szCs w:val="24"/>
          <w:rtl/>
        </w:rPr>
        <w:tab/>
      </w:r>
      <w:r w:rsidRPr="006521F5">
        <w:rPr>
          <w:rFonts w:ascii="Century" w:hAnsi="Century" w:cs="Miriam" w:hint="cs"/>
          <w:b/>
          <w:spacing w:val="0"/>
          <w:szCs w:val="24"/>
          <w:rtl/>
        </w:rPr>
        <w:t>מסקנה:</w:t>
      </w:r>
      <w:r>
        <w:rPr>
          <w:rFonts w:hint="cs"/>
          <w:rtl/>
        </w:rPr>
        <w:t xml:space="preserve"> עסקת הילן היא עסקה מלאכותית שהמערער היה רשאי להתעלם מתוצאותיה לצורך קביעת נטל המס. הטעם היסודי לעסקת הילן הוא השאיפה ליצור הפסד הון שיקזז את הרווח מעסקת נוף. ייתכן שלעסקה נלווה גם טעם מסחרי, אך לא מדובר בטעם מסחרי </w:t>
      </w:r>
      <w:r w:rsidRPr="00A24918">
        <w:rPr>
          <w:rFonts w:ascii="Century" w:hAnsi="Century" w:cs="Miriam" w:hint="cs"/>
          <w:b/>
          <w:spacing w:val="0"/>
          <w:szCs w:val="24"/>
          <w:rtl/>
        </w:rPr>
        <w:t>יסודי</w:t>
      </w:r>
      <w:r>
        <w:rPr>
          <w:rFonts w:hint="cs"/>
          <w:rtl/>
        </w:rPr>
        <w:t xml:space="preserve">. </w:t>
      </w:r>
    </w:p>
    <w:p w:rsidR="0010512C" w:rsidRDefault="0010512C" w:rsidP="0010512C">
      <w:pPr>
        <w:pStyle w:val="Ruller41"/>
        <w:rPr>
          <w:rtl/>
        </w:rPr>
      </w:pPr>
    </w:p>
    <w:p w:rsidR="0010512C" w:rsidRDefault="0010512C" w:rsidP="0010512C">
      <w:pPr>
        <w:pStyle w:val="Ruller41"/>
        <w:rPr>
          <w:rFonts w:ascii="Century" w:hAnsi="Century" w:cs="Miriam"/>
          <w:b/>
          <w:spacing w:val="0"/>
          <w:szCs w:val="24"/>
          <w:rtl/>
        </w:rPr>
      </w:pPr>
      <w:r w:rsidRPr="00ED5F4D">
        <w:rPr>
          <w:rFonts w:ascii="Century" w:hAnsi="Century" w:cs="Miriam" w:hint="cs"/>
          <w:b/>
          <w:spacing w:val="0"/>
          <w:szCs w:val="24"/>
          <w:rtl/>
        </w:rPr>
        <w:t>סוף דבר</w:t>
      </w:r>
    </w:p>
    <w:p w:rsidR="0010512C" w:rsidRPr="00ED5F4D" w:rsidRDefault="0010512C" w:rsidP="0010512C">
      <w:pPr>
        <w:pStyle w:val="Ruller41"/>
        <w:rPr>
          <w:rFonts w:ascii="Century" w:hAnsi="Century"/>
          <w:rtl/>
        </w:rPr>
      </w:pPr>
    </w:p>
    <w:p w:rsidR="0010512C" w:rsidRDefault="0010512C" w:rsidP="0010512C">
      <w:pPr>
        <w:pStyle w:val="Ruller41"/>
        <w:rPr>
          <w:rFonts w:ascii="Century" w:hAnsi="Century"/>
          <w:rtl/>
        </w:rPr>
      </w:pPr>
      <w:r>
        <w:rPr>
          <w:rFonts w:ascii="Century" w:hAnsi="Century" w:hint="cs"/>
          <w:rtl/>
        </w:rPr>
        <w:t>29.</w:t>
      </w:r>
      <w:r>
        <w:rPr>
          <w:rFonts w:ascii="Century" w:hAnsi="Century"/>
          <w:rtl/>
        </w:rPr>
        <w:tab/>
      </w:r>
      <w:r>
        <w:rPr>
          <w:rFonts w:ascii="Century" w:hAnsi="Century" w:hint="cs"/>
          <w:rtl/>
        </w:rPr>
        <w:t xml:space="preserve">הדרך הנכונה לבחון את הסוגיה מושא דיוננו היא לבחון קודם כל אם התגבש הפסד הון, ולאחר מכן לבדוק אם עסקת הילן היא עסקה מלאכותית. ביחס לשאלה הראשונה, אני סבור כי הגם שההשקעה בסומ-אר עלתה בהרבה על שווי הנכסים, הרי שהגירעון לא התגבש לכדי הפסד, ובשנת 2005 לא היה מקום להכיר בהלוואת הבעלים כחוב אבוד. ביחס לשאלה השניה, הרי שכבר במבט ראשון עסקת הילן חשודה במלאכותיות, וחרף ההסברים שסיפקו המשיבים, לא התרשמתי כי בבסיס העסקה עמד טעם מסחרי יסודי. לפיכך אציע לחבריי לקבל את הערעור, לבטל את פסק דינו של בית המשפט קמא, ולקבוע כי עסקת הילן לא הצמיחה למשיב הפסד הון בר קיזוז. </w:t>
      </w:r>
    </w:p>
    <w:p w:rsidR="0010512C" w:rsidRDefault="0010512C" w:rsidP="0010512C">
      <w:pPr>
        <w:pStyle w:val="Ruller41"/>
        <w:rPr>
          <w:rFonts w:ascii="Century" w:hAnsi="Century"/>
          <w:rtl/>
        </w:rPr>
      </w:pPr>
    </w:p>
    <w:p w:rsidR="0010512C" w:rsidRDefault="0010512C" w:rsidP="0010512C">
      <w:pPr>
        <w:pStyle w:val="Ruller41"/>
        <w:rPr>
          <w:rFonts w:ascii="Century" w:hAnsi="Century"/>
          <w:rtl/>
        </w:rPr>
      </w:pPr>
      <w:r>
        <w:rPr>
          <w:rFonts w:ascii="Century" w:hAnsi="Century"/>
          <w:rtl/>
        </w:rPr>
        <w:tab/>
      </w:r>
      <w:r>
        <w:rPr>
          <w:rFonts w:ascii="Century" w:hAnsi="Century" w:hint="cs"/>
          <w:rtl/>
        </w:rPr>
        <w:t xml:space="preserve">המשיבים ישאו בהוצאות המערער בסך 20,000 </w:t>
      </w:r>
      <w:r>
        <w:rPr>
          <w:rFonts w:ascii="Century" w:hAnsi="Century" w:hint="eastAsia"/>
          <w:rtl/>
        </w:rPr>
        <w:t>₪</w:t>
      </w:r>
      <w:r>
        <w:rPr>
          <w:rFonts w:ascii="Century" w:hAnsi="Century" w:hint="cs"/>
          <w:rtl/>
        </w:rPr>
        <w:t>.</w:t>
      </w:r>
    </w:p>
    <w:p w:rsidR="00187267" w:rsidRDefault="00187267" w:rsidP="00BB7E02">
      <w:pPr>
        <w:pStyle w:val="Ruller41"/>
        <w:jc w:val="right"/>
        <w:rPr>
          <w:rFonts w:ascii="Century" w:hAnsi="Century"/>
          <w:rtl/>
        </w:rPr>
      </w:pPr>
      <w:bookmarkStart w:id="7" w:name="_GoBack"/>
      <w:bookmarkEnd w:id="7"/>
      <w:r>
        <w:rPr>
          <w:rFonts w:ascii="Century" w:hAnsi="Century" w:hint="cs"/>
          <w:rtl/>
        </w:rPr>
        <w:t>ש ו פ ט</w:t>
      </w:r>
    </w:p>
    <w:p w:rsidR="00187267" w:rsidRPr="00F13F6F" w:rsidRDefault="00187267" w:rsidP="00187267">
      <w:pPr>
        <w:pStyle w:val="Ruller41"/>
        <w:rPr>
          <w:rFonts w:ascii="Century" w:hAnsi="Century" w:cs="Miriam"/>
          <w:b/>
          <w:spacing w:val="0"/>
          <w:szCs w:val="24"/>
          <w:rtl/>
        </w:rPr>
      </w:pPr>
      <w:r w:rsidRPr="00F13F6F">
        <w:rPr>
          <w:rFonts w:ascii="Century" w:hAnsi="Century" w:cs="Miriam" w:hint="cs"/>
          <w:b/>
          <w:spacing w:val="0"/>
          <w:szCs w:val="24"/>
          <w:u w:val="single"/>
          <w:rtl/>
        </w:rPr>
        <w:t>השופ</w:t>
      </w:r>
      <w:r>
        <w:rPr>
          <w:rFonts w:ascii="Century" w:hAnsi="Century" w:cs="Miriam" w:hint="cs"/>
          <w:b/>
          <w:spacing w:val="0"/>
          <w:szCs w:val="24"/>
          <w:u w:val="single"/>
          <w:rtl/>
        </w:rPr>
        <w:t>טת ע' ברון</w:t>
      </w:r>
      <w:r w:rsidRPr="00F13F6F">
        <w:rPr>
          <w:rFonts w:ascii="Century" w:hAnsi="Century" w:cs="Miriam" w:hint="cs"/>
          <w:b/>
          <w:spacing w:val="0"/>
          <w:szCs w:val="24"/>
          <w:rtl/>
        </w:rPr>
        <w:t>:</w:t>
      </w:r>
    </w:p>
    <w:p w:rsidR="00187267" w:rsidRDefault="00187267" w:rsidP="00187267">
      <w:pPr>
        <w:pStyle w:val="Ruller41"/>
        <w:rPr>
          <w:rFonts w:ascii="Century" w:hAnsi="Century"/>
          <w:rtl/>
        </w:rPr>
      </w:pPr>
      <w:r>
        <w:rPr>
          <w:rFonts w:ascii="Century" w:hAnsi="Century"/>
          <w:rtl/>
        </w:rPr>
        <w:tab/>
      </w:r>
      <w:r>
        <w:rPr>
          <w:rFonts w:ascii="Century" w:hAnsi="Century" w:hint="cs"/>
          <w:rtl/>
        </w:rPr>
        <w:t>אני מסכימה.</w:t>
      </w:r>
    </w:p>
    <w:p w:rsidR="00187267" w:rsidRDefault="00187267" w:rsidP="00BB7E02">
      <w:pPr>
        <w:pStyle w:val="Ruller41"/>
        <w:jc w:val="right"/>
        <w:rPr>
          <w:rFonts w:ascii="Century" w:hAnsi="Century"/>
          <w:rtl/>
        </w:rPr>
      </w:pPr>
      <w:r>
        <w:rPr>
          <w:rFonts w:ascii="Century" w:hAnsi="Century" w:hint="cs"/>
          <w:rtl/>
        </w:rPr>
        <w:t>ש ו פ ט ת</w:t>
      </w:r>
    </w:p>
    <w:p w:rsidR="00187267" w:rsidRPr="00F13F6F" w:rsidRDefault="00187267" w:rsidP="00187267">
      <w:pPr>
        <w:pStyle w:val="Ruller41"/>
        <w:rPr>
          <w:rFonts w:ascii="Century" w:hAnsi="Century" w:cs="Miriam"/>
          <w:b/>
          <w:spacing w:val="0"/>
          <w:szCs w:val="24"/>
          <w:rtl/>
        </w:rPr>
      </w:pPr>
      <w:r w:rsidRPr="00F13F6F">
        <w:rPr>
          <w:rFonts w:ascii="Century" w:hAnsi="Century" w:cs="Miriam" w:hint="cs"/>
          <w:b/>
          <w:spacing w:val="0"/>
          <w:szCs w:val="24"/>
          <w:u w:val="single"/>
          <w:rtl/>
        </w:rPr>
        <w:t>השופ</w:t>
      </w:r>
      <w:r>
        <w:rPr>
          <w:rFonts w:ascii="Century" w:hAnsi="Century" w:cs="Miriam" w:hint="cs"/>
          <w:b/>
          <w:spacing w:val="0"/>
          <w:szCs w:val="24"/>
          <w:u w:val="single"/>
          <w:rtl/>
        </w:rPr>
        <w:t>ט ג' קרא</w:t>
      </w:r>
      <w:r w:rsidRPr="00F13F6F">
        <w:rPr>
          <w:rFonts w:ascii="Century" w:hAnsi="Century" w:cs="Miriam" w:hint="cs"/>
          <w:b/>
          <w:spacing w:val="0"/>
          <w:szCs w:val="24"/>
          <w:rtl/>
        </w:rPr>
        <w:t>:</w:t>
      </w:r>
    </w:p>
    <w:p w:rsidR="00187267" w:rsidRDefault="00187267" w:rsidP="00BB7E02">
      <w:pPr>
        <w:pStyle w:val="Ruller41"/>
        <w:rPr>
          <w:rFonts w:ascii="Century" w:hAnsi="Century"/>
          <w:rtl/>
        </w:rPr>
      </w:pPr>
      <w:r>
        <w:rPr>
          <w:rFonts w:ascii="Century" w:hAnsi="Century"/>
          <w:rtl/>
        </w:rPr>
        <w:tab/>
      </w:r>
      <w:r>
        <w:rPr>
          <w:rFonts w:ascii="Century" w:hAnsi="Century" w:hint="cs"/>
          <w:rtl/>
        </w:rPr>
        <w:t>אני מסכים.</w:t>
      </w:r>
    </w:p>
    <w:p w:rsidR="00187267" w:rsidRDefault="00187267" w:rsidP="00BB7E02">
      <w:pPr>
        <w:pStyle w:val="Ruller41"/>
        <w:jc w:val="right"/>
        <w:rPr>
          <w:rFonts w:ascii="Century" w:hAnsi="Century"/>
          <w:rtl/>
        </w:rPr>
      </w:pPr>
      <w:r>
        <w:rPr>
          <w:rFonts w:ascii="Century" w:hAnsi="Century" w:hint="cs"/>
          <w:rtl/>
        </w:rPr>
        <w:t>ש ו פ ט</w:t>
      </w:r>
    </w:p>
    <w:p w:rsidR="00187267" w:rsidRDefault="00187267" w:rsidP="00BB7E02">
      <w:pPr>
        <w:pStyle w:val="Ruller41"/>
        <w:rPr>
          <w:rFonts w:ascii="Century" w:hAnsi="Century"/>
          <w:rtl/>
        </w:rPr>
      </w:pPr>
    </w:p>
    <w:p w:rsidR="00187267" w:rsidRDefault="00187267" w:rsidP="00BB7E02">
      <w:pPr>
        <w:pStyle w:val="Ruller41"/>
        <w:rPr>
          <w:rFonts w:ascii="Century" w:hAnsi="Century"/>
          <w:rtl/>
        </w:rPr>
      </w:pPr>
      <w:r>
        <w:rPr>
          <w:rFonts w:ascii="Century" w:hAnsi="Century"/>
          <w:rtl/>
        </w:rPr>
        <w:tab/>
      </w:r>
      <w:r>
        <w:rPr>
          <w:rFonts w:ascii="Century" w:hAnsi="Century" w:hint="cs"/>
          <w:rtl/>
        </w:rPr>
        <w:t xml:space="preserve">הוחלט כאמור בפסק דינו של השופט </w:t>
      </w:r>
      <w:r w:rsidRPr="00F13F6F">
        <w:rPr>
          <w:rFonts w:ascii="Century" w:hAnsi="Century" w:cs="Miriam" w:hint="cs"/>
          <w:b/>
          <w:spacing w:val="0"/>
          <w:szCs w:val="24"/>
          <w:rtl/>
        </w:rPr>
        <w:t>י' עמית</w:t>
      </w:r>
      <w:r>
        <w:rPr>
          <w:rFonts w:ascii="Century" w:hAnsi="Century" w:hint="cs"/>
          <w:rtl/>
        </w:rPr>
        <w:t>.</w:t>
      </w:r>
    </w:p>
    <w:p w:rsidR="00187267" w:rsidRDefault="00187267" w:rsidP="00BB7E02">
      <w:pPr>
        <w:pStyle w:val="Ruller41"/>
        <w:rPr>
          <w:rFonts w:ascii="Century" w:hAnsi="Century"/>
          <w:rtl/>
        </w:rPr>
      </w:pPr>
    </w:p>
    <w:p w:rsidR="00187267" w:rsidRDefault="00187267" w:rsidP="00187267">
      <w:pPr>
        <w:pStyle w:val="Ruller41"/>
        <w:rPr>
          <w:rFonts w:ascii="Century" w:hAnsi="Century"/>
          <w:rtl/>
        </w:rPr>
      </w:pPr>
      <w:r>
        <w:rPr>
          <w:rFonts w:ascii="Century" w:hAnsi="Century"/>
          <w:rtl/>
        </w:rPr>
        <w:tab/>
      </w:r>
      <w:r>
        <w:rPr>
          <w:rFonts w:ascii="Century" w:hAnsi="Century" w:hint="eastAsia"/>
          <w:rtl/>
        </w:rPr>
        <w:t>נית</w:t>
      </w:r>
      <w:r>
        <w:rPr>
          <w:rFonts w:ascii="Century" w:hAnsi="Century" w:hint="cs"/>
          <w:rtl/>
        </w:rPr>
        <w:t>ן</w:t>
      </w:r>
      <w:r>
        <w:rPr>
          <w:rFonts w:ascii="Century" w:hAnsi="Century"/>
          <w:rtl/>
        </w:rPr>
        <w:t xml:space="preserve"> </w:t>
      </w:r>
      <w:r>
        <w:rPr>
          <w:rFonts w:ascii="Century" w:hAnsi="Century" w:hint="eastAsia"/>
          <w:rtl/>
        </w:rPr>
        <w:t>היום</w:t>
      </w:r>
      <w:r>
        <w:rPr>
          <w:rFonts w:ascii="Century" w:hAnsi="Century"/>
          <w:rtl/>
        </w:rPr>
        <w:t xml:space="preserve">, </w:t>
      </w:r>
      <w:r>
        <w:rPr>
          <w:rFonts w:ascii="Century" w:hAnsi="Century" w:hint="eastAsia"/>
          <w:rtl/>
        </w:rPr>
        <w:t>‏כ</w:t>
      </w:r>
      <w:r>
        <w:rPr>
          <w:rFonts w:ascii="Century" w:hAnsi="Century"/>
          <w:rtl/>
        </w:rPr>
        <w:t>"</w:t>
      </w:r>
      <w:r>
        <w:rPr>
          <w:rFonts w:ascii="Century" w:hAnsi="Century" w:hint="eastAsia"/>
          <w:rtl/>
        </w:rPr>
        <w:t>ה</w:t>
      </w:r>
      <w:r>
        <w:rPr>
          <w:rFonts w:ascii="Century" w:hAnsi="Century"/>
          <w:rtl/>
        </w:rPr>
        <w:t xml:space="preserve"> </w:t>
      </w:r>
      <w:r>
        <w:rPr>
          <w:rFonts w:ascii="Century" w:hAnsi="Century" w:hint="eastAsia"/>
          <w:rtl/>
        </w:rPr>
        <w:t>באב</w:t>
      </w:r>
      <w:r>
        <w:rPr>
          <w:rFonts w:ascii="Century" w:hAnsi="Century"/>
          <w:rtl/>
        </w:rPr>
        <w:t xml:space="preserve"> </w:t>
      </w:r>
      <w:r>
        <w:rPr>
          <w:rFonts w:ascii="Century" w:hAnsi="Century" w:hint="eastAsia"/>
          <w:rtl/>
        </w:rPr>
        <w:t>התשע</w:t>
      </w:r>
      <w:r>
        <w:rPr>
          <w:rFonts w:ascii="Century" w:hAnsi="Century"/>
          <w:rtl/>
        </w:rPr>
        <w:t>"</w:t>
      </w:r>
      <w:r>
        <w:rPr>
          <w:rFonts w:ascii="Century" w:hAnsi="Century" w:hint="eastAsia"/>
          <w:rtl/>
        </w:rPr>
        <w:t>ט</w:t>
      </w:r>
      <w:r>
        <w:rPr>
          <w:rFonts w:ascii="Century" w:hAnsi="Century"/>
          <w:rtl/>
        </w:rPr>
        <w:t xml:space="preserve"> (</w:t>
      </w:r>
      <w:r>
        <w:rPr>
          <w:rFonts w:ascii="Century" w:hAnsi="Century" w:hint="eastAsia"/>
          <w:rtl/>
        </w:rPr>
        <w:t>‏</w:t>
      </w:r>
      <w:r>
        <w:rPr>
          <w:rFonts w:ascii="Century" w:hAnsi="Century"/>
          <w:rtl/>
        </w:rPr>
        <w:t>26.8.2019).</w:t>
      </w:r>
    </w:p>
    <w:p w:rsidR="0010512C" w:rsidRPr="00B76E51" w:rsidRDefault="0010512C" w:rsidP="00B76E51">
      <w:pPr>
        <w:tabs>
          <w:tab w:val="left" w:pos="800"/>
        </w:tabs>
        <w:jc w:val="both"/>
        <w:rPr>
          <w:rFonts w:cs="Miriam"/>
          <w:sz w:val="24"/>
          <w:u w:val="single"/>
          <w:rtl/>
        </w:rPr>
      </w:pPr>
    </w:p>
    <w:p w:rsidR="0010512C" w:rsidRPr="00B76E51" w:rsidRDefault="0010512C" w:rsidP="00B76E51">
      <w:pPr>
        <w:tabs>
          <w:tab w:val="left" w:pos="800"/>
        </w:tabs>
        <w:jc w:val="both"/>
        <w:rPr>
          <w:rFonts w:ascii="Arial TUR" w:hAnsi="Arial TUR"/>
          <w:sz w:val="22"/>
          <w:rtl/>
        </w:rPr>
      </w:pPr>
    </w:p>
    <w:p w:rsidR="00016EF1" w:rsidRDefault="00016EF1" w:rsidP="00A51FAE">
      <w:pPr>
        <w:pStyle w:val="Ruller41"/>
        <w:rPr>
          <w:rtl/>
        </w:rPr>
      </w:pPr>
    </w:p>
    <w:tbl>
      <w:tblPr>
        <w:bidiVisual/>
        <w:tblW w:w="8363" w:type="dxa"/>
        <w:tblLook w:val="01E0" w:firstRow="1" w:lastRow="1" w:firstColumn="1" w:lastColumn="1" w:noHBand="0" w:noVBand="0"/>
      </w:tblPr>
      <w:tblGrid>
        <w:gridCol w:w="2787"/>
        <w:gridCol w:w="2788"/>
        <w:gridCol w:w="2788"/>
      </w:tblGrid>
      <w:tr w:rsidR="001A0164" w:rsidTr="00D00B1D">
        <w:tc>
          <w:tcPr>
            <w:tcW w:w="2842" w:type="dxa"/>
            <w:shd w:val="clear" w:color="auto" w:fill="auto"/>
          </w:tcPr>
          <w:p w:rsidR="00016EF1" w:rsidRDefault="00F0579C" w:rsidP="00187267">
            <w:pPr>
              <w:pStyle w:val="Ruller41"/>
              <w:jc w:val="center"/>
              <w:rPr>
                <w:rtl/>
              </w:rPr>
            </w:pPr>
            <w:r>
              <w:rPr>
                <w:rtl/>
              </w:rPr>
              <w:t>ש ו פ ט</w:t>
            </w:r>
          </w:p>
        </w:tc>
        <w:tc>
          <w:tcPr>
            <w:tcW w:w="2843" w:type="dxa"/>
            <w:shd w:val="clear" w:color="auto" w:fill="auto"/>
          </w:tcPr>
          <w:p w:rsidR="001A0164" w:rsidRDefault="00F0579C" w:rsidP="00BA0B08">
            <w:pPr>
              <w:pStyle w:val="Ruller41"/>
              <w:jc w:val="center"/>
              <w:rPr>
                <w:rtl/>
              </w:rPr>
            </w:pPr>
            <w:r>
              <w:rPr>
                <w:rtl/>
              </w:rPr>
              <w:t>ש ו פ ט ת</w:t>
            </w:r>
          </w:p>
        </w:tc>
        <w:tc>
          <w:tcPr>
            <w:tcW w:w="2843" w:type="dxa"/>
            <w:shd w:val="clear" w:color="auto" w:fill="auto"/>
          </w:tcPr>
          <w:p w:rsidR="001A0164" w:rsidRDefault="00F0579C" w:rsidP="00BA0B08">
            <w:pPr>
              <w:pStyle w:val="Ruller41"/>
              <w:jc w:val="center"/>
              <w:rPr>
                <w:rtl/>
              </w:rPr>
            </w:pPr>
            <w:r>
              <w:rPr>
                <w:rtl/>
              </w:rPr>
              <w:t>ש ו פ ט</w:t>
            </w:r>
          </w:p>
        </w:tc>
      </w:tr>
    </w:tbl>
    <w:p w:rsidR="00044953" w:rsidRDefault="00044953" w:rsidP="00A51FAE">
      <w:pPr>
        <w:pStyle w:val="Ruller41"/>
        <w:rPr>
          <w:rtl/>
        </w:rPr>
      </w:pPr>
    </w:p>
    <w:p w:rsidR="00187267" w:rsidRDefault="00187267">
      <w:pPr>
        <w:rPr>
          <w:szCs w:val="16"/>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AC1CFC">
      <w:pPr>
        <w:pStyle w:val="Ruller38"/>
        <w:rPr>
          <w:rtl/>
        </w:rPr>
      </w:pPr>
      <w:r>
        <w:rPr>
          <w:sz w:val="16"/>
        </w:rPr>
        <w:t xml:space="preserve"> </w:t>
      </w:r>
      <w:r w:rsidR="00A12E0F">
        <w:rPr>
          <w:sz w:val="16"/>
        </w:rPr>
        <w:t xml:space="preserve">  </w:t>
      </w:r>
      <w:r w:rsidR="00F0579C">
        <w:rPr>
          <w:sz w:val="16"/>
        </w:rPr>
        <w:t xml:space="preserve">17074810_E10.docx  </w:t>
      </w:r>
      <w:r w:rsidR="00F0579C">
        <w:rPr>
          <w:sz w:val="16"/>
          <w:rtl/>
        </w:rPr>
        <w:t>סח</w:t>
      </w:r>
      <w:r w:rsidR="00AC1CFC">
        <w:rPr>
          <w:rFonts w:hint="cs"/>
          <w:sz w:val="16"/>
          <w:rtl/>
        </w:rPr>
        <w:t>+עכב</w:t>
      </w:r>
    </w:p>
    <w:p w:rsidR="003F1F97" w:rsidRDefault="00591983" w:rsidP="00187267">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Pr>
          <w:rFonts w:hint="cs"/>
          <w:rtl/>
        </w:rPr>
        <w:t xml:space="preserve"> ; אתר אינטרנט,  </w:t>
      </w:r>
      <w:hyperlink r:id="rId9" w:history="1">
        <w:r w:rsidR="0058440A" w:rsidRPr="00CB1590">
          <w:rPr>
            <w:rStyle w:val="Hyperlink"/>
            <w:sz w:val="16"/>
          </w:rPr>
          <w:t>http://supreme.court.gov.i</w:t>
        </w:r>
      </w:hyperlink>
      <w:r w:rsidR="0058440A" w:rsidRPr="00CB1590">
        <w:rPr>
          <w:sz w:val="16"/>
        </w:rPr>
        <w:t>l</w:t>
      </w:r>
    </w:p>
    <w:sectPr w:rsidR="003F1F97" w:rsidSect="00187267">
      <w:headerReference w:type="even" r:id="rId10"/>
      <w:headerReference w:type="default" r:id="rId11"/>
      <w:footerReference w:type="even"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TUR">
    <w:altName w:val="Arial"/>
    <w:charset w:val="00"/>
    <w:family w:val="swiss"/>
    <w:pitch w:val="variable"/>
    <w:sig w:usb0="E0002EFF" w:usb1="C0007843"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8" w:name="footer_line"/>
    <w:bookmarkEnd w:id="8"/>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187267">
      <w:rPr>
        <w:rStyle w:val="a4"/>
        <w:noProof/>
        <w:rtl/>
      </w:rPr>
      <w:t>16</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25F19"/>
    <w:multiLevelType w:val="hybridMultilevel"/>
    <w:tmpl w:val="298A1BDE"/>
    <w:lvl w:ilvl="0" w:tplc="59FC6AA2">
      <w:start w:val="29"/>
      <w:numFmt w:val="bullet"/>
      <w:lvlText w:val="-"/>
      <w:lvlJc w:val="left"/>
      <w:pPr>
        <w:ind w:left="435" w:hanging="360"/>
      </w:pPr>
      <w:rPr>
        <w:rFonts w:ascii="FrankRuehl" w:eastAsia="Times New Roman" w:hAnsi="FrankRuehl" w:cs="FrankRueh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079105D5"/>
    <w:multiLevelType w:val="hybridMultilevel"/>
    <w:tmpl w:val="775A2B60"/>
    <w:lvl w:ilvl="0" w:tplc="841ED766">
      <w:start w:val="6"/>
      <w:numFmt w:val="bullet"/>
      <w:lvlText w:val="-"/>
      <w:lvlJc w:val="left"/>
      <w:pPr>
        <w:ind w:left="435" w:hanging="360"/>
      </w:pPr>
      <w:rPr>
        <w:rFonts w:ascii="FrankRuehl" w:eastAsia="Times New Roman" w:hAnsi="FrankRuehl" w:cs="FrankRuehl" w:hint="default"/>
        <w:sz w:val="28"/>
        <w:lang w:bidi="he-IL"/>
      </w:rPr>
    </w:lvl>
    <w:lvl w:ilvl="1" w:tplc="0E286CD4">
      <w:start w:val="1"/>
      <w:numFmt w:val="bullet"/>
      <w:lvlText w:val="o"/>
      <w:lvlJc w:val="left"/>
      <w:pPr>
        <w:ind w:left="1155" w:hanging="360"/>
      </w:pPr>
      <w:rPr>
        <w:rFonts w:ascii="Courier New" w:hAnsi="Courier New" w:cs="Courier New" w:hint="default"/>
        <w:lang w:bidi="he-IL"/>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213C22"/>
    <w:multiLevelType w:val="hybridMultilevel"/>
    <w:tmpl w:val="3DBCDC68"/>
    <w:lvl w:ilvl="0" w:tplc="FBE2D876">
      <w:start w:val="15"/>
      <w:numFmt w:val="bullet"/>
      <w:lvlText w:val="-"/>
      <w:lvlJc w:val="left"/>
      <w:pPr>
        <w:ind w:left="4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747C7"/>
    <w:multiLevelType w:val="hybridMultilevel"/>
    <w:tmpl w:val="96941B46"/>
    <w:lvl w:ilvl="0" w:tplc="DE260240">
      <w:start w:val="1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4A5C19"/>
    <w:multiLevelType w:val="hybridMultilevel"/>
    <w:tmpl w:val="C686B4D2"/>
    <w:lvl w:ilvl="0" w:tplc="1BE0B2C6">
      <w:numFmt w:val="bullet"/>
      <w:lvlText w:val="-"/>
      <w:lvlJc w:val="left"/>
      <w:pPr>
        <w:ind w:left="435" w:hanging="360"/>
      </w:pPr>
      <w:rPr>
        <w:rFonts w:ascii="FrankRuehl" w:eastAsia="Times New Roman" w:hAnsi="FrankRuehl" w:cs="FrankRueh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1AA14C54"/>
    <w:multiLevelType w:val="hybridMultilevel"/>
    <w:tmpl w:val="9010286A"/>
    <w:lvl w:ilvl="0" w:tplc="2182D910">
      <w:start w:val="1"/>
      <w:numFmt w:val="decimal"/>
      <w:lvlText w:val="%1."/>
      <w:lvlJc w:val="left"/>
      <w:pPr>
        <w:ind w:left="680" w:hanging="680"/>
      </w:pPr>
      <w:rPr>
        <w:rFonts w:cs="Times New Roman"/>
        <w:b w:val="0"/>
        <w:bCs w:val="0"/>
        <w:sz w:val="26"/>
        <w:szCs w:val="26"/>
      </w:rPr>
    </w:lvl>
    <w:lvl w:ilvl="1" w:tplc="04090013">
      <w:start w:val="1"/>
      <w:numFmt w:val="hebrew1"/>
      <w:lvlText w:val="%2."/>
      <w:lvlJc w:val="center"/>
      <w:pPr>
        <w:ind w:left="1590" w:hanging="360"/>
      </w:pPr>
      <w:rPr>
        <w:rFonts w:cs="Times New Roman"/>
        <w:szCs w:val="24"/>
      </w:rPr>
    </w:lvl>
    <w:lvl w:ilvl="2" w:tplc="0409001B">
      <w:start w:val="1"/>
      <w:numFmt w:val="lowerRoman"/>
      <w:lvlText w:val="%3."/>
      <w:lvlJc w:val="right"/>
      <w:pPr>
        <w:ind w:left="2310" w:hanging="180"/>
      </w:pPr>
      <w:rPr>
        <w:rFonts w:cs="Times New Roman"/>
      </w:rPr>
    </w:lvl>
    <w:lvl w:ilvl="3" w:tplc="50B251DA">
      <w:start w:val="1"/>
      <w:numFmt w:val="hebrew1"/>
      <w:lvlText w:val="%4."/>
      <w:lvlJc w:val="left"/>
      <w:pPr>
        <w:ind w:left="3030" w:hanging="360"/>
      </w:pPr>
      <w:rPr>
        <w:rFonts w:cs="Times New Roman"/>
        <w:szCs w:val="24"/>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2C95B57"/>
    <w:multiLevelType w:val="hybridMultilevel"/>
    <w:tmpl w:val="BC4AFEE0"/>
    <w:lvl w:ilvl="0" w:tplc="FBE2D876">
      <w:start w:val="15"/>
      <w:numFmt w:val="bullet"/>
      <w:lvlText w:val="-"/>
      <w:lvlJc w:val="left"/>
      <w:pPr>
        <w:ind w:left="420" w:hanging="360"/>
      </w:pPr>
      <w:rPr>
        <w:rFonts w:ascii="David" w:eastAsia="Times New Roman" w:hAnsi="David"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6311340"/>
    <w:multiLevelType w:val="hybridMultilevel"/>
    <w:tmpl w:val="1E7855FE"/>
    <w:lvl w:ilvl="0" w:tplc="5E507906">
      <w:start w:val="1"/>
      <w:numFmt w:val="decimal"/>
      <w:lvlText w:val="%1."/>
      <w:lvlJc w:val="left"/>
      <w:pPr>
        <w:ind w:left="644" w:hanging="360"/>
      </w:pPr>
      <w:rPr>
        <w:b w:val="0"/>
        <w:bCs w:val="0"/>
        <w:sz w:val="28"/>
        <w:szCs w:val="28"/>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7890B59"/>
    <w:multiLevelType w:val="hybridMultilevel"/>
    <w:tmpl w:val="0812E850"/>
    <w:lvl w:ilvl="0" w:tplc="033A1A72">
      <w:numFmt w:val="bullet"/>
      <w:lvlText w:val="-"/>
      <w:lvlJc w:val="left"/>
      <w:pPr>
        <w:ind w:left="435" w:hanging="360"/>
      </w:pPr>
      <w:rPr>
        <w:rFonts w:ascii="FrankRuehl" w:eastAsia="Times New Roman" w:hAnsi="FrankRuehl" w:cs="FrankRuehl"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15:restartNumberingAfterBreak="0">
    <w:nsid w:val="4DCE2F35"/>
    <w:multiLevelType w:val="hybridMultilevel"/>
    <w:tmpl w:val="9328D668"/>
    <w:lvl w:ilvl="0" w:tplc="90220C42">
      <w:start w:val="6"/>
      <w:numFmt w:val="bullet"/>
      <w:lvlText w:val="-"/>
      <w:lvlJc w:val="left"/>
      <w:pPr>
        <w:ind w:left="795" w:hanging="360"/>
      </w:pPr>
      <w:rPr>
        <w:rFonts w:ascii="FrankRuehl" w:eastAsia="Times New Roman" w:hAnsi="FrankRuehl" w:cs="FrankRueh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E70B62"/>
    <w:multiLevelType w:val="hybridMultilevel"/>
    <w:tmpl w:val="ADA8711E"/>
    <w:lvl w:ilvl="0" w:tplc="DBB0A036">
      <w:start w:val="1"/>
      <w:numFmt w:val="hebrew1"/>
      <w:pStyle w:val="Ruller40"/>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E161C5"/>
    <w:multiLevelType w:val="hybridMultilevel"/>
    <w:tmpl w:val="BBAE76D2"/>
    <w:lvl w:ilvl="0" w:tplc="E624AF12">
      <w:start w:val="26"/>
      <w:numFmt w:val="bullet"/>
      <w:lvlText w:val="-"/>
      <w:lvlJc w:val="left"/>
      <w:pPr>
        <w:ind w:left="435" w:hanging="360"/>
      </w:pPr>
      <w:rPr>
        <w:rFonts w:ascii="FrankRuehl" w:eastAsia="Times New Roman" w:hAnsi="FrankRuehl" w:cs="FrankRuehl"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7D975523"/>
    <w:multiLevelType w:val="hybridMultilevel"/>
    <w:tmpl w:val="56544B5E"/>
    <w:lvl w:ilvl="0" w:tplc="DD06F320">
      <w:start w:val="6"/>
      <w:numFmt w:val="bullet"/>
      <w:lvlText w:val="-"/>
      <w:lvlJc w:val="left"/>
      <w:pPr>
        <w:ind w:left="435" w:hanging="360"/>
      </w:pPr>
      <w:rPr>
        <w:rFonts w:ascii="FrankRuehl" w:eastAsia="Times New Roman" w:hAnsi="FrankRuehl" w:cs="FrankRuehl" w:hint="default"/>
        <w:sz w:val="28"/>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21"/>
  </w:num>
  <w:num w:numId="13">
    <w:abstractNumId w:val="11"/>
  </w:num>
  <w:num w:numId="14">
    <w:abstractNumId w:val="20"/>
  </w:num>
  <w:num w:numId="15">
    <w:abstractNumId w:val="19"/>
  </w:num>
  <w:num w:numId="16">
    <w:abstractNumId w:val="22"/>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3"/>
  </w:num>
  <w:num w:numId="23">
    <w:abstractNumId w:val="10"/>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doNotDisplayPageBoundaries/>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3991"/>
    <w:rsid w:val="00036227"/>
    <w:rsid w:val="00044953"/>
    <w:rsid w:val="00045B4D"/>
    <w:rsid w:val="000725F5"/>
    <w:rsid w:val="00072AD2"/>
    <w:rsid w:val="000B1478"/>
    <w:rsid w:val="000C4690"/>
    <w:rsid w:val="000D25C4"/>
    <w:rsid w:val="0010512C"/>
    <w:rsid w:val="00134A67"/>
    <w:rsid w:val="00167174"/>
    <w:rsid w:val="00187267"/>
    <w:rsid w:val="001A0164"/>
    <w:rsid w:val="00200D6B"/>
    <w:rsid w:val="00265F6E"/>
    <w:rsid w:val="002876BF"/>
    <w:rsid w:val="002A4A7A"/>
    <w:rsid w:val="002A4BF3"/>
    <w:rsid w:val="002F7BB6"/>
    <w:rsid w:val="0031685C"/>
    <w:rsid w:val="003448B2"/>
    <w:rsid w:val="00361DB2"/>
    <w:rsid w:val="0037622E"/>
    <w:rsid w:val="00377102"/>
    <w:rsid w:val="00394EBB"/>
    <w:rsid w:val="0039709B"/>
    <w:rsid w:val="003D72DA"/>
    <w:rsid w:val="003F1F97"/>
    <w:rsid w:val="00404877"/>
    <w:rsid w:val="0041048F"/>
    <w:rsid w:val="00434304"/>
    <w:rsid w:val="00437D59"/>
    <w:rsid w:val="004610A4"/>
    <w:rsid w:val="004B29FF"/>
    <w:rsid w:val="004C7868"/>
    <w:rsid w:val="00503A3E"/>
    <w:rsid w:val="00527F02"/>
    <w:rsid w:val="005803E2"/>
    <w:rsid w:val="0058440A"/>
    <w:rsid w:val="00591983"/>
    <w:rsid w:val="00624A42"/>
    <w:rsid w:val="0065522F"/>
    <w:rsid w:val="006A30F7"/>
    <w:rsid w:val="006C42AD"/>
    <w:rsid w:val="00725345"/>
    <w:rsid w:val="00741CC0"/>
    <w:rsid w:val="007B512F"/>
    <w:rsid w:val="007F7512"/>
    <w:rsid w:val="00810894"/>
    <w:rsid w:val="008143AB"/>
    <w:rsid w:val="0083345F"/>
    <w:rsid w:val="00836667"/>
    <w:rsid w:val="008C2F11"/>
    <w:rsid w:val="008D78B9"/>
    <w:rsid w:val="008E3F85"/>
    <w:rsid w:val="009051E8"/>
    <w:rsid w:val="00914156"/>
    <w:rsid w:val="00916FF8"/>
    <w:rsid w:val="00922093"/>
    <w:rsid w:val="00930C85"/>
    <w:rsid w:val="009B38DA"/>
    <w:rsid w:val="009F2F53"/>
    <w:rsid w:val="009F4187"/>
    <w:rsid w:val="00A12E0F"/>
    <w:rsid w:val="00A51FAE"/>
    <w:rsid w:val="00A80845"/>
    <w:rsid w:val="00AB69F7"/>
    <w:rsid w:val="00AC1CFC"/>
    <w:rsid w:val="00AD097B"/>
    <w:rsid w:val="00AD64B9"/>
    <w:rsid w:val="00AE022B"/>
    <w:rsid w:val="00B009CC"/>
    <w:rsid w:val="00B06989"/>
    <w:rsid w:val="00B0782A"/>
    <w:rsid w:val="00B62B8C"/>
    <w:rsid w:val="00B63343"/>
    <w:rsid w:val="00B87FF7"/>
    <w:rsid w:val="00BA0B08"/>
    <w:rsid w:val="00BC0E82"/>
    <w:rsid w:val="00BD40F9"/>
    <w:rsid w:val="00C41C86"/>
    <w:rsid w:val="00C63A6C"/>
    <w:rsid w:val="00CA13AF"/>
    <w:rsid w:val="00CA1444"/>
    <w:rsid w:val="00CB1590"/>
    <w:rsid w:val="00CB7600"/>
    <w:rsid w:val="00CC0E9D"/>
    <w:rsid w:val="00CC3639"/>
    <w:rsid w:val="00D00B1D"/>
    <w:rsid w:val="00D00CB7"/>
    <w:rsid w:val="00D0200E"/>
    <w:rsid w:val="00D25F16"/>
    <w:rsid w:val="00E21CA9"/>
    <w:rsid w:val="00E31063"/>
    <w:rsid w:val="00E36FE9"/>
    <w:rsid w:val="00E73E98"/>
    <w:rsid w:val="00E75223"/>
    <w:rsid w:val="00E90D72"/>
    <w:rsid w:val="00EA0BE1"/>
    <w:rsid w:val="00EC23AC"/>
    <w:rsid w:val="00EC2992"/>
    <w:rsid w:val="00EC7ADD"/>
    <w:rsid w:val="00ED46A4"/>
    <w:rsid w:val="00ED6FD9"/>
    <w:rsid w:val="00EE3810"/>
    <w:rsid w:val="00F0579C"/>
    <w:rsid w:val="00F63C3B"/>
    <w:rsid w:val="00F959DB"/>
    <w:rsid w:val="00FF3F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rules v:ext="edit">
        <o:r id="V:Rule1" type="connector" idref="#_s1035">
          <o:proxy start="" idref="#_s1037" connectloc="0"/>
          <o:proxy end="" idref="#_s1036" connectloc="2"/>
        </o:r>
        <o:r id="V:Rule2" type="connector" idref="#_s1034">
          <o:proxy start="" idref="#_s1038" connectloc="0"/>
          <o:proxy end="" idref="#_s1036" connectloc="2"/>
        </o:r>
        <o:r id="V:Rule3" type="connector" idref="#_s1033">
          <o:proxy start="" idref="#_s1039" connectloc="0"/>
          <o:proxy end="" idref="#_s1036" connectloc="2"/>
        </o:r>
        <o:r id="V:Rule4" type="connector" idref="#_s1032">
          <o:proxy start="" idref="#_s1040" connectloc="0"/>
          <o:proxy end="" idref="#_s1039" connectloc="2"/>
        </o:r>
        <o:r id="V:Rule5" type="connector" idref="#_s1039"/>
        <o:r id="V:Rule6" type="connector" idref="#_s1039"/>
        <o:r id="V:Rule7" type="connector" idref="#_s1052">
          <o:proxy start="" idref="#_s1054" connectloc="0"/>
          <o:proxy end="" idref="#_s1053" connectloc="2"/>
        </o:r>
        <o:r id="V:Rule8" type="connector" idref="#_s1051">
          <o:proxy start="" idref="#_s1055" connectloc="0"/>
          <o:proxy end="" idref="#_s1053" connectloc="2"/>
        </o:r>
        <o:r id="V:Rule9" type="connector" idref="#_s1050">
          <o:proxy start="" idref="#_s1056" connectloc="0"/>
          <o:proxy end="" idref="#_s1053" connectloc="2"/>
        </o:r>
        <o:r id="V:Rule10" type="connector" idref="#_s1049">
          <o:proxy start="" idref="#_s1057" connectloc="0"/>
          <o:proxy end="" idref="#_s1056" connectloc="2"/>
        </o:r>
        <o:r id="V:Rule11" type="connector" idref="#_s1039"/>
        <o:r id="V:Rule12" type="connector" idref="#_s1039"/>
        <o:r id="V:Rule13" type="connector" idref="#_s1069">
          <o:proxy start="" idref="#_s1071" connectloc="0"/>
          <o:proxy end="" idref="#_s1070" connectloc="2"/>
        </o:r>
        <o:r id="V:Rule14" type="connector" idref="#_s1068">
          <o:proxy start="" idref="#_s1072" connectloc="0"/>
          <o:proxy end="" idref="#_s1070" connectloc="2"/>
        </o:r>
        <o:r id="V:Rule15" type="connector" idref="#_s1067">
          <o:proxy start="" idref="#_s1073" connectloc="0"/>
          <o:proxy end="" idref="#_s1070" connectloc="2"/>
        </o:r>
        <o:r id="V:Rule16" type="connector" idref="#_s1066">
          <o:proxy start="" idref="#_s1074" connectloc="0"/>
          <o:proxy end="" idref="#_s1073" connectloc="2"/>
        </o:r>
        <o:r id="V:Rule17" type="connector" idref="#_s1039"/>
        <o:r id="V:Rule18" type="connector" idref="#_s1039"/>
      </o:rules>
    </o:shapelayout>
  </w:shapeDefaults>
  <w:decimalSymbol w:val="."/>
  <w:listSeparator w:val=","/>
  <w14:docId w14:val="34E032B7"/>
  <w15:chartTrackingRefBased/>
  <w15:docId w15:val="{D47F24D4-AE7C-4E13-974E-5DECE458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link w:val="a6"/>
    <w:uiPriority w:val="99"/>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uiPriority w:val="99"/>
    <w:rsid w:val="003F1F97"/>
    <w:rPr>
      <w:color w:val="0000FF"/>
      <w:u w:val="single"/>
    </w:rPr>
  </w:style>
  <w:style w:type="table" w:styleId="a7">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8">
    <w:name w:val="annotation reference"/>
    <w:basedOn w:val="a0"/>
    <w:rsid w:val="00D00B1D"/>
    <w:rPr>
      <w:sz w:val="16"/>
      <w:szCs w:val="16"/>
    </w:rPr>
  </w:style>
  <w:style w:type="paragraph" w:styleId="a9">
    <w:name w:val="annotation text"/>
    <w:basedOn w:val="a"/>
    <w:link w:val="aa"/>
    <w:rsid w:val="00D00B1D"/>
    <w:rPr>
      <w:szCs w:val="20"/>
    </w:rPr>
  </w:style>
  <w:style w:type="character" w:customStyle="1" w:styleId="aa">
    <w:name w:val="טקסט הערה תו"/>
    <w:basedOn w:val="a0"/>
    <w:link w:val="a9"/>
    <w:rsid w:val="00D00B1D"/>
    <w:rPr>
      <w:rFonts w:cs="David"/>
    </w:rPr>
  </w:style>
  <w:style w:type="paragraph" w:styleId="ab">
    <w:name w:val="annotation subject"/>
    <w:basedOn w:val="a9"/>
    <w:next w:val="a9"/>
    <w:link w:val="ac"/>
    <w:rsid w:val="00D00B1D"/>
    <w:rPr>
      <w:b/>
      <w:bCs/>
    </w:rPr>
  </w:style>
  <w:style w:type="character" w:customStyle="1" w:styleId="ac">
    <w:name w:val="נושא הערה תו"/>
    <w:basedOn w:val="aa"/>
    <w:link w:val="ab"/>
    <w:rsid w:val="00D00B1D"/>
    <w:rPr>
      <w:rFonts w:cs="David"/>
      <w:b/>
      <w:bCs/>
    </w:rPr>
  </w:style>
  <w:style w:type="paragraph" w:styleId="ad">
    <w:name w:val="Balloon Text"/>
    <w:basedOn w:val="a"/>
    <w:link w:val="ae"/>
    <w:rsid w:val="00D00B1D"/>
    <w:rPr>
      <w:rFonts w:ascii="Tahoma" w:hAnsi="Tahoma" w:cs="Tahoma"/>
      <w:sz w:val="18"/>
      <w:szCs w:val="18"/>
    </w:rPr>
  </w:style>
  <w:style w:type="character" w:customStyle="1" w:styleId="ae">
    <w:name w:val="טקסט בלונים תו"/>
    <w:basedOn w:val="a0"/>
    <w:link w:val="ad"/>
    <w:rsid w:val="00D00B1D"/>
    <w:rPr>
      <w:rFonts w:ascii="Tahoma" w:hAnsi="Tahoma" w:cs="Tahoma"/>
      <w:sz w:val="18"/>
      <w:szCs w:val="18"/>
    </w:rPr>
  </w:style>
  <w:style w:type="paragraph" w:customStyle="1" w:styleId="Ruller4">
    <w:name w:val="Ruller 4 ממוספר"/>
    <w:basedOn w:val="Ruller41"/>
    <w:next w:val="Ruller41"/>
    <w:rsid w:val="0010512C"/>
    <w:pPr>
      <w:numPr>
        <w:numId w:val="11"/>
      </w:numPr>
    </w:pPr>
    <w:rPr>
      <w:rFonts w:ascii="Garamond" w:hAnsi="Garamond"/>
      <w:sz w:val="24"/>
    </w:rPr>
  </w:style>
  <w:style w:type="paragraph" w:customStyle="1" w:styleId="Ruller40">
    <w:name w:val="Ruller4 אלפביתי"/>
    <w:basedOn w:val="Ruller41"/>
    <w:next w:val="Ruller41"/>
    <w:rsid w:val="0010512C"/>
    <w:pPr>
      <w:numPr>
        <w:numId w:val="12"/>
      </w:numPr>
    </w:pPr>
  </w:style>
  <w:style w:type="paragraph" w:styleId="af">
    <w:name w:val="footnote text"/>
    <w:basedOn w:val="a"/>
    <w:link w:val="af0"/>
    <w:unhideWhenUsed/>
    <w:rsid w:val="0010512C"/>
    <w:pPr>
      <w:spacing w:line="360" w:lineRule="auto"/>
    </w:pPr>
    <w:rPr>
      <w:rFonts w:ascii="Century" w:hAnsi="Century" w:cs="FrankRuehl"/>
      <w:spacing w:val="10"/>
      <w:szCs w:val="20"/>
    </w:rPr>
  </w:style>
  <w:style w:type="character" w:customStyle="1" w:styleId="af0">
    <w:name w:val="טקסט הערת שוליים תו"/>
    <w:basedOn w:val="a0"/>
    <w:link w:val="af"/>
    <w:rsid w:val="0010512C"/>
    <w:rPr>
      <w:rFonts w:ascii="Century" w:hAnsi="Century" w:cs="FrankRuehl"/>
      <w:spacing w:val="10"/>
    </w:rPr>
  </w:style>
  <w:style w:type="character" w:styleId="af1">
    <w:name w:val="footnote reference"/>
    <w:unhideWhenUsed/>
    <w:rsid w:val="0010512C"/>
    <w:rPr>
      <w:vertAlign w:val="superscript"/>
    </w:rPr>
  </w:style>
  <w:style w:type="paragraph" w:styleId="af2">
    <w:name w:val="List Paragraph"/>
    <w:basedOn w:val="a"/>
    <w:uiPriority w:val="34"/>
    <w:qFormat/>
    <w:rsid w:val="0010512C"/>
    <w:pPr>
      <w:spacing w:line="360" w:lineRule="auto"/>
      <w:ind w:left="720"/>
    </w:pPr>
    <w:rPr>
      <w:rFonts w:ascii="Century" w:hAnsi="Century" w:cs="FrankRuehl"/>
      <w:spacing w:val="10"/>
      <w:szCs w:val="28"/>
    </w:rPr>
  </w:style>
  <w:style w:type="character" w:customStyle="1" w:styleId="default">
    <w:name w:val="default"/>
    <w:rsid w:val="0010512C"/>
    <w:rPr>
      <w:rFonts w:ascii="Times New Roman" w:hAnsi="Times New Roman" w:cs="Times New Roman"/>
      <w:sz w:val="26"/>
      <w:szCs w:val="26"/>
    </w:rPr>
  </w:style>
  <w:style w:type="paragraph" w:customStyle="1" w:styleId="ruller400">
    <w:name w:val="ruller40"/>
    <w:basedOn w:val="a"/>
    <w:rsid w:val="0010512C"/>
    <w:pPr>
      <w:overflowPunct/>
      <w:autoSpaceDE/>
      <w:autoSpaceDN/>
      <w:bidi w:val="0"/>
      <w:adjustRightInd/>
      <w:spacing w:before="100" w:beforeAutospacing="1" w:after="100" w:afterAutospacing="1"/>
      <w:textAlignment w:val="auto"/>
    </w:pPr>
    <w:rPr>
      <w:rFonts w:cs="Times New Roman"/>
      <w:sz w:val="24"/>
    </w:rPr>
  </w:style>
  <w:style w:type="paragraph" w:customStyle="1" w:styleId="af3">
    <w:name w:val="מספר הליך"/>
    <w:basedOn w:val="a"/>
    <w:rsid w:val="0010512C"/>
    <w:pPr>
      <w:spacing w:after="240" w:line="280" w:lineRule="exact"/>
      <w:ind w:firstLine="284"/>
      <w:jc w:val="right"/>
      <w:textAlignment w:val="auto"/>
    </w:pPr>
    <w:rPr>
      <w:rFonts w:cs="FrankRuehl"/>
      <w:szCs w:val="28"/>
      <w:lang w:eastAsia="he-IL"/>
    </w:rPr>
  </w:style>
  <w:style w:type="character" w:customStyle="1" w:styleId="a6">
    <w:name w:val="כותרת עליונה תו"/>
    <w:link w:val="a5"/>
    <w:uiPriority w:val="99"/>
    <w:rsid w:val="0010512C"/>
    <w:rPr>
      <w:rFonts w:cs="David"/>
      <w:szCs w:val="24"/>
    </w:rPr>
  </w:style>
  <w:style w:type="paragraph" w:customStyle="1" w:styleId="p00">
    <w:name w:val="p00"/>
    <w:basedOn w:val="a"/>
    <w:rsid w:val="0010512C"/>
    <w:pPr>
      <w:overflowPunct/>
      <w:autoSpaceDE/>
      <w:autoSpaceDN/>
      <w:bidi w:val="0"/>
      <w:adjustRightInd/>
      <w:spacing w:before="100" w:beforeAutospacing="1" w:after="100" w:afterAutospacing="1"/>
      <w:textAlignment w:val="auto"/>
    </w:pPr>
    <w:rPr>
      <w:rFonts w:cs="Times New Roman"/>
      <w:sz w:val="24"/>
    </w:rPr>
  </w:style>
  <w:style w:type="character" w:customStyle="1" w:styleId="big-number">
    <w:name w:val="big-number"/>
    <w:rsid w:val="0010512C"/>
  </w:style>
  <w:style w:type="character" w:customStyle="1" w:styleId="Ruller42">
    <w:name w:val="Ruller4 תו"/>
    <w:link w:val="Ruller41"/>
    <w:locked/>
    <w:rsid w:val="0010512C"/>
    <w:rPr>
      <w:rFonts w:ascii="Arial TUR" w:hAnsi="Arial TUR" w:cs="FrankRuehl"/>
      <w:spacing w:val="10"/>
      <w:sz w:val="22"/>
      <w:szCs w:val="28"/>
    </w:rPr>
  </w:style>
  <w:style w:type="paragraph" w:customStyle="1" w:styleId="big-header">
    <w:name w:val="big-header"/>
    <w:basedOn w:val="a"/>
    <w:rsid w:val="0010512C"/>
    <w:pPr>
      <w:keepNext/>
      <w:keepLines/>
      <w:widowControl w:val="0"/>
      <w:tabs>
        <w:tab w:val="left" w:pos="624"/>
        <w:tab w:val="left" w:pos="1021"/>
        <w:tab w:val="left" w:pos="1474"/>
        <w:tab w:val="left" w:pos="1928"/>
        <w:tab w:val="left" w:pos="2381"/>
        <w:tab w:val="left" w:pos="2835"/>
      </w:tabs>
      <w:suppressAutoHyphens/>
      <w:overflowPunct/>
      <w:adjustRightInd/>
      <w:spacing w:before="440" w:after="120"/>
      <w:ind w:left="2835"/>
      <w:jc w:val="center"/>
      <w:textAlignment w:val="auto"/>
    </w:pPr>
    <w:rPr>
      <w:rFonts w:cs="Times New Roman"/>
      <w:noProof/>
      <w:szCs w:val="32"/>
      <w:lang w:eastAsia="he-IL"/>
    </w:rPr>
  </w:style>
  <w:style w:type="paragraph" w:customStyle="1" w:styleId="filenumber00">
    <w:name w:val="filenumber0"/>
    <w:basedOn w:val="a"/>
    <w:rsid w:val="0010512C"/>
    <w:pPr>
      <w:adjustRightInd/>
      <w:spacing w:line="360" w:lineRule="auto"/>
      <w:textAlignment w:val="auto"/>
    </w:pPr>
    <w:rPr>
      <w:rFonts w:cs="Times New Roman"/>
      <w:szCs w:val="20"/>
    </w:rPr>
  </w:style>
  <w:style w:type="paragraph" w:customStyle="1" w:styleId="P02">
    <w:name w:val="P02"/>
    <w:basedOn w:val="p00"/>
    <w:rsid w:val="0010512C"/>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beforeAutospacing="0" w:after="0" w:afterAutospacing="0"/>
      <w:ind w:left="2835" w:right="1021" w:hanging="1021"/>
      <w:jc w:val="both"/>
    </w:pPr>
    <w:rPr>
      <w:noProof/>
      <w:sz w:val="20"/>
      <w:szCs w:val="26"/>
      <w:lang w:eastAsia="he-IL"/>
    </w:rPr>
  </w:style>
  <w:style w:type="paragraph" w:styleId="af4">
    <w:name w:val="endnote text"/>
    <w:basedOn w:val="a"/>
    <w:link w:val="af5"/>
    <w:unhideWhenUsed/>
    <w:rsid w:val="0010512C"/>
    <w:pPr>
      <w:spacing w:line="360" w:lineRule="auto"/>
    </w:pPr>
    <w:rPr>
      <w:rFonts w:ascii="Century" w:hAnsi="Century" w:cs="FrankRuehl"/>
      <w:spacing w:val="10"/>
      <w:szCs w:val="20"/>
    </w:rPr>
  </w:style>
  <w:style w:type="character" w:customStyle="1" w:styleId="af5">
    <w:name w:val="טקסט הערת סיום תו"/>
    <w:basedOn w:val="a0"/>
    <w:link w:val="af4"/>
    <w:rsid w:val="0010512C"/>
    <w:rPr>
      <w:rFonts w:ascii="Century" w:hAnsi="Century" w:cs="FrankRuehl"/>
      <w:spacing w:val="10"/>
    </w:rPr>
  </w:style>
  <w:style w:type="character" w:styleId="af6">
    <w:name w:val="endnote reference"/>
    <w:unhideWhenUsed/>
    <w:rsid w:val="001051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preme.court.gov.i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5418</Words>
  <Characters>25325</Characters>
  <Application>Microsoft Office Word</Application>
  <DocSecurity>0</DocSecurity>
  <Lines>588</Lines>
  <Paragraphs>112</Paragraphs>
  <ScaleCrop>false</ScaleCrop>
  <HeadingPairs>
    <vt:vector size="2" baseType="variant">
      <vt:variant>
        <vt:lpstr>שם</vt:lpstr>
      </vt:variant>
      <vt:variant>
        <vt:i4>1</vt:i4>
      </vt:variant>
    </vt:vector>
  </HeadingPairs>
  <TitlesOfParts>
    <vt:vector size="1" baseType="lpstr">
      <vt:lpstr>פסק-דין בתיק ע"א  7481/17</vt:lpstr>
    </vt:vector>
  </TitlesOfParts>
  <Company/>
  <LinksUpToDate>false</LinksUpToDate>
  <CharactersWithSpaces>30631</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2019-08-26T09:47:31Z</cp:lastPrinted>
  <dcterms:created xsi:type="dcterms:W3CDTF">2019-08-26T09:47:31Z</dcterms:created>
  <dcterms:modified xsi:type="dcterms:W3CDTF">2019-08-26T09:47:31Z</dcterms:modified>
</cp:coreProperties>
</file>