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36227" w:rsidTr="00955122">
        <w:tc>
          <w:tcPr>
            <w:tcW w:w="8363" w:type="dxa"/>
          </w:tcPr>
          <w:p w:rsidR="00916FF8" w:rsidRPr="00624A42" w:rsidRDefault="00820A3C"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75" w:type="dxa"/>
        <w:tblLook w:val="0000" w:firstRow="0" w:lastRow="0" w:firstColumn="0" w:lastColumn="0" w:noHBand="0" w:noVBand="0"/>
      </w:tblPr>
      <w:tblGrid>
        <w:gridCol w:w="3210"/>
        <w:gridCol w:w="5154"/>
        <w:gridCol w:w="11"/>
      </w:tblGrid>
      <w:tr w:rsidR="00036227" w:rsidTr="00955ABD">
        <w:trPr>
          <w:trHeight w:val="328"/>
        </w:trPr>
        <w:tc>
          <w:tcPr>
            <w:tcW w:w="8375" w:type="dxa"/>
            <w:gridSpan w:val="3"/>
          </w:tcPr>
          <w:p w:rsidR="00916FF8" w:rsidRDefault="00820A3C">
            <w:pPr>
              <w:pStyle w:val="FileNumber"/>
              <w:rPr>
                <w:sz w:val="28"/>
                <w:szCs w:val="28"/>
                <w:rtl/>
              </w:rPr>
            </w:pPr>
            <w:bookmarkStart w:id="0" w:name="casename_body"/>
            <w:r>
              <w:rPr>
                <w:sz w:val="28"/>
                <w:szCs w:val="28"/>
                <w:rtl/>
              </w:rPr>
              <w:t>ע"א  9838/17</w:t>
            </w:r>
          </w:p>
          <w:p w:rsidR="00955ABD" w:rsidRPr="00810894" w:rsidRDefault="00955ABD" w:rsidP="00955ABD">
            <w:pPr>
              <w:pStyle w:val="FileNumber"/>
              <w:jc w:val="left"/>
              <w:rPr>
                <w:sz w:val="28"/>
                <w:szCs w:val="28"/>
                <w:rtl/>
              </w:rPr>
            </w:pPr>
          </w:p>
        </w:tc>
      </w:tr>
      <w:bookmarkEnd w:id="0"/>
      <w:tr w:rsidR="00955ABD" w:rsidTr="00955ABD">
        <w:trPr>
          <w:gridAfter w:val="1"/>
          <w:wAfter w:w="11" w:type="dxa"/>
          <w:trHeight w:val="287"/>
        </w:trPr>
        <w:tc>
          <w:tcPr>
            <w:tcW w:w="3210" w:type="dxa"/>
          </w:tcPr>
          <w:p w:rsidR="00955ABD" w:rsidRDefault="00955ABD" w:rsidP="00B253A9">
            <w:pPr>
              <w:pStyle w:val="BodyRuller"/>
              <w:rPr>
                <w:rFonts w:ascii="David" w:hAnsi="David"/>
                <w:rtl/>
              </w:rPr>
            </w:pPr>
            <w:r>
              <w:rPr>
                <w:rFonts w:ascii="David" w:hAnsi="David" w:hint="cs"/>
                <w:rtl/>
              </w:rPr>
              <w:t>לפני:</w:t>
            </w:r>
          </w:p>
        </w:tc>
        <w:tc>
          <w:tcPr>
            <w:tcW w:w="5154" w:type="dxa"/>
          </w:tcPr>
          <w:p w:rsidR="00955ABD" w:rsidRDefault="00955ABD" w:rsidP="00B253A9">
            <w:pPr>
              <w:pStyle w:val="BodyRuller"/>
              <w:rPr>
                <w:rtl/>
              </w:rPr>
            </w:pPr>
            <w:r>
              <w:rPr>
                <w:rFonts w:hint="cs"/>
                <w:rtl/>
              </w:rPr>
              <w:t>כבוד השופטת ע' ברון</w:t>
            </w:r>
          </w:p>
          <w:p w:rsidR="00955ABD" w:rsidRDefault="00955ABD" w:rsidP="00B253A9">
            <w:pPr>
              <w:pStyle w:val="BodyRuller"/>
              <w:rPr>
                <w:rtl/>
              </w:rPr>
            </w:pPr>
            <w:r>
              <w:rPr>
                <w:rFonts w:hint="cs"/>
                <w:rtl/>
              </w:rPr>
              <w:t>כבוד השופט י' אלרון</w:t>
            </w:r>
          </w:p>
          <w:p w:rsidR="00955ABD" w:rsidRDefault="00955ABD" w:rsidP="00B253A9">
            <w:pPr>
              <w:pStyle w:val="BodyRuller"/>
              <w:rPr>
                <w:rtl/>
              </w:rPr>
            </w:pPr>
            <w:r>
              <w:rPr>
                <w:rFonts w:hint="cs"/>
                <w:rtl/>
              </w:rPr>
              <w:t xml:space="preserve">כבוד השופט ע' </w:t>
            </w:r>
            <w:proofErr w:type="spellStart"/>
            <w:r>
              <w:rPr>
                <w:rFonts w:hint="cs"/>
                <w:rtl/>
              </w:rPr>
              <w:t>גרוסקוף</w:t>
            </w:r>
            <w:proofErr w:type="spellEnd"/>
          </w:p>
        </w:tc>
      </w:tr>
      <w:tr w:rsidR="00955ABD" w:rsidTr="00955ABD">
        <w:trPr>
          <w:gridAfter w:val="1"/>
          <w:wAfter w:w="11" w:type="dxa"/>
          <w:trHeight w:val="287"/>
        </w:trPr>
        <w:tc>
          <w:tcPr>
            <w:tcW w:w="3210" w:type="dxa"/>
          </w:tcPr>
          <w:p w:rsidR="00955ABD" w:rsidRDefault="00955ABD" w:rsidP="00B253A9">
            <w:pPr>
              <w:pStyle w:val="BodyRuller"/>
              <w:rPr>
                <w:rFonts w:ascii="David" w:hAnsi="David"/>
                <w:rtl/>
              </w:rPr>
            </w:pPr>
          </w:p>
        </w:tc>
        <w:tc>
          <w:tcPr>
            <w:tcW w:w="5154" w:type="dxa"/>
          </w:tcPr>
          <w:p w:rsidR="00955ABD" w:rsidRDefault="00955ABD" w:rsidP="00B253A9">
            <w:pPr>
              <w:pStyle w:val="BodyRuller"/>
              <w:rPr>
                <w:rtl/>
              </w:rPr>
            </w:pPr>
          </w:p>
        </w:tc>
      </w:tr>
      <w:tr w:rsidR="006D2037" w:rsidTr="00955ABD">
        <w:trPr>
          <w:gridAfter w:val="1"/>
          <w:wAfter w:w="11" w:type="dxa"/>
          <w:trHeight w:val="287"/>
        </w:trPr>
        <w:tc>
          <w:tcPr>
            <w:tcW w:w="3210" w:type="dxa"/>
          </w:tcPr>
          <w:p w:rsidR="006D2037" w:rsidRPr="00E75223" w:rsidRDefault="006D2037" w:rsidP="00B253A9">
            <w:pPr>
              <w:pStyle w:val="BodyRuller"/>
              <w:rPr>
                <w:rFonts w:ascii="David" w:hAnsi="David"/>
              </w:rPr>
            </w:pPr>
            <w:r>
              <w:rPr>
                <w:rFonts w:ascii="David" w:hAnsi="David"/>
                <w:rtl/>
              </w:rPr>
              <w:t>המערער</w:t>
            </w:r>
            <w:r>
              <w:rPr>
                <w:rFonts w:ascii="David" w:hAnsi="David" w:hint="cs"/>
                <w:rtl/>
              </w:rPr>
              <w:t>ת</w:t>
            </w:r>
            <w:r>
              <w:rPr>
                <w:rFonts w:ascii="David" w:hAnsi="David"/>
                <w:rtl/>
              </w:rPr>
              <w:t>:</w:t>
            </w:r>
          </w:p>
        </w:tc>
        <w:tc>
          <w:tcPr>
            <w:tcW w:w="5154" w:type="dxa"/>
          </w:tcPr>
          <w:p w:rsidR="006D2037" w:rsidRDefault="006D2037" w:rsidP="00B253A9">
            <w:pPr>
              <w:pStyle w:val="BodyRuller"/>
            </w:pPr>
            <w:r>
              <w:rPr>
                <w:rtl/>
              </w:rPr>
              <w:t>גבע</w:t>
            </w:r>
            <w:r>
              <w:rPr>
                <w:rFonts w:hint="cs"/>
                <w:rtl/>
              </w:rPr>
              <w:t>ו</w:t>
            </w:r>
            <w:r>
              <w:rPr>
                <w:rtl/>
              </w:rPr>
              <w:t xml:space="preserve">ת דוד השקעות </w:t>
            </w:r>
            <w:r>
              <w:rPr>
                <w:rFonts w:hint="cs"/>
                <w:rtl/>
              </w:rPr>
              <w:t>ו</w:t>
            </w:r>
            <w:r>
              <w:rPr>
                <w:rtl/>
              </w:rPr>
              <w:t>נדל"ן בע"מ</w:t>
            </w:r>
          </w:p>
        </w:tc>
      </w:tr>
    </w:tbl>
    <w:p w:rsidR="006D2037" w:rsidRPr="006D2037" w:rsidRDefault="006D2037" w:rsidP="006D2037">
      <w:pPr>
        <w:pStyle w:val="Ruller3"/>
        <w:spacing w:line="240" w:lineRule="auto"/>
      </w:pPr>
    </w:p>
    <w:tbl>
      <w:tblPr>
        <w:bidiVisual/>
        <w:tblW w:w="8363" w:type="dxa"/>
        <w:tblLook w:val="0000" w:firstRow="0" w:lastRow="0" w:firstColumn="0" w:lastColumn="0" w:noHBand="0" w:noVBand="0"/>
      </w:tblPr>
      <w:tblGrid>
        <w:gridCol w:w="3222"/>
        <w:gridCol w:w="5141"/>
      </w:tblGrid>
      <w:tr w:rsidR="006D2037" w:rsidTr="00B253A9">
        <w:tc>
          <w:tcPr>
            <w:tcW w:w="3284" w:type="dxa"/>
          </w:tcPr>
          <w:p w:rsidR="006D2037" w:rsidRDefault="006D2037" w:rsidP="00B253A9">
            <w:pPr>
              <w:pStyle w:val="BodyRuller"/>
            </w:pPr>
          </w:p>
        </w:tc>
        <w:tc>
          <w:tcPr>
            <w:tcW w:w="5238" w:type="dxa"/>
          </w:tcPr>
          <w:p w:rsidR="006D2037" w:rsidRDefault="006D2037" w:rsidP="00B253A9">
            <w:pPr>
              <w:pStyle w:val="BodyRuller"/>
            </w:pPr>
            <w:r>
              <w:rPr>
                <w:rFonts w:hint="cs"/>
                <w:rtl/>
              </w:rPr>
              <w:t>נ</w:t>
            </w:r>
            <w:r>
              <w:t xml:space="preserve">  </w:t>
            </w:r>
            <w:r>
              <w:rPr>
                <w:rFonts w:hint="cs"/>
                <w:rtl/>
              </w:rPr>
              <w:t>ג</w:t>
            </w:r>
            <w:r>
              <w:t xml:space="preserve">  </w:t>
            </w:r>
            <w:r>
              <w:rPr>
                <w:rFonts w:hint="cs"/>
                <w:rtl/>
              </w:rPr>
              <w:t>ד</w:t>
            </w:r>
          </w:p>
        </w:tc>
      </w:tr>
    </w:tbl>
    <w:p w:rsidR="006D2037" w:rsidRDefault="006D2037" w:rsidP="006D2037">
      <w:pPr>
        <w:pStyle w:val="Ruller3"/>
        <w:spacing w:line="240" w:lineRule="auto"/>
        <w:rPr>
          <w:rtl/>
        </w:rPr>
      </w:pPr>
    </w:p>
    <w:tbl>
      <w:tblPr>
        <w:bidiVisual/>
        <w:tblW w:w="8364" w:type="dxa"/>
        <w:tblLayout w:type="fixed"/>
        <w:tblLook w:val="0000" w:firstRow="0" w:lastRow="0" w:firstColumn="0" w:lastColumn="0" w:noHBand="0" w:noVBand="0"/>
      </w:tblPr>
      <w:tblGrid>
        <w:gridCol w:w="3210"/>
        <w:gridCol w:w="5154"/>
      </w:tblGrid>
      <w:tr w:rsidR="006D2037" w:rsidTr="00B253A9">
        <w:trPr>
          <w:trHeight w:val="287"/>
        </w:trPr>
        <w:tc>
          <w:tcPr>
            <w:tcW w:w="3261" w:type="dxa"/>
          </w:tcPr>
          <w:p w:rsidR="006D2037" w:rsidRPr="00E75223" w:rsidRDefault="006D2037" w:rsidP="00B253A9">
            <w:pPr>
              <w:pStyle w:val="BodyRuller"/>
              <w:rPr>
                <w:rFonts w:ascii="David" w:hAnsi="David"/>
              </w:rPr>
            </w:pPr>
            <w:r>
              <w:rPr>
                <w:rFonts w:ascii="David" w:hAnsi="David"/>
                <w:rtl/>
              </w:rPr>
              <w:t>המשיב:</w:t>
            </w:r>
          </w:p>
        </w:tc>
        <w:tc>
          <w:tcPr>
            <w:tcW w:w="5239" w:type="dxa"/>
          </w:tcPr>
          <w:p w:rsidR="006D2037" w:rsidRDefault="006D2037" w:rsidP="00B253A9">
            <w:pPr>
              <w:pStyle w:val="BodyRuller"/>
            </w:pPr>
            <w:r>
              <w:rPr>
                <w:rtl/>
              </w:rPr>
              <w:t>מנהל מע"מ –</w:t>
            </w:r>
            <w:r>
              <w:rPr>
                <w:rFonts w:hint="cs"/>
                <w:rtl/>
              </w:rPr>
              <w:t xml:space="preserve"> </w:t>
            </w:r>
            <w:r>
              <w:rPr>
                <w:rtl/>
              </w:rPr>
              <w:t>תל</w:t>
            </w:r>
            <w:r>
              <w:rPr>
                <w:rFonts w:hint="cs"/>
                <w:rtl/>
              </w:rPr>
              <w:t xml:space="preserve"> </w:t>
            </w:r>
            <w:r>
              <w:rPr>
                <w:rtl/>
              </w:rPr>
              <w:t>אביב</w:t>
            </w:r>
            <w:r>
              <w:rPr>
                <w:rFonts w:hint="cs"/>
                <w:rtl/>
              </w:rPr>
              <w:t>-</w:t>
            </w:r>
            <w:r>
              <w:rPr>
                <w:rtl/>
              </w:rPr>
              <w:t>יפו</w:t>
            </w:r>
          </w:p>
        </w:tc>
      </w:tr>
      <w:tr w:rsidR="006D2037" w:rsidTr="00B253A9">
        <w:trPr>
          <w:trHeight w:val="287"/>
        </w:trPr>
        <w:tc>
          <w:tcPr>
            <w:tcW w:w="3261" w:type="dxa"/>
          </w:tcPr>
          <w:p w:rsidR="006D2037" w:rsidRDefault="006D2037" w:rsidP="00B253A9">
            <w:pPr>
              <w:pStyle w:val="BodyRuller"/>
              <w:rPr>
                <w:rFonts w:ascii="David" w:hAnsi="David"/>
                <w:rtl/>
              </w:rPr>
            </w:pPr>
          </w:p>
        </w:tc>
        <w:tc>
          <w:tcPr>
            <w:tcW w:w="5239" w:type="dxa"/>
          </w:tcPr>
          <w:p w:rsidR="006D2037" w:rsidRDefault="006D2037" w:rsidP="00B253A9">
            <w:pPr>
              <w:pStyle w:val="BodyRuller"/>
              <w:rPr>
                <w:rtl/>
              </w:rPr>
            </w:pPr>
          </w:p>
        </w:tc>
      </w:tr>
      <w:tr w:rsidR="006D2037" w:rsidTr="00B253A9">
        <w:trPr>
          <w:trHeight w:val="287"/>
        </w:trPr>
        <w:tc>
          <w:tcPr>
            <w:tcW w:w="3261" w:type="dxa"/>
          </w:tcPr>
          <w:p w:rsidR="006D2037" w:rsidRDefault="006D2037" w:rsidP="00B253A9">
            <w:pPr>
              <w:pStyle w:val="BodyRuller"/>
              <w:rPr>
                <w:rFonts w:ascii="David" w:hAnsi="David"/>
                <w:rtl/>
              </w:rPr>
            </w:pPr>
          </w:p>
        </w:tc>
        <w:tc>
          <w:tcPr>
            <w:tcW w:w="5239" w:type="dxa"/>
          </w:tcPr>
          <w:p w:rsidR="006D2037" w:rsidRDefault="006D2037" w:rsidP="000A695A">
            <w:pPr>
              <w:pStyle w:val="BodyRuller"/>
              <w:jc w:val="both"/>
              <w:rPr>
                <w:rtl/>
              </w:rPr>
            </w:pPr>
            <w:r w:rsidRPr="003A01C2">
              <w:rPr>
                <w:rFonts w:hint="cs"/>
                <w:sz w:val="24"/>
                <w:szCs w:val="24"/>
                <w:rtl/>
              </w:rPr>
              <w:t xml:space="preserve">ערעור על פסק דינו של בית המשפט </w:t>
            </w:r>
            <w:r w:rsidR="00DB1288">
              <w:rPr>
                <w:sz w:val="24"/>
                <w:szCs w:val="24"/>
                <w:rtl/>
              </w:rPr>
              <w:t>המחוזי תל אביב-יפו</w:t>
            </w:r>
            <w:r w:rsidR="00DB1288">
              <w:rPr>
                <w:rFonts w:hint="cs"/>
                <w:sz w:val="24"/>
                <w:szCs w:val="24"/>
                <w:rtl/>
              </w:rPr>
              <w:t xml:space="preserve"> </w:t>
            </w:r>
            <w:r w:rsidRPr="003A01C2">
              <w:rPr>
                <w:sz w:val="24"/>
                <w:szCs w:val="24"/>
                <w:rtl/>
              </w:rPr>
              <w:t xml:space="preserve">מיום </w:t>
            </w:r>
            <w:r w:rsidRPr="003A01C2">
              <w:rPr>
                <w:rFonts w:hint="cs"/>
                <w:sz w:val="24"/>
                <w:szCs w:val="24"/>
                <w:rtl/>
              </w:rPr>
              <w:t>14.9.2017</w:t>
            </w:r>
            <w:r w:rsidRPr="003A01C2">
              <w:rPr>
                <w:sz w:val="24"/>
                <w:szCs w:val="24"/>
                <w:rtl/>
              </w:rPr>
              <w:t xml:space="preserve"> </w:t>
            </w:r>
            <w:r>
              <w:rPr>
                <w:rFonts w:hint="cs"/>
                <w:sz w:val="24"/>
                <w:szCs w:val="24"/>
                <w:rtl/>
              </w:rPr>
              <w:t>ב</w:t>
            </w:r>
            <w:r w:rsidRPr="003A01C2">
              <w:rPr>
                <w:rFonts w:hint="cs"/>
                <w:sz w:val="24"/>
                <w:szCs w:val="24"/>
                <w:rtl/>
              </w:rPr>
              <w:t>ע"מ</w:t>
            </w:r>
            <w:r w:rsidRPr="003A01C2">
              <w:rPr>
                <w:sz w:val="24"/>
                <w:szCs w:val="24"/>
                <w:rtl/>
              </w:rPr>
              <w:t xml:space="preserve"> 17720-01-16</w:t>
            </w:r>
            <w:r w:rsidR="00DB1288">
              <w:rPr>
                <w:rFonts w:hint="cs"/>
                <w:sz w:val="24"/>
                <w:szCs w:val="24"/>
                <w:rtl/>
              </w:rPr>
              <w:t xml:space="preserve"> שניתן על ידי </w:t>
            </w:r>
            <w:r w:rsidR="00DB1288" w:rsidRPr="003A01C2">
              <w:rPr>
                <w:rFonts w:hint="cs"/>
                <w:sz w:val="24"/>
                <w:szCs w:val="24"/>
                <w:rtl/>
              </w:rPr>
              <w:t>כב</w:t>
            </w:r>
            <w:r w:rsidR="00DB1288">
              <w:rPr>
                <w:rFonts w:hint="cs"/>
                <w:sz w:val="24"/>
                <w:szCs w:val="24"/>
                <w:rtl/>
              </w:rPr>
              <w:t>'</w:t>
            </w:r>
            <w:r w:rsidR="00DB1288" w:rsidRPr="003A01C2">
              <w:rPr>
                <w:rFonts w:hint="cs"/>
                <w:sz w:val="24"/>
                <w:szCs w:val="24"/>
                <w:rtl/>
              </w:rPr>
              <w:t xml:space="preserve"> השופטת</w:t>
            </w:r>
            <w:r w:rsidR="00DB1288">
              <w:rPr>
                <w:rFonts w:hint="cs"/>
                <w:sz w:val="24"/>
                <w:szCs w:val="24"/>
                <w:rtl/>
              </w:rPr>
              <w:t xml:space="preserve"> ירדנה סרוסי</w:t>
            </w:r>
          </w:p>
        </w:tc>
      </w:tr>
    </w:tbl>
    <w:p w:rsidR="006D2037" w:rsidRPr="003A01C2" w:rsidRDefault="006D2037" w:rsidP="006D2037">
      <w:pPr>
        <w:pStyle w:val="Ruller3"/>
        <w:spacing w:line="240" w:lineRule="auto"/>
      </w:pPr>
      <w:r>
        <w:rPr>
          <w:rtl/>
        </w:rPr>
        <w:tab/>
      </w:r>
    </w:p>
    <w:p w:rsidR="006D2037" w:rsidRPr="006D2037" w:rsidRDefault="006D2037" w:rsidP="006D2037">
      <w:pPr>
        <w:pStyle w:val="Ruller3"/>
        <w:spacing w:line="240" w:lineRule="auto"/>
        <w:rPr>
          <w:b/>
          <w:bCs/>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6D2037" w:rsidTr="00B253A9">
        <w:tc>
          <w:tcPr>
            <w:tcW w:w="3212" w:type="dxa"/>
            <w:tcBorders>
              <w:top w:val="nil"/>
              <w:left w:val="nil"/>
              <w:bottom w:val="nil"/>
              <w:right w:val="nil"/>
            </w:tcBorders>
          </w:tcPr>
          <w:p w:rsidR="006D2037" w:rsidRPr="00265F6E" w:rsidRDefault="006D2037" w:rsidP="00B253A9">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6D2037" w:rsidRPr="00B85295" w:rsidRDefault="006D2037" w:rsidP="00B253A9">
            <w:pPr>
              <w:pStyle w:val="BodyRuller"/>
              <w:rPr>
                <w:rFonts w:ascii="David" w:hAnsi="David"/>
                <w:rtl/>
              </w:rPr>
            </w:pPr>
            <w:r w:rsidRPr="00B85295">
              <w:rPr>
                <w:rFonts w:ascii="David" w:hAnsi="David"/>
                <w:sz w:val="26"/>
                <w:szCs w:val="26"/>
                <w:rtl/>
              </w:rPr>
              <w:t xml:space="preserve">י"ג באייר </w:t>
            </w:r>
            <w:proofErr w:type="spellStart"/>
            <w:r w:rsidRPr="00B85295">
              <w:rPr>
                <w:rFonts w:ascii="David" w:hAnsi="David"/>
                <w:sz w:val="26"/>
                <w:szCs w:val="26"/>
                <w:rtl/>
              </w:rPr>
              <w:t>התש"ף</w:t>
            </w:r>
            <w:proofErr w:type="spellEnd"/>
          </w:p>
        </w:tc>
        <w:tc>
          <w:tcPr>
            <w:tcW w:w="2694" w:type="dxa"/>
            <w:tcBorders>
              <w:top w:val="nil"/>
              <w:left w:val="nil"/>
              <w:bottom w:val="nil"/>
              <w:right w:val="nil"/>
            </w:tcBorders>
          </w:tcPr>
          <w:p w:rsidR="006D2037" w:rsidRPr="00B85295" w:rsidRDefault="006D2037" w:rsidP="00B253A9">
            <w:pPr>
              <w:pStyle w:val="BodyRuller"/>
              <w:rPr>
                <w:rFonts w:ascii="David" w:hAnsi="David"/>
                <w:sz w:val="24"/>
                <w:szCs w:val="24"/>
                <w:rtl/>
              </w:rPr>
            </w:pPr>
            <w:r w:rsidRPr="00B85295">
              <w:rPr>
                <w:rFonts w:ascii="David" w:hAnsi="David"/>
              </w:rPr>
              <w:t xml:space="preserve">(7.5.2020) </w:t>
            </w:r>
          </w:p>
        </w:tc>
      </w:tr>
    </w:tbl>
    <w:p w:rsidR="006D2037" w:rsidRDefault="006D2037" w:rsidP="006D2037">
      <w:pPr>
        <w:pStyle w:val="Ruller3"/>
        <w:spacing w:line="240" w:lineRule="auto"/>
        <w:rPr>
          <w:rtl/>
        </w:rPr>
      </w:pPr>
    </w:p>
    <w:p w:rsidR="00CE50CB" w:rsidRDefault="00CE50CB" w:rsidP="006D2037">
      <w:pPr>
        <w:pStyle w:val="Ruller3"/>
        <w:spacing w:line="240" w:lineRule="auto"/>
      </w:pPr>
    </w:p>
    <w:tbl>
      <w:tblPr>
        <w:bidiVisual/>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5099"/>
      </w:tblGrid>
      <w:tr w:rsidR="006D2037" w:rsidRPr="00CE50CB" w:rsidTr="00CE50CB">
        <w:tc>
          <w:tcPr>
            <w:tcW w:w="3186" w:type="dxa"/>
            <w:tcBorders>
              <w:top w:val="nil"/>
              <w:left w:val="nil"/>
              <w:bottom w:val="nil"/>
              <w:right w:val="nil"/>
            </w:tcBorders>
          </w:tcPr>
          <w:p w:rsidR="006D2037" w:rsidRPr="00CE50CB" w:rsidRDefault="006D2037" w:rsidP="00CE50CB">
            <w:pPr>
              <w:pStyle w:val="BodyRuller"/>
              <w:rPr>
                <w:rFonts w:ascii="David" w:hAnsi="David"/>
              </w:rPr>
            </w:pPr>
            <w:bookmarkStart w:id="1" w:name="lawyers_a_title"/>
            <w:r w:rsidRPr="00CE50CB">
              <w:rPr>
                <w:rFonts w:ascii="David" w:hAnsi="David"/>
                <w:rtl/>
              </w:rPr>
              <w:t>בשם המערערת:</w:t>
            </w:r>
          </w:p>
        </w:tc>
        <w:tc>
          <w:tcPr>
            <w:tcW w:w="5099" w:type="dxa"/>
            <w:tcBorders>
              <w:top w:val="nil"/>
              <w:left w:val="nil"/>
              <w:bottom w:val="nil"/>
              <w:right w:val="nil"/>
            </w:tcBorders>
          </w:tcPr>
          <w:p w:rsidR="006D2037" w:rsidRPr="00CE50CB" w:rsidRDefault="006D2037" w:rsidP="00CE50CB">
            <w:pPr>
              <w:pStyle w:val="BodyRuller"/>
              <w:rPr>
                <w:rFonts w:ascii="David" w:hAnsi="David"/>
              </w:rPr>
            </w:pPr>
            <w:r w:rsidRPr="00CE50CB">
              <w:rPr>
                <w:rFonts w:ascii="David" w:hAnsi="David"/>
                <w:rtl/>
              </w:rPr>
              <w:t>עו"ד יעקב קסטל</w:t>
            </w:r>
            <w:r w:rsidRPr="00CE50CB">
              <w:rPr>
                <w:rFonts w:ascii="David" w:hAnsi="David"/>
                <w:rtl/>
              </w:rPr>
              <w:tab/>
            </w:r>
          </w:p>
        </w:tc>
      </w:tr>
      <w:tr w:rsidR="006D2037" w:rsidRPr="003A01C2" w:rsidTr="00CE50CB">
        <w:tc>
          <w:tcPr>
            <w:tcW w:w="3186" w:type="dxa"/>
            <w:tcBorders>
              <w:top w:val="nil"/>
              <w:left w:val="nil"/>
              <w:bottom w:val="nil"/>
              <w:right w:val="nil"/>
            </w:tcBorders>
          </w:tcPr>
          <w:p w:rsidR="006D2037" w:rsidRPr="003A01C2" w:rsidRDefault="006D2037" w:rsidP="00B253A9">
            <w:pPr>
              <w:pStyle w:val="ruller31"/>
              <w:rPr>
                <w:rFonts w:ascii="David" w:hAnsi="David"/>
                <w:sz w:val="28"/>
                <w:szCs w:val="28"/>
                <w:rtl/>
              </w:rPr>
            </w:pPr>
          </w:p>
        </w:tc>
        <w:tc>
          <w:tcPr>
            <w:tcW w:w="5099" w:type="dxa"/>
            <w:tcBorders>
              <w:top w:val="nil"/>
              <w:left w:val="nil"/>
              <w:bottom w:val="nil"/>
              <w:right w:val="nil"/>
            </w:tcBorders>
          </w:tcPr>
          <w:p w:rsidR="006D2037" w:rsidRPr="003A01C2" w:rsidRDefault="006D2037" w:rsidP="00B253A9">
            <w:pPr>
              <w:pStyle w:val="precasestyle"/>
              <w:ind w:right="0"/>
              <w:rPr>
                <w:rFonts w:ascii="David" w:hAnsi="David" w:cs="David"/>
                <w:sz w:val="28"/>
                <w:szCs w:val="28"/>
                <w:rtl/>
              </w:rPr>
            </w:pPr>
          </w:p>
        </w:tc>
      </w:tr>
      <w:tr w:rsidR="006D2037" w:rsidRPr="003A01C2" w:rsidTr="00CE50CB">
        <w:tc>
          <w:tcPr>
            <w:tcW w:w="3186" w:type="dxa"/>
            <w:tcBorders>
              <w:top w:val="nil"/>
              <w:left w:val="nil"/>
              <w:bottom w:val="nil"/>
              <w:right w:val="nil"/>
            </w:tcBorders>
          </w:tcPr>
          <w:p w:rsidR="006D2037" w:rsidRPr="003A01C2" w:rsidRDefault="006D2037" w:rsidP="006D2037">
            <w:pPr>
              <w:pStyle w:val="ruller31"/>
              <w:rPr>
                <w:rFonts w:ascii="David" w:hAnsi="David"/>
                <w:sz w:val="28"/>
                <w:szCs w:val="28"/>
              </w:rPr>
            </w:pPr>
            <w:bookmarkStart w:id="2" w:name="lawyers_b_title"/>
            <w:bookmarkEnd w:id="1"/>
            <w:r w:rsidRPr="003A01C2">
              <w:rPr>
                <w:rFonts w:ascii="David" w:hAnsi="David"/>
                <w:sz w:val="28"/>
                <w:szCs w:val="28"/>
                <w:rtl/>
              </w:rPr>
              <w:t>בשם המשיב:</w:t>
            </w:r>
          </w:p>
        </w:tc>
        <w:tc>
          <w:tcPr>
            <w:tcW w:w="5099" w:type="dxa"/>
            <w:tcBorders>
              <w:top w:val="nil"/>
              <w:left w:val="nil"/>
              <w:bottom w:val="nil"/>
              <w:right w:val="nil"/>
            </w:tcBorders>
          </w:tcPr>
          <w:p w:rsidR="006D2037" w:rsidRPr="003A01C2" w:rsidRDefault="006D2037" w:rsidP="00B253A9">
            <w:pPr>
              <w:pStyle w:val="precasestyle"/>
              <w:ind w:right="0"/>
              <w:rPr>
                <w:rFonts w:ascii="David" w:hAnsi="David" w:cs="David"/>
                <w:sz w:val="28"/>
                <w:szCs w:val="28"/>
              </w:rPr>
            </w:pPr>
            <w:r w:rsidRPr="003A01C2">
              <w:rPr>
                <w:rFonts w:ascii="David" w:hAnsi="David" w:cs="David"/>
                <w:sz w:val="28"/>
                <w:szCs w:val="28"/>
                <w:rtl/>
              </w:rPr>
              <w:t xml:space="preserve">עו"ד עודד </w:t>
            </w:r>
            <w:proofErr w:type="spellStart"/>
            <w:r w:rsidRPr="003A01C2">
              <w:rPr>
                <w:rFonts w:ascii="David" w:hAnsi="David" w:cs="David"/>
                <w:sz w:val="28"/>
                <w:szCs w:val="28"/>
                <w:rtl/>
              </w:rPr>
              <w:t>טאובר</w:t>
            </w:r>
            <w:proofErr w:type="spellEnd"/>
            <w:r w:rsidRPr="003A01C2">
              <w:rPr>
                <w:rFonts w:ascii="David" w:hAnsi="David" w:cs="David"/>
                <w:sz w:val="28"/>
                <w:szCs w:val="28"/>
                <w:rtl/>
              </w:rPr>
              <w:tab/>
            </w:r>
          </w:p>
        </w:tc>
      </w:tr>
      <w:bookmarkEnd w:id="2"/>
    </w:tbl>
    <w:p w:rsidR="00B27E36" w:rsidRDefault="00B27E36">
      <w:pPr>
        <w:tabs>
          <w:tab w:val="left" w:pos="2552"/>
        </w:tabs>
        <w:rPr>
          <w:rtl/>
        </w:rPr>
      </w:pPr>
    </w:p>
    <w:p w:rsidR="00547B3F" w:rsidRDefault="00547B3F">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820A3C">
            <w:pPr>
              <w:pStyle w:val="DocumentHead"/>
            </w:pPr>
            <w:bookmarkStart w:id="3" w:name="secretary"/>
            <w:bookmarkStart w:id="4" w:name="BeginProtocol"/>
            <w:bookmarkEnd w:id="3"/>
            <w:bookmarkEnd w:id="4"/>
            <w:r>
              <w:rPr>
                <w:rtl/>
              </w:rPr>
              <w:t>פסק-דין</w:t>
            </w:r>
          </w:p>
        </w:tc>
      </w:tr>
    </w:tbl>
    <w:p w:rsidR="0065522F" w:rsidRDefault="0065522F">
      <w:pPr>
        <w:pStyle w:val="BODYVERDICT"/>
      </w:pPr>
    </w:p>
    <w:p w:rsidR="00916FF8" w:rsidRPr="00503A3E" w:rsidRDefault="00820A3C">
      <w:pPr>
        <w:pStyle w:val="BODYVERDICT"/>
        <w:rPr>
          <w:rFonts w:cs="Miriam"/>
          <w:sz w:val="24"/>
          <w:szCs w:val="24"/>
          <w:u w:val="single"/>
          <w:rtl/>
        </w:rPr>
      </w:pPr>
      <w:bookmarkStart w:id="5" w:name="Writer_Name"/>
      <w:bookmarkEnd w:id="5"/>
      <w:r>
        <w:rPr>
          <w:rFonts w:cs="Miriam"/>
          <w:sz w:val="24"/>
          <w:szCs w:val="24"/>
          <w:u w:val="single"/>
          <w:rtl/>
        </w:rPr>
        <w:t>השופט ע' גרוסקופף:</w:t>
      </w:r>
    </w:p>
    <w:p w:rsidR="000B1478" w:rsidRDefault="000B1478" w:rsidP="00A51FAE">
      <w:pPr>
        <w:pStyle w:val="Ruller41"/>
        <w:rPr>
          <w:rtl/>
        </w:rPr>
      </w:pPr>
      <w:bookmarkStart w:id="6" w:name="Start_Write"/>
      <w:bookmarkEnd w:id="6"/>
    </w:p>
    <w:p w:rsidR="006E1F18" w:rsidRPr="00781C39" w:rsidRDefault="006E1F18" w:rsidP="006E1F18">
      <w:pPr>
        <w:pStyle w:val="Ruller4"/>
        <w:numPr>
          <w:ilvl w:val="0"/>
          <w:numId w:val="0"/>
        </w:numPr>
        <w:rPr>
          <w:rtl/>
        </w:rPr>
      </w:pPr>
      <w:r>
        <w:rPr>
          <w:rtl/>
        </w:rPr>
        <w:tab/>
      </w:r>
      <w:r>
        <w:rPr>
          <w:rFonts w:hint="cs"/>
          <w:rtl/>
        </w:rPr>
        <w:t xml:space="preserve">לפנינו ערעור על פסק דינו של בית המשפט המחוזי בתל אביב-יפו (כב' השופטת </w:t>
      </w:r>
      <w:r w:rsidRPr="00CB2A9C">
        <w:rPr>
          <w:rFonts w:ascii="Century" w:hAnsi="Century" w:cs="Miriam" w:hint="cs"/>
          <w:b/>
          <w:spacing w:val="0"/>
          <w:sz w:val="22"/>
          <w:szCs w:val="24"/>
          <w:rtl/>
        </w:rPr>
        <w:t>ירדנה סרוסי</w:t>
      </w:r>
      <w:r>
        <w:rPr>
          <w:rFonts w:hint="cs"/>
          <w:rtl/>
        </w:rPr>
        <w:t>) בע"מ 17720-01-16 מיום 14.9.2017 (להלן: "</w:t>
      </w:r>
      <w:r w:rsidRPr="00363CF9">
        <w:rPr>
          <w:rFonts w:ascii="Century" w:hAnsi="Century" w:cs="Miriam" w:hint="eastAsia"/>
          <w:b/>
          <w:spacing w:val="0"/>
          <w:sz w:val="22"/>
          <w:szCs w:val="24"/>
          <w:rtl/>
        </w:rPr>
        <w:t>פסק</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הדין</w:t>
      </w:r>
      <w:r>
        <w:rPr>
          <w:rFonts w:hint="cs"/>
          <w:rtl/>
        </w:rPr>
        <w:t xml:space="preserve">"), במסגרתו נדחה ערעור מס שהגישה המערערת על שומת מס עסקאות לשנת 2013 (בסכום של כ-3 מיליון ש"ח) ועל שומת מס תשומות לשנים 2013-2011 (בסכום של כ-50 אלף ש"ח) שהוציא המשיב למערערת (להלן: </w:t>
      </w:r>
      <w:r w:rsidRPr="000D4F08">
        <w:rPr>
          <w:rFonts w:ascii="Century" w:hAnsi="Century" w:cs="Miriam" w:hint="cs"/>
          <w:b/>
          <w:spacing w:val="0"/>
          <w:sz w:val="22"/>
          <w:szCs w:val="24"/>
          <w:rtl/>
        </w:rPr>
        <w:t>"ערעור המס"</w:t>
      </w:r>
      <w:r>
        <w:rPr>
          <w:rFonts w:hint="cs"/>
          <w:rtl/>
        </w:rPr>
        <w:t>).</w:t>
      </w:r>
    </w:p>
    <w:p w:rsidR="00547B3F" w:rsidRDefault="00547B3F" w:rsidP="006E1F18">
      <w:pPr>
        <w:pStyle w:val="Ruller41"/>
        <w:rPr>
          <w:rtl/>
        </w:rPr>
      </w:pPr>
    </w:p>
    <w:p w:rsidR="006E1F18" w:rsidRPr="00CE3191" w:rsidRDefault="006E1F18" w:rsidP="006E1F18">
      <w:pPr>
        <w:pStyle w:val="Ruller41"/>
        <w:rPr>
          <w:rFonts w:ascii="Century" w:hAnsi="Century" w:cs="Miriam"/>
          <w:b/>
          <w:spacing w:val="0"/>
          <w:szCs w:val="24"/>
          <w:rtl/>
        </w:rPr>
      </w:pPr>
      <w:r>
        <w:rPr>
          <w:rFonts w:ascii="Century" w:hAnsi="Century" w:cs="Miriam" w:hint="cs"/>
          <w:b/>
          <w:spacing w:val="0"/>
          <w:szCs w:val="24"/>
          <w:rtl/>
        </w:rPr>
        <w:t>העובדות הצריכות לעניין</w:t>
      </w:r>
    </w:p>
    <w:p w:rsidR="006E1F18" w:rsidRDefault="006E1F18" w:rsidP="006E1F18">
      <w:pPr>
        <w:pStyle w:val="Ruller41"/>
        <w:rPr>
          <w:rtl/>
        </w:rPr>
      </w:pPr>
    </w:p>
    <w:p w:rsidR="006E1F18" w:rsidRDefault="006E1F18" w:rsidP="006E1F18">
      <w:pPr>
        <w:pStyle w:val="Ruller4"/>
        <w:rPr>
          <w:rtl/>
        </w:rPr>
      </w:pPr>
      <w:r>
        <w:rPr>
          <w:rFonts w:hint="cs"/>
          <w:rtl/>
        </w:rPr>
        <w:t>ביום 30.1.2007 התקשרה המערערת, גבעות דוד השקעות ונדל"ן בע"מ (להלן: ״</w:t>
      </w:r>
      <w:r w:rsidRPr="004125F0">
        <w:rPr>
          <w:rFonts w:ascii="Century" w:hAnsi="Century" w:cs="Miriam" w:hint="eastAsia"/>
          <w:b/>
          <w:spacing w:val="0"/>
          <w:sz w:val="22"/>
          <w:szCs w:val="24"/>
          <w:rtl/>
        </w:rPr>
        <w:t>המערע</w:t>
      </w:r>
      <w:r>
        <w:rPr>
          <w:rFonts w:ascii="Century" w:hAnsi="Century" w:cs="Miriam" w:hint="cs"/>
          <w:b/>
          <w:spacing w:val="0"/>
          <w:sz w:val="22"/>
          <w:szCs w:val="24"/>
          <w:rtl/>
        </w:rPr>
        <w:t>רת</w:t>
      </w:r>
      <w:r>
        <w:rPr>
          <w:rFonts w:hint="cs"/>
          <w:rtl/>
        </w:rPr>
        <w:t>״), בהסכם עם מוכרים פרטיים לרכישת בניין ברחוב הירקון 82, תל אביב, אשר כלל 15 דירות ב-4 קומות (להלן: "</w:t>
      </w:r>
      <w:r w:rsidRPr="002565B7">
        <w:rPr>
          <w:rFonts w:ascii="Century" w:hAnsi="Century" w:cs="Miriam" w:hint="cs"/>
          <w:b/>
          <w:spacing w:val="0"/>
          <w:sz w:val="22"/>
          <w:szCs w:val="24"/>
          <w:rtl/>
        </w:rPr>
        <w:t>הבניין</w:t>
      </w:r>
      <w:r>
        <w:rPr>
          <w:rFonts w:ascii="Century" w:hAnsi="Century" w:cs="Miriam" w:hint="cs"/>
          <w:b/>
          <w:spacing w:val="0"/>
          <w:sz w:val="22"/>
          <w:szCs w:val="24"/>
          <w:rtl/>
        </w:rPr>
        <w:t xml:space="preserve"> הישן</w:t>
      </w:r>
      <w:r>
        <w:rPr>
          <w:rFonts w:hint="cs"/>
          <w:rtl/>
        </w:rPr>
        <w:t xml:space="preserve">"). בהתאם להיתר שניתן על ידי </w:t>
      </w:r>
      <w:r>
        <w:rPr>
          <w:rFonts w:hint="cs"/>
          <w:rtl/>
        </w:rPr>
        <w:lastRenderedPageBreak/>
        <w:t>עיריית תל אביב, ניתן היה להרוס את הבניין הישן ולהקים תחתיו בניין חדש בן 6 קומות ובו 12 דירות.</w:t>
      </w:r>
    </w:p>
    <w:p w:rsidR="006E1F18" w:rsidRDefault="006E1F18" w:rsidP="006E1F18">
      <w:pPr>
        <w:pStyle w:val="Ruller41"/>
        <w:rPr>
          <w:rtl/>
        </w:rPr>
      </w:pPr>
    </w:p>
    <w:p w:rsidR="006E1F18" w:rsidRDefault="006E1F18" w:rsidP="006E1F18">
      <w:pPr>
        <w:pStyle w:val="Ruller4"/>
        <w:rPr>
          <w:rtl/>
        </w:rPr>
      </w:pPr>
      <w:r>
        <w:rPr>
          <w:rFonts w:hint="cs"/>
          <w:rtl/>
        </w:rPr>
        <w:t>שנה מאוחר יותר, ביום 30.1.2008, התקשרה המערערת עם שני יחידים שיש לה עימם יחסים מיוחדים בהסכמים למכירת 6 דירות בבניין הישן (להלן: "</w:t>
      </w:r>
      <w:r w:rsidRPr="00AB5F01">
        <w:rPr>
          <w:rFonts w:ascii="Century" w:hAnsi="Century" w:cs="Miriam" w:hint="cs"/>
          <w:b/>
          <w:spacing w:val="0"/>
          <w:sz w:val="22"/>
          <w:szCs w:val="24"/>
          <w:rtl/>
        </w:rPr>
        <w:t>הסכמי המכר</w:t>
      </w:r>
      <w:r>
        <w:rPr>
          <w:rFonts w:hint="cs"/>
          <w:rtl/>
        </w:rPr>
        <w:t xml:space="preserve">"): 3 דירות נמכרו למר חיים </w:t>
      </w:r>
      <w:proofErr w:type="spellStart"/>
      <w:r>
        <w:rPr>
          <w:rFonts w:hint="cs"/>
          <w:rtl/>
        </w:rPr>
        <w:t>אלקובי</w:t>
      </w:r>
      <w:proofErr w:type="spellEnd"/>
      <w:r>
        <w:rPr>
          <w:rFonts w:hint="cs"/>
          <w:rtl/>
        </w:rPr>
        <w:t>, בעל עניין במערערת (להלן: "</w:t>
      </w:r>
      <w:proofErr w:type="spellStart"/>
      <w:r w:rsidRPr="001D633B">
        <w:rPr>
          <w:rFonts w:ascii="Century" w:hAnsi="Century" w:cs="Miriam" w:hint="cs"/>
          <w:b/>
          <w:spacing w:val="0"/>
          <w:sz w:val="22"/>
          <w:szCs w:val="24"/>
          <w:rtl/>
        </w:rPr>
        <w:t>אלקובי</w:t>
      </w:r>
      <w:proofErr w:type="spellEnd"/>
      <w:r>
        <w:rPr>
          <w:rFonts w:hint="cs"/>
          <w:rtl/>
        </w:rPr>
        <w:t xml:space="preserve">"), ו-3 דירות נמכרו למר סמי </w:t>
      </w:r>
      <w:proofErr w:type="spellStart"/>
      <w:r>
        <w:rPr>
          <w:rFonts w:hint="cs"/>
          <w:rtl/>
        </w:rPr>
        <w:t>מרציאנו</w:t>
      </w:r>
      <w:proofErr w:type="spellEnd"/>
      <w:r>
        <w:rPr>
          <w:rFonts w:hint="cs"/>
          <w:rtl/>
        </w:rPr>
        <w:t xml:space="preserve">, מייסד המערערת ובעל השליטה בה (להלן: </w:t>
      </w:r>
      <w:r>
        <w:rPr>
          <w:rFonts w:ascii="Century" w:hAnsi="Century" w:cs="Miriam" w:hint="cs"/>
          <w:b/>
          <w:spacing w:val="0"/>
          <w:sz w:val="22"/>
          <w:szCs w:val="24"/>
          <w:rtl/>
        </w:rPr>
        <w:t>"</w:t>
      </w:r>
      <w:proofErr w:type="spellStart"/>
      <w:r w:rsidRPr="001D633B">
        <w:rPr>
          <w:rFonts w:ascii="Century" w:hAnsi="Century" w:cs="Miriam" w:hint="cs"/>
          <w:b/>
          <w:spacing w:val="0"/>
          <w:sz w:val="22"/>
          <w:szCs w:val="24"/>
          <w:rtl/>
        </w:rPr>
        <w:t>מרציאנו</w:t>
      </w:r>
      <w:proofErr w:type="spellEnd"/>
      <w:r>
        <w:rPr>
          <w:rFonts w:hint="cs"/>
          <w:rtl/>
        </w:rPr>
        <w:t>"). מחיר המכירה בעבור 6 הדירות יחד עמד על 8.1 מיליון ש"ח, בעוד הן נרכשו על ידי המערערת בסך של 7.3 מיליון ש"ח.</w:t>
      </w:r>
    </w:p>
    <w:p w:rsidR="006E1F18" w:rsidRDefault="006E1F18" w:rsidP="006E1F18">
      <w:pPr>
        <w:pStyle w:val="Ruller41"/>
        <w:rPr>
          <w:rtl/>
        </w:rPr>
      </w:pPr>
    </w:p>
    <w:p w:rsidR="006E1F18" w:rsidRDefault="006E1F18" w:rsidP="00F27498">
      <w:pPr>
        <w:pStyle w:val="Ruller4"/>
        <w:rPr>
          <w:rtl/>
        </w:rPr>
      </w:pPr>
      <w:r>
        <w:rPr>
          <w:rFonts w:hint="cs"/>
          <w:rtl/>
        </w:rPr>
        <w:t xml:space="preserve">בסמוך להתקשרות בהסכמי המכר ולאחריהם, נחתמו בין המערערת,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שלושה הסכמים נוספים, כדלקמן: ביום 30.1.2008, במועד חתימת הסכמי המכר, התקשרו הצדדים גם בהסכם חלוקה ושיתוף, במסגרתו הסמיכו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את המערערת לעשות כל שנדרש לצורך מיצוים האופטימאלי של המקרקעין עליהם ניצב הבניין הישן (להלן: "</w:t>
      </w:r>
      <w:r>
        <w:rPr>
          <w:rFonts w:ascii="Century" w:hAnsi="Century" w:cs="Miriam" w:hint="cs"/>
          <w:b/>
          <w:spacing w:val="0"/>
          <w:sz w:val="22"/>
          <w:szCs w:val="24"/>
          <w:rtl/>
        </w:rPr>
        <w:t>ה</w:t>
      </w:r>
      <w:r w:rsidRPr="002565B7">
        <w:rPr>
          <w:rFonts w:ascii="Century" w:hAnsi="Century" w:cs="Miriam" w:hint="cs"/>
          <w:b/>
          <w:spacing w:val="0"/>
          <w:sz w:val="22"/>
          <w:szCs w:val="24"/>
          <w:rtl/>
        </w:rPr>
        <w:t>הסכם ה</w:t>
      </w:r>
      <w:r>
        <w:rPr>
          <w:rFonts w:ascii="Century" w:hAnsi="Century" w:cs="Miriam" w:hint="cs"/>
          <w:b/>
          <w:spacing w:val="0"/>
          <w:sz w:val="22"/>
          <w:szCs w:val="24"/>
          <w:rtl/>
        </w:rPr>
        <w:t>ראשון</w:t>
      </w:r>
      <w:r>
        <w:rPr>
          <w:rFonts w:hint="cs"/>
          <w:rtl/>
        </w:rPr>
        <w:t xml:space="preserve">"); בחלוף כחודש, ביום 24.2.2008, חתמו הצדדים על הסכם שיתוף פעולה, בגדרו הוסכם כי הבניין הישן ייהרס ותחתיו ייבנה בניין חדש (להלן: </w:t>
      </w:r>
      <w:r w:rsidRPr="002C1478">
        <w:rPr>
          <w:rFonts w:ascii="Miriam" w:hAnsi="Miriam" w:cs="Miriam"/>
          <w:sz w:val="20"/>
          <w:szCs w:val="24"/>
          <w:rtl/>
        </w:rPr>
        <w:t>"</w:t>
      </w:r>
      <w:r w:rsidRPr="004125F0">
        <w:rPr>
          <w:rFonts w:ascii="Century" w:hAnsi="Century" w:cs="Miriam" w:hint="eastAsia"/>
          <w:b/>
          <w:spacing w:val="0"/>
          <w:sz w:val="22"/>
          <w:szCs w:val="24"/>
          <w:rtl/>
        </w:rPr>
        <w:t>הבניין</w:t>
      </w:r>
      <w:r w:rsidRPr="004125F0">
        <w:rPr>
          <w:rFonts w:ascii="Century" w:hAnsi="Century" w:cs="Miriam"/>
          <w:b/>
          <w:spacing w:val="0"/>
          <w:sz w:val="22"/>
          <w:szCs w:val="24"/>
          <w:rtl/>
        </w:rPr>
        <w:t xml:space="preserve"> </w:t>
      </w:r>
      <w:r w:rsidRPr="004125F0">
        <w:rPr>
          <w:rFonts w:ascii="Century" w:hAnsi="Century" w:cs="Miriam" w:hint="eastAsia"/>
          <w:b/>
          <w:spacing w:val="0"/>
          <w:sz w:val="22"/>
          <w:szCs w:val="24"/>
          <w:rtl/>
        </w:rPr>
        <w:t>החדש</w:t>
      </w:r>
      <w:r w:rsidRPr="002C1478">
        <w:rPr>
          <w:rFonts w:ascii="Miriam" w:hAnsi="Miriam" w:cs="Miriam"/>
          <w:sz w:val="20"/>
          <w:szCs w:val="24"/>
          <w:rtl/>
        </w:rPr>
        <w:t>"</w:t>
      </w:r>
      <w:r>
        <w:rPr>
          <w:rFonts w:hint="cs"/>
          <w:rtl/>
        </w:rPr>
        <w:t xml:space="preserve">), וכי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יקבלו בו דירות ששטחן העיקרי יהיה זהה לשטח הדירות שרכשו בבניין הישן, ובנוסף הוסכם כי המערערת תתקשר בהסכמים עם ספקים ונותני שירותים לצורך הקמת הבניין החדש, ותחייב את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בחלקם היחסי בעלויות שירותי הבנייה (להלן: "</w:t>
      </w:r>
      <w:r w:rsidRPr="002565B7">
        <w:rPr>
          <w:rFonts w:ascii="Century" w:hAnsi="Century" w:cs="Miriam" w:hint="cs"/>
          <w:b/>
          <w:spacing w:val="0"/>
          <w:sz w:val="22"/>
          <w:szCs w:val="24"/>
          <w:rtl/>
        </w:rPr>
        <w:t>ה</w:t>
      </w:r>
      <w:r>
        <w:rPr>
          <w:rFonts w:ascii="Century" w:hAnsi="Century" w:cs="Miriam" w:hint="cs"/>
          <w:b/>
          <w:spacing w:val="0"/>
          <w:sz w:val="22"/>
          <w:szCs w:val="24"/>
          <w:rtl/>
        </w:rPr>
        <w:t>ה</w:t>
      </w:r>
      <w:r w:rsidRPr="002565B7">
        <w:rPr>
          <w:rFonts w:ascii="Century" w:hAnsi="Century" w:cs="Miriam" w:hint="cs"/>
          <w:b/>
          <w:spacing w:val="0"/>
          <w:sz w:val="22"/>
          <w:szCs w:val="24"/>
          <w:rtl/>
        </w:rPr>
        <w:t xml:space="preserve">סכם </w:t>
      </w:r>
      <w:r>
        <w:rPr>
          <w:rFonts w:ascii="Century" w:hAnsi="Century" w:cs="Miriam" w:hint="cs"/>
          <w:b/>
          <w:spacing w:val="0"/>
          <w:sz w:val="22"/>
          <w:szCs w:val="24"/>
          <w:rtl/>
        </w:rPr>
        <w:t>השני</w:t>
      </w:r>
      <w:r>
        <w:rPr>
          <w:rFonts w:hint="cs"/>
          <w:rtl/>
        </w:rPr>
        <w:t xml:space="preserve">"); כשנה וחצי מאוחר יותר, ביום 18.10.2009, התקשרו הצדדים בהסכם שיתוף וחלוקה על פיו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יקבלו כל אחד 2 דירות בבניין החדש</w:t>
      </w:r>
      <w:r w:rsidR="00F27498">
        <w:rPr>
          <w:rFonts w:hint="cs"/>
          <w:rtl/>
        </w:rPr>
        <w:t xml:space="preserve"> (להלן: </w:t>
      </w:r>
      <w:r w:rsidR="00F27498" w:rsidRPr="002C1478">
        <w:rPr>
          <w:rFonts w:ascii="Miriam" w:hAnsi="Miriam" w:cs="Miriam"/>
          <w:sz w:val="20"/>
          <w:szCs w:val="24"/>
          <w:rtl/>
        </w:rPr>
        <w:t>"</w:t>
      </w:r>
      <w:r w:rsidR="00F27498" w:rsidRPr="004125F0">
        <w:rPr>
          <w:rFonts w:ascii="Century" w:hAnsi="Century" w:cs="Miriam" w:hint="eastAsia"/>
          <w:b/>
          <w:spacing w:val="0"/>
          <w:sz w:val="22"/>
          <w:szCs w:val="24"/>
          <w:rtl/>
        </w:rPr>
        <w:t>ה</w:t>
      </w:r>
      <w:r w:rsidR="00F27498">
        <w:rPr>
          <w:rFonts w:ascii="Century" w:hAnsi="Century" w:cs="Miriam" w:hint="cs"/>
          <w:b/>
          <w:spacing w:val="0"/>
          <w:sz w:val="22"/>
          <w:szCs w:val="24"/>
          <w:rtl/>
        </w:rPr>
        <w:t>דירות החדשות</w:t>
      </w:r>
      <w:r w:rsidR="00F27498" w:rsidRPr="002C1478">
        <w:rPr>
          <w:rFonts w:ascii="Miriam" w:hAnsi="Miriam" w:cs="Miriam"/>
          <w:sz w:val="20"/>
          <w:szCs w:val="24"/>
          <w:rtl/>
        </w:rPr>
        <w:t>"</w:t>
      </w:r>
      <w:r w:rsidR="00F27498">
        <w:rPr>
          <w:rFonts w:hint="cs"/>
          <w:rtl/>
        </w:rPr>
        <w:t>),</w:t>
      </w:r>
      <w:r>
        <w:rPr>
          <w:rFonts w:hint="cs"/>
          <w:rtl/>
        </w:rPr>
        <w:t xml:space="preserve"> בקומות גבוהות יותר בהשוואה לדירות שרכשו בבניין הישן (להלן: "</w:t>
      </w:r>
      <w:r w:rsidRPr="002565B7">
        <w:rPr>
          <w:rFonts w:ascii="Century" w:hAnsi="Century" w:cs="Miriam" w:hint="cs"/>
          <w:b/>
          <w:spacing w:val="0"/>
          <w:sz w:val="22"/>
          <w:szCs w:val="24"/>
          <w:rtl/>
        </w:rPr>
        <w:t>ה</w:t>
      </w:r>
      <w:r>
        <w:rPr>
          <w:rFonts w:ascii="Century" w:hAnsi="Century" w:cs="Miriam" w:hint="cs"/>
          <w:b/>
          <w:spacing w:val="0"/>
          <w:sz w:val="22"/>
          <w:szCs w:val="24"/>
          <w:rtl/>
        </w:rPr>
        <w:t>ה</w:t>
      </w:r>
      <w:r w:rsidRPr="002565B7">
        <w:rPr>
          <w:rFonts w:ascii="Century" w:hAnsi="Century" w:cs="Miriam" w:hint="cs"/>
          <w:b/>
          <w:spacing w:val="0"/>
          <w:sz w:val="22"/>
          <w:szCs w:val="24"/>
          <w:rtl/>
        </w:rPr>
        <w:t xml:space="preserve">סכם </w:t>
      </w:r>
      <w:r>
        <w:rPr>
          <w:rFonts w:ascii="Century" w:hAnsi="Century" w:cs="Miriam" w:hint="cs"/>
          <w:b/>
          <w:spacing w:val="0"/>
          <w:sz w:val="22"/>
          <w:szCs w:val="24"/>
          <w:rtl/>
        </w:rPr>
        <w:t>השלישי</w:t>
      </w:r>
      <w:r>
        <w:rPr>
          <w:rFonts w:hint="cs"/>
          <w:rtl/>
        </w:rPr>
        <w:t>").</w:t>
      </w:r>
    </w:p>
    <w:p w:rsidR="006E1F18" w:rsidRPr="000356B8" w:rsidRDefault="006E1F18" w:rsidP="006E1F18">
      <w:pPr>
        <w:pStyle w:val="Ruller41"/>
        <w:rPr>
          <w:rtl/>
        </w:rPr>
      </w:pPr>
    </w:p>
    <w:p w:rsidR="006E1F18" w:rsidRDefault="006E1F18" w:rsidP="006E1F18">
      <w:pPr>
        <w:pStyle w:val="Ruller4"/>
        <w:rPr>
          <w:rtl/>
        </w:rPr>
      </w:pPr>
      <w:r>
        <w:rPr>
          <w:rFonts w:hint="cs"/>
          <w:rtl/>
        </w:rPr>
        <w:t xml:space="preserve">ביני לביני, בחודש אפריל 2008, נהרס הבניין הישן, וכשנה מאוחר יותר התקשרה המערערת עם נותני שירותים לצורך ביצוע העבודות לבניית הבניין החדש. בחלוף כמה שנים נוספות, ביום 14.10.2013, ניתן טופס 4 לבניין החדש, ובסמוך לאחר מכן הועמדו הדירות החדשות לרשות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w:t>
      </w:r>
    </w:p>
    <w:p w:rsidR="006E1F18" w:rsidRPr="00E90060" w:rsidRDefault="006E1F18" w:rsidP="006E1F18">
      <w:pPr>
        <w:pStyle w:val="Ruller41"/>
      </w:pPr>
    </w:p>
    <w:p w:rsidR="006E1F18" w:rsidRDefault="006E1F18" w:rsidP="006E1F18">
      <w:pPr>
        <w:pStyle w:val="Ruller4"/>
        <w:rPr>
          <w:rtl/>
        </w:rPr>
      </w:pPr>
      <w:r>
        <w:rPr>
          <w:rFonts w:hint="cs"/>
          <w:rtl/>
        </w:rPr>
        <w:t xml:space="preserve">לשלמות התמונה יצוין כי בסמוך למועד עריכת הסכמי המכר, דיווחו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למנהל מיסוי מקרקעין תל אביב (להלן: </w:t>
      </w:r>
      <w:r>
        <w:rPr>
          <w:rFonts w:ascii="Century" w:hAnsi="Century" w:cs="Miriam" w:hint="cs"/>
          <w:b/>
          <w:spacing w:val="0"/>
          <w:sz w:val="22"/>
          <w:szCs w:val="24"/>
          <w:rtl/>
        </w:rPr>
        <w:t>"מנהל המיסוי</w:t>
      </w:r>
      <w:r w:rsidRPr="000E7EA2">
        <w:rPr>
          <w:rFonts w:ascii="Century" w:hAnsi="Century" w:cs="Miriam"/>
          <w:b/>
          <w:spacing w:val="0"/>
          <w:sz w:val="22"/>
          <w:szCs w:val="24"/>
          <w:rtl/>
        </w:rPr>
        <w:t>"</w:t>
      </w:r>
      <w:r>
        <w:rPr>
          <w:rFonts w:hint="cs"/>
          <w:rtl/>
        </w:rPr>
        <w:t xml:space="preserve">) על רכישת הדירות והצהירו על מס הרכישה בגינן. מנהל המיסוי דחה דיווח זה מהטעם המרכזי שהוא אינו משקף את שווי השוק של הדירות החדשות שנמכרו בפועל. לאחר דין ודברים בין הצדדים </w:t>
      </w:r>
      <w:r>
        <w:rPr>
          <w:rFonts w:hint="cs"/>
          <w:rtl/>
        </w:rPr>
        <w:lastRenderedPageBreak/>
        <w:t xml:space="preserve">לאותו הליך, ביום 31.3.2013 חתמו הם על הסכם פשרה, לפיו שווי הדירות החדשות יעמוד על סכום של 4.375 ש״ח עבור כל דירה (להלן: </w:t>
      </w:r>
      <w:r w:rsidRPr="000E7EA2">
        <w:rPr>
          <w:rFonts w:ascii="Century" w:hAnsi="Century" w:cs="Miriam"/>
          <w:b/>
          <w:spacing w:val="0"/>
          <w:sz w:val="22"/>
          <w:szCs w:val="24"/>
          <w:rtl/>
        </w:rPr>
        <w:t>"</w:t>
      </w:r>
      <w:r w:rsidRPr="000E7EA2">
        <w:rPr>
          <w:rFonts w:ascii="Century" w:hAnsi="Century" w:cs="Miriam" w:hint="eastAsia"/>
          <w:b/>
          <w:spacing w:val="0"/>
          <w:sz w:val="22"/>
          <w:szCs w:val="24"/>
          <w:rtl/>
        </w:rPr>
        <w:t>הסכם</w:t>
      </w:r>
      <w:r w:rsidRPr="000E7EA2">
        <w:rPr>
          <w:rFonts w:ascii="Century" w:hAnsi="Century" w:cs="Miriam"/>
          <w:b/>
          <w:spacing w:val="0"/>
          <w:sz w:val="22"/>
          <w:szCs w:val="24"/>
          <w:rtl/>
        </w:rPr>
        <w:t xml:space="preserve"> </w:t>
      </w:r>
      <w:r w:rsidRPr="000E7EA2">
        <w:rPr>
          <w:rFonts w:ascii="Century" w:hAnsi="Century" w:cs="Miriam" w:hint="eastAsia"/>
          <w:b/>
          <w:spacing w:val="0"/>
          <w:sz w:val="22"/>
          <w:szCs w:val="24"/>
          <w:rtl/>
        </w:rPr>
        <w:t>הפשרה</w:t>
      </w:r>
      <w:r w:rsidRPr="000E7EA2">
        <w:rPr>
          <w:rFonts w:ascii="Century" w:hAnsi="Century" w:cs="Miriam"/>
          <w:b/>
          <w:spacing w:val="0"/>
          <w:sz w:val="22"/>
          <w:szCs w:val="24"/>
          <w:rtl/>
        </w:rPr>
        <w:t>"</w:t>
      </w:r>
      <w:r>
        <w:rPr>
          <w:rFonts w:hint="cs"/>
          <w:rtl/>
        </w:rPr>
        <w:t>).</w:t>
      </w:r>
    </w:p>
    <w:p w:rsidR="006E1F18" w:rsidRPr="00775F20" w:rsidRDefault="006E1F18" w:rsidP="006E1F18">
      <w:pPr>
        <w:pStyle w:val="Ruller41"/>
      </w:pPr>
    </w:p>
    <w:p w:rsidR="006E1F18" w:rsidRDefault="006E1F18" w:rsidP="0026619D">
      <w:pPr>
        <w:pStyle w:val="Ruller4"/>
        <w:rPr>
          <w:rtl/>
        </w:rPr>
      </w:pPr>
      <w:r>
        <w:rPr>
          <w:rFonts w:hint="cs"/>
          <w:rtl/>
        </w:rPr>
        <w:t xml:space="preserve">ומכאן להליכים שהתנהלו בין המערערת לבין המשיב, </w:t>
      </w:r>
      <w:r w:rsidRPr="002565B7">
        <w:rPr>
          <w:rFonts w:hint="eastAsia"/>
          <w:rtl/>
        </w:rPr>
        <w:t>מנהל</w:t>
      </w:r>
      <w:r w:rsidRPr="002565B7">
        <w:rPr>
          <w:rtl/>
        </w:rPr>
        <w:t xml:space="preserve"> </w:t>
      </w:r>
      <w:r w:rsidRPr="002565B7">
        <w:rPr>
          <w:rFonts w:hint="eastAsia"/>
          <w:rtl/>
        </w:rPr>
        <w:t>מע</w:t>
      </w:r>
      <w:r w:rsidRPr="002565B7">
        <w:rPr>
          <w:rtl/>
        </w:rPr>
        <w:t>"</w:t>
      </w:r>
      <w:r w:rsidRPr="002565B7">
        <w:rPr>
          <w:rFonts w:hint="eastAsia"/>
          <w:rtl/>
        </w:rPr>
        <w:t>מ</w:t>
      </w:r>
      <w:r>
        <w:rPr>
          <w:rFonts w:hint="cs"/>
          <w:rtl/>
        </w:rPr>
        <w:t xml:space="preserve"> </w:t>
      </w:r>
      <w:r w:rsidRPr="002565B7">
        <w:rPr>
          <w:rFonts w:hint="eastAsia"/>
          <w:rtl/>
        </w:rPr>
        <w:t>תל</w:t>
      </w:r>
      <w:r w:rsidRPr="002565B7">
        <w:rPr>
          <w:rtl/>
        </w:rPr>
        <w:t xml:space="preserve"> </w:t>
      </w:r>
      <w:r w:rsidRPr="002565B7">
        <w:rPr>
          <w:rFonts w:hint="eastAsia"/>
          <w:rtl/>
        </w:rPr>
        <w:t>אביב</w:t>
      </w:r>
      <w:r>
        <w:rPr>
          <w:rFonts w:hint="cs"/>
          <w:rtl/>
        </w:rPr>
        <w:t>-</w:t>
      </w:r>
      <w:r w:rsidRPr="002565B7">
        <w:rPr>
          <w:rFonts w:hint="eastAsia"/>
          <w:rtl/>
        </w:rPr>
        <w:t>יפו</w:t>
      </w:r>
      <w:r>
        <w:rPr>
          <w:rFonts w:hint="cs"/>
          <w:rtl/>
        </w:rPr>
        <w:t xml:space="preserve"> (להלן: ״</w:t>
      </w:r>
      <w:r w:rsidRPr="004125F0">
        <w:rPr>
          <w:rFonts w:ascii="Century" w:hAnsi="Century" w:cs="Miriam" w:hint="eastAsia"/>
          <w:b/>
          <w:spacing w:val="0"/>
          <w:sz w:val="22"/>
          <w:szCs w:val="24"/>
          <w:rtl/>
        </w:rPr>
        <w:t>המשי</w:t>
      </w:r>
      <w:r>
        <w:rPr>
          <w:rFonts w:ascii="Century" w:hAnsi="Century" w:cs="Miriam" w:hint="cs"/>
          <w:b/>
          <w:spacing w:val="0"/>
          <w:sz w:val="22"/>
          <w:szCs w:val="24"/>
          <w:rtl/>
        </w:rPr>
        <w:t>ב</w:t>
      </w:r>
      <w:r>
        <w:rPr>
          <w:rFonts w:hint="cs"/>
          <w:rtl/>
        </w:rPr>
        <w:t>״): ביום 15.7.2008,</w:t>
      </w:r>
      <w:r w:rsidRPr="00A618AC">
        <w:rPr>
          <w:rFonts w:hint="cs"/>
          <w:rtl/>
        </w:rPr>
        <w:t xml:space="preserve"> </w:t>
      </w:r>
      <w:r>
        <w:rPr>
          <w:rFonts w:hint="cs"/>
          <w:rtl/>
        </w:rPr>
        <w:t>לאחר החתימה על ההסכם השני ולפני החתימה על ההסכם השלישי, דיווחה המערערת למשיב על הסכמי המכר במסגרת הדו"ח התקופתי לחודש יוני 2008 (להלן: "</w:t>
      </w:r>
      <w:r w:rsidRPr="008607D4">
        <w:rPr>
          <w:rFonts w:ascii="Century" w:hAnsi="Century" w:cs="Miriam" w:hint="cs"/>
          <w:b/>
          <w:spacing w:val="0"/>
          <w:sz w:val="22"/>
          <w:szCs w:val="24"/>
          <w:rtl/>
        </w:rPr>
        <w:t>הדו"ח</w:t>
      </w:r>
      <w:r>
        <w:rPr>
          <w:rFonts w:hint="cs"/>
          <w:rtl/>
        </w:rPr>
        <w:t xml:space="preserve">"). המערערת דיווחה על מחיר העסקה לפי ההפרש בין המחיר שמכרה את הדירות </w:t>
      </w:r>
      <w:r w:rsidRPr="004125F0">
        <w:rPr>
          <w:rFonts w:hint="eastAsia"/>
          <w:rtl/>
        </w:rPr>
        <w:t>בבניין</w:t>
      </w:r>
      <w:r w:rsidRPr="004125F0">
        <w:rPr>
          <w:rtl/>
        </w:rPr>
        <w:t xml:space="preserve"> </w:t>
      </w:r>
      <w:r w:rsidRPr="004125F0">
        <w:rPr>
          <w:rFonts w:hint="eastAsia"/>
          <w:rtl/>
        </w:rPr>
        <w:t>הישן</w:t>
      </w:r>
      <w:r w:rsidRPr="00775F20">
        <w:rPr>
          <w:rFonts w:hint="cs"/>
          <w:rtl/>
        </w:rPr>
        <w:t xml:space="preserve">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xml:space="preserve"> (8.1 מיליון ש"ח) לבין המחיר שרכשה אותן (7.3 מיליון ש"ח), וזאת בהסתמך על סעיף 5(ב) לחוק מס ערך מוסף, התשל"ו-1975 (להלן: "</w:t>
      </w:r>
      <w:r w:rsidRPr="008607D4">
        <w:rPr>
          <w:rFonts w:ascii="Century" w:hAnsi="Century" w:cs="Miriam" w:hint="cs"/>
          <w:b/>
          <w:spacing w:val="0"/>
          <w:sz w:val="22"/>
          <w:szCs w:val="24"/>
          <w:rtl/>
        </w:rPr>
        <w:t>החוק</w:t>
      </w:r>
      <w:r>
        <w:rPr>
          <w:rFonts w:hint="cs"/>
          <w:rtl/>
        </w:rPr>
        <w:t>" או "</w:t>
      </w:r>
      <w:r w:rsidRPr="008607D4">
        <w:rPr>
          <w:rFonts w:ascii="Century" w:hAnsi="Century" w:cs="Miriam" w:hint="cs"/>
          <w:b/>
          <w:spacing w:val="0"/>
          <w:sz w:val="22"/>
          <w:szCs w:val="24"/>
          <w:rtl/>
        </w:rPr>
        <w:t>חוק מע"מ</w:t>
      </w:r>
      <w:r>
        <w:rPr>
          <w:rFonts w:hint="cs"/>
          <w:rtl/>
        </w:rPr>
        <w:t>"), המורה כי "</w:t>
      </w:r>
      <w:r w:rsidRPr="0039664C">
        <w:rPr>
          <w:rStyle w:val="default"/>
          <w:rFonts w:ascii="Century" w:hAnsi="Century" w:cs="Miriam"/>
          <w:b/>
          <w:spacing w:val="0"/>
          <w:sz w:val="22"/>
          <w:szCs w:val="24"/>
          <w:rtl/>
        </w:rPr>
        <w:t>במכירת דירת מגורים בידי עוסק במקרקעין שרכש אותה ממי שאינו מלכ"ר, מוסד כספי או עוסק, המס עליה יהיה לא ממחירה המלא אלא מההפרש שבין מחירה בעת המכירה כאמור לבין מחירה בעת הרכישה</w:t>
      </w:r>
      <w:r>
        <w:rPr>
          <w:rStyle w:val="default"/>
          <w:rFonts w:ascii="FrankRuehl" w:hAnsi="FrankRuehl" w:hint="cs"/>
          <w:sz w:val="26"/>
          <w:szCs w:val="26"/>
          <w:rtl/>
        </w:rPr>
        <w:t xml:space="preserve">". </w:t>
      </w:r>
      <w:r>
        <w:rPr>
          <w:rFonts w:hint="cs"/>
          <w:rtl/>
        </w:rPr>
        <w:t xml:space="preserve">משמעות הדבר היא שהמערערת דיווחה על סכום עסקאות החייב במס שעמד על 691,819 ש"ח בלבד (ובהתאם לכך שילמה מס בסך של 107,232 ש"ח). בנוסף, דיווחה המערערת על מתן שירותי בנייה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xml:space="preserve"> בסכום כולל של כ-4.4 מיליון ש"ח (ובגינם שילמה מס בסך של כ-803,000 ש"ח).</w:t>
      </w:r>
    </w:p>
    <w:p w:rsidR="006E1F18" w:rsidRDefault="006E1F18" w:rsidP="006E1F18">
      <w:pPr>
        <w:pStyle w:val="Ruller41"/>
        <w:rPr>
          <w:rtl/>
        </w:rPr>
      </w:pPr>
    </w:p>
    <w:p w:rsidR="006E1F18" w:rsidRDefault="006E1F18" w:rsidP="006446AB">
      <w:pPr>
        <w:pStyle w:val="Ruller4"/>
      </w:pPr>
      <w:r>
        <w:rPr>
          <w:rFonts w:hint="cs"/>
          <w:rtl/>
        </w:rPr>
        <w:t xml:space="preserve">החל משנת 2010 ניהל המשיב הליכי ביקורת וחקירה על הדו"ח, אך רק ביום 7.7.2014 הוציא למערערת שומת מס עסקאות. במסגרת שומה זו חויבה המערערת במס בגין מכירת 4 הדירות </w:t>
      </w:r>
      <w:r w:rsidRPr="004125F0">
        <w:rPr>
          <w:rFonts w:hint="eastAsia"/>
          <w:rtl/>
        </w:rPr>
        <w:t>החדש</w:t>
      </w:r>
      <w:r w:rsidR="006446AB">
        <w:rPr>
          <w:rFonts w:hint="cs"/>
          <w:rtl/>
        </w:rPr>
        <w:t>ות</w:t>
      </w:r>
      <w:r>
        <w:rPr>
          <w:rFonts w:hint="cs"/>
          <w:rtl/>
        </w:rPr>
        <w:t xml:space="preserve">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xml:space="preserve"> לפי שווי שוק של דירה חדשה (כ-5.4 מיליון ש"ח לדירה), בניכוי הסכומים שעליהם דיווחה המערערת ושילמה בגינם מס (להלן: "</w:t>
      </w:r>
      <w:r w:rsidRPr="00736DCC">
        <w:rPr>
          <w:rFonts w:ascii="Century" w:hAnsi="Century" w:cs="Miriam" w:hint="cs"/>
          <w:b/>
          <w:spacing w:val="0"/>
          <w:sz w:val="22"/>
          <w:szCs w:val="24"/>
          <w:rtl/>
        </w:rPr>
        <w:t>שומת מס העסקאות</w:t>
      </w:r>
      <w:r>
        <w:rPr>
          <w:rFonts w:hint="cs"/>
          <w:rtl/>
        </w:rPr>
        <w:t xml:space="preserve">"). ביסוד החלטת המשיב לעשות כן, ניצבה העמדה לפיה פיצול העסקה בין המערערת לבין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(להלן: </w:t>
      </w:r>
      <w:r w:rsidRPr="000405D8">
        <w:rPr>
          <w:rFonts w:ascii="Century" w:hAnsi="Century" w:cs="Miriam" w:hint="cs"/>
          <w:b/>
          <w:spacing w:val="0"/>
          <w:sz w:val="22"/>
          <w:szCs w:val="24"/>
          <w:rtl/>
        </w:rPr>
        <w:t>"העסקה"</w:t>
      </w:r>
      <w:r>
        <w:rPr>
          <w:rFonts w:hint="cs"/>
          <w:rtl/>
        </w:rPr>
        <w:t xml:space="preserve">) למספר הסכמים נפרדים אינו תואם את המהות הכלכלית </w:t>
      </w:r>
      <w:proofErr w:type="spellStart"/>
      <w:r>
        <w:rPr>
          <w:rFonts w:hint="cs"/>
          <w:rtl/>
        </w:rPr>
        <w:t>האמיתית</w:t>
      </w:r>
      <w:proofErr w:type="spellEnd"/>
      <w:r>
        <w:rPr>
          <w:rFonts w:hint="cs"/>
          <w:rtl/>
        </w:rPr>
        <w:t xml:space="preserve"> של העסקה </w:t>
      </w:r>
      <w:r>
        <w:rPr>
          <w:rtl/>
        </w:rPr>
        <w:t>–</w:t>
      </w:r>
      <w:r>
        <w:rPr>
          <w:rFonts w:hint="cs"/>
          <w:rtl/>
        </w:rPr>
        <w:t xml:space="preserve"> קרי, מכירת דירות בבניין החדש </w:t>
      </w:r>
      <w:r>
        <w:rPr>
          <w:rtl/>
        </w:rPr>
        <w:t>–</w:t>
      </w:r>
      <w:r>
        <w:rPr>
          <w:rFonts w:hint="cs"/>
          <w:rtl/>
        </w:rPr>
        <w:t xml:space="preserve"> ומשכך סבר המשיב כי אין בפיצול כל טעם מסחרי למעט ניסיון פסול להפחית משיעור המס, וכי בנסיבות אלו לא חל סעיף 5(ב) לחוק מע"מ. </w:t>
      </w:r>
    </w:p>
    <w:p w:rsidR="006E1F18" w:rsidRDefault="006E1F18" w:rsidP="006E1F18">
      <w:pPr>
        <w:pStyle w:val="Ruller4"/>
        <w:numPr>
          <w:ilvl w:val="0"/>
          <w:numId w:val="0"/>
        </w:numPr>
        <w:rPr>
          <w:rtl/>
        </w:rPr>
      </w:pPr>
      <w:r>
        <w:rPr>
          <w:rtl/>
        </w:rPr>
        <w:tab/>
      </w:r>
    </w:p>
    <w:p w:rsidR="006E1F18" w:rsidRPr="007A2883" w:rsidRDefault="006E1F18" w:rsidP="001324A7">
      <w:pPr>
        <w:pStyle w:val="Ruller4"/>
        <w:numPr>
          <w:ilvl w:val="0"/>
          <w:numId w:val="0"/>
        </w:numPr>
      </w:pPr>
      <w:r>
        <w:rPr>
          <w:rtl/>
        </w:rPr>
        <w:tab/>
      </w:r>
      <w:r>
        <w:rPr>
          <w:rFonts w:hint="cs"/>
          <w:rtl/>
        </w:rPr>
        <w:t xml:space="preserve">הערה: במסגרת ההליך שהתנהל לפני בית המשפט קמא קבע המשיב כי לצרכי שומת מס העסקאות יעמוד השווי של כל אחת מ-4 הדירות החדשות על 4.375 מיליון ש"ח (במקום 5.4 מיליון ש"ח), בהתאם להסכם הפשרה. על רקע זה, ובניכוי הסכומים שעליהם דיווחה המערערת ושילמה בגינם מס, הופחתה קרן מס העסקאות ועמדה על סכום של 1.739 מיליון ש"ח (במקום כ-3 מיליון ש"ח), ולבסוף הועמדה על סכום של כ-1.663 מיליון ש"ח משהסכים המשיב להכיר בהתיישנותו של תשלום בסך 500,000 ש"ח ששולם על ידי </w:t>
      </w:r>
      <w:proofErr w:type="spellStart"/>
      <w:r>
        <w:rPr>
          <w:rFonts w:hint="cs"/>
          <w:rtl/>
        </w:rPr>
        <w:t>אלקובי</w:t>
      </w:r>
      <w:proofErr w:type="spellEnd"/>
      <w:r>
        <w:rPr>
          <w:rFonts w:hint="cs"/>
          <w:rtl/>
        </w:rPr>
        <w:t xml:space="preserve"> למערערת, כפי שיוסבר עוד להלן.</w:t>
      </w:r>
    </w:p>
    <w:p w:rsidR="006E1F18" w:rsidRPr="007A2883" w:rsidRDefault="006E1F18" w:rsidP="006E1F18">
      <w:pPr>
        <w:pStyle w:val="Ruller4"/>
        <w:numPr>
          <w:ilvl w:val="0"/>
          <w:numId w:val="0"/>
        </w:numPr>
      </w:pPr>
    </w:p>
    <w:p w:rsidR="006E1F18" w:rsidRDefault="006E1F18" w:rsidP="006E1F18">
      <w:pPr>
        <w:pStyle w:val="Ruller4"/>
        <w:rPr>
          <w:rtl/>
        </w:rPr>
      </w:pPr>
      <w:r>
        <w:rPr>
          <w:rFonts w:hint="cs"/>
          <w:rtl/>
        </w:rPr>
        <w:t>בנוסף, הצדדים חלוקים גם על שומת מס תשומות שהוציא המשיב למערערת בגין ניכוי שנעשה, לטענתו, בעבור חשבוניות מס שהוצאו שלא כדין (להלן: "</w:t>
      </w:r>
      <w:r w:rsidRPr="007C51EB">
        <w:rPr>
          <w:rFonts w:ascii="Century" w:hAnsi="Century" w:cs="Miriam" w:hint="cs"/>
          <w:b/>
          <w:spacing w:val="0"/>
          <w:sz w:val="22"/>
          <w:szCs w:val="24"/>
          <w:rtl/>
        </w:rPr>
        <w:t xml:space="preserve">שומת מס </w:t>
      </w:r>
      <w:r>
        <w:rPr>
          <w:rFonts w:ascii="Century" w:hAnsi="Century" w:cs="Miriam" w:hint="cs"/>
          <w:b/>
          <w:spacing w:val="0"/>
          <w:sz w:val="22"/>
          <w:szCs w:val="24"/>
          <w:rtl/>
        </w:rPr>
        <w:t>ה</w:t>
      </w:r>
      <w:r w:rsidRPr="007C51EB">
        <w:rPr>
          <w:rFonts w:ascii="Century" w:hAnsi="Century" w:cs="Miriam" w:hint="cs"/>
          <w:b/>
          <w:spacing w:val="0"/>
          <w:sz w:val="22"/>
          <w:szCs w:val="24"/>
          <w:rtl/>
        </w:rPr>
        <w:t>תשומות</w:t>
      </w:r>
      <w:r>
        <w:rPr>
          <w:rFonts w:hint="cs"/>
          <w:rtl/>
        </w:rPr>
        <w:t>"). יוער, כי בין הצדדים הייתה מחלוקת גם בגין ניכוי מס תשומות בכפל, אך מאחר שהמערערת שילמה בעבור הניכוי הכפול, עניין זה אינו במחלוקת עוד.</w:t>
      </w:r>
    </w:p>
    <w:p w:rsidR="006E1F18" w:rsidRPr="007C51EB" w:rsidRDefault="006E1F18" w:rsidP="006E1F18">
      <w:pPr>
        <w:pStyle w:val="Ruller41"/>
      </w:pPr>
    </w:p>
    <w:p w:rsidR="006E1F18" w:rsidRDefault="006E1F18" w:rsidP="006E1F18">
      <w:pPr>
        <w:pStyle w:val="Ruller4"/>
        <w:rPr>
          <w:rtl/>
        </w:rPr>
      </w:pPr>
      <w:r>
        <w:rPr>
          <w:rFonts w:hint="cs"/>
          <w:rtl/>
        </w:rPr>
        <w:t xml:space="preserve">בעקבות האמור, ולאחר שנדחו השגותיה, הגישה המערערת לבית המשפט קמא ערעור על שומת מס העסקאות ועל שומת מס התשומות. באשר לשומת מס העסקאות, העלתה המערערת שלוש טענות עיקריות: </w:t>
      </w:r>
      <w:r w:rsidRPr="007C51EB">
        <w:rPr>
          <w:rFonts w:ascii="Century" w:hAnsi="Century" w:cs="Miriam" w:hint="cs"/>
          <w:b/>
          <w:spacing w:val="0"/>
          <w:sz w:val="22"/>
          <w:szCs w:val="24"/>
          <w:rtl/>
        </w:rPr>
        <w:t>ראשית</w:t>
      </w:r>
      <w:r>
        <w:rPr>
          <w:rFonts w:hint="cs"/>
          <w:rtl/>
        </w:rPr>
        <w:t xml:space="preserve">, המערערת מחתה על סיווג העסקה מחדש כמכירה של דירות בבניין החדש תוך חיובה במס ערך מוסף בעבור מלוא שוויין, כפי שעשה המשיב, וגרסה כי בהתאם לדיווחה בדו"ח יש לראות בהסכמי המכר כמכירה של דירות בבניין הישן תוך יישום סעיף 5(ב) לחוק מע"מ; </w:t>
      </w:r>
      <w:r w:rsidRPr="007C51EB">
        <w:rPr>
          <w:rFonts w:ascii="Century" w:hAnsi="Century" w:cs="Miriam" w:hint="cs"/>
          <w:b/>
          <w:spacing w:val="0"/>
          <w:sz w:val="22"/>
          <w:szCs w:val="24"/>
          <w:rtl/>
        </w:rPr>
        <w:t>שנית</w:t>
      </w:r>
      <w:r>
        <w:rPr>
          <w:rFonts w:hint="cs"/>
          <w:rtl/>
        </w:rPr>
        <w:t>, ולחלופין, המערערת טענה כי חלה התיישנות על שומת מס העסקאות משום שחלפו למעלה מ-5 שנים ממועד הגשת הדו"ח ועד מועד הוצאת השומה, ועל כן המשיב היה מנוע מלהוציא את שומת מס העסקאות וחלף זאת היה עליו לקבל את המוצהר בדו״ח (להלן: "</w:t>
      </w:r>
      <w:r w:rsidRPr="007C51EB">
        <w:rPr>
          <w:rFonts w:ascii="Century" w:hAnsi="Century" w:cs="Miriam" w:hint="cs"/>
          <w:b/>
          <w:spacing w:val="0"/>
          <w:sz w:val="22"/>
          <w:szCs w:val="24"/>
          <w:rtl/>
        </w:rPr>
        <w:t xml:space="preserve">טענת ההתיישנות </w:t>
      </w:r>
      <w:r>
        <w:rPr>
          <w:rFonts w:ascii="Century" w:hAnsi="Century" w:cs="Miriam" w:hint="cs"/>
          <w:b/>
          <w:spacing w:val="0"/>
          <w:sz w:val="22"/>
          <w:szCs w:val="24"/>
          <w:rtl/>
        </w:rPr>
        <w:t>העיקרית</w:t>
      </w:r>
      <w:r>
        <w:rPr>
          <w:rFonts w:hint="cs"/>
          <w:rtl/>
        </w:rPr>
        <w:t xml:space="preserve">"); </w:t>
      </w:r>
      <w:r w:rsidRPr="002C1478">
        <w:rPr>
          <w:rFonts w:ascii="Century" w:hAnsi="Century" w:cs="Miriam" w:hint="eastAsia"/>
          <w:b/>
          <w:spacing w:val="0"/>
          <w:sz w:val="22"/>
          <w:szCs w:val="24"/>
          <w:rtl/>
        </w:rPr>
        <w:t>שלישית</w:t>
      </w:r>
      <w:r>
        <w:rPr>
          <w:rFonts w:hint="cs"/>
          <w:rtl/>
        </w:rPr>
        <w:t xml:space="preserve">, ולחלופי </w:t>
      </w:r>
      <w:proofErr w:type="spellStart"/>
      <w:r>
        <w:rPr>
          <w:rFonts w:hint="cs"/>
          <w:rtl/>
        </w:rPr>
        <w:t>חלופין</w:t>
      </w:r>
      <w:proofErr w:type="spellEnd"/>
      <w:r>
        <w:rPr>
          <w:rFonts w:hint="cs"/>
          <w:rtl/>
        </w:rPr>
        <w:t>, נטען כי יש לקבוע שלמצער כל התשלומים ששולמו למערערת בעבור רכישת הדירות בתקופה של למעלה מ-5 השנים שקדמו להוצאת שומת מס העסקאות, התיישנו, ולכן יש להפחית את התשלומים הללו מהתקבולים שלפיהם נקבעה השומה (להלן: "</w:t>
      </w:r>
      <w:r w:rsidRPr="007C51EB">
        <w:rPr>
          <w:rFonts w:ascii="Century" w:hAnsi="Century" w:cs="Miriam" w:hint="cs"/>
          <w:b/>
          <w:spacing w:val="0"/>
          <w:sz w:val="22"/>
          <w:szCs w:val="24"/>
          <w:rtl/>
        </w:rPr>
        <w:t xml:space="preserve">טענת ההתיישנות </w:t>
      </w:r>
      <w:r>
        <w:rPr>
          <w:rFonts w:ascii="Century" w:hAnsi="Century" w:cs="Miriam" w:hint="cs"/>
          <w:b/>
          <w:spacing w:val="0"/>
          <w:sz w:val="22"/>
          <w:szCs w:val="24"/>
          <w:rtl/>
        </w:rPr>
        <w:t>המשנית</w:t>
      </w:r>
      <w:r>
        <w:rPr>
          <w:rFonts w:hint="cs"/>
          <w:rtl/>
        </w:rPr>
        <w:t>").</w:t>
      </w:r>
    </w:p>
    <w:p w:rsidR="006E1F18" w:rsidRDefault="006E1F18" w:rsidP="006E1F18">
      <w:pPr>
        <w:pStyle w:val="Ruller41"/>
        <w:rPr>
          <w:rtl/>
        </w:rPr>
      </w:pPr>
    </w:p>
    <w:p w:rsidR="006E1F18" w:rsidRPr="006F38DE" w:rsidRDefault="006E1F18" w:rsidP="006E1F18">
      <w:pPr>
        <w:pStyle w:val="Ruller41"/>
        <w:rPr>
          <w:rFonts w:ascii="Century" w:hAnsi="Century" w:cs="Miriam"/>
          <w:b/>
          <w:spacing w:val="0"/>
          <w:szCs w:val="24"/>
          <w:rtl/>
        </w:rPr>
      </w:pPr>
      <w:r w:rsidRPr="006F38DE">
        <w:rPr>
          <w:rFonts w:ascii="Century" w:hAnsi="Century" w:cs="Miriam" w:hint="cs"/>
          <w:b/>
          <w:spacing w:val="0"/>
          <w:szCs w:val="24"/>
          <w:rtl/>
        </w:rPr>
        <w:t>פסק דינו של בית המשפט קמא</w:t>
      </w:r>
    </w:p>
    <w:p w:rsidR="006E1F18" w:rsidRDefault="006E1F18" w:rsidP="006E1F18">
      <w:pPr>
        <w:pStyle w:val="Ruller41"/>
        <w:rPr>
          <w:rtl/>
        </w:rPr>
      </w:pPr>
    </w:p>
    <w:p w:rsidR="006E1F18" w:rsidRDefault="006E1F18" w:rsidP="006E1F18">
      <w:pPr>
        <w:pStyle w:val="Ruller4"/>
      </w:pPr>
      <w:r>
        <w:rPr>
          <w:rFonts w:hint="cs"/>
          <w:rtl/>
        </w:rPr>
        <w:t xml:space="preserve">ביום 14.9.2017 ניתן פסק דינו של בית המשפט קמא אשר דחה את ערעור המס. נפסק כי המהות </w:t>
      </w:r>
      <w:proofErr w:type="spellStart"/>
      <w:r>
        <w:rPr>
          <w:rFonts w:hint="cs"/>
          <w:rtl/>
        </w:rPr>
        <w:t>האמיתית</w:t>
      </w:r>
      <w:proofErr w:type="spellEnd"/>
      <w:r>
        <w:rPr>
          <w:rFonts w:hint="cs"/>
          <w:rtl/>
        </w:rPr>
        <w:t xml:space="preserve"> של העסקה בין המערערת לבין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אינה מכירה של 6 דירות בבניין הישן לצד מתן שירותי בנייה של דירות חדשות, כפי שטענה המערערת, אלא מכירה של 4 דירות בבניין החדש, כפי שטען המשיב. </w:t>
      </w:r>
    </w:p>
    <w:p w:rsidR="006E1F18" w:rsidRDefault="006E1F18" w:rsidP="006E1F18">
      <w:pPr>
        <w:pStyle w:val="Ruller4"/>
        <w:numPr>
          <w:ilvl w:val="0"/>
          <w:numId w:val="0"/>
        </w:numPr>
        <w:rPr>
          <w:rtl/>
        </w:rPr>
      </w:pPr>
    </w:p>
    <w:p w:rsidR="006E1F18" w:rsidRDefault="006E1F18" w:rsidP="006E1F18">
      <w:pPr>
        <w:pStyle w:val="Ruller4"/>
        <w:numPr>
          <w:ilvl w:val="0"/>
          <w:numId w:val="0"/>
        </w:numPr>
        <w:rPr>
          <w:rtl/>
        </w:rPr>
      </w:pPr>
      <w:r>
        <w:rPr>
          <w:rtl/>
        </w:rPr>
        <w:tab/>
      </w:r>
      <w:r>
        <w:rPr>
          <w:rFonts w:hint="cs"/>
          <w:rtl/>
        </w:rPr>
        <w:t xml:space="preserve">לביסוס מסקנה זו, התבסס בית המשפט קמא על האינדיקציות העובדתיות הבאות: המערערת מלכתחילה רכשה את הבניין הישן על מנת להרוס אותו ולבנות במקומו בניין חדש, בין היתר בהינתן שהרכישה על ידי המערערת התבצעה לאחר שעיריית תל אביב העניקה היתר להריסת הבניין הישן ולהקמת בניין חדש תחתיו; ממילא היה זה גם אומד דעתה של המערערת עת התקשרה עם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בהסכמי המכר למכירת הדירות בבניין הישן, בפרט לנוכח העובדה שהריסת הבניין הישן התבצעה </w:t>
      </w:r>
      <w:r>
        <w:rPr>
          <w:rFonts w:hint="cs"/>
          <w:rtl/>
        </w:rPr>
        <w:lastRenderedPageBreak/>
        <w:t xml:space="preserve">כעבור כחודשיים בלבד; גם בעיני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תכלית העסקה הייתה רכישת דירות חדשות, בשים לב לכך שהתקשרו בהסכמי המכר לאחר שעיריית תל אביב אישרה את בקשת המערערת לרשום על שמה את היתר הבנייה; פיצול העסקה בין המערערת לבין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להסכמי מכר לרכישת דירות בבניין הישן לצד חיובם בעלויות הבנייה של הדירות החדשות היה חסר היגיון כלכלי ובלתי סביר בהתחשב בכך שהמערערת הייתה יכולה למכור דירות חדשות "על הנייר" במחיר גבוה יותר, וכמקובל במצבים מעין אלה; קיים קשר הדוק בין ההסכמים השונים בין הצדדים, שכן הם שלובים זה בזה, מפנים זה לזה ולא ניתן לנתק אותם האחד מהשני, וכך במיוחד נוכח היחסים המיוחדים שבין המערערת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xml:space="preserve">; הדיון בשאלת טיבה </w:t>
      </w:r>
      <w:proofErr w:type="spellStart"/>
      <w:r>
        <w:rPr>
          <w:rFonts w:hint="cs"/>
          <w:rtl/>
        </w:rPr>
        <w:t>האמיתי</w:t>
      </w:r>
      <w:proofErr w:type="spellEnd"/>
      <w:r>
        <w:rPr>
          <w:rFonts w:hint="cs"/>
          <w:rtl/>
        </w:rPr>
        <w:t xml:space="preserve"> של העסקה כבר נדון והוכרע במסגרת הסכם הפשרה 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לבין מנהל המיסוי, כמכירה של דירות חדשות. </w:t>
      </w:r>
    </w:p>
    <w:p w:rsidR="006E1F18" w:rsidRDefault="006E1F18" w:rsidP="006E1F18">
      <w:pPr>
        <w:pStyle w:val="Ruller41"/>
        <w:rPr>
          <w:rtl/>
        </w:rPr>
      </w:pPr>
    </w:p>
    <w:p w:rsidR="006E1F18" w:rsidRDefault="006E1F18" w:rsidP="0026619D">
      <w:pPr>
        <w:pStyle w:val="Ruller4"/>
        <w:rPr>
          <w:rtl/>
        </w:rPr>
      </w:pPr>
      <w:r>
        <w:rPr>
          <w:rFonts w:hint="cs"/>
          <w:rtl/>
        </w:rPr>
        <w:t>בית המשפט קמא קיבל גם את טענתו החלופית של המשיב לפיה פיצול העסקה לעסקאות נפרדות של מכירת דירות בבניין הישן ומתן שירותי בנייה של 4 דירות חדשות, מהווה "עסקה מלאכותית", כמשמעותה בסעיף 138 לחוק מע"מ. בעניין זה, השתכנע בית המשפט קמא כי בבסיס העסקה לא עמד טעם מסחרי יסודי, וכי תכליתו העיקרית של הפיצול בין ההסכמים השונים הייתה הפחתת נטל המס באופן בלתי נאות. בית המשפט קמא התייחס בנימוקיו לשלל הגרסאות שהעלתה המערערת על מנת להצדיק את אופן עריכת העסקה, ופסק כי גרסאות אלו נסתרו ולמצער לא הוכחו על ידה. משכך, נפסק כי בהתאם לסעיף 138 לחוק יש להתעלם מהעסקה כפי שהוצגה ול</w:t>
      </w:r>
      <w:r w:rsidR="0026619D">
        <w:rPr>
          <w:rFonts w:hint="cs"/>
          <w:rtl/>
        </w:rPr>
        <w:t>מסות</w:t>
      </w:r>
      <w:r>
        <w:rPr>
          <w:rFonts w:hint="cs"/>
          <w:rtl/>
        </w:rPr>
        <w:t xml:space="preserve"> אותה כמכירה של 4 דירות חדשות.</w:t>
      </w:r>
    </w:p>
    <w:p w:rsidR="006E1F18" w:rsidRDefault="006E1F18" w:rsidP="006E1F18">
      <w:pPr>
        <w:pStyle w:val="Ruller41"/>
        <w:rPr>
          <w:rtl/>
        </w:rPr>
      </w:pPr>
    </w:p>
    <w:p w:rsidR="006E1F18" w:rsidRDefault="006E1F18" w:rsidP="006E1F18">
      <w:pPr>
        <w:pStyle w:val="Ruller4"/>
        <w:rPr>
          <w:rtl/>
        </w:rPr>
      </w:pPr>
      <w:r>
        <w:rPr>
          <w:rFonts w:hint="cs"/>
          <w:rtl/>
        </w:rPr>
        <w:t xml:space="preserve">אחר הדברים האלה, דן בית המשפט קמא בשאלת תחולתו של סעיף 5(ב) לחוק מע"מ בעניינה של המערערת. בהתבסס על לשון הסעיף ותכליתו, וכן על סקירת ספרות ופסיקה, נקבע כי הסדר הקיזוז הקבוע בסעיף 5(ב) לחוק חל רק מקום בו העוסק מכר את אותה דירת מגורים שרכש, ולא מקום בו הרס דירה זו ומכר דירה חדשה תחתיה, ולבטח לא כאשר העסקה היא לגבי מקרקעין בלבד. אשר על כן, נפסק כי המערערת אינה זכאית ליהנות מתחולתו של סעיף 5(ב) לחוק מע"מ, וכי לנוכח המסקנה כי יש לראות בעסקה כמכירה של 4 דירות בבניין החדש, על המערערת לשלם מס עסקאות בשווי השוק של הדירות החדשות. במקרה דנן, קבע בית המשפט קמא כאמור כי שווי הדירות ייקבע בהתאם להסכם הפשרה שהושג 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לבין מנהל המיסוי (4.375 מיליון ש"ח לדירה). </w:t>
      </w:r>
    </w:p>
    <w:p w:rsidR="006E1F18" w:rsidRPr="005D4619" w:rsidRDefault="006E1F18" w:rsidP="006E1F18">
      <w:pPr>
        <w:pStyle w:val="Ruller41"/>
        <w:rPr>
          <w:rtl/>
        </w:rPr>
      </w:pPr>
    </w:p>
    <w:p w:rsidR="006E1F18" w:rsidRDefault="006E1F18" w:rsidP="006E1F18">
      <w:pPr>
        <w:pStyle w:val="Ruller4"/>
      </w:pPr>
      <w:r>
        <w:rPr>
          <w:rFonts w:hint="cs"/>
          <w:rtl/>
        </w:rPr>
        <w:lastRenderedPageBreak/>
        <w:t>לעניין טענות ההתיישנות שהעלתה המערערת, בית המשפט קמא ציין תחילה כי נעתר לבקשת המערערת להעלות את טענותיה בהקשר זה על אף שלא נטענו על ידה קודם לכן בהליכי השומה מול המשיב (פסקאות 73 ו-141). לגופם של דברים, דחה בית המשפט קמא את טענת ההתיישנות העיקרית של המערערת, לפיה, כזכור, חלה התיישנות על שומת מס העסקאות משום שחלפו למעלה מ-5 שנים ממועד הגשת הדו"ח ועד מועד הוצאת השומה. נפסק כי הוראות החוק הרלוונטיות מלמדות כי המועד להגשת דו"ח תקופתי קשור בטבורו למועד החיוב במס של העסקה המדווחת. בעניין זה נקבע כי "</w:t>
      </w:r>
      <w:r w:rsidRPr="002C1478">
        <w:rPr>
          <w:rFonts w:ascii="Century" w:hAnsi="Century" w:cs="Miriam" w:hint="eastAsia"/>
          <w:b/>
          <w:spacing w:val="0"/>
          <w:sz w:val="22"/>
          <w:szCs w:val="24"/>
          <w:rtl/>
        </w:rPr>
        <w:t>כל</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עוד</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לא</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הגיע</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מועד</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החיוב</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במס</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אין</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חובה</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להוציא</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חשבונית</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מס</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סעיף</w:t>
      </w:r>
      <w:r w:rsidRPr="002C1478">
        <w:rPr>
          <w:rFonts w:ascii="Century" w:hAnsi="Century" w:cs="Miriam"/>
          <w:b/>
          <w:spacing w:val="0"/>
          <w:sz w:val="22"/>
          <w:szCs w:val="24"/>
          <w:rtl/>
        </w:rPr>
        <w:t xml:space="preserve"> 46(</w:t>
      </w:r>
      <w:r w:rsidRPr="002C1478">
        <w:rPr>
          <w:rFonts w:ascii="Century" w:hAnsi="Century" w:cs="Miriam" w:hint="eastAsia"/>
          <w:b/>
          <w:spacing w:val="0"/>
          <w:sz w:val="22"/>
          <w:szCs w:val="24"/>
          <w:rtl/>
        </w:rPr>
        <w:t>א</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לחוק</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וכל</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עוד</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לא</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הוצאה</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חשבונית</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מס</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אין</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חובה</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להגיש</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את</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הדו</w:t>
      </w:r>
      <w:r w:rsidRPr="002C1478">
        <w:rPr>
          <w:rFonts w:ascii="Century" w:hAnsi="Century" w:cs="Miriam"/>
          <w:b/>
          <w:spacing w:val="0"/>
          <w:sz w:val="22"/>
          <w:szCs w:val="24"/>
          <w:rtl/>
        </w:rPr>
        <w:t>"</w:t>
      </w:r>
      <w:r w:rsidRPr="002C1478">
        <w:rPr>
          <w:rFonts w:ascii="Century" w:hAnsi="Century" w:cs="Miriam" w:hint="eastAsia"/>
          <w:b/>
          <w:spacing w:val="0"/>
          <w:sz w:val="22"/>
          <w:szCs w:val="24"/>
          <w:rtl/>
        </w:rPr>
        <w:t>ח</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התקופתי</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סעיף</w:t>
      </w:r>
      <w:r w:rsidRPr="002C1478">
        <w:rPr>
          <w:rFonts w:ascii="Century" w:hAnsi="Century" w:cs="Miriam"/>
          <w:b/>
          <w:spacing w:val="0"/>
          <w:sz w:val="22"/>
          <w:szCs w:val="24"/>
          <w:rtl/>
        </w:rPr>
        <w:t xml:space="preserve"> 69(</w:t>
      </w:r>
      <w:r w:rsidRPr="002C1478">
        <w:rPr>
          <w:rFonts w:ascii="Century" w:hAnsi="Century" w:cs="Miriam" w:hint="eastAsia"/>
          <w:b/>
          <w:spacing w:val="0"/>
          <w:sz w:val="22"/>
          <w:szCs w:val="24"/>
          <w:rtl/>
        </w:rPr>
        <w:t>א</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לחוק</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וכל</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עוד</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לא</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הוגש</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הדו</w:t>
      </w:r>
      <w:r w:rsidRPr="002C1478">
        <w:rPr>
          <w:rFonts w:ascii="Century" w:hAnsi="Century" w:cs="Miriam"/>
          <w:b/>
          <w:spacing w:val="0"/>
          <w:sz w:val="22"/>
          <w:szCs w:val="24"/>
          <w:rtl/>
        </w:rPr>
        <w:t>"</w:t>
      </w:r>
      <w:r w:rsidRPr="002C1478">
        <w:rPr>
          <w:rFonts w:ascii="Century" w:hAnsi="Century" w:cs="Miriam" w:hint="eastAsia"/>
          <w:b/>
          <w:spacing w:val="0"/>
          <w:sz w:val="22"/>
          <w:szCs w:val="24"/>
          <w:rtl/>
        </w:rPr>
        <w:t>ח</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לא</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מתחילה</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להימנות</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תקופת</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ההתיישנות</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סעיף</w:t>
      </w:r>
      <w:r w:rsidRPr="002C1478">
        <w:rPr>
          <w:rFonts w:ascii="Century" w:hAnsi="Century" w:cs="Miriam"/>
          <w:b/>
          <w:spacing w:val="0"/>
          <w:sz w:val="22"/>
          <w:szCs w:val="24"/>
          <w:rtl/>
        </w:rPr>
        <w:t xml:space="preserve"> 77(</w:t>
      </w:r>
      <w:r w:rsidRPr="002C1478">
        <w:rPr>
          <w:rFonts w:ascii="Century" w:hAnsi="Century" w:cs="Miriam" w:hint="eastAsia"/>
          <w:b/>
          <w:spacing w:val="0"/>
          <w:sz w:val="22"/>
          <w:szCs w:val="24"/>
          <w:rtl/>
        </w:rPr>
        <w:t>ב</w:t>
      </w:r>
      <w:r w:rsidRPr="002C1478">
        <w:rPr>
          <w:rFonts w:ascii="Century" w:hAnsi="Century" w:cs="Miriam"/>
          <w:b/>
          <w:spacing w:val="0"/>
          <w:sz w:val="22"/>
          <w:szCs w:val="24"/>
          <w:rtl/>
        </w:rPr>
        <w:t xml:space="preserve">) </w:t>
      </w:r>
      <w:r w:rsidRPr="002C1478">
        <w:rPr>
          <w:rFonts w:ascii="Century" w:hAnsi="Century" w:cs="Miriam" w:hint="eastAsia"/>
          <w:b/>
          <w:spacing w:val="0"/>
          <w:sz w:val="22"/>
          <w:szCs w:val="24"/>
          <w:rtl/>
        </w:rPr>
        <w:t>לחוק</w:t>
      </w:r>
      <w:r w:rsidRPr="002C1478">
        <w:rPr>
          <w:rFonts w:ascii="Century" w:hAnsi="Century" w:cs="Miriam"/>
          <w:b/>
          <w:spacing w:val="0"/>
          <w:sz w:val="22"/>
          <w:szCs w:val="24"/>
          <w:rtl/>
        </w:rPr>
        <w:t>)</w:t>
      </w:r>
      <w:r>
        <w:rPr>
          <w:rFonts w:ascii="Century" w:hAnsi="Century" w:cs="Miriam" w:hint="cs"/>
          <w:b/>
          <w:spacing w:val="0"/>
          <w:sz w:val="22"/>
          <w:szCs w:val="24"/>
          <w:rtl/>
        </w:rPr>
        <w:t xml:space="preserve">. </w:t>
      </w:r>
      <w:r w:rsidRPr="009E5D1C">
        <w:rPr>
          <w:rFonts w:ascii="Century" w:hAnsi="Century" w:cs="Miriam" w:hint="eastAsia"/>
          <w:b/>
          <w:spacing w:val="0"/>
          <w:sz w:val="22"/>
          <w:szCs w:val="24"/>
          <w:rtl/>
        </w:rPr>
        <w:t>מילים</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אחרות</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החוליה</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הראשונה</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בשרשרת</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שמניעה</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את</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גלגלי</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ההתיישנות</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היא</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מועד</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החיוב</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במס</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ולא</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בכדי</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אין</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היגיון</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בחיוב</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העוסק</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בהגשת</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דיווח</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ובתשלום</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המס</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לרבות</w:t>
      </w:r>
      <w:r w:rsidRPr="009E5D1C">
        <w:rPr>
          <w:rFonts w:ascii="Century" w:hAnsi="Century" w:cs="Miriam"/>
          <w:b/>
          <w:spacing w:val="0"/>
          <w:sz w:val="22"/>
          <w:szCs w:val="24"/>
          <w:rtl/>
        </w:rPr>
        <w:t xml:space="preserve"> </w:t>
      </w:r>
      <w:proofErr w:type="spellStart"/>
      <w:r w:rsidRPr="009E5D1C">
        <w:rPr>
          <w:rFonts w:ascii="Century" w:hAnsi="Century" w:cs="Miriam" w:hint="eastAsia"/>
          <w:b/>
          <w:spacing w:val="0"/>
          <w:sz w:val="22"/>
          <w:szCs w:val="24"/>
          <w:rtl/>
        </w:rPr>
        <w:t>חבותו</w:t>
      </w:r>
      <w:proofErr w:type="spellEnd"/>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בהפרשי</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הצמדה</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וריבית</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טרם</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שהגיע</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המועד</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החוקי</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לחיובו</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במס</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ולו</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היה</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אחרת</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היה</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העוסק</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מלין</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כי</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המשיב</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נוהג</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עמו</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שלא</w:t>
      </w:r>
      <w:r w:rsidRPr="009E5D1C">
        <w:rPr>
          <w:rFonts w:ascii="Century" w:hAnsi="Century" w:cs="Miriam"/>
          <w:b/>
          <w:spacing w:val="0"/>
          <w:sz w:val="22"/>
          <w:szCs w:val="24"/>
          <w:rtl/>
        </w:rPr>
        <w:t xml:space="preserve"> </w:t>
      </w:r>
      <w:r w:rsidRPr="009E5D1C">
        <w:rPr>
          <w:rFonts w:ascii="Century" w:hAnsi="Century" w:cs="Miriam" w:hint="eastAsia"/>
          <w:b/>
          <w:spacing w:val="0"/>
          <w:sz w:val="22"/>
          <w:szCs w:val="24"/>
          <w:rtl/>
        </w:rPr>
        <w:t>כשורה</w:t>
      </w:r>
      <w:r w:rsidRPr="002C1478">
        <w:rPr>
          <w:rFonts w:ascii="Century" w:hAnsi="Century" w:cs="Miriam"/>
          <w:b/>
          <w:spacing w:val="0"/>
          <w:sz w:val="22"/>
          <w:szCs w:val="24"/>
          <w:rtl/>
        </w:rPr>
        <w:t>"</w:t>
      </w:r>
      <w:r w:rsidRPr="009E5D1C">
        <w:rPr>
          <w:rtl/>
        </w:rPr>
        <w:t xml:space="preserve"> </w:t>
      </w:r>
      <w:r>
        <w:rPr>
          <w:rFonts w:hint="cs"/>
          <w:rtl/>
        </w:rPr>
        <w:t>(פסקה 75 לפסק הדין)</w:t>
      </w:r>
      <w:r w:rsidRPr="009E5D1C">
        <w:rPr>
          <w:rtl/>
        </w:rPr>
        <w:t xml:space="preserve">. </w:t>
      </w:r>
      <w:r>
        <w:rPr>
          <w:rFonts w:hint="cs"/>
          <w:rtl/>
        </w:rPr>
        <w:t>בית המשפט קמא עמד על כך שמועד החיוב במס בעסקה במקרקעין, שלאחריו נדרש החייב להגיש דו"ח תקופתי ושממנו מתחילה להימנות תקופת ההתיישנות על השומה, הוא מועד העברת החזקה במקרקעין לרשות הקונה, מועד רישום הבעלות על שמו או מועד תשלום סכומים על חשבון התמורה, לפי המוקדם. לפיכך נקבע כי בנסיבות המקרה דנן, המועד המוקדם ביותר לקביעת החיוב במס ייקבע לפי מועדי תשלום הסכומים על חשבון התמורה, כל תשלום ומועדו.</w:t>
      </w:r>
    </w:p>
    <w:p w:rsidR="006E1F18" w:rsidRDefault="006E1F18" w:rsidP="006E1F18">
      <w:pPr>
        <w:pStyle w:val="Ruller4"/>
        <w:numPr>
          <w:ilvl w:val="0"/>
          <w:numId w:val="0"/>
        </w:numPr>
        <w:rPr>
          <w:rtl/>
        </w:rPr>
      </w:pPr>
      <w:r>
        <w:rPr>
          <w:rtl/>
        </w:rPr>
        <w:tab/>
      </w:r>
    </w:p>
    <w:p w:rsidR="006E1F18" w:rsidRPr="00C70A1E" w:rsidRDefault="006E1F18" w:rsidP="006E1F18">
      <w:pPr>
        <w:pStyle w:val="Ruller4"/>
        <w:numPr>
          <w:ilvl w:val="0"/>
          <w:numId w:val="0"/>
        </w:numPr>
        <w:rPr>
          <w:rtl/>
        </w:rPr>
      </w:pPr>
      <w:r>
        <w:rPr>
          <w:rtl/>
        </w:rPr>
        <w:tab/>
      </w:r>
      <w:r>
        <w:rPr>
          <w:rFonts w:hint="cs"/>
          <w:rtl/>
        </w:rPr>
        <w:t xml:space="preserve">על רקע זה, קיבל בית המשפט קמא את טענת ההתיישנות המשנית של המערערת. נפסק כי אך ורק על התשלומים ששולמו למערערת עבור רכישת הדירות לפני חודש יוני 2009, דהיינו תשלומים ששולמו בתקופה של למעלה מ-5 השנים שקדמו להוצאת שומת מס העסקאות, תחול התיישנות והמס עליהם יופחת מסכום השומה. לאחר שבחן את טענות הצדדים ביחס לתשלומים שהועברו לידי המערערת לפני חודש יוני 2009, ואשר מיוחסים </w:t>
      </w:r>
      <w:proofErr w:type="spellStart"/>
      <w:r>
        <w:rPr>
          <w:rFonts w:hint="cs"/>
          <w:rtl/>
        </w:rPr>
        <w:t>לאלקובי</w:t>
      </w:r>
      <w:proofErr w:type="spellEnd"/>
      <w:r>
        <w:rPr>
          <w:rFonts w:hint="cs"/>
          <w:rtl/>
        </w:rPr>
        <w:t xml:space="preserve"> </w:t>
      </w:r>
      <w:proofErr w:type="spellStart"/>
      <w:r>
        <w:rPr>
          <w:rFonts w:hint="cs"/>
          <w:rtl/>
        </w:rPr>
        <w:t>ולמרציאנו</w:t>
      </w:r>
      <w:proofErr w:type="spellEnd"/>
      <w:r>
        <w:rPr>
          <w:rFonts w:hint="cs"/>
          <w:rtl/>
        </w:rPr>
        <w:t>, מצא בית המשפט קמא כי המערערת לא עמדה בנטל להוכיח כי הסכומים השנויים במחלוקת אכן שולמו בעבור רכישת הדירות, ועל כן קבע כי אין להפחיתם משומת מס העסקאות. עוד יצוין, כי בית המשפט קמא דחה את טענתו של המשיב לפיה</w:t>
      </w:r>
      <w:r w:rsidRPr="00462AA8">
        <w:rPr>
          <w:rFonts w:hint="cs"/>
          <w:sz w:val="28"/>
          <w:rtl/>
        </w:rPr>
        <w:t xml:space="preserve"> </w:t>
      </w:r>
      <w:r w:rsidRPr="00462AA8">
        <w:rPr>
          <w:rFonts w:ascii="Calibri" w:hAnsi="Calibri" w:hint="eastAsia"/>
          <w:sz w:val="28"/>
          <w:rtl/>
        </w:rPr>
        <w:t>מאחר</w:t>
      </w:r>
      <w:r w:rsidRPr="00462AA8">
        <w:rPr>
          <w:rFonts w:ascii="Calibri" w:hAnsi="Calibri"/>
          <w:sz w:val="28"/>
          <w:rtl/>
        </w:rPr>
        <w:t xml:space="preserve"> </w:t>
      </w:r>
      <w:r w:rsidRPr="00462AA8">
        <w:rPr>
          <w:rFonts w:ascii="Calibri" w:hAnsi="Calibri" w:hint="cs"/>
          <w:sz w:val="28"/>
          <w:rtl/>
        </w:rPr>
        <w:t>שעבור</w:t>
      </w:r>
      <w:r w:rsidRPr="00462AA8">
        <w:rPr>
          <w:rFonts w:ascii="Calibri" w:hAnsi="Calibri"/>
          <w:sz w:val="28"/>
          <w:rtl/>
        </w:rPr>
        <w:t xml:space="preserve"> </w:t>
      </w:r>
      <w:r w:rsidRPr="00462AA8">
        <w:rPr>
          <w:rFonts w:ascii="Calibri" w:hAnsi="Calibri" w:hint="eastAsia"/>
          <w:sz w:val="28"/>
          <w:rtl/>
        </w:rPr>
        <w:t>העסקה</w:t>
      </w:r>
      <w:r w:rsidRPr="00462AA8">
        <w:rPr>
          <w:rFonts w:ascii="Calibri" w:hAnsi="Calibri"/>
          <w:sz w:val="28"/>
          <w:rtl/>
        </w:rPr>
        <w:t xml:space="preserve"> </w:t>
      </w:r>
      <w:proofErr w:type="spellStart"/>
      <w:r w:rsidRPr="00462AA8">
        <w:rPr>
          <w:rFonts w:ascii="Calibri" w:hAnsi="Calibri" w:hint="eastAsia"/>
          <w:sz w:val="28"/>
          <w:rtl/>
        </w:rPr>
        <w:t>האמיתית</w:t>
      </w:r>
      <w:proofErr w:type="spellEnd"/>
      <w:r w:rsidRPr="00462AA8">
        <w:rPr>
          <w:rFonts w:ascii="Calibri" w:hAnsi="Calibri"/>
          <w:sz w:val="28"/>
          <w:rtl/>
        </w:rPr>
        <w:t xml:space="preserve"> </w:t>
      </w:r>
      <w:r w:rsidRPr="00462AA8">
        <w:rPr>
          <w:rFonts w:ascii="Calibri" w:hAnsi="Calibri" w:hint="eastAsia"/>
          <w:sz w:val="28"/>
          <w:rtl/>
        </w:rPr>
        <w:t>המערערת</w:t>
      </w:r>
      <w:r w:rsidRPr="00462AA8">
        <w:rPr>
          <w:rFonts w:ascii="Calibri" w:hAnsi="Calibri"/>
          <w:sz w:val="28"/>
          <w:rtl/>
        </w:rPr>
        <w:t xml:space="preserve"> </w:t>
      </w:r>
      <w:r w:rsidRPr="00462AA8">
        <w:rPr>
          <w:rFonts w:ascii="Calibri" w:hAnsi="Calibri" w:hint="eastAsia"/>
          <w:sz w:val="28"/>
          <w:rtl/>
        </w:rPr>
        <w:t>מעולם</w:t>
      </w:r>
      <w:r w:rsidRPr="00462AA8">
        <w:rPr>
          <w:rFonts w:ascii="Calibri" w:hAnsi="Calibri"/>
          <w:sz w:val="28"/>
          <w:rtl/>
        </w:rPr>
        <w:t xml:space="preserve"> </w:t>
      </w:r>
      <w:r w:rsidRPr="00462AA8">
        <w:rPr>
          <w:rFonts w:ascii="Calibri" w:hAnsi="Calibri" w:hint="eastAsia"/>
          <w:sz w:val="28"/>
          <w:rtl/>
        </w:rPr>
        <w:t>לא</w:t>
      </w:r>
      <w:r w:rsidRPr="00462AA8">
        <w:rPr>
          <w:rFonts w:ascii="Calibri" w:hAnsi="Calibri"/>
          <w:sz w:val="28"/>
          <w:rtl/>
        </w:rPr>
        <w:t xml:space="preserve"> </w:t>
      </w:r>
      <w:r w:rsidRPr="00462AA8">
        <w:rPr>
          <w:rFonts w:ascii="Calibri" w:hAnsi="Calibri" w:hint="eastAsia"/>
          <w:sz w:val="28"/>
          <w:rtl/>
        </w:rPr>
        <w:t>הגישה</w:t>
      </w:r>
      <w:r w:rsidRPr="00462AA8">
        <w:rPr>
          <w:rFonts w:ascii="Calibri" w:hAnsi="Calibri"/>
          <w:sz w:val="28"/>
          <w:rtl/>
        </w:rPr>
        <w:t xml:space="preserve"> </w:t>
      </w:r>
      <w:r w:rsidRPr="00462AA8">
        <w:rPr>
          <w:rFonts w:ascii="Calibri" w:hAnsi="Calibri" w:hint="eastAsia"/>
          <w:sz w:val="28"/>
          <w:rtl/>
        </w:rPr>
        <w:t>דו</w:t>
      </w:r>
      <w:r w:rsidRPr="00462AA8">
        <w:rPr>
          <w:rFonts w:ascii="Calibri" w:hAnsi="Calibri"/>
          <w:sz w:val="28"/>
          <w:rtl/>
        </w:rPr>
        <w:t>"</w:t>
      </w:r>
      <w:r w:rsidRPr="00462AA8">
        <w:rPr>
          <w:rFonts w:ascii="Calibri" w:hAnsi="Calibri" w:hint="eastAsia"/>
          <w:sz w:val="28"/>
          <w:rtl/>
        </w:rPr>
        <w:t>ח</w:t>
      </w:r>
      <w:r w:rsidRPr="00462AA8">
        <w:rPr>
          <w:rFonts w:ascii="Calibri" w:hAnsi="Calibri"/>
          <w:sz w:val="28"/>
          <w:rtl/>
        </w:rPr>
        <w:t xml:space="preserve">, </w:t>
      </w:r>
      <w:r w:rsidRPr="00462AA8">
        <w:rPr>
          <w:rFonts w:ascii="Calibri" w:hAnsi="Calibri" w:hint="eastAsia"/>
          <w:sz w:val="28"/>
          <w:rtl/>
        </w:rPr>
        <w:t>ממילא</w:t>
      </w:r>
      <w:r w:rsidRPr="00462AA8">
        <w:rPr>
          <w:rFonts w:ascii="Calibri" w:hAnsi="Calibri"/>
          <w:sz w:val="28"/>
          <w:rtl/>
        </w:rPr>
        <w:t xml:space="preserve"> </w:t>
      </w:r>
      <w:r w:rsidRPr="00462AA8">
        <w:rPr>
          <w:rFonts w:ascii="Calibri" w:hAnsi="Calibri" w:hint="eastAsia"/>
          <w:sz w:val="28"/>
          <w:rtl/>
        </w:rPr>
        <w:t>לא</w:t>
      </w:r>
      <w:r w:rsidRPr="00462AA8">
        <w:rPr>
          <w:rFonts w:ascii="Calibri" w:hAnsi="Calibri"/>
          <w:sz w:val="28"/>
          <w:rtl/>
        </w:rPr>
        <w:t xml:space="preserve"> </w:t>
      </w:r>
      <w:r w:rsidRPr="00462AA8">
        <w:rPr>
          <w:rFonts w:ascii="Calibri" w:hAnsi="Calibri" w:hint="eastAsia"/>
          <w:sz w:val="28"/>
          <w:rtl/>
        </w:rPr>
        <w:t>חלה</w:t>
      </w:r>
      <w:r w:rsidRPr="00462AA8">
        <w:rPr>
          <w:rFonts w:ascii="Calibri" w:hAnsi="Calibri"/>
          <w:sz w:val="28"/>
          <w:rtl/>
        </w:rPr>
        <w:t xml:space="preserve"> </w:t>
      </w:r>
      <w:r w:rsidRPr="00462AA8">
        <w:rPr>
          <w:rFonts w:ascii="Calibri" w:hAnsi="Calibri" w:hint="eastAsia"/>
          <w:sz w:val="28"/>
          <w:rtl/>
        </w:rPr>
        <w:t>התיישנות</w:t>
      </w:r>
      <w:r w:rsidRPr="00462AA8">
        <w:rPr>
          <w:rFonts w:ascii="Calibri" w:hAnsi="Calibri"/>
          <w:sz w:val="28"/>
          <w:rtl/>
        </w:rPr>
        <w:t xml:space="preserve"> </w:t>
      </w:r>
      <w:r w:rsidRPr="00462AA8">
        <w:rPr>
          <w:rFonts w:ascii="Calibri" w:hAnsi="Calibri" w:hint="eastAsia"/>
          <w:sz w:val="28"/>
          <w:rtl/>
        </w:rPr>
        <w:t>על</w:t>
      </w:r>
      <w:r w:rsidRPr="00462AA8">
        <w:rPr>
          <w:rFonts w:ascii="Calibri" w:hAnsi="Calibri"/>
          <w:sz w:val="28"/>
          <w:rtl/>
        </w:rPr>
        <w:t xml:space="preserve"> </w:t>
      </w:r>
      <w:r w:rsidRPr="00462AA8">
        <w:rPr>
          <w:rFonts w:ascii="Calibri" w:hAnsi="Calibri" w:hint="eastAsia"/>
          <w:sz w:val="28"/>
          <w:rtl/>
        </w:rPr>
        <w:t>הוצאת</w:t>
      </w:r>
      <w:r w:rsidRPr="00462AA8">
        <w:rPr>
          <w:rFonts w:ascii="Calibri" w:hAnsi="Calibri"/>
          <w:sz w:val="28"/>
          <w:rtl/>
        </w:rPr>
        <w:t xml:space="preserve"> </w:t>
      </w:r>
      <w:r w:rsidRPr="00462AA8">
        <w:rPr>
          <w:rFonts w:ascii="Calibri" w:hAnsi="Calibri" w:hint="eastAsia"/>
          <w:sz w:val="28"/>
          <w:rtl/>
        </w:rPr>
        <w:t>שומה</w:t>
      </w:r>
      <w:r w:rsidRPr="00462AA8">
        <w:rPr>
          <w:rFonts w:ascii="Calibri" w:hAnsi="Calibri"/>
          <w:sz w:val="28"/>
          <w:rtl/>
        </w:rPr>
        <w:t xml:space="preserve"> </w:t>
      </w:r>
      <w:r w:rsidRPr="00462AA8">
        <w:rPr>
          <w:rFonts w:ascii="Calibri" w:hAnsi="Calibri" w:hint="eastAsia"/>
          <w:sz w:val="28"/>
          <w:rtl/>
        </w:rPr>
        <w:t>בגין</w:t>
      </w:r>
      <w:r w:rsidRPr="00462AA8">
        <w:rPr>
          <w:rFonts w:ascii="Calibri" w:hAnsi="Calibri"/>
          <w:sz w:val="28"/>
          <w:rtl/>
        </w:rPr>
        <w:t xml:space="preserve"> </w:t>
      </w:r>
      <w:r w:rsidRPr="00462AA8">
        <w:rPr>
          <w:rFonts w:ascii="Calibri" w:hAnsi="Calibri" w:hint="eastAsia"/>
          <w:sz w:val="28"/>
          <w:rtl/>
        </w:rPr>
        <w:t>העסקה</w:t>
      </w:r>
      <w:r w:rsidRPr="00462AA8">
        <w:rPr>
          <w:rFonts w:ascii="Calibri" w:hAnsi="Calibri"/>
          <w:sz w:val="28"/>
          <w:rtl/>
        </w:rPr>
        <w:t>.</w:t>
      </w:r>
    </w:p>
    <w:p w:rsidR="006E1F18" w:rsidRDefault="006E1F18" w:rsidP="006E1F18">
      <w:pPr>
        <w:pStyle w:val="Ruller41"/>
        <w:rPr>
          <w:rFonts w:ascii="Calibri" w:hAnsi="Calibri"/>
          <w:sz w:val="26"/>
          <w:szCs w:val="26"/>
          <w:rtl/>
        </w:rPr>
      </w:pPr>
    </w:p>
    <w:p w:rsidR="006E1F18" w:rsidRPr="00CB085A" w:rsidRDefault="006E1F18" w:rsidP="006E1F18">
      <w:pPr>
        <w:pStyle w:val="Ruller4"/>
      </w:pPr>
      <w:r>
        <w:rPr>
          <w:rFonts w:hint="cs"/>
          <w:rtl/>
        </w:rPr>
        <w:t xml:space="preserve">אשר לשומת מס התשומות, קבע בית המשפט קמא, לאחר בחינת מכלול הראיות שהוצגו לפניו, כי שלוש החשבוניות שבגינן ניכתה המערערת מס תשומות הוצאו שלא כדין. בית המשפט לא השתכנע כי החשבוניות האמורות משקפות עסקאות </w:t>
      </w:r>
      <w:proofErr w:type="spellStart"/>
      <w:r>
        <w:rPr>
          <w:rFonts w:hint="cs"/>
          <w:rtl/>
        </w:rPr>
        <w:t>אמיתיות</w:t>
      </w:r>
      <w:proofErr w:type="spellEnd"/>
      <w:r>
        <w:rPr>
          <w:rFonts w:hint="cs"/>
          <w:rtl/>
        </w:rPr>
        <w:t xml:space="preserve"> </w:t>
      </w:r>
      <w:r>
        <w:rPr>
          <w:rFonts w:hint="cs"/>
          <w:rtl/>
        </w:rPr>
        <w:lastRenderedPageBreak/>
        <w:t xml:space="preserve">והוצאו על ידי מי שהוסמך להפיקן, לאחר שמצא כי המערערת לא הוכיחה ששילמה כספים בגין השירותים מושא החשבוניות וכי החברה שהפיקה אותן </w:t>
      </w:r>
      <w:r>
        <w:rPr>
          <w:rtl/>
        </w:rPr>
        <w:t>–</w:t>
      </w:r>
      <w:r>
        <w:rPr>
          <w:rFonts w:hint="cs"/>
          <w:rtl/>
        </w:rPr>
        <w:t xml:space="preserve"> חברת א.מ. שקד לוגיסטיקה בע"מ (להלן: "</w:t>
      </w:r>
      <w:r w:rsidRPr="008730B7">
        <w:rPr>
          <w:rFonts w:ascii="Century" w:hAnsi="Century" w:cs="Miriam" w:hint="cs"/>
          <w:b/>
          <w:spacing w:val="0"/>
          <w:sz w:val="22"/>
          <w:szCs w:val="24"/>
          <w:rtl/>
        </w:rPr>
        <w:t>חברת שקד</w:t>
      </w:r>
      <w:r>
        <w:rPr>
          <w:rFonts w:hint="cs"/>
          <w:rtl/>
        </w:rPr>
        <w:t xml:space="preserve">") </w:t>
      </w:r>
      <w:r>
        <w:rPr>
          <w:rtl/>
        </w:rPr>
        <w:t>–</w:t>
      </w:r>
      <w:r>
        <w:rPr>
          <w:rFonts w:hint="cs"/>
          <w:rtl/>
        </w:rPr>
        <w:t xml:space="preserve"> לא הייתה עוסק מורשה בתקופת הוצאתן של שתיים מהחשבוניות. בנוסף נקבע כי עריכת החשבוניות נעשתה שלא כדין משהמערערת כשלה מלעמוד בנטל להוכיח כי נקטה באמצעים הסבירים העומדים לרשותה כדי לאמת את החשבוניות. על כן, נפסק כי שומת מס התשומות שהוציא המשיב למערערת נותרת על כנה.</w:t>
      </w:r>
    </w:p>
    <w:p w:rsidR="006E1F18" w:rsidRDefault="006E1F18" w:rsidP="006E1F18">
      <w:pPr>
        <w:pStyle w:val="Ruller4"/>
        <w:numPr>
          <w:ilvl w:val="0"/>
          <w:numId w:val="0"/>
        </w:numPr>
        <w:rPr>
          <w:rtl/>
        </w:rPr>
      </w:pPr>
    </w:p>
    <w:p w:rsidR="006E1F18" w:rsidRPr="006F38DE" w:rsidRDefault="006E1F18" w:rsidP="006E1F18">
      <w:pPr>
        <w:pStyle w:val="Ruller41"/>
        <w:rPr>
          <w:rFonts w:ascii="Century" w:hAnsi="Century" w:cs="Miriam"/>
          <w:b/>
          <w:spacing w:val="0"/>
          <w:szCs w:val="24"/>
          <w:rtl/>
        </w:rPr>
      </w:pPr>
      <w:r>
        <w:rPr>
          <w:rFonts w:ascii="Century" w:hAnsi="Century" w:cs="Miriam" w:hint="cs"/>
          <w:b/>
          <w:spacing w:val="0"/>
          <w:szCs w:val="24"/>
          <w:rtl/>
        </w:rPr>
        <w:t>טענות המערערת</w:t>
      </w:r>
    </w:p>
    <w:p w:rsidR="006E1F18" w:rsidRPr="00FC5439" w:rsidRDefault="006E1F18" w:rsidP="006E1F18">
      <w:pPr>
        <w:pStyle w:val="Ruller41"/>
      </w:pPr>
    </w:p>
    <w:p w:rsidR="006E1F18" w:rsidRDefault="006E1F18" w:rsidP="0026619D">
      <w:pPr>
        <w:pStyle w:val="Ruller4"/>
        <w:rPr>
          <w:rtl/>
        </w:rPr>
      </w:pPr>
      <w:r>
        <w:rPr>
          <w:rFonts w:hint="cs"/>
          <w:rtl/>
        </w:rPr>
        <w:t xml:space="preserve">ערעורה של המערערת מתייחס הן לקביעות לעניין שומת מס העסקאות והן לקביעות לעניין שומת מס התשומות. אשר לשומת מס העסקאות, המערערת חוזרת על שתי טענותיה העיקריות: </w:t>
      </w:r>
      <w:r w:rsidRPr="00CB085A">
        <w:rPr>
          <w:rFonts w:ascii="Century" w:hAnsi="Century" w:cs="Miriam" w:hint="cs"/>
          <w:b/>
          <w:spacing w:val="0"/>
          <w:sz w:val="22"/>
          <w:szCs w:val="24"/>
          <w:rtl/>
        </w:rPr>
        <w:t>ראשית</w:t>
      </w:r>
      <w:r>
        <w:rPr>
          <w:rFonts w:hint="cs"/>
          <w:rtl/>
        </w:rPr>
        <w:t xml:space="preserve">, המערערת טוענת כי העסקה בינה לבין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לא הביאה להפחתת מס בלתי נאותה, אלא היא תואמת את לשונו ותכליתו של סעיף 5(ב) לחוק מע"מ </w:t>
      </w:r>
      <w:r>
        <w:rPr>
          <w:rtl/>
        </w:rPr>
        <w:t>–</w:t>
      </w:r>
      <w:r>
        <w:rPr>
          <w:rFonts w:hint="cs"/>
          <w:rtl/>
        </w:rPr>
        <w:t xml:space="preserve"> דהיינו, הקלה על עוסקים שרכשו נכסים מגורם פרטי. לפיכך, מדובר בעסקה שהיא תוצר של תכנון מס לגיטימי, ולא היה מקום להתעלם ממנה ולסווגה מחדש. כן טוענת המערערת כי מכירת הדירות בבניין הישן כ"דירות" תאמה את מצבן הפיזי ואת הסטטוס המשפטי שלהן. כלומר, חרף הכוונה להרוס את הבניין הישן, מעת רכישתו ועד למועד מכירת הדירות על ידי המערערת לא חל בהן שינוי פיזי, ולכן לא היה מקום </w:t>
      </w:r>
      <w:proofErr w:type="spellStart"/>
      <w:r>
        <w:rPr>
          <w:rFonts w:hint="cs"/>
          <w:rtl/>
        </w:rPr>
        <w:t>להחריג</w:t>
      </w:r>
      <w:proofErr w:type="spellEnd"/>
      <w:r>
        <w:rPr>
          <w:rFonts w:hint="cs"/>
          <w:rtl/>
        </w:rPr>
        <w:t xml:space="preserve"> אותן מהגדרתן כ"דירות" בשלב שבו נמכרו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לטענת המערערת, ה</w:t>
      </w:r>
      <w:r w:rsidR="0026619D">
        <w:rPr>
          <w:rFonts w:hint="cs"/>
          <w:rtl/>
        </w:rPr>
        <w:t xml:space="preserve">תייחסות </w:t>
      </w:r>
      <w:r>
        <w:rPr>
          <w:rFonts w:hint="cs"/>
          <w:rtl/>
        </w:rPr>
        <w:t>בית המש</w:t>
      </w:r>
      <w:r w:rsidR="001324A7">
        <w:rPr>
          <w:rFonts w:hint="cs"/>
          <w:rtl/>
        </w:rPr>
        <w:t>פט קמא א</w:t>
      </w:r>
      <w:r>
        <w:rPr>
          <w:rFonts w:hint="cs"/>
          <w:rtl/>
        </w:rPr>
        <w:t xml:space="preserve">ל העסקה כמכירת דירות חדשות "על הנייר" היא כשלעצמה מלאכותית, שכן בחודש יוני 2008 הדירות בבניין החדש כלל לא היו "על הנייר". הדירות החדשות שניתנו בסופו של דבר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xml:space="preserve"> באו לעולם רק שנתיים לאחר מכן, כשהתקבל היתר הבנייה. לחלופין, טוענת המערערת כי לו היה מקום לסווג מחדש את העסקה הרי שיש לראות בה כעסקה למכירת קרקע, ולא כעסקה למכירת דירות חדשות "על הנייר", וזאת משום שהדבר תואם הערכת שמאי לפיה ערך הדירות בבניין הישן היה כשווי הקרקע שלהן. על פי טענה חלופית זו, המערערת סבורה כי אומנם לא חל סעיף 5(ב) לחוק מע"מ, אך המועד לעריכת שומה בהתאם לסיווג זה התיישן גם הוא. </w:t>
      </w:r>
    </w:p>
    <w:p w:rsidR="006E1F18" w:rsidRDefault="006E1F18" w:rsidP="006E1F18">
      <w:pPr>
        <w:pStyle w:val="Ruller41"/>
        <w:rPr>
          <w:rtl/>
        </w:rPr>
      </w:pPr>
    </w:p>
    <w:p w:rsidR="006E1F18" w:rsidRDefault="006E1F18" w:rsidP="006E1F18">
      <w:pPr>
        <w:pStyle w:val="Ruller4"/>
        <w:rPr>
          <w:rtl/>
        </w:rPr>
      </w:pPr>
      <w:r w:rsidRPr="00F1786C">
        <w:rPr>
          <w:rFonts w:ascii="Century" w:hAnsi="Century" w:cs="Miriam" w:hint="cs"/>
          <w:b/>
          <w:spacing w:val="0"/>
          <w:sz w:val="22"/>
          <w:szCs w:val="24"/>
          <w:rtl/>
        </w:rPr>
        <w:t>שנית</w:t>
      </w:r>
      <w:r>
        <w:rPr>
          <w:rFonts w:hint="cs"/>
          <w:rtl/>
        </w:rPr>
        <w:t xml:space="preserve">, ובהתייחס לטענת ההתיישנות העיקרית, גורסת המערערת כי </w:t>
      </w:r>
      <w:proofErr w:type="spellStart"/>
      <w:r>
        <w:rPr>
          <w:rFonts w:hint="cs"/>
          <w:rtl/>
        </w:rPr>
        <w:t>מירוץ</w:t>
      </w:r>
      <w:proofErr w:type="spellEnd"/>
      <w:r>
        <w:rPr>
          <w:rFonts w:hint="cs"/>
          <w:rtl/>
        </w:rPr>
        <w:t xml:space="preserve"> ההתיישנות החל בחודש יוני 2008 עת הגישה את הדו"ח שבו דיווחה על העסקה, ולא ממועד החיוב כקביעת בית המשפט קמא. המערערת סבורה כי קביעת בית המשפט קמא שגויה מחמת שלושה טעמים: </w:t>
      </w:r>
      <w:r w:rsidRPr="00F1786C">
        <w:rPr>
          <w:rFonts w:ascii="Century" w:hAnsi="Century" w:cs="Miriam" w:hint="cs"/>
          <w:b/>
          <w:spacing w:val="0"/>
          <w:sz w:val="22"/>
          <w:szCs w:val="24"/>
          <w:rtl/>
        </w:rPr>
        <w:t>ראשית</w:t>
      </w:r>
      <w:r>
        <w:rPr>
          <w:rFonts w:hint="cs"/>
          <w:rtl/>
        </w:rPr>
        <w:t xml:space="preserve">, לשון החוק היא ברורה וחד משמעית, ולפיה </w:t>
      </w:r>
      <w:r>
        <w:rPr>
          <w:rFonts w:hint="cs"/>
          <w:rtl/>
        </w:rPr>
        <w:lastRenderedPageBreak/>
        <w:t xml:space="preserve">השומה צריכה להיערך ביחס לדו"ח שהוגש. על כן, לעניין ההתיישנות קובע החוק את מועד הגשת הדו"ח כמועד הקובע לתחילת </w:t>
      </w:r>
      <w:proofErr w:type="spellStart"/>
      <w:r>
        <w:rPr>
          <w:rFonts w:hint="cs"/>
          <w:rtl/>
        </w:rPr>
        <w:t>מירוץ</w:t>
      </w:r>
      <w:proofErr w:type="spellEnd"/>
      <w:r>
        <w:rPr>
          <w:rFonts w:hint="cs"/>
          <w:rtl/>
        </w:rPr>
        <w:t xml:space="preserve"> ההתיישנות; </w:t>
      </w:r>
      <w:r w:rsidRPr="00F1786C">
        <w:rPr>
          <w:rFonts w:ascii="Century" w:hAnsi="Century" w:cs="Miriam" w:hint="cs"/>
          <w:b/>
          <w:spacing w:val="0"/>
          <w:sz w:val="22"/>
          <w:szCs w:val="24"/>
          <w:rtl/>
        </w:rPr>
        <w:t>שנית</w:t>
      </w:r>
      <w:r>
        <w:rPr>
          <w:rFonts w:hint="cs"/>
          <w:rtl/>
        </w:rPr>
        <w:t xml:space="preserve">, קביעה זו של המחוקק היא הגיונית מאחר שבמועד הגשת הדו"ח מקבל המשיב </w:t>
      </w:r>
      <w:proofErr w:type="spellStart"/>
      <w:r>
        <w:rPr>
          <w:rFonts w:hint="cs"/>
          <w:rtl/>
        </w:rPr>
        <w:t>מהעוסק</w:t>
      </w:r>
      <w:proofErr w:type="spellEnd"/>
      <w:r>
        <w:rPr>
          <w:rFonts w:hint="cs"/>
          <w:rtl/>
        </w:rPr>
        <w:t xml:space="preserve"> את הפרטים על העסקאות שביצע. לטענת המערערת, הותרת קביעת בית המשפט קמא על כנה, עלולה לפגוע דווקא במשיב, מאחר שעוסק שלא ידווח כלל על עסקה מסוימת או לא יגיש דו"ח לגביה יתחיל בכל זאת ליהנות </w:t>
      </w:r>
      <w:proofErr w:type="spellStart"/>
      <w:r>
        <w:rPr>
          <w:rFonts w:hint="cs"/>
          <w:rtl/>
        </w:rPr>
        <w:t>ממירוץ</w:t>
      </w:r>
      <w:proofErr w:type="spellEnd"/>
      <w:r>
        <w:rPr>
          <w:rFonts w:hint="cs"/>
          <w:rtl/>
        </w:rPr>
        <w:t xml:space="preserve"> ההתיישנות ממועד החיוב. הדבר עשוי אפוא לתמרץ חייבים במס לדווח באיחור ובכך לקצר את תקופת ההתיישנות. יתרה מכך, נטען כי קביעת מועד החיוב כמועד הקובע עלולה להגביל את התקופה שבה ניתן להוציא קביעת מס בהיעדר דו"ח על פי סעיף 76 לחוק מע"מ, אשר על פי לשונו של החוק אינה מוגבלת בזמן; </w:t>
      </w:r>
      <w:r w:rsidRPr="00F1786C">
        <w:rPr>
          <w:rFonts w:ascii="Century" w:hAnsi="Century" w:cs="Miriam" w:hint="cs"/>
          <w:b/>
          <w:spacing w:val="0"/>
          <w:sz w:val="22"/>
          <w:szCs w:val="24"/>
          <w:rtl/>
        </w:rPr>
        <w:t>לבסוף</w:t>
      </w:r>
      <w:r>
        <w:rPr>
          <w:rFonts w:hint="cs"/>
          <w:rtl/>
        </w:rPr>
        <w:t xml:space="preserve">, טוענת המערערת כי בהינתן שהמשיב סבר שהדו"ח שהוגש היה לא נכון, היה עליו לערוך שומה לגבי דו"ח זה בתוך 5 שנים מיום הגשתו. </w:t>
      </w:r>
    </w:p>
    <w:p w:rsidR="006E1F18" w:rsidRPr="00F1786C" w:rsidRDefault="006E1F18" w:rsidP="006E1F18">
      <w:pPr>
        <w:pStyle w:val="Ruller41"/>
        <w:rPr>
          <w:rtl/>
        </w:rPr>
      </w:pPr>
    </w:p>
    <w:p w:rsidR="006E1F18" w:rsidRDefault="006E1F18" w:rsidP="006E1F18">
      <w:pPr>
        <w:pStyle w:val="Ruller4"/>
        <w:numPr>
          <w:ilvl w:val="0"/>
          <w:numId w:val="0"/>
        </w:numPr>
        <w:rPr>
          <w:rtl/>
        </w:rPr>
      </w:pPr>
      <w:r>
        <w:rPr>
          <w:rtl/>
        </w:rPr>
        <w:tab/>
      </w:r>
      <w:r>
        <w:rPr>
          <w:rFonts w:hint="cs"/>
          <w:rtl/>
        </w:rPr>
        <w:t xml:space="preserve">עוד טוענת המערערת כי על פי סעיף 69(א) לחוק מע"מ, מקום בו הוצאה חשבונית מס לפני שהגיע מועד החיוב הרגיל, יש להקדים את מועד החיוב ולראותו כמועד בו הוצאה החשבונית, למרות שטרם בוצע החיוב. משכך, נטען כי גם על פי שיטת בית המשפט קמא חלפה תקופת ההתיישנות, שכן "מועד החיוב" הוא המועד שבו דיווחה המערערת והוציאה חשבוניות מס </w:t>
      </w:r>
      <w:r>
        <w:rPr>
          <w:rtl/>
        </w:rPr>
        <w:t>–</w:t>
      </w:r>
      <w:r>
        <w:rPr>
          <w:rFonts w:hint="cs"/>
          <w:rtl/>
        </w:rPr>
        <w:t xml:space="preserve"> קרי, חודש יוני 2008. לצד זאת, המערערת מבהירה כי אין היא חולקת על כך שתשלומים ששולמו לה לאחר יוני 2009 ומעבר לסכום הנקוב בהסכמי המכר, חייבים במע"מ.</w:t>
      </w:r>
    </w:p>
    <w:p w:rsidR="006E1F18" w:rsidRDefault="006E1F18" w:rsidP="006E1F18">
      <w:pPr>
        <w:pStyle w:val="Ruller4"/>
        <w:numPr>
          <w:ilvl w:val="0"/>
          <w:numId w:val="0"/>
        </w:numPr>
        <w:rPr>
          <w:rtl/>
        </w:rPr>
      </w:pPr>
    </w:p>
    <w:p w:rsidR="006E1F18" w:rsidRPr="00F1786C" w:rsidRDefault="006E1F18" w:rsidP="001B020B">
      <w:pPr>
        <w:pStyle w:val="Ruller4"/>
        <w:rPr>
          <w:rtl/>
        </w:rPr>
      </w:pPr>
      <w:r>
        <w:rPr>
          <w:rFonts w:hint="cs"/>
          <w:rtl/>
        </w:rPr>
        <w:t xml:space="preserve">לחלופין, ובהתייחס לטענת ההתיישנות המשנית, טוענת המערערת כי שגה בית המשפט קמא כאשר לא קיבל את טענותיה לעניין התשלומים ששולמו לה בעבור הדירות של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בתקופה שלפני חודש יוני 2009. המערערת גורסת כי הסיבה העיקרית שבית המשפט קמא לא הכיר בתשלומים אלה היא משום שהללו לא שולמו לה ישירות על ידי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ואולם, לדידה של המערערת, זהות המשלמים שבאמצעותם הועברו התשלומים למערערת, מידת קרבתם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xml:space="preserve"> והסיבות בגינן שילמו את התשלומים למערערת אינם רלוונטיים, אלא אך ורק השאלה האם קיבלה המערערת תשלומים על חשבון הדירות שרכשו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כן מדגישה המערערת כי למרות שסברה כי אין רלוונטיות לשאלות אלה, היא הציגה ראיות המבססות את הקשר בין הגורמים המשלמים לבין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עוד טוענת היא כי אין זה סביר שאדם יעביר סכומי כסף נכבדים עבור רעהו אם אין לו קשר או מחויבות כלפיו. כמו כן צוין כי כל אחד מהתשלומים הללו נרשם בכרטסות </w:t>
      </w:r>
      <w:proofErr w:type="spellStart"/>
      <w:r>
        <w:rPr>
          <w:rFonts w:hint="cs"/>
          <w:rtl/>
        </w:rPr>
        <w:t>החו"ז</w:t>
      </w:r>
      <w:proofErr w:type="spellEnd"/>
      <w:r>
        <w:rPr>
          <w:rFonts w:hint="cs"/>
          <w:rtl/>
        </w:rPr>
        <w:t xml:space="preserve"> של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אצל המערערת בהתאמה, ונזקף כנגד החיוב ברכישת דירותיהם. לאחר דברים אלה, מפרטת המערערת את התקבולים שהתקבלו אצלה בעבור הדירות של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לבסוף, המערערת </w:t>
      </w:r>
      <w:r>
        <w:rPr>
          <w:rFonts w:hint="cs"/>
          <w:rtl/>
        </w:rPr>
        <w:lastRenderedPageBreak/>
        <w:t xml:space="preserve">מדגישה כי גם אם יתקבל הערעור במלואו בעניין זה, אין היא </w:t>
      </w:r>
      <w:r w:rsidR="001B020B">
        <w:rPr>
          <w:rFonts w:hint="cs"/>
          <w:rtl/>
        </w:rPr>
        <w:t>כופרת</w:t>
      </w:r>
      <w:r>
        <w:rPr>
          <w:rFonts w:hint="cs"/>
          <w:rtl/>
        </w:rPr>
        <w:t xml:space="preserve"> </w:t>
      </w:r>
      <w:r w:rsidR="001B020B">
        <w:rPr>
          <w:rFonts w:hint="cs"/>
          <w:rtl/>
        </w:rPr>
        <w:t>ב</w:t>
      </w:r>
      <w:r>
        <w:rPr>
          <w:rFonts w:hint="cs"/>
          <w:rtl/>
        </w:rPr>
        <w:t>תשלום שכבר העבירה לידי המשיב בסכום של 423,367 ש"ח.</w:t>
      </w:r>
    </w:p>
    <w:p w:rsidR="006E1F18" w:rsidRDefault="006E1F18" w:rsidP="006E1F18">
      <w:pPr>
        <w:pStyle w:val="Ruller41"/>
        <w:rPr>
          <w:rtl/>
        </w:rPr>
      </w:pPr>
    </w:p>
    <w:p w:rsidR="006E1F18" w:rsidRDefault="006E1F18" w:rsidP="001324A7">
      <w:pPr>
        <w:pStyle w:val="Ruller4"/>
        <w:rPr>
          <w:rtl/>
        </w:rPr>
      </w:pPr>
      <w:r>
        <w:rPr>
          <w:rFonts w:hint="cs"/>
          <w:rtl/>
        </w:rPr>
        <w:t xml:space="preserve">אשר לשומת מס התשומות, המערערת טוענת נגד התנהלות המשיב גם בעניין זה. לטענתה, המשיב שינה את עילתו לעריכת שומה זו כל פעם שהצליחה להפריכה, ועל כן די בהתנהלותו חסרת תום הלב כדי לפסול את השומה. לגופו של עניין, טוענת המערערת כי היא עשתה כל מה שעוסק סביר היה יכול וצריך לעשות כדי להימנע מקבלת חשבוניות לא כשרות, ועל כן לא היה מקום לחייבה. זאת, במיוחד כאשר המשיב לא ציין אלו פעולות הייתה צריכה לבצע המערערת ולא בוצעו, ובהינתן שמה שציין המשיב בוצע על ידה. לבסוף, דוחה המערערת את הטענות בדבר אי אמיתות העסקאות והיותן של החשבוניות בדויות. </w:t>
      </w:r>
    </w:p>
    <w:p w:rsidR="006E1F18" w:rsidRPr="00FE7F16" w:rsidRDefault="006E1F18" w:rsidP="006E1F18">
      <w:pPr>
        <w:pStyle w:val="Ruller41"/>
      </w:pPr>
    </w:p>
    <w:p w:rsidR="006E1F18" w:rsidRPr="006F38DE" w:rsidRDefault="006E1F18" w:rsidP="006E1F18">
      <w:pPr>
        <w:pStyle w:val="Ruller41"/>
        <w:rPr>
          <w:rFonts w:ascii="Century" w:hAnsi="Century" w:cs="Miriam"/>
          <w:b/>
          <w:spacing w:val="0"/>
          <w:szCs w:val="24"/>
          <w:rtl/>
        </w:rPr>
      </w:pPr>
      <w:r>
        <w:rPr>
          <w:rFonts w:ascii="Century" w:hAnsi="Century" w:cs="Miriam" w:hint="cs"/>
          <w:b/>
          <w:spacing w:val="0"/>
          <w:szCs w:val="24"/>
          <w:rtl/>
        </w:rPr>
        <w:t>טענות המשיב</w:t>
      </w:r>
    </w:p>
    <w:p w:rsidR="006E1F18" w:rsidRPr="00FC5439" w:rsidRDefault="006E1F18" w:rsidP="006E1F18">
      <w:pPr>
        <w:pStyle w:val="Ruller41"/>
      </w:pPr>
    </w:p>
    <w:p w:rsidR="006E1F18" w:rsidRDefault="006E1F18" w:rsidP="006E1F18">
      <w:pPr>
        <w:pStyle w:val="Ruller4"/>
        <w:rPr>
          <w:rtl/>
        </w:rPr>
      </w:pPr>
      <w:r>
        <w:rPr>
          <w:rFonts w:hint="cs"/>
          <w:rtl/>
        </w:rPr>
        <w:t xml:space="preserve"> המשיב סומך את ידיו על פסק דינו של בית המשפט קמא, המבוסס לשיטתו על ממצאים עובדתיים מובהקים. לטענתו, המערערת חוזרת על הטענות שהועלו לפני בית המשפט קמא ואשר נדחו, ואין כל הצדקה להידרש אליהן בשנית.</w:t>
      </w:r>
    </w:p>
    <w:p w:rsidR="006E1F18" w:rsidRDefault="006E1F18" w:rsidP="006E1F18">
      <w:pPr>
        <w:pStyle w:val="Ruller4"/>
        <w:numPr>
          <w:ilvl w:val="0"/>
          <w:numId w:val="0"/>
        </w:numPr>
        <w:rPr>
          <w:rtl/>
        </w:rPr>
      </w:pPr>
    </w:p>
    <w:p w:rsidR="006E1F18" w:rsidRDefault="006E1F18" w:rsidP="006E1F18">
      <w:pPr>
        <w:pStyle w:val="Ruller4"/>
        <w:rPr>
          <w:rtl/>
        </w:rPr>
      </w:pPr>
      <w:r>
        <w:rPr>
          <w:rFonts w:hint="cs"/>
          <w:rtl/>
        </w:rPr>
        <w:t xml:space="preserve">אשר לשומת מס העסקאות, מעלה המשיב מספר טענות: </w:t>
      </w:r>
      <w:r w:rsidRPr="007F173E">
        <w:rPr>
          <w:rFonts w:ascii="Century" w:hAnsi="Century" w:cs="Miriam" w:hint="cs"/>
          <w:b/>
          <w:spacing w:val="0"/>
          <w:sz w:val="22"/>
          <w:szCs w:val="24"/>
          <w:rtl/>
        </w:rPr>
        <w:t>ראשית</w:t>
      </w:r>
      <w:r>
        <w:rPr>
          <w:rFonts w:hint="cs"/>
          <w:rtl/>
        </w:rPr>
        <w:t xml:space="preserve">, טוען המשיב כי סעיף 5(ב) לחוק מע"מ אינו חל על מכירה של דירות חדשות או של מקרקעין, אלא הוא חל רק על מכירת אותן דירות "משומשות" שנרכשו על ידי עוסק. משכך, הואיל ומהותה הכלכלית </w:t>
      </w:r>
      <w:proofErr w:type="spellStart"/>
      <w:r>
        <w:rPr>
          <w:rFonts w:hint="cs"/>
          <w:rtl/>
        </w:rPr>
        <w:t>האמיתית</w:t>
      </w:r>
      <w:proofErr w:type="spellEnd"/>
      <w:r>
        <w:rPr>
          <w:rFonts w:hint="cs"/>
          <w:rtl/>
        </w:rPr>
        <w:t xml:space="preserve"> של העסקה היא מכירת דירות בבניין החדש, להבדיל מאלו שנרכשו על ידי המערערת, הרי שסעיף 5(ב) לחוק אינו חל בענייננו. </w:t>
      </w:r>
      <w:r w:rsidRPr="00160E37">
        <w:rPr>
          <w:rFonts w:ascii="Century" w:hAnsi="Century" w:cs="Miriam" w:hint="cs"/>
          <w:b/>
          <w:spacing w:val="0"/>
          <w:sz w:val="22"/>
          <w:szCs w:val="24"/>
          <w:rtl/>
        </w:rPr>
        <w:t>שנית</w:t>
      </w:r>
      <w:r>
        <w:rPr>
          <w:rFonts w:hint="cs"/>
          <w:rtl/>
        </w:rPr>
        <w:t xml:space="preserve">, גורס המשיב כי המערערת לא העלתה כל טענה נגד קביעתו העובדתית של בית המשפט קמא לפיה מהותה של העסקה שנערכה היא מכירת דירות חדשות, ולכן די בכך כדי להביא לדחיית הערעור בעניין שומת מס העסקאות. לטענת המשיב, מלבד שלל האינדיקציות העובדתיות המבססות את קביעת בית המשפט קמא בדבר מהותה </w:t>
      </w:r>
      <w:proofErr w:type="spellStart"/>
      <w:r>
        <w:rPr>
          <w:rFonts w:hint="cs"/>
          <w:rtl/>
        </w:rPr>
        <w:t>האמיתית</w:t>
      </w:r>
      <w:proofErr w:type="spellEnd"/>
      <w:r>
        <w:rPr>
          <w:rFonts w:hint="cs"/>
          <w:rtl/>
        </w:rPr>
        <w:t xml:space="preserve"> של העסקה, הרי שהמערערת למעשה מודה בה ולמצער מנועה מלטעון נגדה. כך, בשים לב להבנות שהתגבשו בהסכם הפשרה 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לבין מנהל המיסוי, וכך בפרט לנוכח התייחסותה של המערערת במסגרת סיכומיה למכירת הדירות לפי שווי מכירתן של הדירות החדשות. </w:t>
      </w:r>
      <w:r w:rsidRPr="00D261D0">
        <w:rPr>
          <w:rFonts w:ascii="Century" w:hAnsi="Century" w:cs="Miriam" w:hint="cs"/>
          <w:b/>
          <w:spacing w:val="0"/>
          <w:sz w:val="22"/>
          <w:szCs w:val="24"/>
          <w:rtl/>
        </w:rPr>
        <w:t>שלישית</w:t>
      </w:r>
      <w:r>
        <w:rPr>
          <w:rFonts w:hint="cs"/>
          <w:rtl/>
        </w:rPr>
        <w:t xml:space="preserve">, טוען המשיב כי לא נפלה כל שגגה בקביעתו החלופית של בית המשפט קמא לפיה העסקה למכירת הדירות בבניין הישן היא עסקה מלאכותית, הגם שלשיטתו לא היה צורך לדון בטענה זו משנקבע כי יש לסווג את העסקה בסיווג שונה </w:t>
      </w:r>
      <w:r>
        <w:rPr>
          <w:rFonts w:hint="cs"/>
          <w:rtl/>
        </w:rPr>
        <w:lastRenderedPageBreak/>
        <w:t>כעסקת מכר דירות חדשות. המשיב מוסיף וטוען כי המערערת הציגה שלל גרסאות לקיומו של טעם מסחרי יסודי לעסקה כפי שבוצעה, שאף לא אחת מהן הוכחה וגם הסתירות ביניהן נותרו ללא מענה. אשר על כן, סבור המשיב כי פיצול העסקה להסכמים שונים לא נעשה אלא כדי להפחית את נטל המס באופן לא נאות.</w:t>
      </w:r>
    </w:p>
    <w:p w:rsidR="006E1F18" w:rsidRDefault="006E1F18" w:rsidP="006E1F18">
      <w:pPr>
        <w:pStyle w:val="Ruller41"/>
        <w:rPr>
          <w:rtl/>
        </w:rPr>
      </w:pPr>
    </w:p>
    <w:p w:rsidR="006E1F18" w:rsidRDefault="006E1F18" w:rsidP="00271F29">
      <w:pPr>
        <w:pStyle w:val="Ruller4"/>
      </w:pPr>
      <w:r>
        <w:rPr>
          <w:rFonts w:hint="cs"/>
          <w:rtl/>
        </w:rPr>
        <w:t xml:space="preserve">לעניין טענות ההתיישנות, טוען המשיב כי בית המשפט קמא לא היה צריך לאפשר למערערת להעלות טענות אלו משום שהועלו לראשונה במסגרת ערעור המס. לגופם של דברים, ובהתייחס לטענת ההתיישנות העיקרית, טוען המשיב כי חוק מע"מ מקנה חשיבות למועד החיוב במס ומסמן אותו כמועד הקובע להתגבשות החבות המשפטית במס. הוראות החוק אף מלמדות כי המועד להוצאת חשבוניות בגין העסקה והמועד להגשת הדו"ח התקופתי קשורים בקשר הדוק למועד החיוב במס. משכך, סבור המשיב כי ממועד זה יש למנות את תקופת ההתיישנות, כאשר מקום בו מוגש הדו"ח התקופתי טרם הגיע המועד לחיוב, נדחה המועד לתחילת </w:t>
      </w:r>
      <w:proofErr w:type="spellStart"/>
      <w:r>
        <w:rPr>
          <w:rFonts w:hint="cs"/>
          <w:rtl/>
        </w:rPr>
        <w:t>מירוץ</w:t>
      </w:r>
      <w:proofErr w:type="spellEnd"/>
      <w:r>
        <w:rPr>
          <w:rFonts w:hint="cs"/>
          <w:rtl/>
        </w:rPr>
        <w:t xml:space="preserve"> ההתיישנות עד למועד החיוב, הוא המועד הראשון שבו יכול המשיב ל</w:t>
      </w:r>
      <w:r w:rsidR="00271F29">
        <w:rPr>
          <w:rFonts w:hint="cs"/>
          <w:rtl/>
        </w:rPr>
        <w:t xml:space="preserve">מסות </w:t>
      </w:r>
      <w:r>
        <w:rPr>
          <w:rFonts w:hint="cs"/>
          <w:rtl/>
        </w:rPr>
        <w:t xml:space="preserve">את העסקה הן מבחינה משפטית והן מבחינה מעשית: מבחינה </w:t>
      </w:r>
      <w:r w:rsidRPr="008F4B18">
        <w:rPr>
          <w:rFonts w:ascii="Century" w:hAnsi="Century" w:cs="Miriam" w:hint="eastAsia"/>
          <w:b/>
          <w:spacing w:val="0"/>
          <w:sz w:val="22"/>
          <w:szCs w:val="24"/>
          <w:rtl/>
        </w:rPr>
        <w:t>משפטית</w:t>
      </w:r>
      <w:r>
        <w:rPr>
          <w:rFonts w:hint="cs"/>
          <w:rtl/>
        </w:rPr>
        <w:t xml:space="preserve">, משנקבע מועד התגבשות העסקה ובעקבותיו מועד החיוב במס בגינה, המשיב אינו מוסמך להטיל חבות מס במועד מוקדם יותר; ומבחינה </w:t>
      </w:r>
      <w:r w:rsidRPr="008F4B18">
        <w:rPr>
          <w:rFonts w:ascii="Century" w:hAnsi="Century" w:cs="Miriam" w:hint="eastAsia"/>
          <w:b/>
          <w:spacing w:val="0"/>
          <w:sz w:val="22"/>
          <w:szCs w:val="24"/>
          <w:rtl/>
        </w:rPr>
        <w:t>מעשית</w:t>
      </w:r>
      <w:r>
        <w:rPr>
          <w:rFonts w:hint="cs"/>
          <w:rtl/>
        </w:rPr>
        <w:t xml:space="preserve">, על מנת להטיל מס על עסקה זקוק המשיב למלוא המידע הרלוונטי </w:t>
      </w:r>
      <w:r>
        <w:rPr>
          <w:rtl/>
        </w:rPr>
        <w:t>–</w:t>
      </w:r>
      <w:r>
        <w:rPr>
          <w:rFonts w:hint="cs"/>
          <w:rtl/>
        </w:rPr>
        <w:t xml:space="preserve"> מידע שמתגבש אך במועד החיוב. כל מסקנה אחרת, כך נטען, תהיה מנוגדת לתכליתן של הוראות ההתיישנות בדיני המס ולשכל הישר, תחתור תחת עקרונות יסוד בדיני המס, ועלולה להביא לתוצאה אבסורדית לפיה עסקה תתיישן עוד בטרם התגבשה החבות המשפטית במס בגינה, ולמצער תוגבל האפשרות לבחון את העסקה בהתאם לבחירת העוסק. </w:t>
      </w:r>
    </w:p>
    <w:p w:rsidR="006E1F18" w:rsidRDefault="006E1F18" w:rsidP="006E1F18">
      <w:pPr>
        <w:pStyle w:val="Ruller4"/>
        <w:numPr>
          <w:ilvl w:val="0"/>
          <w:numId w:val="0"/>
        </w:numPr>
      </w:pPr>
    </w:p>
    <w:p w:rsidR="006E1F18" w:rsidRDefault="006E1F18" w:rsidP="00271F29">
      <w:pPr>
        <w:pStyle w:val="Ruller41"/>
        <w:rPr>
          <w:rtl/>
        </w:rPr>
      </w:pPr>
      <w:r>
        <w:rPr>
          <w:rtl/>
        </w:rPr>
        <w:tab/>
      </w:r>
      <w:r>
        <w:rPr>
          <w:rFonts w:hint="cs"/>
          <w:rtl/>
        </w:rPr>
        <w:t xml:space="preserve">במקרה דנן, מאחר שהמערערת לא קיבלה כל תשלום בעבור העסקה במועד שבו הגישה את הדו"ח, המשיב סבור כי </w:t>
      </w:r>
      <w:proofErr w:type="spellStart"/>
      <w:r>
        <w:rPr>
          <w:rFonts w:hint="cs"/>
          <w:rtl/>
        </w:rPr>
        <w:t>מירוץ</w:t>
      </w:r>
      <w:proofErr w:type="spellEnd"/>
      <w:r>
        <w:rPr>
          <w:rFonts w:hint="cs"/>
          <w:rtl/>
        </w:rPr>
        <w:t xml:space="preserve"> ההתיישנות אינו מתחיל במועד הגשת הדו"ח, אלא במועד המוקדם ביותר האפשרי לחיוב במס, הוא מועד תשלום סכומים על חשבון התמורה. מסקנה זו מתחדדת, לשיטת המשיב, על רקע קביעותיו של בית המשפט קמא באשר להתנהלותה של המערערת: העסקה שדווחה היא עסקה מלאכותית, ואף תנאיה כלל לא קוימו בפועל; ממילא גם הדיווח הוא מלאכותי ויש להתעלם ממנו; הקדמת החשבוניות נעשתה בניגוד לדין ומבלי שהיה בסיס חוקי לכך; ואף לפי האמור בסיכומי המערערת רק ביום 18.10.2009 ניתן היה לזהות את הדירות החדשות, ומכאן שגם לשיטתה לא הייתה כל אפשרות ל</w:t>
      </w:r>
      <w:r w:rsidR="00271F29">
        <w:rPr>
          <w:rFonts w:hint="cs"/>
          <w:rtl/>
        </w:rPr>
        <w:t>מסות</w:t>
      </w:r>
      <w:r>
        <w:rPr>
          <w:rFonts w:hint="cs"/>
          <w:rtl/>
        </w:rPr>
        <w:t xml:space="preserve"> את העסקה </w:t>
      </w:r>
      <w:proofErr w:type="spellStart"/>
      <w:r>
        <w:rPr>
          <w:rFonts w:hint="cs"/>
          <w:rtl/>
        </w:rPr>
        <w:t>האמיתית</w:t>
      </w:r>
      <w:proofErr w:type="spellEnd"/>
      <w:r>
        <w:rPr>
          <w:rFonts w:hint="cs"/>
          <w:rtl/>
        </w:rPr>
        <w:t xml:space="preserve"> במועד הדיווח. עוד טוען המשיב כי יש לדחות את טענת המערערת המבוססת על סעיף 69(א) לחוק מע"מ, וזאת משום שפרשנות המערערת מוציאה את הוראות הסעיף מהקשרם, חותרת תחת תכלית </w:t>
      </w:r>
      <w:r>
        <w:rPr>
          <w:rFonts w:hint="cs"/>
          <w:rtl/>
        </w:rPr>
        <w:lastRenderedPageBreak/>
        <w:t xml:space="preserve">החוק והרציונל שבסיסו </w:t>
      </w:r>
      <w:r>
        <w:rPr>
          <w:rtl/>
        </w:rPr>
        <w:t>–</w:t>
      </w:r>
      <w:r>
        <w:rPr>
          <w:rFonts w:hint="cs"/>
          <w:rtl/>
        </w:rPr>
        <w:t xml:space="preserve"> למנוע חסרון כיס לקופת המדינה </w:t>
      </w:r>
      <w:r>
        <w:rPr>
          <w:rtl/>
        </w:rPr>
        <w:t>–</w:t>
      </w:r>
      <w:r>
        <w:rPr>
          <w:rFonts w:hint="cs"/>
          <w:rtl/>
        </w:rPr>
        <w:t xml:space="preserve"> ויוצרת דיס-הרמוניה בין הוראות החוק לעניין מועד אירוע החיוב במס. </w:t>
      </w:r>
    </w:p>
    <w:p w:rsidR="006E1F18" w:rsidRPr="006324CB" w:rsidRDefault="006E1F18" w:rsidP="006E1F18">
      <w:pPr>
        <w:pStyle w:val="Ruller41"/>
        <w:rPr>
          <w:rtl/>
        </w:rPr>
      </w:pPr>
    </w:p>
    <w:p w:rsidR="006E1F18" w:rsidRPr="005F60A7" w:rsidRDefault="006E1F18" w:rsidP="006E1F18">
      <w:pPr>
        <w:pStyle w:val="Ruller4"/>
        <w:rPr>
          <w:rtl/>
        </w:rPr>
      </w:pPr>
      <w:r>
        <w:rPr>
          <w:rFonts w:hint="cs"/>
          <w:rtl/>
        </w:rPr>
        <w:t xml:space="preserve">בנוסף, </w:t>
      </w:r>
      <w:r w:rsidRPr="005F60A7">
        <w:rPr>
          <w:rFonts w:hint="eastAsia"/>
          <w:rtl/>
        </w:rPr>
        <w:t>המ</w:t>
      </w:r>
      <w:r>
        <w:rPr>
          <w:rFonts w:hint="cs"/>
          <w:rtl/>
        </w:rPr>
        <w:t>שיב גורס</w:t>
      </w:r>
      <w:r w:rsidRPr="005F60A7">
        <w:rPr>
          <w:rtl/>
        </w:rPr>
        <w:t xml:space="preserve"> </w:t>
      </w:r>
      <w:r>
        <w:rPr>
          <w:rFonts w:hint="cs"/>
          <w:rtl/>
        </w:rPr>
        <w:t>כי אין לקבל גם את טענת ההתיישנות המשנית של המערערת, הן מן הטעם שמדובר בטענה עובדתית הסותרת את טענת המערערת בהליכי השומה וההשגה, והן מן הטעם שבית המשפט קמא בחן את מלוא התשלומים וקבע כממצא עובדתי שלא הוכח כי אלה שולמו בעבור הדירות. מכל מקום, חוזר המשיב על הראיות והאינדיקציות המלמדות לשיטתו כי לא שולמו למערערת תשלומים בעבור הדירות בתקופה שלפני חודש יוני 2009, וטוען כי המערערת אינה מתמודדת בסיכומיה עם ממצאיו של בית המשפט קמא בעניין זה.</w:t>
      </w:r>
    </w:p>
    <w:p w:rsidR="006E1F18" w:rsidRDefault="006E1F18" w:rsidP="006E1F18">
      <w:pPr>
        <w:pStyle w:val="Ruller41"/>
        <w:rPr>
          <w:rtl/>
        </w:rPr>
      </w:pPr>
    </w:p>
    <w:p w:rsidR="006E1F18" w:rsidRPr="00783ADA" w:rsidRDefault="006E1F18" w:rsidP="006E1F18">
      <w:pPr>
        <w:pStyle w:val="Ruller4"/>
        <w:rPr>
          <w:rtl/>
        </w:rPr>
      </w:pPr>
      <w:r>
        <w:rPr>
          <w:rFonts w:hint="cs"/>
          <w:rtl/>
        </w:rPr>
        <w:t xml:space="preserve">אשר לשומת מס התשומות, טוען המשיב כי הראיות והאינדיקציות שהוצגו בהליך, ושעל עיקרן עמד בית המשפט קמא בפסק דינו, מוכיחות מעבר לכל ספק כי החשבוניות לא הוצאו כדין. עוד טוען המשיב כי המערערת לא הציגה בסיכומיה ולו בדל של ראיה שיש בה כדי לסתור את קביעות בית המשפט קמא לפיהן היו צריכים להתעורר אצל המערערת ספקות בדבר תקינות החשבוניות, וכי היא לא הוכיחה כי נקטה בכל האמצעיים הסבירים העומדים לרשותה. </w:t>
      </w:r>
    </w:p>
    <w:p w:rsidR="006E1F18" w:rsidRDefault="006E1F18" w:rsidP="006E1F18">
      <w:pPr>
        <w:pStyle w:val="Ruller41"/>
        <w:rPr>
          <w:rtl/>
        </w:rPr>
      </w:pPr>
    </w:p>
    <w:p w:rsidR="006E1F18" w:rsidRDefault="006E1F18" w:rsidP="006E1F18">
      <w:pPr>
        <w:pStyle w:val="Ruller4"/>
      </w:pPr>
      <w:r>
        <w:rPr>
          <w:rFonts w:hint="cs"/>
          <w:rtl/>
        </w:rPr>
        <w:t xml:space="preserve">בדיון שהתקיים ביום 7.5.2020 הצענו לצדדים הצעה בניסיון להביא אותם לכדי הסכמה. כמה ימים לאחר מכן הודיעה המערערת כי הצעה זו אינה מקובלת עליה. משכך, נדרשת הכרעתנו בערעור שהגישה על פסק דינו של בית המשפט קמא. </w:t>
      </w:r>
    </w:p>
    <w:p w:rsidR="00547B3F" w:rsidRPr="00547B3F" w:rsidRDefault="00547B3F" w:rsidP="00547B3F">
      <w:pPr>
        <w:pStyle w:val="Ruller41"/>
        <w:rPr>
          <w:rtl/>
        </w:rPr>
      </w:pPr>
    </w:p>
    <w:p w:rsidR="006E1F18" w:rsidRDefault="006E1F18" w:rsidP="006E1F18">
      <w:pPr>
        <w:pStyle w:val="Ruller41"/>
        <w:rPr>
          <w:rFonts w:ascii="Century" w:hAnsi="Century" w:cs="Miriam"/>
          <w:b/>
          <w:spacing w:val="0"/>
          <w:szCs w:val="24"/>
          <w:rtl/>
        </w:rPr>
      </w:pPr>
      <w:r>
        <w:rPr>
          <w:rFonts w:ascii="Century" w:hAnsi="Century" w:cs="Miriam" w:hint="cs"/>
          <w:b/>
          <w:spacing w:val="0"/>
          <w:szCs w:val="24"/>
          <w:rtl/>
        </w:rPr>
        <w:t>דיון והכרעה</w:t>
      </w:r>
    </w:p>
    <w:p w:rsidR="006E1F18" w:rsidRPr="006F38DE" w:rsidRDefault="006E1F18" w:rsidP="006E1F18">
      <w:pPr>
        <w:pStyle w:val="Ruller41"/>
        <w:rPr>
          <w:rFonts w:ascii="Century" w:hAnsi="Century" w:cs="Miriam"/>
          <w:b/>
          <w:spacing w:val="0"/>
          <w:szCs w:val="24"/>
          <w:rtl/>
        </w:rPr>
      </w:pPr>
    </w:p>
    <w:p w:rsidR="006E1F18" w:rsidRPr="008F4B18" w:rsidRDefault="006E1F18" w:rsidP="006E1F18">
      <w:pPr>
        <w:pStyle w:val="Ruller41"/>
        <w:rPr>
          <w:rFonts w:ascii="Century" w:hAnsi="Century" w:cs="Miriam"/>
          <w:b/>
          <w:spacing w:val="0"/>
          <w:szCs w:val="24"/>
          <w:rtl/>
        </w:rPr>
      </w:pPr>
      <w:r w:rsidRPr="008F4B18">
        <w:rPr>
          <w:rFonts w:ascii="Century" w:hAnsi="Century" w:cs="Miriam" w:hint="cs"/>
          <w:b/>
          <w:spacing w:val="0"/>
          <w:szCs w:val="24"/>
          <w:rtl/>
        </w:rPr>
        <w:t xml:space="preserve">שומת מס העסקאות </w:t>
      </w:r>
    </w:p>
    <w:p w:rsidR="006E1F18" w:rsidRPr="008F4B18" w:rsidRDefault="006E1F18" w:rsidP="006E1F18">
      <w:pPr>
        <w:pStyle w:val="Ruller41"/>
      </w:pPr>
    </w:p>
    <w:p w:rsidR="006E1F18" w:rsidRDefault="006E1F18" w:rsidP="00EC624E">
      <w:pPr>
        <w:pStyle w:val="Ruller4"/>
        <w:rPr>
          <w:rtl/>
        </w:rPr>
      </w:pPr>
      <w:r>
        <w:rPr>
          <w:rFonts w:hint="cs"/>
          <w:rtl/>
        </w:rPr>
        <w:t>הערעור שלפנינו, ככל שהוא נוגע לשומת מס העסקאות שהוצאה למערערת ביום 7.7.2014 (להלן: "</w:t>
      </w:r>
      <w:r w:rsidRPr="00A70518">
        <w:rPr>
          <w:rFonts w:ascii="Century" w:hAnsi="Century" w:cs="Miriam" w:hint="cs"/>
          <w:b/>
          <w:spacing w:val="0"/>
          <w:sz w:val="22"/>
          <w:szCs w:val="24"/>
          <w:rtl/>
        </w:rPr>
        <w:t>השומה</w:t>
      </w:r>
      <w:r>
        <w:rPr>
          <w:rFonts w:hint="cs"/>
          <w:rtl/>
        </w:rPr>
        <w:t xml:space="preserve">"), מעורר שאלות הן במישור הדיוני והן במישור המהותי: במישור </w:t>
      </w:r>
      <w:r w:rsidRPr="002C1478">
        <w:rPr>
          <w:rFonts w:ascii="Century" w:hAnsi="Century" w:cs="Miriam" w:hint="eastAsia"/>
          <w:b/>
          <w:spacing w:val="0"/>
          <w:sz w:val="22"/>
          <w:szCs w:val="24"/>
          <w:rtl/>
        </w:rPr>
        <w:t>הדיוני</w:t>
      </w:r>
      <w:r>
        <w:rPr>
          <w:rFonts w:hint="cs"/>
          <w:rtl/>
        </w:rPr>
        <w:t xml:space="preserve"> טוענת המערערת כי המועד להוצאת שומה לפי מיטב השפיטה בהתאם לסעיף 77(ב) לחוק מע"מ חלף, בין אם ביחס למכלול הסכומים הכלולים בשומה, ובין אם ביחס לחלקם (להלן: "</w:t>
      </w:r>
      <w:r w:rsidRPr="00A70518">
        <w:rPr>
          <w:rFonts w:ascii="Century" w:hAnsi="Century" w:cs="Miriam" w:hint="cs"/>
          <w:b/>
          <w:spacing w:val="0"/>
          <w:sz w:val="22"/>
          <w:szCs w:val="24"/>
          <w:rtl/>
        </w:rPr>
        <w:t>טענת ההתיישנות</w:t>
      </w:r>
      <w:r>
        <w:rPr>
          <w:rFonts w:hint="cs"/>
          <w:rtl/>
        </w:rPr>
        <w:t xml:space="preserve">"); במישור </w:t>
      </w:r>
      <w:r w:rsidRPr="002C1478">
        <w:rPr>
          <w:rFonts w:ascii="Century" w:hAnsi="Century" w:cs="Miriam" w:hint="eastAsia"/>
          <w:b/>
          <w:spacing w:val="0"/>
          <w:sz w:val="22"/>
          <w:szCs w:val="24"/>
          <w:rtl/>
        </w:rPr>
        <w:t>המהותי</w:t>
      </w:r>
      <w:r>
        <w:rPr>
          <w:rFonts w:hint="cs"/>
          <w:rtl/>
        </w:rPr>
        <w:t xml:space="preserve"> טוענת המערערת כי לא הייתה הצדקה להוצאת השומה, מאחר שלא הייתה עילה מבוררת להתערב בדרך בה </w:t>
      </w:r>
      <w:r>
        <w:rPr>
          <w:rFonts w:hint="cs"/>
          <w:rtl/>
        </w:rPr>
        <w:lastRenderedPageBreak/>
        <w:t>דיווחה בשעתו בדו"ח על העסק</w:t>
      </w:r>
      <w:r w:rsidR="00EC624E">
        <w:rPr>
          <w:rFonts w:hint="cs"/>
          <w:rtl/>
        </w:rPr>
        <w:t>ה</w:t>
      </w:r>
      <w:r>
        <w:rPr>
          <w:rFonts w:hint="cs"/>
          <w:rtl/>
        </w:rPr>
        <w:t xml:space="preserve"> שנעש</w:t>
      </w:r>
      <w:r w:rsidR="00EC624E">
        <w:rPr>
          <w:rFonts w:hint="cs"/>
          <w:rtl/>
        </w:rPr>
        <w:t>תה</w:t>
      </w:r>
      <w:r>
        <w:rPr>
          <w:rFonts w:hint="cs"/>
          <w:rtl/>
        </w:rPr>
        <w:t xml:space="preserve"> בינה לבין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(להלן: "</w:t>
      </w:r>
      <w:r w:rsidRPr="00A70518">
        <w:rPr>
          <w:rFonts w:ascii="Century" w:hAnsi="Century" w:cs="Miriam" w:hint="cs"/>
          <w:b/>
          <w:spacing w:val="0"/>
          <w:sz w:val="22"/>
          <w:szCs w:val="24"/>
          <w:rtl/>
        </w:rPr>
        <w:t>הטענה</w:t>
      </w:r>
      <w:r>
        <w:rPr>
          <w:rFonts w:hint="cs"/>
          <w:rtl/>
        </w:rPr>
        <w:t xml:space="preserve"> </w:t>
      </w:r>
      <w:r w:rsidRPr="00A70518">
        <w:rPr>
          <w:rFonts w:ascii="Century" w:hAnsi="Century" w:cs="Miriam" w:hint="cs"/>
          <w:b/>
          <w:spacing w:val="0"/>
          <w:sz w:val="22"/>
          <w:szCs w:val="24"/>
          <w:rtl/>
        </w:rPr>
        <w:t>המהותית</w:t>
      </w:r>
      <w:r>
        <w:rPr>
          <w:rFonts w:hint="cs"/>
          <w:rtl/>
        </w:rPr>
        <w:t>"). להלן נבחן טענות אלו כסדר הצגתן.</w:t>
      </w:r>
    </w:p>
    <w:p w:rsidR="006E1F18" w:rsidRDefault="006E1F18" w:rsidP="006E1F18">
      <w:pPr>
        <w:pStyle w:val="Ruller41"/>
        <w:rPr>
          <w:rtl/>
        </w:rPr>
      </w:pPr>
    </w:p>
    <w:p w:rsidR="006E1F18" w:rsidRPr="00A70518" w:rsidRDefault="006E1F18" w:rsidP="006E1F18">
      <w:pPr>
        <w:pStyle w:val="Ruller41"/>
        <w:rPr>
          <w:rFonts w:ascii="Century" w:hAnsi="Century" w:cs="Miriam"/>
          <w:b/>
          <w:spacing w:val="0"/>
          <w:szCs w:val="24"/>
        </w:rPr>
      </w:pPr>
      <w:r w:rsidRPr="00A70518">
        <w:rPr>
          <w:rFonts w:ascii="Century" w:hAnsi="Century" w:cs="Miriam" w:hint="cs"/>
          <w:b/>
          <w:spacing w:val="0"/>
          <w:szCs w:val="24"/>
          <w:rtl/>
        </w:rPr>
        <w:t xml:space="preserve">טענת ההתיישנות </w:t>
      </w:r>
    </w:p>
    <w:p w:rsidR="006E1F18" w:rsidRDefault="006E1F18" w:rsidP="006E1F18">
      <w:pPr>
        <w:pStyle w:val="Ruller4"/>
        <w:numPr>
          <w:ilvl w:val="0"/>
          <w:numId w:val="0"/>
        </w:numPr>
        <w:rPr>
          <w:rtl/>
        </w:rPr>
      </w:pPr>
    </w:p>
    <w:p w:rsidR="006E1F18" w:rsidRPr="00E06BDC" w:rsidRDefault="006E1F18" w:rsidP="006E1F18">
      <w:pPr>
        <w:pStyle w:val="Ruller4"/>
        <w:rPr>
          <w:sz w:val="28"/>
          <w:rtl/>
        </w:rPr>
      </w:pPr>
      <w:r>
        <w:rPr>
          <w:rFonts w:hint="cs"/>
          <w:rtl/>
        </w:rPr>
        <w:t xml:space="preserve">לטענת </w:t>
      </w:r>
      <w:r w:rsidRPr="000C351B">
        <w:rPr>
          <w:rFonts w:hint="cs"/>
          <w:sz w:val="28"/>
          <w:rtl/>
        </w:rPr>
        <w:t xml:space="preserve">ההתיישנות </w:t>
      </w:r>
      <w:r>
        <w:rPr>
          <w:rFonts w:hint="cs"/>
          <w:sz w:val="28"/>
          <w:rtl/>
        </w:rPr>
        <w:t xml:space="preserve">שהעלתה המערערת יש הלכה למעשה שלושה </w:t>
      </w:r>
      <w:r w:rsidRPr="000C351B">
        <w:rPr>
          <w:rFonts w:hint="cs"/>
          <w:sz w:val="28"/>
          <w:rtl/>
        </w:rPr>
        <w:t xml:space="preserve">ראשים: </w:t>
      </w:r>
      <w:r w:rsidRPr="000C351B">
        <w:rPr>
          <w:rFonts w:ascii="Century" w:hAnsi="Century" w:cs="Miriam" w:hint="cs"/>
          <w:b/>
          <w:spacing w:val="0"/>
          <w:sz w:val="22"/>
          <w:szCs w:val="24"/>
          <w:rtl/>
        </w:rPr>
        <w:t>ראשית</w:t>
      </w:r>
      <w:r w:rsidRPr="000C351B">
        <w:rPr>
          <w:rFonts w:hint="cs"/>
          <w:sz w:val="28"/>
          <w:rtl/>
        </w:rPr>
        <w:t xml:space="preserve">, </w:t>
      </w:r>
      <w:r>
        <w:rPr>
          <w:rFonts w:hint="cs"/>
          <w:sz w:val="28"/>
          <w:rtl/>
        </w:rPr>
        <w:t xml:space="preserve">ובהתאם למה שכונה לעיל "טענת ההתיישנות העיקרית", נטען </w:t>
      </w:r>
      <w:r w:rsidRPr="000C351B">
        <w:rPr>
          <w:rFonts w:hint="cs"/>
          <w:sz w:val="28"/>
          <w:rtl/>
        </w:rPr>
        <w:t>שהדו"ח התקופתי בעניין העסקה הוגש ביוני 2008, בעוד שהש</w:t>
      </w:r>
      <w:r>
        <w:rPr>
          <w:rFonts w:hint="cs"/>
          <w:sz w:val="28"/>
          <w:rtl/>
        </w:rPr>
        <w:t>ו</w:t>
      </w:r>
      <w:r w:rsidRPr="000C351B">
        <w:rPr>
          <w:rFonts w:hint="cs"/>
          <w:sz w:val="28"/>
          <w:rtl/>
        </w:rPr>
        <w:t>מה הוצאה רק ב</w:t>
      </w:r>
      <w:r>
        <w:rPr>
          <w:rFonts w:hint="cs"/>
          <w:sz w:val="28"/>
          <w:rtl/>
        </w:rPr>
        <w:t xml:space="preserve">חודש </w:t>
      </w:r>
      <w:r w:rsidRPr="000C351B">
        <w:rPr>
          <w:rFonts w:hint="cs"/>
          <w:sz w:val="28"/>
          <w:rtl/>
        </w:rPr>
        <w:t>יולי 2014, וזאת בניגוד להוראת סעיף 77(ב) לחוק מע"מ, הקובע כי "</w:t>
      </w:r>
      <w:r w:rsidRPr="000C351B">
        <w:rPr>
          <w:rFonts w:ascii="Century" w:hAnsi="Century" w:cs="Miriam"/>
          <w:b/>
          <w:spacing w:val="0"/>
          <w:sz w:val="22"/>
          <w:szCs w:val="24"/>
          <w:rtl/>
        </w:rPr>
        <w:t>השומה תהיה בתוך חמש שנים לאחר הגשת הדו"ח</w:t>
      </w:r>
      <w:r w:rsidRPr="000C351B">
        <w:rPr>
          <w:rFonts w:hint="cs"/>
          <w:rtl/>
        </w:rPr>
        <w:t>"</w:t>
      </w:r>
      <w:r>
        <w:rPr>
          <w:rFonts w:hint="cs"/>
          <w:rtl/>
        </w:rPr>
        <w:t xml:space="preserve">. משמעות קבלת טענה זו היא ביטול שומת מס העסקאות שהוציא המשיב, ומתן תוקף לחיוב במע"מ על פי הדו"ח שהגישה המערערת </w:t>
      </w:r>
      <w:r w:rsidRPr="000C351B">
        <w:rPr>
          <w:rFonts w:hint="cs"/>
          <w:rtl/>
        </w:rPr>
        <w:t>(להלן: "</w:t>
      </w:r>
      <w:r w:rsidRPr="000C351B">
        <w:rPr>
          <w:rFonts w:ascii="Century" w:hAnsi="Century" w:cs="Miriam" w:hint="cs"/>
          <w:b/>
          <w:spacing w:val="0"/>
          <w:sz w:val="22"/>
          <w:szCs w:val="24"/>
          <w:rtl/>
        </w:rPr>
        <w:t>התיישנות הדו"ח</w:t>
      </w:r>
      <w:r w:rsidRPr="000C351B">
        <w:rPr>
          <w:rFonts w:hint="cs"/>
          <w:rtl/>
        </w:rPr>
        <w:t xml:space="preserve">"); </w:t>
      </w:r>
      <w:r w:rsidRPr="000C351B">
        <w:rPr>
          <w:rFonts w:ascii="Century" w:hAnsi="Century" w:cs="Miriam" w:hint="cs"/>
          <w:b/>
          <w:spacing w:val="0"/>
          <w:sz w:val="22"/>
          <w:szCs w:val="24"/>
          <w:rtl/>
        </w:rPr>
        <w:t>שנית</w:t>
      </w:r>
      <w:r w:rsidRPr="000C351B">
        <w:rPr>
          <w:rFonts w:hint="cs"/>
          <w:sz w:val="28"/>
          <w:rtl/>
        </w:rPr>
        <w:t>,</w:t>
      </w:r>
      <w:r>
        <w:rPr>
          <w:rFonts w:hint="cs"/>
          <w:sz w:val="28"/>
          <w:rtl/>
        </w:rPr>
        <w:t xml:space="preserve"> נטען שהמערערת הוציאה חשבוניות בגין העסקה בחודש יוני 2008, ולמצער ביחס לתקבולים המפורטים בחשבוניות אלו חלה התיישנות בחלוף 5 שנים ממועד הוצאתן, וזאת בשים לב לסעיף 69(א) לחוק מע"מ. לטענה זו, אותה משמעות מעשית בענייננו כמו זו של טענת התיישנות הדו"ח, דהיינו ביטול שומת מס העסקאות ומתן תוקף לחיוב על פי הדו"ח (להלן: "</w:t>
      </w:r>
      <w:r w:rsidRPr="000C351B">
        <w:rPr>
          <w:rFonts w:ascii="Century" w:hAnsi="Century" w:cs="Miriam" w:hint="cs"/>
          <w:b/>
          <w:spacing w:val="0"/>
          <w:sz w:val="22"/>
          <w:szCs w:val="24"/>
          <w:rtl/>
        </w:rPr>
        <w:t>התיישנות החשבוניות</w:t>
      </w:r>
      <w:r>
        <w:rPr>
          <w:rFonts w:hint="cs"/>
          <w:sz w:val="28"/>
          <w:rtl/>
        </w:rPr>
        <w:t xml:space="preserve">"); </w:t>
      </w:r>
      <w:r w:rsidRPr="000C351B">
        <w:rPr>
          <w:rFonts w:ascii="Century" w:hAnsi="Century" w:cs="Miriam" w:hint="cs"/>
          <w:b/>
          <w:spacing w:val="0"/>
          <w:sz w:val="22"/>
          <w:szCs w:val="24"/>
          <w:rtl/>
        </w:rPr>
        <w:t>שלישית</w:t>
      </w:r>
      <w:r w:rsidRPr="000C351B">
        <w:rPr>
          <w:rFonts w:hint="cs"/>
          <w:sz w:val="28"/>
          <w:rtl/>
        </w:rPr>
        <w:t xml:space="preserve">, </w:t>
      </w:r>
      <w:r>
        <w:rPr>
          <w:rFonts w:hint="cs"/>
          <w:sz w:val="28"/>
          <w:rtl/>
        </w:rPr>
        <w:t xml:space="preserve">ובהתאם למה שכונה לעיל "טענת ההתיישנות המשנית", נטען </w:t>
      </w:r>
      <w:r w:rsidRPr="000C351B">
        <w:rPr>
          <w:rFonts w:hint="cs"/>
          <w:sz w:val="28"/>
          <w:rtl/>
        </w:rPr>
        <w:t>שהמערערת קיבל</w:t>
      </w:r>
      <w:r>
        <w:rPr>
          <w:rFonts w:hint="cs"/>
          <w:sz w:val="28"/>
          <w:rtl/>
        </w:rPr>
        <w:t>ה</w:t>
      </w:r>
      <w:r w:rsidRPr="000C351B">
        <w:rPr>
          <w:rFonts w:hint="cs"/>
          <w:sz w:val="28"/>
          <w:rtl/>
        </w:rPr>
        <w:t xml:space="preserve"> תקבולים בגין העסק</w:t>
      </w:r>
      <w:r>
        <w:rPr>
          <w:rFonts w:hint="cs"/>
          <w:sz w:val="28"/>
          <w:rtl/>
        </w:rPr>
        <w:t>ה</w:t>
      </w:r>
      <w:r w:rsidRPr="000C351B">
        <w:rPr>
          <w:rFonts w:hint="cs"/>
          <w:sz w:val="28"/>
          <w:rtl/>
        </w:rPr>
        <w:t xml:space="preserve"> </w:t>
      </w:r>
      <w:r>
        <w:rPr>
          <w:rFonts w:hint="cs"/>
          <w:sz w:val="28"/>
          <w:rtl/>
        </w:rPr>
        <w:t xml:space="preserve">קודם </w:t>
      </w:r>
      <w:r w:rsidRPr="000C351B">
        <w:rPr>
          <w:rFonts w:hint="cs"/>
          <w:sz w:val="28"/>
          <w:rtl/>
        </w:rPr>
        <w:t>ל</w:t>
      </w:r>
      <w:r>
        <w:rPr>
          <w:rFonts w:hint="cs"/>
          <w:sz w:val="28"/>
          <w:rtl/>
        </w:rPr>
        <w:t xml:space="preserve">חודש </w:t>
      </w:r>
      <w:r w:rsidRPr="000C351B">
        <w:rPr>
          <w:rFonts w:hint="cs"/>
          <w:sz w:val="28"/>
          <w:rtl/>
        </w:rPr>
        <w:t>יוני 2009</w:t>
      </w:r>
      <w:r>
        <w:rPr>
          <w:rFonts w:hint="cs"/>
          <w:sz w:val="28"/>
          <w:rtl/>
        </w:rPr>
        <w:t xml:space="preserve">, וכי ביחס אליהם חלה התיישנות </w:t>
      </w:r>
      <w:r w:rsidRPr="00E06BDC">
        <w:rPr>
          <w:rFonts w:hint="cs"/>
          <w:sz w:val="28"/>
          <w:rtl/>
        </w:rPr>
        <w:t xml:space="preserve">בחלוף </w:t>
      </w:r>
      <w:r>
        <w:rPr>
          <w:rFonts w:hint="cs"/>
          <w:sz w:val="28"/>
          <w:rtl/>
        </w:rPr>
        <w:t>5</w:t>
      </w:r>
      <w:r w:rsidRPr="00E06BDC">
        <w:rPr>
          <w:rFonts w:hint="cs"/>
          <w:sz w:val="28"/>
          <w:rtl/>
        </w:rPr>
        <w:t xml:space="preserve"> שנים מהמועד בו התקבלו אצל המערערת</w:t>
      </w:r>
      <w:r>
        <w:rPr>
          <w:rFonts w:hint="cs"/>
          <w:sz w:val="28"/>
          <w:rtl/>
        </w:rPr>
        <w:t>. משמעות טענה זו היא שיש לנכות מהסכומים החייבים במס על פי שומת מס העסקאות את התקבולים שהתקבלו לפני המועד האמור (להלן: "</w:t>
      </w:r>
      <w:r w:rsidRPr="00E06BDC">
        <w:rPr>
          <w:rFonts w:ascii="Century" w:hAnsi="Century" w:cs="Miriam" w:hint="cs"/>
          <w:b/>
          <w:spacing w:val="0"/>
          <w:sz w:val="22"/>
          <w:szCs w:val="24"/>
          <w:rtl/>
        </w:rPr>
        <w:t>התיישנות התקבולים</w:t>
      </w:r>
      <w:r>
        <w:rPr>
          <w:rFonts w:hint="cs"/>
          <w:sz w:val="28"/>
          <w:rtl/>
        </w:rPr>
        <w:t>").</w:t>
      </w:r>
    </w:p>
    <w:p w:rsidR="006E1F18" w:rsidRPr="000C351B" w:rsidRDefault="006E1F18" w:rsidP="006E1F18">
      <w:pPr>
        <w:pStyle w:val="Ruller41"/>
      </w:pPr>
    </w:p>
    <w:p w:rsidR="006E1F18" w:rsidRDefault="006E1F18" w:rsidP="00101B98">
      <w:pPr>
        <w:pStyle w:val="Ruller4"/>
        <w:rPr>
          <w:rtl/>
        </w:rPr>
      </w:pPr>
      <w:r>
        <w:rPr>
          <w:rFonts w:hint="cs"/>
          <w:rtl/>
        </w:rPr>
        <w:t>על פי קביעת בית המשפט קמא, טענת ההתיישנות, על שלוש חלופותיה, היא טענה שלא נטענה במסגרת הליך ההשגה לפני המשיב (להלן: "</w:t>
      </w:r>
      <w:r w:rsidRPr="00363CF9">
        <w:rPr>
          <w:rFonts w:ascii="Century" w:hAnsi="Century" w:cs="Miriam" w:hint="eastAsia"/>
          <w:b/>
          <w:spacing w:val="0"/>
          <w:sz w:val="22"/>
          <w:szCs w:val="24"/>
          <w:rtl/>
        </w:rPr>
        <w:t>ה</w:t>
      </w:r>
      <w:r>
        <w:rPr>
          <w:rFonts w:ascii="Century" w:hAnsi="Century" w:cs="Miriam" w:hint="cs"/>
          <w:b/>
          <w:spacing w:val="0"/>
          <w:sz w:val="22"/>
          <w:szCs w:val="24"/>
          <w:rtl/>
        </w:rPr>
        <w:t>ליך ה</w:t>
      </w:r>
      <w:r w:rsidRPr="00363CF9">
        <w:rPr>
          <w:rFonts w:ascii="Century" w:hAnsi="Century" w:cs="Miriam" w:hint="eastAsia"/>
          <w:b/>
          <w:spacing w:val="0"/>
          <w:sz w:val="22"/>
          <w:szCs w:val="24"/>
          <w:rtl/>
        </w:rPr>
        <w:t>השגה</w:t>
      </w:r>
      <w:r>
        <w:rPr>
          <w:rFonts w:hint="cs"/>
          <w:rtl/>
        </w:rPr>
        <w:t>"), אלא עלתה לראשונה במסגרת ערעור המס שהוגש לבית המשפט המחוזי. המערערת חלקה על קביעה עובדתית זו, וגרסה כי "</w:t>
      </w:r>
      <w:r w:rsidRPr="00172581">
        <w:rPr>
          <w:rFonts w:cs="Miriam" w:hint="eastAsia"/>
          <w:b/>
          <w:spacing w:val="0"/>
          <w:sz w:val="22"/>
          <w:szCs w:val="24"/>
          <w:rtl/>
        </w:rPr>
        <w:t>טענות</w:t>
      </w:r>
      <w:r w:rsidRPr="00172581">
        <w:rPr>
          <w:rFonts w:cs="Miriam"/>
          <w:b/>
          <w:spacing w:val="0"/>
          <w:sz w:val="22"/>
          <w:szCs w:val="24"/>
          <w:rtl/>
        </w:rPr>
        <w:t xml:space="preserve"> </w:t>
      </w:r>
      <w:r w:rsidRPr="00172581">
        <w:rPr>
          <w:rFonts w:cs="Miriam" w:hint="eastAsia"/>
          <w:b/>
          <w:spacing w:val="0"/>
          <w:sz w:val="22"/>
          <w:szCs w:val="24"/>
          <w:rtl/>
        </w:rPr>
        <w:t>ההתיישנות</w:t>
      </w:r>
      <w:r w:rsidRPr="00172581">
        <w:rPr>
          <w:rFonts w:cs="Miriam"/>
          <w:b/>
          <w:spacing w:val="0"/>
          <w:sz w:val="22"/>
          <w:szCs w:val="24"/>
          <w:rtl/>
        </w:rPr>
        <w:t xml:space="preserve"> </w:t>
      </w:r>
      <w:r w:rsidRPr="00172581">
        <w:rPr>
          <w:rFonts w:cs="Miriam" w:hint="eastAsia"/>
          <w:b/>
          <w:spacing w:val="0"/>
          <w:sz w:val="22"/>
          <w:szCs w:val="24"/>
          <w:rtl/>
        </w:rPr>
        <w:t>הועלו</w:t>
      </w:r>
      <w:r w:rsidRPr="00172581">
        <w:rPr>
          <w:rFonts w:cs="Miriam"/>
          <w:b/>
          <w:spacing w:val="0"/>
          <w:sz w:val="22"/>
          <w:szCs w:val="24"/>
          <w:rtl/>
        </w:rPr>
        <w:t xml:space="preserve"> </w:t>
      </w:r>
      <w:r w:rsidRPr="00172581">
        <w:rPr>
          <w:rFonts w:cs="Miriam" w:hint="eastAsia"/>
          <w:b/>
          <w:spacing w:val="0"/>
          <w:sz w:val="22"/>
          <w:szCs w:val="24"/>
          <w:rtl/>
        </w:rPr>
        <w:t>במהלך</w:t>
      </w:r>
      <w:r w:rsidRPr="00172581">
        <w:rPr>
          <w:rFonts w:cs="Miriam"/>
          <w:b/>
          <w:spacing w:val="0"/>
          <w:sz w:val="22"/>
          <w:szCs w:val="24"/>
          <w:rtl/>
        </w:rPr>
        <w:t xml:space="preserve"> </w:t>
      </w:r>
      <w:r w:rsidRPr="00172581">
        <w:rPr>
          <w:rFonts w:cs="Miriam" w:hint="eastAsia"/>
          <w:b/>
          <w:spacing w:val="0"/>
          <w:sz w:val="22"/>
          <w:szCs w:val="24"/>
          <w:rtl/>
        </w:rPr>
        <w:t>ההשגה</w:t>
      </w:r>
      <w:r>
        <w:rPr>
          <w:rFonts w:hint="cs"/>
          <w:rtl/>
        </w:rPr>
        <w:t>". ואולם, עיון בהשגה הכתובה ובפרוטוקול הדיון בהשגה אינו תומך בעמדת המערערת בעניין זה. בהשגה הכתובה אין כל אזכור לטענת ההתיישנות, ואף עיון במקומות אליהם הפנתה המערערת בפרוטוקול הדיון בהשגה (עמוד 2 בנספח 37 למוצג מש/2) מלמד שטענת ההתיישנות לא נטענה בהליך ההשגה. משכך, מבחינה עובדתית, צדק בית המשפט קמא בקביעתו כי טענת ההתיישנות כלל לא נטענה בהליך ההשגה.</w:t>
      </w:r>
    </w:p>
    <w:p w:rsidR="00955122" w:rsidRDefault="00955122" w:rsidP="00955122">
      <w:pPr>
        <w:pStyle w:val="Ruller4"/>
        <w:numPr>
          <w:ilvl w:val="0"/>
          <w:numId w:val="0"/>
        </w:numPr>
      </w:pPr>
    </w:p>
    <w:p w:rsidR="006E1F18" w:rsidRDefault="006E1F18" w:rsidP="00ED412F">
      <w:pPr>
        <w:pStyle w:val="Ruller4"/>
        <w:rPr>
          <w:rtl/>
        </w:rPr>
      </w:pPr>
      <w:r>
        <w:rPr>
          <w:rFonts w:hint="cs"/>
          <w:rtl/>
        </w:rPr>
        <w:lastRenderedPageBreak/>
        <w:t xml:space="preserve">המשיב התנגד להעלאת טענת ההתיישנות הן בבית המשפט קמא והן לפנינו, בטענה כי משלא הועלתה במסגרת הליך ההשגה, אין לשעות אליה במסגרת ערעור המס (ראו סעיף 20 לסיכומים מטעם המשיב). בית המשפט קמא דחה טענה זו, ודן לגופה </w:t>
      </w:r>
      <w:r w:rsidR="00ED412F">
        <w:rPr>
          <w:rFonts w:hint="cs"/>
          <w:rtl/>
        </w:rPr>
        <w:t xml:space="preserve">של </w:t>
      </w:r>
      <w:r>
        <w:rPr>
          <w:rFonts w:hint="cs"/>
          <w:rtl/>
        </w:rPr>
        <w:t xml:space="preserve">טענת ההתיישנות, על שלוש חלופותיה. עמדתי אינה כעמדת בית המשפט קמא. לו תשמע דעתי, נקבל את התנגדות המשיב באופן חלקי, כך שהיא תמנע את העלאת טענות התיישנות הדו"ח והתיישנות החשבוניות, אך לא את טענת התיישנות התקבולים. להלן אבהיר את עמדתי. </w:t>
      </w:r>
    </w:p>
    <w:p w:rsidR="006E1F18" w:rsidRPr="003C16CD" w:rsidRDefault="006E1F18" w:rsidP="006E1F18">
      <w:pPr>
        <w:pStyle w:val="Ruller41"/>
      </w:pPr>
    </w:p>
    <w:p w:rsidR="006E1F18" w:rsidRDefault="006E1F18" w:rsidP="006E1F18">
      <w:pPr>
        <w:pStyle w:val="Ruller4"/>
      </w:pPr>
      <w:r>
        <w:rPr>
          <w:rFonts w:hint="cs"/>
          <w:rtl/>
        </w:rPr>
        <w:t xml:space="preserve">ההלכה בעניין האפשרות להעלות בערעור מס טענה שלא הועלתה בהליך ההשגה מורכבת מכלל וחריג. </w:t>
      </w:r>
    </w:p>
    <w:p w:rsidR="006E1F18" w:rsidRDefault="006E1F18" w:rsidP="006E1F18">
      <w:pPr>
        <w:pStyle w:val="Ruller4"/>
        <w:numPr>
          <w:ilvl w:val="0"/>
          <w:numId w:val="0"/>
        </w:numPr>
      </w:pPr>
    </w:p>
    <w:p w:rsidR="006E1F18" w:rsidRDefault="006E1F18" w:rsidP="006E1F18">
      <w:pPr>
        <w:pStyle w:val="Ruller4"/>
        <w:numPr>
          <w:ilvl w:val="0"/>
          <w:numId w:val="0"/>
        </w:numPr>
        <w:rPr>
          <w:rtl/>
        </w:rPr>
      </w:pPr>
      <w:r>
        <w:rPr>
          <w:rtl/>
        </w:rPr>
        <w:tab/>
      </w:r>
      <w:r>
        <w:rPr>
          <w:rFonts w:hint="cs"/>
          <w:rtl/>
        </w:rPr>
        <w:t xml:space="preserve">הכלל הוא שניתן להעלות בערעור המס רק את אותן טענות שנטענו בהליך ההשגה. לעניין זה נקבע כי </w:t>
      </w:r>
      <w:r w:rsidRPr="001E62B0">
        <w:rPr>
          <w:rFonts w:ascii="Century" w:hAnsi="Century" w:cs="Miriam"/>
          <w:b/>
          <w:spacing w:val="0"/>
          <w:sz w:val="22"/>
          <w:szCs w:val="24"/>
          <w:rtl/>
        </w:rPr>
        <w:t>"</w:t>
      </w:r>
      <w:r>
        <w:rPr>
          <w:rFonts w:ascii="Century" w:hAnsi="Century" w:cs="Miriam" w:hint="cs"/>
          <w:b/>
          <w:spacing w:val="0"/>
          <w:sz w:val="22"/>
          <w:szCs w:val="24"/>
          <w:rtl/>
        </w:rPr>
        <w:t>ב</w:t>
      </w:r>
      <w:r w:rsidRPr="001E62B0">
        <w:rPr>
          <w:rFonts w:ascii="Century" w:hAnsi="Century" w:cs="Miriam" w:hint="eastAsia"/>
          <w:b/>
          <w:spacing w:val="0"/>
          <w:sz w:val="22"/>
          <w:szCs w:val="24"/>
          <w:rtl/>
        </w:rPr>
        <w:t>ידוע</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כי</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על</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נישום</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לכלול</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בהשגתו</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את</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כל</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טענותיו</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מבלי</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להותיר</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סרח</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עודף</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ולהביאו</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רק</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בשלב</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הערעור</w:t>
      </w:r>
      <w:r w:rsidRPr="001E62B0">
        <w:rPr>
          <w:rFonts w:ascii="Century" w:hAnsi="Century" w:cs="Miriam"/>
          <w:b/>
          <w:spacing w:val="0"/>
          <w:sz w:val="22"/>
          <w:szCs w:val="24"/>
          <w:rtl/>
        </w:rPr>
        <w:t>"</w:t>
      </w:r>
      <w:r>
        <w:rPr>
          <w:rFonts w:hint="cs"/>
          <w:rtl/>
        </w:rPr>
        <w:t xml:space="preserve"> (רע"א 777/14 </w:t>
      </w:r>
      <w:proofErr w:type="spellStart"/>
      <w:r w:rsidRPr="001E62B0">
        <w:rPr>
          <w:rFonts w:ascii="Century" w:hAnsi="Century" w:cs="Miriam" w:hint="eastAsia"/>
          <w:b/>
          <w:spacing w:val="0"/>
          <w:sz w:val="22"/>
          <w:szCs w:val="24"/>
          <w:rtl/>
        </w:rPr>
        <w:t>ליבוביץ</w:t>
      </w:r>
      <w:proofErr w:type="spellEnd"/>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נ</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פקיד</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שומה</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גוש</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דן</w:t>
      </w:r>
      <w:r>
        <w:rPr>
          <w:rFonts w:hint="cs"/>
          <w:rtl/>
        </w:rPr>
        <w:t>, פסקה 11 (6.3.2014)). ובדומה לכך, כי "</w:t>
      </w:r>
      <w:r w:rsidRPr="001E62B0">
        <w:rPr>
          <w:rFonts w:ascii="Century" w:hAnsi="Century" w:cs="Miriam" w:hint="eastAsia"/>
          <w:b/>
          <w:spacing w:val="0"/>
          <w:sz w:val="22"/>
          <w:szCs w:val="24"/>
          <w:rtl/>
        </w:rPr>
        <w:t>על</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דרך</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הכלל</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נישום</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שכשל</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בניסיונו</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להביא</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לביטול</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חיוב</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במס</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יישא</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בתשלום</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המס</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ולא</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יזכה</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לנסות</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את</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מזלו</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בשנית</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או</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לערוך</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מקצה</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שיפורים</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בשלב</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הערעור</w:t>
      </w:r>
      <w:r>
        <w:rPr>
          <w:rFonts w:hint="cs"/>
          <w:rtl/>
        </w:rPr>
        <w:t xml:space="preserve">" (ע"א 8305/06 </w:t>
      </w:r>
      <w:r w:rsidRPr="001E62B0">
        <w:rPr>
          <w:rFonts w:ascii="Century" w:hAnsi="Century" w:cs="Miriam" w:hint="eastAsia"/>
          <w:b/>
          <w:spacing w:val="0"/>
          <w:sz w:val="22"/>
          <w:szCs w:val="24"/>
          <w:rtl/>
        </w:rPr>
        <w:t>הקודחים</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שבת</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בע</w:t>
      </w:r>
      <w:r w:rsidRPr="001E62B0">
        <w:rPr>
          <w:rFonts w:ascii="Century" w:hAnsi="Century" w:cs="Miriam"/>
          <w:b/>
          <w:spacing w:val="0"/>
          <w:sz w:val="22"/>
          <w:szCs w:val="24"/>
          <w:rtl/>
        </w:rPr>
        <w:t>"</w:t>
      </w:r>
      <w:r w:rsidRPr="001E62B0">
        <w:rPr>
          <w:rFonts w:ascii="Century" w:hAnsi="Century" w:cs="Miriam" w:hint="eastAsia"/>
          <w:b/>
          <w:spacing w:val="0"/>
          <w:sz w:val="22"/>
          <w:szCs w:val="24"/>
          <w:rtl/>
        </w:rPr>
        <w:t>מ</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נ</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מדינת</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ישראל</w:t>
      </w:r>
      <w:r w:rsidRPr="001E62B0">
        <w:rPr>
          <w:rFonts w:ascii="Century" w:hAnsi="Century" w:cs="Miriam"/>
          <w:b/>
          <w:spacing w:val="0"/>
          <w:sz w:val="22"/>
          <w:szCs w:val="24"/>
          <w:rtl/>
        </w:rPr>
        <w:t xml:space="preserve"> – </w:t>
      </w:r>
      <w:r w:rsidRPr="001E62B0">
        <w:rPr>
          <w:rFonts w:ascii="Century" w:hAnsi="Century" w:cs="Miriam" w:hint="eastAsia"/>
          <w:b/>
          <w:spacing w:val="0"/>
          <w:sz w:val="22"/>
          <w:szCs w:val="24"/>
          <w:rtl/>
        </w:rPr>
        <w:t>אגף</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המכס</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ומע</w:t>
      </w:r>
      <w:r w:rsidRPr="001E62B0">
        <w:rPr>
          <w:rFonts w:ascii="Century" w:hAnsi="Century" w:cs="Miriam"/>
          <w:b/>
          <w:spacing w:val="0"/>
          <w:sz w:val="22"/>
          <w:szCs w:val="24"/>
          <w:rtl/>
        </w:rPr>
        <w:t>"</w:t>
      </w:r>
      <w:r w:rsidRPr="001E62B0">
        <w:rPr>
          <w:rFonts w:ascii="Century" w:hAnsi="Century" w:cs="Miriam" w:hint="eastAsia"/>
          <w:b/>
          <w:spacing w:val="0"/>
          <w:sz w:val="22"/>
          <w:szCs w:val="24"/>
          <w:rtl/>
        </w:rPr>
        <w:t>מ</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אשדוד</w:t>
      </w:r>
      <w:r>
        <w:rPr>
          <w:rFonts w:hint="cs"/>
          <w:rtl/>
        </w:rPr>
        <w:t xml:space="preserve">, פסקה 41 (5.7.2011); ראו בנוסף: </w:t>
      </w:r>
      <w:r w:rsidRPr="00375E2F">
        <w:rPr>
          <w:rFonts w:hint="eastAsia"/>
          <w:rtl/>
        </w:rPr>
        <w:t>ע</w:t>
      </w:r>
      <w:r w:rsidRPr="00375E2F">
        <w:rPr>
          <w:rtl/>
        </w:rPr>
        <w:t>"</w:t>
      </w:r>
      <w:r w:rsidRPr="00375E2F">
        <w:rPr>
          <w:rFonts w:hint="eastAsia"/>
          <w:rtl/>
        </w:rPr>
        <w:t>א</w:t>
      </w:r>
      <w:r w:rsidRPr="00375E2F">
        <w:rPr>
          <w:rtl/>
        </w:rPr>
        <w:t xml:space="preserve"> 805/14 </w:t>
      </w:r>
      <w:r w:rsidRPr="003730D0">
        <w:rPr>
          <w:rFonts w:ascii="Century" w:hAnsi="Century" w:cs="Miriam" w:hint="eastAsia"/>
          <w:b/>
          <w:spacing w:val="0"/>
          <w:sz w:val="22"/>
          <w:szCs w:val="24"/>
          <w:rtl/>
        </w:rPr>
        <w:t>ינקו</w:t>
      </w:r>
      <w:r w:rsidRPr="003730D0">
        <w:rPr>
          <w:rFonts w:ascii="Century" w:hAnsi="Century" w:cs="Miriam"/>
          <w:b/>
          <w:spacing w:val="0"/>
          <w:sz w:val="22"/>
          <w:szCs w:val="24"/>
          <w:rtl/>
        </w:rPr>
        <w:t xml:space="preserve"> </w:t>
      </w:r>
      <w:r w:rsidRPr="003730D0">
        <w:rPr>
          <w:rFonts w:ascii="Century" w:hAnsi="Century" w:cs="Miriam" w:hint="eastAsia"/>
          <w:b/>
          <w:spacing w:val="0"/>
          <w:sz w:val="22"/>
          <w:szCs w:val="24"/>
          <w:rtl/>
        </w:rPr>
        <w:t>וייס</w:t>
      </w:r>
      <w:r w:rsidRPr="003730D0">
        <w:rPr>
          <w:rFonts w:ascii="Century" w:hAnsi="Century" w:cs="Miriam"/>
          <w:b/>
          <w:spacing w:val="0"/>
          <w:sz w:val="22"/>
          <w:szCs w:val="24"/>
          <w:rtl/>
        </w:rPr>
        <w:t xml:space="preserve"> </w:t>
      </w:r>
      <w:r w:rsidRPr="003730D0">
        <w:rPr>
          <w:rFonts w:ascii="Century" w:hAnsi="Century" w:cs="Miriam" w:hint="eastAsia"/>
          <w:b/>
          <w:spacing w:val="0"/>
          <w:sz w:val="22"/>
          <w:szCs w:val="24"/>
          <w:rtl/>
        </w:rPr>
        <w:t>אחזקות</w:t>
      </w:r>
      <w:r w:rsidRPr="003730D0">
        <w:rPr>
          <w:rFonts w:ascii="Century" w:hAnsi="Century" w:cs="Miriam"/>
          <w:b/>
          <w:spacing w:val="0"/>
          <w:sz w:val="22"/>
          <w:szCs w:val="24"/>
          <w:rtl/>
        </w:rPr>
        <w:t xml:space="preserve"> 1996 </w:t>
      </w:r>
      <w:r w:rsidRPr="003730D0">
        <w:rPr>
          <w:rFonts w:ascii="Century" w:hAnsi="Century" w:cs="Miriam" w:hint="eastAsia"/>
          <w:b/>
          <w:spacing w:val="0"/>
          <w:sz w:val="22"/>
          <w:szCs w:val="24"/>
          <w:rtl/>
        </w:rPr>
        <w:t>בע</w:t>
      </w:r>
      <w:r w:rsidRPr="003730D0">
        <w:rPr>
          <w:rFonts w:ascii="Century" w:hAnsi="Century" w:cs="Miriam"/>
          <w:b/>
          <w:spacing w:val="0"/>
          <w:sz w:val="22"/>
          <w:szCs w:val="24"/>
          <w:rtl/>
        </w:rPr>
        <w:t>"</w:t>
      </w:r>
      <w:r w:rsidRPr="003730D0">
        <w:rPr>
          <w:rFonts w:ascii="Century" w:hAnsi="Century" w:cs="Miriam" w:hint="eastAsia"/>
          <w:b/>
          <w:spacing w:val="0"/>
          <w:sz w:val="22"/>
          <w:szCs w:val="24"/>
          <w:rtl/>
        </w:rPr>
        <w:t>מ</w:t>
      </w:r>
      <w:r w:rsidRPr="003730D0">
        <w:rPr>
          <w:rFonts w:ascii="Century" w:hAnsi="Century" w:cs="Miriam"/>
          <w:b/>
          <w:spacing w:val="0"/>
          <w:sz w:val="22"/>
          <w:szCs w:val="24"/>
          <w:rtl/>
        </w:rPr>
        <w:t xml:space="preserve"> </w:t>
      </w:r>
      <w:r w:rsidRPr="003730D0">
        <w:rPr>
          <w:rFonts w:ascii="Century" w:hAnsi="Century" w:cs="Miriam" w:hint="eastAsia"/>
          <w:b/>
          <w:spacing w:val="0"/>
          <w:sz w:val="22"/>
          <w:szCs w:val="24"/>
          <w:rtl/>
        </w:rPr>
        <w:t>נ</w:t>
      </w:r>
      <w:r w:rsidRPr="003730D0">
        <w:rPr>
          <w:rFonts w:ascii="Century" w:hAnsi="Century" w:cs="Miriam"/>
          <w:b/>
          <w:spacing w:val="0"/>
          <w:sz w:val="22"/>
          <w:szCs w:val="24"/>
          <w:rtl/>
        </w:rPr>
        <w:t xml:space="preserve">' </w:t>
      </w:r>
      <w:r w:rsidRPr="003730D0">
        <w:rPr>
          <w:rFonts w:ascii="Century" w:hAnsi="Century" w:cs="Miriam" w:hint="eastAsia"/>
          <w:b/>
          <w:spacing w:val="0"/>
          <w:sz w:val="22"/>
          <w:szCs w:val="24"/>
          <w:rtl/>
        </w:rPr>
        <w:t>פקיד</w:t>
      </w:r>
      <w:r w:rsidRPr="003730D0">
        <w:rPr>
          <w:rFonts w:ascii="Century" w:hAnsi="Century" w:cs="Miriam"/>
          <w:b/>
          <w:spacing w:val="0"/>
          <w:sz w:val="22"/>
          <w:szCs w:val="24"/>
          <w:rtl/>
        </w:rPr>
        <w:t xml:space="preserve"> </w:t>
      </w:r>
      <w:r w:rsidRPr="003730D0">
        <w:rPr>
          <w:rFonts w:ascii="Century" w:hAnsi="Century" w:cs="Miriam" w:hint="eastAsia"/>
          <w:b/>
          <w:spacing w:val="0"/>
          <w:sz w:val="22"/>
          <w:szCs w:val="24"/>
          <w:rtl/>
        </w:rPr>
        <w:t>שומה</w:t>
      </w:r>
      <w:r w:rsidRPr="003730D0">
        <w:rPr>
          <w:rFonts w:ascii="Century" w:hAnsi="Century" w:cs="Miriam"/>
          <w:b/>
          <w:spacing w:val="0"/>
          <w:sz w:val="22"/>
          <w:szCs w:val="24"/>
          <w:rtl/>
        </w:rPr>
        <w:t xml:space="preserve"> </w:t>
      </w:r>
      <w:r w:rsidRPr="003730D0">
        <w:rPr>
          <w:rFonts w:ascii="Century" w:hAnsi="Century" w:cs="Miriam" w:hint="eastAsia"/>
          <w:b/>
          <w:spacing w:val="0"/>
          <w:sz w:val="22"/>
          <w:szCs w:val="24"/>
          <w:rtl/>
        </w:rPr>
        <w:t>חולון</w:t>
      </w:r>
      <w:r>
        <w:rPr>
          <w:rFonts w:hint="cs"/>
          <w:rtl/>
        </w:rPr>
        <w:t xml:space="preserve">, פסקה 28 </w:t>
      </w:r>
      <w:r w:rsidRPr="00375E2F">
        <w:rPr>
          <w:rtl/>
        </w:rPr>
        <w:t>(13.10.2015)</w:t>
      </w:r>
      <w:r>
        <w:rPr>
          <w:rFonts w:hint="cs"/>
          <w:rtl/>
        </w:rPr>
        <w:t xml:space="preserve">) (להלן: </w:t>
      </w:r>
      <w:r w:rsidRPr="00E35DF7">
        <w:rPr>
          <w:rFonts w:ascii="Century" w:hAnsi="Century" w:cs="Miriam" w:hint="cs"/>
          <w:b/>
          <w:spacing w:val="0"/>
          <w:sz w:val="22"/>
          <w:szCs w:val="24"/>
          <w:rtl/>
        </w:rPr>
        <w:t>"עניין ינקו"</w:t>
      </w:r>
      <w:r>
        <w:rPr>
          <w:rFonts w:hint="cs"/>
          <w:rtl/>
        </w:rPr>
        <w:t xml:space="preserve">); </w:t>
      </w:r>
      <w:proofErr w:type="spellStart"/>
      <w:r>
        <w:rPr>
          <w:rFonts w:hint="cs"/>
          <w:rtl/>
        </w:rPr>
        <w:t>עמ"ה</w:t>
      </w:r>
      <w:proofErr w:type="spellEnd"/>
      <w:r>
        <w:rPr>
          <w:rFonts w:hint="cs"/>
          <w:rtl/>
        </w:rPr>
        <w:t xml:space="preserve"> (מחוזי ת"א) 68/93 </w:t>
      </w:r>
      <w:proofErr w:type="spellStart"/>
      <w:r w:rsidRPr="001E62B0">
        <w:rPr>
          <w:rFonts w:ascii="Century" w:hAnsi="Century" w:cs="Miriam" w:hint="eastAsia"/>
          <w:b/>
          <w:spacing w:val="0"/>
          <w:sz w:val="22"/>
          <w:szCs w:val="24"/>
          <w:rtl/>
        </w:rPr>
        <w:t>מיקרוקול</w:t>
      </w:r>
      <w:proofErr w:type="spellEnd"/>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נ</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פקיד</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שומה</w:t>
      </w:r>
      <w:r>
        <w:rPr>
          <w:rFonts w:hint="cs"/>
          <w:rtl/>
        </w:rPr>
        <w:t xml:space="preserve"> (31.12.1993. השופטת </w:t>
      </w:r>
      <w:r w:rsidRPr="001E62B0">
        <w:rPr>
          <w:rFonts w:ascii="Century" w:hAnsi="Century" w:cs="Miriam" w:hint="eastAsia"/>
          <w:b/>
          <w:spacing w:val="0"/>
          <w:sz w:val="22"/>
          <w:szCs w:val="24"/>
          <w:rtl/>
        </w:rPr>
        <w:t>ברכה</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אופיר</w:t>
      </w:r>
      <w:r w:rsidRPr="001E62B0">
        <w:rPr>
          <w:rFonts w:ascii="Century" w:hAnsi="Century" w:cs="Miriam"/>
          <w:b/>
          <w:spacing w:val="0"/>
          <w:sz w:val="22"/>
          <w:szCs w:val="24"/>
          <w:rtl/>
        </w:rPr>
        <w:t xml:space="preserve"> </w:t>
      </w:r>
      <w:r w:rsidRPr="001E62B0">
        <w:rPr>
          <w:rFonts w:ascii="Century" w:hAnsi="Century" w:cs="Miriam" w:hint="eastAsia"/>
          <w:b/>
          <w:spacing w:val="0"/>
          <w:sz w:val="22"/>
          <w:szCs w:val="24"/>
          <w:rtl/>
        </w:rPr>
        <w:t>תום</w:t>
      </w:r>
      <w:r>
        <w:rPr>
          <w:rFonts w:hint="cs"/>
          <w:rtl/>
        </w:rPr>
        <w:t xml:space="preserve">)). </w:t>
      </w:r>
    </w:p>
    <w:p w:rsidR="006E1F18" w:rsidRDefault="006E1F18" w:rsidP="006E1F18">
      <w:pPr>
        <w:pStyle w:val="Ruller4"/>
        <w:numPr>
          <w:ilvl w:val="0"/>
          <w:numId w:val="0"/>
        </w:numPr>
        <w:rPr>
          <w:rtl/>
        </w:rPr>
      </w:pPr>
    </w:p>
    <w:p w:rsidR="006E1F18" w:rsidRDefault="006E1F18" w:rsidP="006E1F18">
      <w:pPr>
        <w:pStyle w:val="Ruller4"/>
        <w:numPr>
          <w:ilvl w:val="0"/>
          <w:numId w:val="0"/>
        </w:numPr>
        <w:rPr>
          <w:rtl/>
        </w:rPr>
      </w:pPr>
      <w:r>
        <w:rPr>
          <w:rtl/>
        </w:rPr>
        <w:tab/>
      </w:r>
      <w:r>
        <w:rPr>
          <w:rFonts w:hint="cs"/>
          <w:rtl/>
        </w:rPr>
        <w:t xml:space="preserve">זהו הכלל, ואולם אליו נלווה חריג, אותו סיכמתי </w:t>
      </w:r>
      <w:proofErr w:type="spellStart"/>
      <w:r>
        <w:rPr>
          <w:rFonts w:hint="cs"/>
          <w:rtl/>
        </w:rPr>
        <w:t>ברע"א</w:t>
      </w:r>
      <w:proofErr w:type="spellEnd"/>
      <w:r>
        <w:rPr>
          <w:rFonts w:hint="cs"/>
          <w:rtl/>
        </w:rPr>
        <w:t xml:space="preserve"> 7034/19 </w:t>
      </w:r>
      <w:r w:rsidRPr="00363CF9">
        <w:rPr>
          <w:rFonts w:ascii="Century" w:hAnsi="Century" w:cs="Miriam" w:hint="eastAsia"/>
          <w:b/>
          <w:spacing w:val="0"/>
          <w:sz w:val="22"/>
          <w:szCs w:val="24"/>
          <w:rtl/>
        </w:rPr>
        <w:t>פלוני</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נ</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פקיד</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שומה</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ירושלים</w:t>
      </w:r>
      <w:r>
        <w:rPr>
          <w:rFonts w:hint="cs"/>
          <w:rtl/>
        </w:rPr>
        <w:t xml:space="preserve"> (3), פסקה 15 (31.12.2019) בזו הלשון:</w:t>
      </w:r>
    </w:p>
    <w:p w:rsidR="006E1F18" w:rsidRDefault="006E1F18" w:rsidP="006E1F18">
      <w:pPr>
        <w:pStyle w:val="Ruller41"/>
        <w:rPr>
          <w:rtl/>
        </w:rPr>
      </w:pPr>
    </w:p>
    <w:p w:rsidR="006E1F18" w:rsidRDefault="006E1F18" w:rsidP="006E1F18">
      <w:pPr>
        <w:pStyle w:val="Ruller5"/>
        <w:rPr>
          <w:rtl/>
        </w:rPr>
      </w:pPr>
      <w:r>
        <w:rPr>
          <w:rtl/>
        </w:rPr>
        <w:t xml:space="preserve">בית משפט זה כבר פסק כי בשונה מערעור אזרחי רגיל, </w:t>
      </w:r>
      <w:r w:rsidRPr="00EE242C">
        <w:rPr>
          <w:sz w:val="18"/>
          <w:szCs w:val="24"/>
          <w:rtl/>
        </w:rPr>
        <w:t>"</w:t>
      </w:r>
      <w:r w:rsidRPr="00EE242C">
        <w:rPr>
          <w:rFonts w:ascii="Miriam" w:hAnsi="Miriam" w:cs="Miriam"/>
          <w:spacing w:val="0"/>
          <w:sz w:val="18"/>
          <w:szCs w:val="24"/>
          <w:rtl/>
        </w:rPr>
        <w:t>בדונו בערעור מס, יושב בית המשפט המחוזי לא רק כמכריע בסכסוך בין שני בעלי דין... אלא שמוטלת עליו חובה לוודא שהשומה תהא שומת אמת</w:t>
      </w:r>
      <w:r w:rsidRPr="00EE242C">
        <w:rPr>
          <w:sz w:val="18"/>
          <w:szCs w:val="24"/>
          <w:rtl/>
        </w:rPr>
        <w:t xml:space="preserve">" </w:t>
      </w:r>
      <w:r w:rsidRPr="00EE242C">
        <w:rPr>
          <w:rFonts w:ascii="FrankRuehl" w:hAnsi="FrankRuehl"/>
          <w:rtl/>
        </w:rPr>
        <w:t>(</w:t>
      </w:r>
      <w:r w:rsidRPr="00EE242C">
        <w:rPr>
          <w:rFonts w:ascii="FrankRuehl" w:hAnsi="FrankRuehl"/>
          <w:spacing w:val="0"/>
          <w:rtl/>
        </w:rPr>
        <w:t>ע"א 495/63</w:t>
      </w:r>
      <w:r w:rsidRPr="00363CF9">
        <w:rPr>
          <w:rFonts w:ascii="Miriam" w:hAnsi="Miriam" w:cs="Miriam"/>
          <w:spacing w:val="0"/>
          <w:rtl/>
        </w:rPr>
        <w:t xml:space="preserve"> </w:t>
      </w:r>
      <w:proofErr w:type="spellStart"/>
      <w:r w:rsidRPr="00EE242C">
        <w:rPr>
          <w:rFonts w:ascii="Miriam" w:hAnsi="Miriam" w:cs="Miriam"/>
          <w:spacing w:val="0"/>
          <w:sz w:val="18"/>
          <w:szCs w:val="24"/>
          <w:rtl/>
        </w:rPr>
        <w:t>מלכוב</w:t>
      </w:r>
      <w:proofErr w:type="spellEnd"/>
      <w:r w:rsidRPr="00EE242C">
        <w:rPr>
          <w:rFonts w:ascii="Miriam" w:hAnsi="Miriam" w:cs="Miriam"/>
          <w:spacing w:val="0"/>
          <w:sz w:val="18"/>
          <w:szCs w:val="24"/>
          <w:rtl/>
        </w:rPr>
        <w:t xml:space="preserve"> נ' פקיד השומה תל-אביב</w:t>
      </w:r>
      <w:r w:rsidRPr="00363CF9">
        <w:rPr>
          <w:rtl/>
        </w:rPr>
        <w:t xml:space="preserve">, פ"ד </w:t>
      </w:r>
      <w:proofErr w:type="spellStart"/>
      <w:r w:rsidRPr="00363CF9">
        <w:rPr>
          <w:rtl/>
        </w:rPr>
        <w:t>יח</w:t>
      </w:r>
      <w:proofErr w:type="spellEnd"/>
      <w:r>
        <w:rPr>
          <w:rtl/>
        </w:rPr>
        <w:t xml:space="preserve">(2) 683, 686 (1964)). לאור כך, נקבע כי הצדדים לערעור מס רשאים להעלות לפני בית המשפט טענות חדשות אשר לא נטענו בשלבים מוקדמים יותר של הליך השומה או שנטענו באופן חלקי בלבד, לשם בירור מס אמת, בכפוף לשיקול דעתו של בית המשפט המחוזי ובלבד שאפשרות זו לא תנוצל לרעה (ראו: </w:t>
      </w:r>
      <w:r w:rsidRPr="00363CF9">
        <w:rPr>
          <w:rtl/>
        </w:rPr>
        <w:t>רע"א 1830/14</w:t>
      </w:r>
      <w:r>
        <w:rPr>
          <w:rtl/>
        </w:rPr>
        <w:t xml:space="preserve"> </w:t>
      </w:r>
      <w:proofErr w:type="spellStart"/>
      <w:r w:rsidRPr="00EE242C">
        <w:rPr>
          <w:rFonts w:ascii="Miriam" w:hAnsi="Miriam" w:cs="Miriam"/>
          <w:spacing w:val="0"/>
          <w:sz w:val="18"/>
          <w:szCs w:val="24"/>
          <w:rtl/>
        </w:rPr>
        <w:t>רובומטיקס</w:t>
      </w:r>
      <w:proofErr w:type="spellEnd"/>
      <w:r w:rsidRPr="00EE242C">
        <w:rPr>
          <w:rFonts w:ascii="Miriam" w:hAnsi="Miriam" w:cs="Miriam"/>
          <w:spacing w:val="0"/>
          <w:sz w:val="18"/>
          <w:szCs w:val="24"/>
          <w:rtl/>
        </w:rPr>
        <w:t xml:space="preserve"> טכנולוגיות בע"מ נ' פקיד שומה למפעלים גדולים</w:t>
      </w:r>
      <w:r w:rsidRPr="00EE242C">
        <w:rPr>
          <w:sz w:val="18"/>
          <w:szCs w:val="24"/>
          <w:rtl/>
        </w:rPr>
        <w:t xml:space="preserve"> </w:t>
      </w:r>
      <w:r>
        <w:rPr>
          <w:rtl/>
        </w:rPr>
        <w:t xml:space="preserve">(2.4.2015); </w:t>
      </w:r>
      <w:hyperlink w:history="1">
        <w:r w:rsidRPr="00363CF9">
          <w:rPr>
            <w:rtl/>
          </w:rPr>
          <w:t>ע</w:t>
        </w:r>
        <w:r>
          <w:rPr>
            <w:rFonts w:hint="cs"/>
            <w:rtl/>
          </w:rPr>
          <w:t>ניין</w:t>
        </w:r>
      </w:hyperlink>
      <w:r w:rsidRPr="00363CF9">
        <w:rPr>
          <w:rtl/>
        </w:rPr>
        <w:t xml:space="preserve"> </w:t>
      </w:r>
      <w:r w:rsidRPr="00EE242C">
        <w:rPr>
          <w:rFonts w:ascii="Miriam" w:hAnsi="Miriam" w:cs="Miriam"/>
          <w:spacing w:val="0"/>
          <w:sz w:val="18"/>
          <w:szCs w:val="24"/>
          <w:rtl/>
        </w:rPr>
        <w:t>ינקו</w:t>
      </w:r>
      <w:r w:rsidRPr="00363CF9">
        <w:rPr>
          <w:rtl/>
        </w:rPr>
        <w:t xml:space="preserve">, </w:t>
      </w:r>
      <w:r>
        <w:rPr>
          <w:rFonts w:hint="cs"/>
          <w:rtl/>
        </w:rPr>
        <w:t>ב</w:t>
      </w:r>
      <w:r w:rsidRPr="00363CF9">
        <w:rPr>
          <w:rtl/>
        </w:rPr>
        <w:t>פסקה 28</w:t>
      </w:r>
      <w:r>
        <w:rPr>
          <w:rtl/>
        </w:rPr>
        <w:t xml:space="preserve">. וראו גם: </w:t>
      </w:r>
      <w:proofErr w:type="spellStart"/>
      <w:r>
        <w:rPr>
          <w:rtl/>
        </w:rPr>
        <w:t>עמ"ה</w:t>
      </w:r>
      <w:proofErr w:type="spellEnd"/>
      <w:r>
        <w:rPr>
          <w:rtl/>
        </w:rPr>
        <w:t xml:space="preserve"> (מחוזי ת"א) 94/96 </w:t>
      </w:r>
      <w:proofErr w:type="spellStart"/>
      <w:r w:rsidRPr="00EE242C">
        <w:rPr>
          <w:rFonts w:ascii="Miriam" w:hAnsi="Miriam" w:cs="Miriam"/>
          <w:spacing w:val="0"/>
          <w:sz w:val="18"/>
          <w:szCs w:val="24"/>
          <w:rtl/>
        </w:rPr>
        <w:t>בנאסולי</w:t>
      </w:r>
      <w:proofErr w:type="spellEnd"/>
      <w:r w:rsidRPr="00EE242C">
        <w:rPr>
          <w:rFonts w:ascii="Miriam" w:hAnsi="Miriam" w:cs="Miriam"/>
          <w:spacing w:val="0"/>
          <w:sz w:val="18"/>
          <w:szCs w:val="24"/>
          <w:rtl/>
        </w:rPr>
        <w:t xml:space="preserve"> נ' פקיד שומה נתניה</w:t>
      </w:r>
      <w:r w:rsidRPr="00EE242C">
        <w:rPr>
          <w:sz w:val="18"/>
          <w:szCs w:val="24"/>
          <w:rtl/>
        </w:rPr>
        <w:t xml:space="preserve"> </w:t>
      </w:r>
      <w:r>
        <w:rPr>
          <w:rtl/>
        </w:rPr>
        <w:t xml:space="preserve">(10.12.1996); </w:t>
      </w:r>
      <w:proofErr w:type="spellStart"/>
      <w:r w:rsidRPr="00363CF9">
        <w:rPr>
          <w:rtl/>
        </w:rPr>
        <w:t>עמ"ה</w:t>
      </w:r>
      <w:proofErr w:type="spellEnd"/>
      <w:r w:rsidRPr="00363CF9">
        <w:rPr>
          <w:rtl/>
        </w:rPr>
        <w:t xml:space="preserve"> (מחוזי י-ם) 514/01</w:t>
      </w:r>
      <w:r>
        <w:rPr>
          <w:rtl/>
        </w:rPr>
        <w:t xml:space="preserve"> </w:t>
      </w:r>
      <w:proofErr w:type="spellStart"/>
      <w:r w:rsidRPr="00EE242C">
        <w:rPr>
          <w:rFonts w:ascii="Miriam" w:hAnsi="Miriam" w:cs="Miriam"/>
          <w:spacing w:val="0"/>
          <w:sz w:val="18"/>
          <w:szCs w:val="24"/>
          <w:rtl/>
        </w:rPr>
        <w:lastRenderedPageBreak/>
        <w:t>ועקנין</w:t>
      </w:r>
      <w:proofErr w:type="spellEnd"/>
      <w:r w:rsidRPr="00EE242C">
        <w:rPr>
          <w:rFonts w:ascii="Miriam" w:hAnsi="Miriam" w:cs="Miriam"/>
          <w:spacing w:val="0"/>
          <w:sz w:val="18"/>
          <w:szCs w:val="24"/>
          <w:rtl/>
        </w:rPr>
        <w:t xml:space="preserve"> נ' פקיד שומה ירושלים</w:t>
      </w:r>
      <w:r>
        <w:rPr>
          <w:rtl/>
        </w:rPr>
        <w:t>, פסקה 4</w:t>
      </w:r>
      <w:r w:rsidRPr="00363CF9">
        <w:rPr>
          <w:rtl/>
        </w:rPr>
        <w:t xml:space="preserve"> </w:t>
      </w:r>
      <w:r>
        <w:rPr>
          <w:rtl/>
        </w:rPr>
        <w:t xml:space="preserve">(12.1.2003)). כן נקבע כי השיקולים שינחו את בית המשפט בבואו להפעיל סמכות זו הם כי לא ייגרם נזק דיוני לצד שכנגד; לא תיפגע היעילות הדיונית; וכן לא יפגעו תוקפו וחשיבותו של הליך ההשגה על שומת המס (עניין </w:t>
      </w:r>
      <w:r w:rsidRPr="00EE242C">
        <w:rPr>
          <w:rFonts w:ascii="Miriam" w:hAnsi="Miriam" w:cs="Miriam"/>
          <w:spacing w:val="0"/>
          <w:sz w:val="18"/>
          <w:szCs w:val="24"/>
          <w:rtl/>
        </w:rPr>
        <w:t>ינקו</w:t>
      </w:r>
      <w:r>
        <w:rPr>
          <w:rtl/>
        </w:rPr>
        <w:t>, בפסקה 28).</w:t>
      </w:r>
    </w:p>
    <w:p w:rsidR="007E074B" w:rsidRDefault="007E074B" w:rsidP="007E074B">
      <w:pPr>
        <w:pStyle w:val="Ruller4"/>
        <w:numPr>
          <w:ilvl w:val="0"/>
          <w:numId w:val="0"/>
        </w:numPr>
      </w:pPr>
    </w:p>
    <w:p w:rsidR="006E1F18" w:rsidRDefault="006E1F18" w:rsidP="008D5EA4">
      <w:pPr>
        <w:pStyle w:val="Ruller4"/>
      </w:pPr>
      <w:r>
        <w:rPr>
          <w:rFonts w:hint="cs"/>
          <w:rtl/>
        </w:rPr>
        <w:t>בית המשפט קמא דחה את התנגדות המשיב להעלאת טענת ההתיישנות על בסיס הפעלת החריג. הנושא נדון בקצרה בפסקה 73 לפסק הדין, כשהנמקת בית המשפט קמא למסקנתו הייתה כדלהלן: "</w:t>
      </w:r>
      <w:r w:rsidRPr="006774A9">
        <w:rPr>
          <w:rFonts w:ascii="Century" w:hAnsi="Century" w:cs="Miriam" w:hint="eastAsia"/>
          <w:b/>
          <w:spacing w:val="0"/>
          <w:sz w:val="22"/>
          <w:szCs w:val="24"/>
          <w:rtl/>
        </w:rPr>
        <w:t>ניתנה</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למערערת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רשות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להעלות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את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טענות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ההתיישנות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בשלב</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הערעור</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למרות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שלא</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נטענו</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על</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ידה</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קודם</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לכן</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בהליכי</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השומה</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וזאת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על</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מנת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לאפשר</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לה</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למצות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את</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טענותיה</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וכדי</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לאפשר</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בירור</w:t>
      </w:r>
      <w:r w:rsidRPr="006774A9">
        <w:rPr>
          <w:rFonts w:ascii="Century" w:hAnsi="Century" w:cs="Miriam"/>
          <w:b/>
          <w:spacing w:val="0"/>
          <w:sz w:val="22"/>
          <w:szCs w:val="24"/>
          <w:rtl/>
        </w:rPr>
        <w:t xml:space="preserve"> </w:t>
      </w:r>
      <w:proofErr w:type="spellStart"/>
      <w:r w:rsidRPr="006774A9">
        <w:rPr>
          <w:rFonts w:ascii="Century" w:hAnsi="Century" w:cs="Miriam" w:hint="eastAsia"/>
          <w:b/>
          <w:spacing w:val="0"/>
          <w:sz w:val="22"/>
          <w:szCs w:val="24"/>
          <w:rtl/>
        </w:rPr>
        <w:t>אמיתי</w:t>
      </w:r>
      <w:proofErr w:type="spellEnd"/>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של</w:t>
      </w:r>
      <w:r w:rsidRPr="006774A9">
        <w:rPr>
          <w:rFonts w:ascii="Century" w:hAnsi="Century" w:cs="Miriam"/>
          <w:b/>
          <w:spacing w:val="0"/>
          <w:sz w:val="22"/>
          <w:szCs w:val="24"/>
          <w:rtl/>
        </w:rPr>
        <w:t xml:space="preserve"> </w:t>
      </w:r>
      <w:proofErr w:type="spellStart"/>
      <w:r w:rsidRPr="006774A9">
        <w:rPr>
          <w:rFonts w:ascii="Century" w:hAnsi="Century" w:cs="Miriam" w:hint="eastAsia"/>
          <w:b/>
          <w:spacing w:val="0"/>
          <w:sz w:val="22"/>
          <w:szCs w:val="24"/>
          <w:rtl/>
        </w:rPr>
        <w:t>חבותה</w:t>
      </w:r>
      <w:proofErr w:type="spellEnd"/>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במס</w:t>
      </w:r>
      <w:r w:rsidRPr="006774A9">
        <w:rPr>
          <w:rFonts w:ascii="Century" w:hAnsi="Century" w:cs="Miriam"/>
          <w:b/>
          <w:spacing w:val="0"/>
          <w:sz w:val="22"/>
          <w:szCs w:val="24"/>
          <w:rtl/>
        </w:rPr>
        <w:t xml:space="preserve"> </w:t>
      </w:r>
      <w:r w:rsidRPr="006774A9">
        <w:rPr>
          <w:rFonts w:ascii="Century" w:hAnsi="Century" w:cs="Miriam" w:hint="eastAsia"/>
          <w:b/>
          <w:spacing w:val="0"/>
          <w:sz w:val="22"/>
          <w:szCs w:val="24"/>
          <w:rtl/>
        </w:rPr>
        <w:t>עסקאות</w:t>
      </w:r>
      <w:r>
        <w:rPr>
          <w:rFonts w:hint="cs"/>
          <w:rtl/>
        </w:rPr>
        <w:t xml:space="preserve">" (וראו גם </w:t>
      </w:r>
      <w:r w:rsidR="001869C7">
        <w:rPr>
          <w:rFonts w:hint="cs"/>
          <w:rtl/>
        </w:rPr>
        <w:t>פסקה</w:t>
      </w:r>
      <w:r>
        <w:rPr>
          <w:rFonts w:hint="cs"/>
          <w:rtl/>
        </w:rPr>
        <w:t xml:space="preserve"> 141 לפסק הדין, ב</w:t>
      </w:r>
      <w:r w:rsidR="008D5EA4">
        <w:rPr>
          <w:rFonts w:hint="cs"/>
          <w:rtl/>
        </w:rPr>
        <w:t>ה</w:t>
      </w:r>
      <w:r>
        <w:rPr>
          <w:rFonts w:hint="cs"/>
          <w:rtl/>
        </w:rPr>
        <w:t xml:space="preserve"> מציין בית המשפט קמא כי "</w:t>
      </w:r>
      <w:r w:rsidRPr="00363CF9">
        <w:rPr>
          <w:rFonts w:ascii="Century" w:hAnsi="Century" w:cs="Miriam" w:hint="eastAsia"/>
          <w:b/>
          <w:spacing w:val="0"/>
          <w:sz w:val="22"/>
          <w:szCs w:val="24"/>
          <w:rtl/>
        </w:rPr>
        <w:t>בית</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המשפט</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גילה</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אורך</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רוח</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כלפי</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המערערת</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ואפשר</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לה</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להעלות</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טענות</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התיישנות</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בשלב</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הערעור</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טענות</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שהוקדש</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להן</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חלק</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נכבד</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מהדיון</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בערעור</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למרות</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שזכרן</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לא</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בא</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בשלב</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ההשגה</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ולמרות</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שלא</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הועלו</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על</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ידה</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בהזדמנות</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הראשונה</w:t>
      </w:r>
      <w:r w:rsidRPr="006774A9">
        <w:rPr>
          <w:rFonts w:ascii="Century" w:hAnsi="Century" w:cs="Miriam"/>
          <w:b/>
          <w:spacing w:val="0"/>
          <w:sz w:val="22"/>
          <w:szCs w:val="24"/>
          <w:rtl/>
        </w:rPr>
        <w:t>"</w:t>
      </w:r>
      <w:r w:rsidRPr="003730D0">
        <w:rPr>
          <w:rtl/>
        </w:rPr>
        <w:t>)</w:t>
      </w:r>
      <w:r>
        <w:rPr>
          <w:rFonts w:hint="cs"/>
          <w:rtl/>
        </w:rPr>
        <w:t xml:space="preserve">. אלא שההצדקה שנתן בית המשפט קמא להפעלת החריג אינה משכנעת. טענת התיישנות המועלית על ידי חייב במס היא טענה דיונית, אשר קבלתה חוסמת את האפשרות לבצע בירור החבות במס אמת, וזאת בשל כשל באופן התנהלותן של רשויות המס. כך למשל, בענייננו, טענת ההתיישנות מושמעת על ידי המערערת על מנת לחסום את האפשרות של רשויות מס ערך מוסף להטיל ספק בדרך בה הציגה להן את העסקה בשנת 2008, וזאת אך ורק בשל </w:t>
      </w:r>
      <w:r w:rsidRPr="003730D0">
        <w:rPr>
          <w:rFonts w:ascii="Century" w:hAnsi="Century" w:cs="Miriam" w:hint="eastAsia"/>
          <w:b/>
          <w:spacing w:val="0"/>
          <w:sz w:val="22"/>
          <w:szCs w:val="24"/>
          <w:rtl/>
        </w:rPr>
        <w:t>העיתו</w:t>
      </w:r>
      <w:r>
        <w:rPr>
          <w:rFonts w:ascii="Century" w:hAnsi="Century" w:cs="Miriam" w:hint="cs"/>
          <w:b/>
          <w:spacing w:val="0"/>
          <w:sz w:val="22"/>
          <w:szCs w:val="24"/>
          <w:rtl/>
        </w:rPr>
        <w:t>י</w:t>
      </w:r>
      <w:r>
        <w:rPr>
          <w:rFonts w:hint="cs"/>
          <w:rtl/>
        </w:rPr>
        <w:t xml:space="preserve"> בו הוצאה השומה. מכאן שבניגוד להנמקת בית המשפט קמא, מתן האפשרות להעלות את טענת ההתיישנות דווקא עלול ליצור מחסום דיוני מפני בירור החבות במס עסקאות לגופה, ואין היא באה בגדר הטענות שיש לאפשר את העלאתן לראשונה בהליך ערעור "</w:t>
      </w:r>
      <w:r w:rsidRPr="00363CF9">
        <w:rPr>
          <w:rFonts w:ascii="Century" w:hAnsi="Century" w:cs="Miriam" w:hint="eastAsia"/>
          <w:b/>
          <w:spacing w:val="0"/>
          <w:sz w:val="22"/>
          <w:szCs w:val="24"/>
          <w:rtl/>
        </w:rPr>
        <w:t>לשם</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בירור</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מס</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אמת</w:t>
      </w:r>
      <w:r>
        <w:rPr>
          <w:rFonts w:hint="cs"/>
          <w:rtl/>
        </w:rPr>
        <w:t xml:space="preserve">". </w:t>
      </w:r>
    </w:p>
    <w:p w:rsidR="006E1F18" w:rsidRPr="00F77E6D" w:rsidRDefault="006E1F18" w:rsidP="006E1F18">
      <w:pPr>
        <w:pStyle w:val="Ruller4"/>
        <w:numPr>
          <w:ilvl w:val="0"/>
          <w:numId w:val="0"/>
        </w:numPr>
      </w:pPr>
    </w:p>
    <w:p w:rsidR="006E1F18" w:rsidRPr="00363CF9" w:rsidRDefault="006E1F18" w:rsidP="00101B98">
      <w:pPr>
        <w:pStyle w:val="Ruller4"/>
        <w:rPr>
          <w:rFonts w:ascii="Arial TUR" w:hAnsi="Arial TUR"/>
          <w:sz w:val="22"/>
          <w:rtl/>
        </w:rPr>
      </w:pPr>
      <w:r>
        <w:rPr>
          <w:rFonts w:hint="cs"/>
          <w:rtl/>
        </w:rPr>
        <w:t>משנמצא כי הנמקת בית המשפט קמא אינה משכנעת, ובהעדר כל הסבר מניח את הדעת למחדל הדיוני האמור של המערערת, אני סבור כי היה מקום לפעול בהתאם לכלל, ולא לאפשר ל</w:t>
      </w:r>
      <w:r w:rsidR="00873468">
        <w:rPr>
          <w:rFonts w:hint="cs"/>
          <w:rtl/>
        </w:rPr>
        <w:t>מערערת</w:t>
      </w:r>
      <w:r>
        <w:rPr>
          <w:rFonts w:hint="cs"/>
          <w:rtl/>
        </w:rPr>
        <w:t xml:space="preserve"> להעלות לראשונה את טענת ההתיישנות בערעור</w:t>
      </w:r>
      <w:r w:rsidR="00101B98">
        <w:rPr>
          <w:rFonts w:hint="cs"/>
          <w:rtl/>
        </w:rPr>
        <w:t xml:space="preserve"> המס</w:t>
      </w:r>
      <w:r>
        <w:rPr>
          <w:rFonts w:hint="cs"/>
          <w:rtl/>
        </w:rPr>
        <w:t>. מחכמינו שנינו את המכתם "</w:t>
      </w:r>
      <w:r w:rsidRPr="00065420">
        <w:rPr>
          <w:rFonts w:ascii="Century" w:hAnsi="Century" w:cs="Miriam" w:hint="eastAsia"/>
          <w:b/>
          <w:spacing w:val="0"/>
          <w:sz w:val="22"/>
          <w:szCs w:val="24"/>
          <w:rtl/>
        </w:rPr>
        <w:t>אומר</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לו</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טול</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קיסם</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מבין</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שיניך</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אומר</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לו</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טול</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קורה</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מבין</w:t>
      </w:r>
      <w:r w:rsidRPr="00065420">
        <w:rPr>
          <w:rFonts w:ascii="Century" w:hAnsi="Century" w:cs="Miriam"/>
          <w:b/>
          <w:spacing w:val="0"/>
          <w:sz w:val="22"/>
          <w:szCs w:val="24"/>
          <w:rtl/>
        </w:rPr>
        <w:t xml:space="preserve"> </w:t>
      </w:r>
      <w:r w:rsidRPr="00065420">
        <w:rPr>
          <w:rFonts w:ascii="Century" w:hAnsi="Century" w:cs="Miriam" w:hint="eastAsia"/>
          <w:b/>
          <w:spacing w:val="0"/>
          <w:sz w:val="22"/>
          <w:szCs w:val="24"/>
          <w:rtl/>
        </w:rPr>
        <w:t>עיניך</w:t>
      </w:r>
      <w:r w:rsidRPr="00A006A5">
        <w:rPr>
          <w:rFonts w:hint="cs"/>
          <w:rtl/>
        </w:rPr>
        <w:t>"</w:t>
      </w:r>
      <w:r>
        <w:rPr>
          <w:rFonts w:hint="cs"/>
          <w:rtl/>
        </w:rPr>
        <w:t xml:space="preserve"> (</w:t>
      </w:r>
      <w:r w:rsidRPr="00902B6C">
        <w:rPr>
          <w:rStyle w:val="Ruller42"/>
          <w:rFonts w:hint="eastAsia"/>
          <w:rtl/>
        </w:rPr>
        <w:t>בבלי</w:t>
      </w:r>
      <w:r>
        <w:rPr>
          <w:rFonts w:hint="cs"/>
          <w:rtl/>
        </w:rPr>
        <w:t xml:space="preserve">, בבא </w:t>
      </w:r>
      <w:proofErr w:type="spellStart"/>
      <w:r>
        <w:rPr>
          <w:rFonts w:hint="cs"/>
          <w:rtl/>
        </w:rPr>
        <w:t>בתרא</w:t>
      </w:r>
      <w:proofErr w:type="spellEnd"/>
      <w:r>
        <w:rPr>
          <w:rFonts w:hint="cs"/>
          <w:rtl/>
        </w:rPr>
        <w:t xml:space="preserve"> ט"ו, ע"ב). ואכן, חייב במס המבקש להיבנות מטענה פרוצדורלית על מנת להימנע מבירור מס האמת בו הוא חייב, נדרש לפעול בעצמו על פי כללי הפרוצדורה, ולמצער לספק טעם </w:t>
      </w:r>
      <w:r w:rsidR="00873468">
        <w:rPr>
          <w:rFonts w:hint="cs"/>
          <w:rtl/>
        </w:rPr>
        <w:t xml:space="preserve">המצדיק את </w:t>
      </w:r>
      <w:r>
        <w:rPr>
          <w:rFonts w:hint="cs"/>
          <w:rtl/>
        </w:rPr>
        <w:t xml:space="preserve">מחדלו </w:t>
      </w:r>
      <w:r w:rsidR="00873468">
        <w:rPr>
          <w:rFonts w:hint="cs"/>
          <w:rtl/>
        </w:rPr>
        <w:t>מ</w:t>
      </w:r>
      <w:r>
        <w:rPr>
          <w:rFonts w:hint="cs"/>
          <w:rtl/>
        </w:rPr>
        <w:t xml:space="preserve">לעשות כן. דברים אלה יפים ביתר שאת ביחס לטענת התיישנות (השוו: </w:t>
      </w:r>
      <w:proofErr w:type="spellStart"/>
      <w:r>
        <w:rPr>
          <w:rFonts w:hint="cs"/>
          <w:rtl/>
        </w:rPr>
        <w:t>עמ"ה</w:t>
      </w:r>
      <w:proofErr w:type="spellEnd"/>
      <w:r>
        <w:rPr>
          <w:rFonts w:hint="cs"/>
          <w:rtl/>
        </w:rPr>
        <w:t xml:space="preserve"> (מחוזי י-ם) 506/07 </w:t>
      </w:r>
      <w:proofErr w:type="spellStart"/>
      <w:r w:rsidRPr="00F03F60">
        <w:rPr>
          <w:rFonts w:ascii="Century" w:hAnsi="Century" w:cs="Miriam" w:hint="eastAsia"/>
          <w:b/>
          <w:spacing w:val="0"/>
          <w:sz w:val="22"/>
          <w:szCs w:val="24"/>
          <w:rtl/>
        </w:rPr>
        <w:t>אביטן</w:t>
      </w:r>
      <w:proofErr w:type="spellEnd"/>
      <w:r w:rsidRPr="00F03F60">
        <w:rPr>
          <w:rFonts w:ascii="Century" w:hAnsi="Century" w:cs="Miriam"/>
          <w:b/>
          <w:spacing w:val="0"/>
          <w:sz w:val="22"/>
          <w:szCs w:val="24"/>
          <w:rtl/>
        </w:rPr>
        <w:t xml:space="preserve"> </w:t>
      </w:r>
      <w:r w:rsidRPr="00F03F60">
        <w:rPr>
          <w:rFonts w:ascii="Century" w:hAnsi="Century" w:cs="Miriam" w:hint="eastAsia"/>
          <w:b/>
          <w:spacing w:val="0"/>
          <w:sz w:val="22"/>
          <w:szCs w:val="24"/>
          <w:rtl/>
        </w:rPr>
        <w:t>נ</w:t>
      </w:r>
      <w:r w:rsidRPr="00F03F60">
        <w:rPr>
          <w:rFonts w:ascii="Century" w:hAnsi="Century" w:cs="Miriam"/>
          <w:b/>
          <w:spacing w:val="0"/>
          <w:sz w:val="22"/>
          <w:szCs w:val="24"/>
          <w:rtl/>
        </w:rPr>
        <w:t xml:space="preserve">' </w:t>
      </w:r>
      <w:r w:rsidRPr="00F03F60">
        <w:rPr>
          <w:rFonts w:ascii="Century" w:hAnsi="Century" w:cs="Miriam" w:hint="eastAsia"/>
          <w:b/>
          <w:spacing w:val="0"/>
          <w:sz w:val="22"/>
          <w:szCs w:val="24"/>
          <w:rtl/>
        </w:rPr>
        <w:t>פקיד</w:t>
      </w:r>
      <w:r w:rsidRPr="00F03F60">
        <w:rPr>
          <w:rFonts w:ascii="Century" w:hAnsi="Century" w:cs="Miriam"/>
          <w:b/>
          <w:spacing w:val="0"/>
          <w:sz w:val="22"/>
          <w:szCs w:val="24"/>
          <w:rtl/>
        </w:rPr>
        <w:t xml:space="preserve"> </w:t>
      </w:r>
      <w:r w:rsidRPr="00F03F60">
        <w:rPr>
          <w:rFonts w:ascii="Century" w:hAnsi="Century" w:cs="Miriam" w:hint="eastAsia"/>
          <w:b/>
          <w:spacing w:val="0"/>
          <w:sz w:val="22"/>
          <w:szCs w:val="24"/>
          <w:rtl/>
        </w:rPr>
        <w:t>שומה</w:t>
      </w:r>
      <w:r>
        <w:rPr>
          <w:rFonts w:hint="cs"/>
          <w:rtl/>
        </w:rPr>
        <w:t xml:space="preserve">, פסקה 7 לפסק דינה של השופטת </w:t>
      </w:r>
      <w:r w:rsidRPr="00AA05C2">
        <w:rPr>
          <w:rFonts w:ascii="Miriam" w:hAnsi="Miriam" w:cs="Miriam" w:hint="eastAsia"/>
          <w:sz w:val="20"/>
          <w:szCs w:val="24"/>
          <w:rtl/>
        </w:rPr>
        <w:t>מרים</w:t>
      </w:r>
      <w:r w:rsidRPr="00AA05C2">
        <w:rPr>
          <w:rFonts w:ascii="Miriam" w:hAnsi="Miriam" w:cs="Miriam"/>
          <w:sz w:val="20"/>
          <w:szCs w:val="24"/>
          <w:rtl/>
        </w:rPr>
        <w:t xml:space="preserve"> </w:t>
      </w:r>
      <w:r w:rsidRPr="00AA05C2">
        <w:rPr>
          <w:rFonts w:ascii="Miriam" w:hAnsi="Miriam" w:cs="Miriam" w:hint="eastAsia"/>
          <w:sz w:val="20"/>
          <w:szCs w:val="24"/>
          <w:rtl/>
        </w:rPr>
        <w:t>מזרחי</w:t>
      </w:r>
      <w:r>
        <w:rPr>
          <w:rFonts w:hint="cs"/>
          <w:rtl/>
        </w:rPr>
        <w:t xml:space="preserve"> (23.4.2013)). ודוק, כלל "ההזדמנות הראשונה" הקבוע בסעיף 3 לחוק ההתיישנות, התשי"ח-1958 ("</w:t>
      </w:r>
      <w:r w:rsidRPr="008F4B18">
        <w:rPr>
          <w:rFonts w:ascii="Century" w:hAnsi="Century" w:cs="Miriam"/>
          <w:b/>
          <w:spacing w:val="0"/>
          <w:sz w:val="22"/>
          <w:szCs w:val="24"/>
          <w:rtl/>
        </w:rPr>
        <w:t>אין נזקקים לטענת התיישנות אם לא טען הנתבע טענה זו בהזדמנות הראשונה לאחר הגשת התובענה</w:t>
      </w:r>
      <w:r w:rsidRPr="00065420">
        <w:rPr>
          <w:rFonts w:ascii="FrankRuehl" w:hAnsi="FrankRuehl"/>
          <w:color w:val="000000"/>
          <w:sz w:val="26"/>
          <w:szCs w:val="26"/>
          <w:rtl/>
        </w:rPr>
        <w:t>"</w:t>
      </w:r>
      <w:r>
        <w:rPr>
          <w:rFonts w:ascii="FrankRuehl" w:hAnsi="FrankRuehl" w:hint="cs"/>
          <w:color w:val="000000"/>
          <w:sz w:val="28"/>
          <w:rtl/>
        </w:rPr>
        <w:t xml:space="preserve">), אינו חל במישרין ביחס </w:t>
      </w:r>
      <w:r>
        <w:rPr>
          <w:rFonts w:ascii="FrankRuehl" w:hAnsi="FrankRuehl" w:hint="cs"/>
          <w:color w:val="000000"/>
          <w:sz w:val="28"/>
          <w:rtl/>
        </w:rPr>
        <w:lastRenderedPageBreak/>
        <w:t xml:space="preserve">להליכי השגה, מאחר שאין מדובר בהחלטה הניתנת על ידי רשות שיפוטית או מעין שיפוטית בריב בין שני צדדים (השוו: </w:t>
      </w:r>
      <w:proofErr w:type="spellStart"/>
      <w:r>
        <w:rPr>
          <w:rFonts w:ascii="Arial TUR" w:hAnsi="Arial TUR" w:hint="cs"/>
          <w:sz w:val="22"/>
          <w:rtl/>
        </w:rPr>
        <w:t>בר"ם</w:t>
      </w:r>
      <w:proofErr w:type="spellEnd"/>
      <w:r>
        <w:rPr>
          <w:rFonts w:ascii="Arial TUR" w:hAnsi="Arial TUR" w:hint="cs"/>
          <w:sz w:val="22"/>
          <w:rtl/>
        </w:rPr>
        <w:t xml:space="preserve"> 3781/04 </w:t>
      </w:r>
      <w:r w:rsidRPr="00363CF9">
        <w:rPr>
          <w:rFonts w:ascii="Century" w:hAnsi="Century" w:cs="Miriam" w:hint="eastAsia"/>
          <w:b/>
          <w:spacing w:val="0"/>
          <w:sz w:val="22"/>
          <w:szCs w:val="24"/>
          <w:rtl/>
        </w:rPr>
        <w:t>הוועדה</w:t>
      </w:r>
      <w:r w:rsidRPr="00363CF9">
        <w:rPr>
          <w:rFonts w:ascii="Century" w:hAnsi="Century" w:cs="Miriam"/>
          <w:b/>
          <w:spacing w:val="0"/>
          <w:sz w:val="22"/>
          <w:szCs w:val="24"/>
          <w:rtl/>
        </w:rPr>
        <w:t xml:space="preserve"> המקומית לתכנון </w:t>
      </w:r>
      <w:r w:rsidRPr="00363CF9">
        <w:rPr>
          <w:rFonts w:ascii="Century" w:hAnsi="Century" w:cs="Miriam" w:hint="eastAsia"/>
          <w:b/>
          <w:spacing w:val="0"/>
          <w:sz w:val="22"/>
          <w:szCs w:val="24"/>
          <w:rtl/>
        </w:rPr>
        <w:t>ובניה</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נתניה</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נ</w:t>
      </w:r>
      <w:r w:rsidRPr="00363CF9">
        <w:rPr>
          <w:rFonts w:ascii="Century" w:hAnsi="Century" w:cs="Miriam"/>
          <w:b/>
          <w:spacing w:val="0"/>
          <w:sz w:val="22"/>
          <w:szCs w:val="24"/>
          <w:rtl/>
        </w:rPr>
        <w:t xml:space="preserve">' </w:t>
      </w:r>
      <w:r w:rsidRPr="00363CF9">
        <w:rPr>
          <w:rFonts w:ascii="Century" w:hAnsi="Century" w:cs="Miriam" w:hint="eastAsia"/>
          <w:b/>
          <w:spacing w:val="0"/>
          <w:sz w:val="22"/>
          <w:szCs w:val="24"/>
          <w:rtl/>
        </w:rPr>
        <w:t>הר</w:t>
      </w:r>
      <w:r>
        <w:rPr>
          <w:rFonts w:ascii="Arial TUR" w:hAnsi="Arial TUR" w:hint="cs"/>
          <w:sz w:val="22"/>
          <w:rtl/>
        </w:rPr>
        <w:t xml:space="preserve">, פסקה 34 לפסק דינו של השופט </w:t>
      </w:r>
      <w:r w:rsidRPr="00AA05C2">
        <w:rPr>
          <w:rFonts w:ascii="Miriam" w:hAnsi="Miriam" w:cs="Miriam" w:hint="eastAsia"/>
          <w:sz w:val="18"/>
          <w:szCs w:val="24"/>
          <w:rtl/>
        </w:rPr>
        <w:t>יהונתן</w:t>
      </w:r>
      <w:r w:rsidRPr="00AA05C2">
        <w:rPr>
          <w:rFonts w:ascii="Miriam" w:hAnsi="Miriam" w:cs="Miriam"/>
          <w:sz w:val="18"/>
          <w:szCs w:val="24"/>
          <w:rtl/>
        </w:rPr>
        <w:t xml:space="preserve"> </w:t>
      </w:r>
      <w:r w:rsidRPr="00AA05C2">
        <w:rPr>
          <w:rFonts w:ascii="Miriam" w:hAnsi="Miriam" w:cs="Miriam" w:hint="eastAsia"/>
          <w:sz w:val="18"/>
          <w:szCs w:val="24"/>
          <w:rtl/>
        </w:rPr>
        <w:t>עדיאל</w:t>
      </w:r>
      <w:r w:rsidRPr="00AA05C2">
        <w:rPr>
          <w:rFonts w:ascii="Arial TUR" w:hAnsi="Arial TUR"/>
          <w:sz w:val="18"/>
          <w:szCs w:val="24"/>
          <w:rtl/>
        </w:rPr>
        <w:t xml:space="preserve"> </w:t>
      </w:r>
      <w:r>
        <w:rPr>
          <w:rFonts w:ascii="Arial TUR" w:hAnsi="Arial TUR" w:hint="cs"/>
          <w:sz w:val="22"/>
          <w:rtl/>
        </w:rPr>
        <w:t xml:space="preserve">(7.8.2006) (דעת מיעוט, אך לא לעניין זה); טל חבקין </w:t>
      </w:r>
      <w:r w:rsidRPr="00363CF9">
        <w:rPr>
          <w:rFonts w:ascii="Century" w:hAnsi="Century" w:cs="Miriam" w:hint="eastAsia"/>
          <w:b/>
          <w:spacing w:val="0"/>
          <w:sz w:val="22"/>
          <w:szCs w:val="24"/>
          <w:rtl/>
        </w:rPr>
        <w:t>התיישנות</w:t>
      </w:r>
      <w:r>
        <w:rPr>
          <w:rFonts w:ascii="Arial TUR" w:hAnsi="Arial TUR" w:hint="cs"/>
          <w:sz w:val="22"/>
          <w:rtl/>
        </w:rPr>
        <w:t xml:space="preserve"> 105 (2014) (להלן: "</w:t>
      </w:r>
      <w:r w:rsidRPr="00363CF9">
        <w:rPr>
          <w:rFonts w:ascii="Century" w:hAnsi="Century" w:cs="Miriam" w:hint="eastAsia"/>
          <w:b/>
          <w:spacing w:val="0"/>
          <w:sz w:val="22"/>
          <w:szCs w:val="24"/>
          <w:rtl/>
        </w:rPr>
        <w:t>חבקין</w:t>
      </w:r>
      <w:r>
        <w:rPr>
          <w:rFonts w:ascii="Arial TUR" w:hAnsi="Arial TUR" w:hint="cs"/>
          <w:sz w:val="22"/>
          <w:rtl/>
        </w:rPr>
        <w:t xml:space="preserve">")). ואולם, לאור התכליות החשובות שביסוד כלל זה (ראו </w:t>
      </w:r>
      <w:r w:rsidRPr="00363CF9">
        <w:rPr>
          <w:rFonts w:ascii="Century" w:hAnsi="Century" w:cs="Miriam" w:hint="eastAsia"/>
          <w:b/>
          <w:spacing w:val="0"/>
          <w:sz w:val="22"/>
          <w:szCs w:val="24"/>
          <w:rtl/>
        </w:rPr>
        <w:t>חבקין</w:t>
      </w:r>
      <w:r>
        <w:rPr>
          <w:rFonts w:ascii="Arial TUR" w:hAnsi="Arial TUR" w:hint="cs"/>
          <w:sz w:val="22"/>
          <w:rtl/>
        </w:rPr>
        <w:t xml:space="preserve">, בעמ' 101-99), מן הראוי לדרוש מחייב במס שלא העלה טענת התיישנות בשלב ההשגה, כי יספק לכל הפחות דין וחשבון ביחס למחדלו. בענייננו, חלף מתן הסבר מספק לכך שטענת ההתיישנות לא נטענה במועדה, התבצרה המערערת בעמדתה כי הטענה הועלתה בהליך ההשגה </w:t>
      </w:r>
      <w:r>
        <w:rPr>
          <w:rFonts w:ascii="Arial TUR" w:hAnsi="Arial TUR"/>
          <w:sz w:val="22"/>
          <w:rtl/>
        </w:rPr>
        <w:t>–</w:t>
      </w:r>
      <w:r>
        <w:rPr>
          <w:rFonts w:ascii="Arial TUR" w:hAnsi="Arial TUR" w:hint="cs"/>
          <w:sz w:val="22"/>
          <w:rtl/>
        </w:rPr>
        <w:t xml:space="preserve"> וכאמור, לא כן היא. במצב דברים זה, אין הצדקה לאפשר למערערת להעלות את טענת ההתיישנות לראשונה ב</w:t>
      </w:r>
      <w:r w:rsidR="00101B98">
        <w:rPr>
          <w:rFonts w:ascii="Arial TUR" w:hAnsi="Arial TUR" w:hint="cs"/>
          <w:sz w:val="22"/>
          <w:rtl/>
        </w:rPr>
        <w:t>ערעור המס</w:t>
      </w:r>
      <w:r>
        <w:rPr>
          <w:rFonts w:ascii="Arial TUR" w:hAnsi="Arial TUR" w:hint="cs"/>
          <w:sz w:val="22"/>
          <w:rtl/>
        </w:rPr>
        <w:t xml:space="preserve">. </w:t>
      </w:r>
    </w:p>
    <w:p w:rsidR="006E1F18" w:rsidRDefault="006E1F18" w:rsidP="006E1F18">
      <w:pPr>
        <w:pStyle w:val="Ruller4"/>
        <w:numPr>
          <w:ilvl w:val="0"/>
          <w:numId w:val="0"/>
        </w:numPr>
      </w:pPr>
    </w:p>
    <w:p w:rsidR="006E1F18" w:rsidRDefault="006E1F18" w:rsidP="006E1F18">
      <w:pPr>
        <w:pStyle w:val="Ruller4"/>
      </w:pPr>
      <w:r>
        <w:rPr>
          <w:rFonts w:hint="cs"/>
          <w:rtl/>
        </w:rPr>
        <w:t xml:space="preserve">אכן, רשויות מס ערך מוסף יכלו להזדרז בהוצאת השומות, שהרי הן החלו בחקירת העסקאות עוד בשנת 2010, והסכם הפשרה עם מנהל המיסוי הושג עוד בראשית שנת 2013. ואולם, אין בכך כדי להצדיק בנסיבות דנן את מחדל המערערת מלהעלות את טענת ההתיישנות בהליך ההשגה, באופן שהיה מאפשר לבררה בהזדמנות הראשונה, וייתכן שהיה חוסך התדיינות מיותרת. זאת, בפרט לנוכח הנפח הנרחב בו אוחזת טענת ההתיישנות בגדרי כתבי טענותיה של המערערת בפני בית המשפט קמא ובפני בית משפט זה. מכאן שהן התכלית של גילוי האמת, הן היעילות הדיונית והן השיקול של שמירת מעמדו של הליך ההשגה הצדיקו במקרה דנן לנהוג בהתאם לכלל המונע את האפשרות להעלות בערעור מס טענה שלא נטענה בהליך ההשגה. </w:t>
      </w:r>
    </w:p>
    <w:p w:rsidR="006E1F18" w:rsidRPr="005653C0" w:rsidRDefault="006E1F18" w:rsidP="006E1F18">
      <w:pPr>
        <w:pStyle w:val="Ruller4"/>
        <w:numPr>
          <w:ilvl w:val="0"/>
          <w:numId w:val="0"/>
        </w:numPr>
        <w:rPr>
          <w:rtl/>
        </w:rPr>
      </w:pPr>
    </w:p>
    <w:p w:rsidR="006E1F18" w:rsidRDefault="006E1F18" w:rsidP="00873468">
      <w:pPr>
        <w:pStyle w:val="Ruller4"/>
        <w:rPr>
          <w:rtl/>
        </w:rPr>
      </w:pPr>
      <w:r>
        <w:rPr>
          <w:rFonts w:hint="cs"/>
          <w:rtl/>
        </w:rPr>
        <w:t>המסקנה העולה מהדיון עד כה ה</w:t>
      </w:r>
      <w:r w:rsidR="00873468">
        <w:rPr>
          <w:rFonts w:hint="cs"/>
          <w:rtl/>
        </w:rPr>
        <w:t>י</w:t>
      </w:r>
      <w:r>
        <w:rPr>
          <w:rFonts w:hint="cs"/>
          <w:rtl/>
        </w:rPr>
        <w:t xml:space="preserve">א שהיה מקום לקבל את טענת המשיב, ולמנוע מהמערערת מלהתבסס על טענת ההתיישנות, על שלושת מופעיה. ואולם, במהלך הדיון שהתקיים בפנינו העלה בא-כוח המערערת את הטענה כי רשויות המס התחייבו, במסגרת ההתדיינות בבית המשפט קמא, לקזז מהסכומים החייבים במס ערך מוסף תקבולים אשר יוכח כי שולמו לפני חודש יוני 2009. לעניין זה אף הצביע על שצוין </w:t>
      </w:r>
      <w:r w:rsidRPr="00363CF9">
        <w:rPr>
          <w:rFonts w:hint="eastAsia"/>
          <w:rtl/>
        </w:rPr>
        <w:t>בסעיף</w:t>
      </w:r>
      <w:r w:rsidRPr="00363CF9">
        <w:rPr>
          <w:rtl/>
        </w:rPr>
        <w:t xml:space="preserve"> 4 </w:t>
      </w:r>
      <w:r w:rsidRPr="00363CF9">
        <w:rPr>
          <w:rFonts w:hint="eastAsia"/>
          <w:rtl/>
        </w:rPr>
        <w:t>לכתב</w:t>
      </w:r>
      <w:r w:rsidRPr="00363CF9">
        <w:rPr>
          <w:rtl/>
        </w:rPr>
        <w:t xml:space="preserve"> </w:t>
      </w:r>
      <w:r w:rsidRPr="00363CF9">
        <w:rPr>
          <w:rFonts w:hint="eastAsia"/>
          <w:rtl/>
        </w:rPr>
        <w:t>התשובה</w:t>
      </w:r>
      <w:r w:rsidRPr="00363CF9">
        <w:rPr>
          <w:rtl/>
        </w:rPr>
        <w:t xml:space="preserve"> </w:t>
      </w:r>
      <w:r w:rsidRPr="00363CF9">
        <w:rPr>
          <w:rFonts w:hint="eastAsia"/>
          <w:rtl/>
        </w:rPr>
        <w:t>שהגיש</w:t>
      </w:r>
      <w:r w:rsidRPr="00363CF9">
        <w:rPr>
          <w:rtl/>
        </w:rPr>
        <w:t xml:space="preserve"> </w:t>
      </w:r>
      <w:r w:rsidRPr="00363CF9">
        <w:rPr>
          <w:rFonts w:hint="eastAsia"/>
          <w:rtl/>
        </w:rPr>
        <w:t>המשיב</w:t>
      </w:r>
      <w:r w:rsidRPr="00363CF9">
        <w:rPr>
          <w:rtl/>
        </w:rPr>
        <w:t xml:space="preserve"> </w:t>
      </w:r>
      <w:r w:rsidRPr="00363CF9">
        <w:rPr>
          <w:rFonts w:hint="eastAsia"/>
          <w:rtl/>
        </w:rPr>
        <w:t>בבית</w:t>
      </w:r>
      <w:r w:rsidRPr="00363CF9">
        <w:rPr>
          <w:rtl/>
        </w:rPr>
        <w:t xml:space="preserve"> </w:t>
      </w:r>
      <w:r w:rsidRPr="00363CF9">
        <w:rPr>
          <w:rFonts w:hint="eastAsia"/>
          <w:rtl/>
        </w:rPr>
        <w:t>המשפט</w:t>
      </w:r>
      <w:r w:rsidRPr="00363CF9">
        <w:rPr>
          <w:rtl/>
        </w:rPr>
        <w:t xml:space="preserve"> </w:t>
      </w:r>
      <w:r w:rsidRPr="00363CF9">
        <w:rPr>
          <w:rFonts w:hint="eastAsia"/>
          <w:rtl/>
        </w:rPr>
        <w:t>קמא</w:t>
      </w:r>
      <w:r>
        <w:rPr>
          <w:rFonts w:hint="cs"/>
          <w:rtl/>
        </w:rPr>
        <w:t xml:space="preserve">, כי </w:t>
      </w:r>
      <w:r w:rsidRPr="000A46D1">
        <w:rPr>
          <w:rFonts w:ascii="Century" w:hAnsi="Century" w:cs="Miriam"/>
          <w:b/>
          <w:spacing w:val="0"/>
          <w:sz w:val="22"/>
          <w:szCs w:val="24"/>
          <w:rtl/>
        </w:rPr>
        <w:t>"</w:t>
      </w:r>
      <w:r>
        <w:rPr>
          <w:rFonts w:ascii="Century" w:hAnsi="Century" w:cs="Miriam" w:hint="cs"/>
          <w:b/>
          <w:spacing w:val="0"/>
          <w:sz w:val="22"/>
          <w:szCs w:val="24"/>
          <w:rtl/>
        </w:rPr>
        <w:t xml:space="preserve">ככל שהמערערת תציג למשיב ראיות לכך ששולמו סכומים על חשבון הדירות החדשות (מושא השומה) לפני יוני 2009 על ידי הרוכשים </w:t>
      </w:r>
      <w:proofErr w:type="spellStart"/>
      <w:r>
        <w:rPr>
          <w:rFonts w:ascii="Century" w:hAnsi="Century" w:cs="Miriam" w:hint="cs"/>
          <w:b/>
          <w:spacing w:val="0"/>
          <w:sz w:val="22"/>
          <w:szCs w:val="24"/>
          <w:rtl/>
        </w:rPr>
        <w:t>אלקובי</w:t>
      </w:r>
      <w:proofErr w:type="spellEnd"/>
      <w:r>
        <w:rPr>
          <w:rFonts w:ascii="Century" w:hAnsi="Century" w:cs="Miriam" w:hint="cs"/>
          <w:b/>
          <w:spacing w:val="0"/>
          <w:sz w:val="22"/>
          <w:szCs w:val="24"/>
          <w:rtl/>
        </w:rPr>
        <w:t xml:space="preserve"> </w:t>
      </w:r>
      <w:proofErr w:type="spellStart"/>
      <w:r>
        <w:rPr>
          <w:rFonts w:ascii="Century" w:hAnsi="Century" w:cs="Miriam" w:hint="cs"/>
          <w:b/>
          <w:spacing w:val="0"/>
          <w:sz w:val="22"/>
          <w:szCs w:val="24"/>
          <w:rtl/>
        </w:rPr>
        <w:t>ומרציאנו</w:t>
      </w:r>
      <w:proofErr w:type="spellEnd"/>
      <w:r>
        <w:rPr>
          <w:rFonts w:ascii="Century" w:hAnsi="Century" w:cs="Miriam" w:hint="cs"/>
          <w:b/>
          <w:spacing w:val="0"/>
          <w:sz w:val="22"/>
          <w:szCs w:val="24"/>
          <w:rtl/>
        </w:rPr>
        <w:t>, אזי סכום השומה יופחת בהתאם</w:t>
      </w:r>
      <w:r w:rsidRPr="000A46D1">
        <w:rPr>
          <w:rFonts w:ascii="Century" w:hAnsi="Century" w:cs="Miriam"/>
          <w:b/>
          <w:spacing w:val="0"/>
          <w:sz w:val="22"/>
          <w:szCs w:val="24"/>
          <w:rtl/>
        </w:rPr>
        <w:t>"</w:t>
      </w:r>
      <w:r>
        <w:rPr>
          <w:rFonts w:hint="cs"/>
          <w:rtl/>
        </w:rPr>
        <w:t xml:space="preserve"> (ראו בנוסף </w:t>
      </w:r>
      <w:r w:rsidR="00184E49">
        <w:rPr>
          <w:rFonts w:hint="cs"/>
          <w:rtl/>
        </w:rPr>
        <w:t>פסקה</w:t>
      </w:r>
      <w:r>
        <w:rPr>
          <w:rFonts w:hint="cs"/>
          <w:rtl/>
        </w:rPr>
        <w:t xml:space="preserve"> 89 לפסק דינו של בית המשפט קמא). משמעות הדבר היא כי רשויות המס היו נכונות לדון בראש אחד של טענת ההתיישנות </w:t>
      </w:r>
      <w:r>
        <w:rPr>
          <w:rtl/>
        </w:rPr>
        <w:t>–</w:t>
      </w:r>
      <w:r>
        <w:rPr>
          <w:rFonts w:hint="cs"/>
          <w:rtl/>
        </w:rPr>
        <w:t xml:space="preserve"> זה הנוגע להתיישנות התקבולים, ובו בלבד (להבדיל מהתיישנות הדו"ח ומהתיישנות החשבוניות). הסכמה דיונית זו של המשיב רואה אני לנכון לכבד, ולפיכך מצאתי כי יש להידרש לטענת ההתיישנות ככל שזו נוגעת לתקבולים בלבד. </w:t>
      </w:r>
    </w:p>
    <w:p w:rsidR="006E1F18" w:rsidRDefault="006E1F18" w:rsidP="006E1F18">
      <w:pPr>
        <w:pStyle w:val="Ruller41"/>
        <w:rPr>
          <w:rtl/>
        </w:rPr>
      </w:pPr>
    </w:p>
    <w:p w:rsidR="006E1F18" w:rsidRDefault="006E1F18" w:rsidP="00BD78A2">
      <w:pPr>
        <w:pStyle w:val="Ruller4"/>
        <w:rPr>
          <w:rtl/>
        </w:rPr>
      </w:pPr>
      <w:r>
        <w:rPr>
          <w:rFonts w:hint="cs"/>
          <w:rtl/>
        </w:rPr>
        <w:lastRenderedPageBreak/>
        <w:t xml:space="preserve">בשולי הדברים, ולמען ינהגו רשויות המס כחכם ולא כפיקח, אציין כי הניתוח המשפטי שערך בית המשפט קמא בסוגיית התיישנות הדו"ח מעורר קושי לא מבוטל, ואינני משוכנע כלל כי מן הראוי לאמצו (השוו: אהרן </w:t>
      </w:r>
      <w:proofErr w:type="spellStart"/>
      <w:r>
        <w:rPr>
          <w:rFonts w:hint="cs"/>
          <w:rtl/>
        </w:rPr>
        <w:t>נמדר</w:t>
      </w:r>
      <w:proofErr w:type="spellEnd"/>
      <w:r>
        <w:rPr>
          <w:rFonts w:hint="cs"/>
          <w:rtl/>
        </w:rPr>
        <w:t xml:space="preserve"> </w:t>
      </w:r>
      <w:r w:rsidRPr="005A10EE">
        <w:rPr>
          <w:rFonts w:ascii="Century" w:hAnsi="Century" w:cs="Miriam" w:hint="eastAsia"/>
          <w:b/>
          <w:spacing w:val="0"/>
          <w:sz w:val="22"/>
          <w:szCs w:val="24"/>
          <w:rtl/>
        </w:rPr>
        <w:t>מס</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ערך</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מוסף</w:t>
      </w:r>
      <w:r w:rsidRPr="005A10EE">
        <w:rPr>
          <w:rFonts w:ascii="Miriam" w:hAnsi="Miriam" w:cs="Miriam"/>
          <w:sz w:val="20"/>
          <w:szCs w:val="24"/>
          <w:rtl/>
        </w:rPr>
        <w:t xml:space="preserve"> </w:t>
      </w:r>
      <w:r w:rsidRPr="005A10EE">
        <w:rPr>
          <w:rFonts w:ascii="FrankRuehl" w:hAnsi="FrankRuehl"/>
          <w:rtl/>
        </w:rPr>
        <w:t>כרך ב</w:t>
      </w:r>
      <w:r>
        <w:rPr>
          <w:rFonts w:hint="cs"/>
          <w:rtl/>
        </w:rPr>
        <w:t xml:space="preserve"> 837-836 (מהדורה חמישית, 2013), וההפניות שם (להלן: </w:t>
      </w:r>
      <w:r w:rsidRPr="005A10EE">
        <w:rPr>
          <w:rFonts w:ascii="Miriam" w:hAnsi="Miriam" w:cs="Miriam"/>
          <w:sz w:val="20"/>
          <w:szCs w:val="24"/>
          <w:rtl/>
        </w:rPr>
        <w:t>"</w:t>
      </w:r>
      <w:proofErr w:type="spellStart"/>
      <w:r w:rsidRPr="005A10EE">
        <w:rPr>
          <w:rFonts w:ascii="Miriam" w:hAnsi="Miriam" w:cs="Miriam" w:hint="eastAsia"/>
          <w:sz w:val="20"/>
          <w:szCs w:val="24"/>
          <w:rtl/>
        </w:rPr>
        <w:t>נמדר</w:t>
      </w:r>
      <w:proofErr w:type="spellEnd"/>
      <w:r w:rsidRPr="005A10EE">
        <w:rPr>
          <w:rFonts w:ascii="Miriam" w:hAnsi="Miriam" w:cs="Miriam"/>
          <w:sz w:val="20"/>
          <w:szCs w:val="24"/>
          <w:rtl/>
        </w:rPr>
        <w:t>"</w:t>
      </w:r>
      <w:r>
        <w:rPr>
          <w:rFonts w:hint="cs"/>
          <w:rtl/>
        </w:rPr>
        <w:t>)). סעיף 77(ב) לחוק מע"מ קובע לכאורה מבחן פשוט וקל להפעלה לעניין מסגרת הזמנים בה עומדת לרשויות המס הסמכות לערוך שומה לפי מיטב השפיטה: "</w:t>
      </w:r>
      <w:r w:rsidRPr="005A10EE">
        <w:rPr>
          <w:rFonts w:ascii="Century" w:hAnsi="Century" w:cs="Miriam" w:hint="eastAsia"/>
          <w:b/>
          <w:spacing w:val="0"/>
          <w:sz w:val="22"/>
          <w:szCs w:val="24"/>
          <w:rtl/>
        </w:rPr>
        <w:t>השומה</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תהיה</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בתוך</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u w:val="single"/>
          <w:rtl/>
        </w:rPr>
        <w:t>חמש</w:t>
      </w:r>
      <w:r w:rsidRPr="005A10EE">
        <w:rPr>
          <w:rFonts w:ascii="Century" w:hAnsi="Century" w:cs="Miriam"/>
          <w:b/>
          <w:spacing w:val="0"/>
          <w:sz w:val="22"/>
          <w:szCs w:val="24"/>
          <w:u w:val="single"/>
          <w:rtl/>
        </w:rPr>
        <w:t xml:space="preserve"> </w:t>
      </w:r>
      <w:r w:rsidRPr="005C2C61">
        <w:rPr>
          <w:rFonts w:ascii="Century" w:hAnsi="Century" w:cs="Miriam" w:hint="eastAsia"/>
          <w:b/>
          <w:spacing w:val="0"/>
          <w:sz w:val="22"/>
          <w:szCs w:val="24"/>
          <w:u w:val="single"/>
          <w:rtl/>
        </w:rPr>
        <w:t>שנים</w:t>
      </w:r>
      <w:r w:rsidRPr="005C2C61">
        <w:rPr>
          <w:rFonts w:ascii="Century" w:hAnsi="Century" w:cs="Miriam"/>
          <w:b/>
          <w:spacing w:val="0"/>
          <w:sz w:val="22"/>
          <w:szCs w:val="24"/>
          <w:u w:val="single"/>
          <w:rtl/>
        </w:rPr>
        <w:t xml:space="preserve"> </w:t>
      </w:r>
      <w:r w:rsidRPr="005C2C61">
        <w:rPr>
          <w:rFonts w:ascii="Century" w:hAnsi="Century" w:cs="Miriam" w:hint="eastAsia"/>
          <w:b/>
          <w:spacing w:val="0"/>
          <w:sz w:val="22"/>
          <w:szCs w:val="24"/>
          <w:u w:val="single"/>
          <w:rtl/>
        </w:rPr>
        <w:t>לאחר</w:t>
      </w:r>
      <w:r w:rsidRPr="005C2C61">
        <w:rPr>
          <w:rFonts w:ascii="Century" w:hAnsi="Century" w:cs="Miriam"/>
          <w:b/>
          <w:spacing w:val="0"/>
          <w:sz w:val="22"/>
          <w:szCs w:val="24"/>
          <w:u w:val="single"/>
          <w:rtl/>
        </w:rPr>
        <w:t xml:space="preserve"> </w:t>
      </w:r>
      <w:r w:rsidRPr="005C2C61">
        <w:rPr>
          <w:rFonts w:ascii="Century" w:hAnsi="Century" w:cs="Miriam" w:hint="eastAsia"/>
          <w:b/>
          <w:spacing w:val="0"/>
          <w:sz w:val="22"/>
          <w:szCs w:val="24"/>
          <w:u w:val="single"/>
          <w:rtl/>
        </w:rPr>
        <w:t>הגשת</w:t>
      </w:r>
      <w:r w:rsidRPr="005C2C61">
        <w:rPr>
          <w:rFonts w:ascii="Century" w:hAnsi="Century" w:cs="Miriam"/>
          <w:b/>
          <w:spacing w:val="0"/>
          <w:sz w:val="22"/>
          <w:szCs w:val="24"/>
          <w:u w:val="single"/>
          <w:rtl/>
        </w:rPr>
        <w:t xml:space="preserve"> </w:t>
      </w:r>
      <w:r w:rsidRPr="005C2C61">
        <w:rPr>
          <w:rFonts w:ascii="Century" w:hAnsi="Century" w:cs="Miriam" w:hint="eastAsia"/>
          <w:b/>
          <w:spacing w:val="0"/>
          <w:sz w:val="22"/>
          <w:szCs w:val="24"/>
          <w:u w:val="single"/>
          <w:rtl/>
        </w:rPr>
        <w:t>הדו</w:t>
      </w:r>
      <w:r w:rsidRPr="005C2C61">
        <w:rPr>
          <w:rFonts w:ascii="Century" w:hAnsi="Century" w:cs="Miriam"/>
          <w:b/>
          <w:spacing w:val="0"/>
          <w:sz w:val="22"/>
          <w:szCs w:val="24"/>
          <w:u w:val="single"/>
          <w:rtl/>
        </w:rPr>
        <w:t>"</w:t>
      </w:r>
      <w:r w:rsidRPr="005C2C61">
        <w:rPr>
          <w:rFonts w:ascii="Century" w:hAnsi="Century" w:cs="Miriam" w:hint="eastAsia"/>
          <w:b/>
          <w:spacing w:val="0"/>
          <w:sz w:val="22"/>
          <w:szCs w:val="24"/>
          <w:u w:val="single"/>
          <w:rtl/>
        </w:rPr>
        <w:t>ח</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ואם</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הורשע</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החייב</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במס</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או</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כופרה</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עבירתו</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בשל</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מסירת</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ידיעות</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כוזבות</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בדו</w:t>
      </w:r>
      <w:r w:rsidRPr="005C2C61">
        <w:rPr>
          <w:rFonts w:ascii="Century" w:hAnsi="Century" w:cs="Miriam"/>
          <w:b/>
          <w:spacing w:val="0"/>
          <w:sz w:val="22"/>
          <w:szCs w:val="24"/>
          <w:rtl/>
        </w:rPr>
        <w:t>"</w:t>
      </w:r>
      <w:r w:rsidRPr="005C2C61">
        <w:rPr>
          <w:rFonts w:ascii="Century" w:hAnsi="Century" w:cs="Miriam" w:hint="eastAsia"/>
          <w:b/>
          <w:spacing w:val="0"/>
          <w:sz w:val="22"/>
          <w:szCs w:val="24"/>
          <w:rtl/>
        </w:rPr>
        <w:t>ח</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האמור</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או</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בשל</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מעשה</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אחר</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שיש</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בו</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כוונה</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להתחמק</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מתשלום</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מס</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המגיע</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לתקופת</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הדו</w:t>
      </w:r>
      <w:r w:rsidRPr="005C2C61">
        <w:rPr>
          <w:rFonts w:ascii="Century" w:hAnsi="Century" w:cs="Miriam"/>
          <w:b/>
          <w:spacing w:val="0"/>
          <w:sz w:val="22"/>
          <w:szCs w:val="24"/>
          <w:rtl/>
        </w:rPr>
        <w:t>"</w:t>
      </w:r>
      <w:r w:rsidRPr="005C2C61">
        <w:rPr>
          <w:rFonts w:ascii="Century" w:hAnsi="Century" w:cs="Miriam" w:hint="eastAsia"/>
          <w:b/>
          <w:spacing w:val="0"/>
          <w:sz w:val="22"/>
          <w:szCs w:val="24"/>
          <w:rtl/>
        </w:rPr>
        <w:t>ח</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האמור</w:t>
      </w:r>
      <w:r w:rsidRPr="005C2C61">
        <w:rPr>
          <w:rFonts w:ascii="Century" w:hAnsi="Century" w:cs="Miriam"/>
          <w:b/>
          <w:spacing w:val="0"/>
          <w:sz w:val="22"/>
          <w:szCs w:val="24"/>
          <w:rtl/>
        </w:rPr>
        <w:t xml:space="preserve"> – </w:t>
      </w:r>
      <w:r w:rsidRPr="005C2C61">
        <w:rPr>
          <w:rFonts w:ascii="Century" w:hAnsi="Century" w:cs="Miriam" w:hint="eastAsia"/>
          <w:b/>
          <w:spacing w:val="0"/>
          <w:sz w:val="22"/>
          <w:szCs w:val="24"/>
          <w:u w:val="single"/>
          <w:rtl/>
        </w:rPr>
        <w:t>תוך</w:t>
      </w:r>
      <w:r w:rsidRPr="005C2C61">
        <w:rPr>
          <w:rFonts w:ascii="Century" w:hAnsi="Century" w:cs="Miriam"/>
          <w:b/>
          <w:spacing w:val="0"/>
          <w:sz w:val="22"/>
          <w:szCs w:val="24"/>
          <w:u w:val="single"/>
          <w:rtl/>
        </w:rPr>
        <w:t xml:space="preserve"> </w:t>
      </w:r>
      <w:r w:rsidRPr="005C2C61">
        <w:rPr>
          <w:rFonts w:ascii="Century" w:hAnsi="Century" w:cs="Miriam" w:hint="eastAsia"/>
          <w:b/>
          <w:spacing w:val="0"/>
          <w:sz w:val="22"/>
          <w:szCs w:val="24"/>
          <w:u w:val="single"/>
          <w:rtl/>
        </w:rPr>
        <w:t>עשר</w:t>
      </w:r>
      <w:r w:rsidRPr="005C2C61">
        <w:rPr>
          <w:rFonts w:ascii="Century" w:hAnsi="Century" w:cs="Miriam"/>
          <w:b/>
          <w:spacing w:val="0"/>
          <w:sz w:val="22"/>
          <w:szCs w:val="24"/>
          <w:u w:val="single"/>
          <w:rtl/>
        </w:rPr>
        <w:t xml:space="preserve"> </w:t>
      </w:r>
      <w:r w:rsidRPr="005C2C61">
        <w:rPr>
          <w:rFonts w:ascii="Century" w:hAnsi="Century" w:cs="Miriam" w:hint="eastAsia"/>
          <w:b/>
          <w:spacing w:val="0"/>
          <w:sz w:val="22"/>
          <w:szCs w:val="24"/>
          <w:u w:val="single"/>
          <w:rtl/>
        </w:rPr>
        <w:t>שנים</w:t>
      </w:r>
      <w:r w:rsidRPr="005C2C61">
        <w:rPr>
          <w:rFonts w:ascii="Century" w:hAnsi="Century" w:cs="Miriam"/>
          <w:b/>
          <w:spacing w:val="0"/>
          <w:sz w:val="22"/>
          <w:szCs w:val="24"/>
          <w:u w:val="single"/>
          <w:rtl/>
        </w:rPr>
        <w:t xml:space="preserve"> </w:t>
      </w:r>
      <w:r w:rsidRPr="005C2C61">
        <w:rPr>
          <w:rFonts w:ascii="Century" w:hAnsi="Century" w:cs="Miriam" w:hint="eastAsia"/>
          <w:b/>
          <w:spacing w:val="0"/>
          <w:sz w:val="22"/>
          <w:szCs w:val="24"/>
          <w:u w:val="single"/>
          <w:rtl/>
        </w:rPr>
        <w:t>לאחר</w:t>
      </w:r>
      <w:r w:rsidRPr="005C2C61">
        <w:rPr>
          <w:rFonts w:ascii="Century" w:hAnsi="Century" w:cs="Miriam"/>
          <w:b/>
          <w:spacing w:val="0"/>
          <w:sz w:val="22"/>
          <w:szCs w:val="24"/>
          <w:u w:val="single"/>
          <w:rtl/>
        </w:rPr>
        <w:t xml:space="preserve"> </w:t>
      </w:r>
      <w:r w:rsidRPr="005C2C61">
        <w:rPr>
          <w:rFonts w:ascii="Century" w:hAnsi="Century" w:cs="Miriam" w:hint="eastAsia"/>
          <w:b/>
          <w:spacing w:val="0"/>
          <w:sz w:val="22"/>
          <w:szCs w:val="24"/>
          <w:u w:val="single"/>
          <w:rtl/>
        </w:rPr>
        <w:t>הגשת</w:t>
      </w:r>
      <w:r w:rsidRPr="005C2C61">
        <w:rPr>
          <w:rFonts w:ascii="Century" w:hAnsi="Century" w:cs="Miriam"/>
          <w:b/>
          <w:spacing w:val="0"/>
          <w:sz w:val="22"/>
          <w:szCs w:val="24"/>
          <w:u w:val="single"/>
          <w:rtl/>
        </w:rPr>
        <w:t xml:space="preserve"> </w:t>
      </w:r>
      <w:r w:rsidRPr="005C2C61">
        <w:rPr>
          <w:rFonts w:ascii="Century" w:hAnsi="Century" w:cs="Miriam" w:hint="eastAsia"/>
          <w:b/>
          <w:spacing w:val="0"/>
          <w:sz w:val="22"/>
          <w:szCs w:val="24"/>
          <w:u w:val="single"/>
          <w:rtl/>
        </w:rPr>
        <w:t>הדו</w:t>
      </w:r>
      <w:r w:rsidRPr="005C2C61">
        <w:rPr>
          <w:rFonts w:ascii="Century" w:hAnsi="Century" w:cs="Miriam"/>
          <w:b/>
          <w:spacing w:val="0"/>
          <w:sz w:val="22"/>
          <w:szCs w:val="24"/>
          <w:u w:val="single"/>
          <w:rtl/>
        </w:rPr>
        <w:t>"</w:t>
      </w:r>
      <w:r w:rsidRPr="005C2C61">
        <w:rPr>
          <w:rFonts w:ascii="Century" w:hAnsi="Century" w:cs="Miriam" w:hint="eastAsia"/>
          <w:b/>
          <w:spacing w:val="0"/>
          <w:sz w:val="22"/>
          <w:szCs w:val="24"/>
          <w:u w:val="single"/>
          <w:rtl/>
        </w:rPr>
        <w:t>ח</w:t>
      </w:r>
      <w:r w:rsidRPr="005C2C61">
        <w:rPr>
          <w:rFonts w:ascii="Century" w:hAnsi="Century" w:cs="Miriam"/>
          <w:b/>
          <w:spacing w:val="0"/>
          <w:sz w:val="22"/>
          <w:szCs w:val="24"/>
          <w:rtl/>
        </w:rPr>
        <w:t xml:space="preserve">" </w:t>
      </w:r>
      <w:r w:rsidRPr="00517592">
        <w:rPr>
          <w:rFonts w:hint="cs"/>
          <w:rtl/>
        </w:rPr>
        <w:t>(ההדגשה הוספה)</w:t>
      </w:r>
      <w:r w:rsidRPr="00517592">
        <w:rPr>
          <w:rtl/>
        </w:rPr>
        <w:t>.</w:t>
      </w:r>
      <w:r>
        <w:rPr>
          <w:rFonts w:hint="cs"/>
          <w:rtl/>
        </w:rPr>
        <w:t xml:space="preserve"> בית המשפט קמא סייג מבחן זה, וסבר כי כאשר הדו"ח מוגש בטרם קמה החבות בתשלום המס, הרי שמועד תחילת </w:t>
      </w:r>
      <w:proofErr w:type="spellStart"/>
      <w:r>
        <w:rPr>
          <w:rFonts w:hint="cs"/>
          <w:rtl/>
        </w:rPr>
        <w:t>מירוץ</w:t>
      </w:r>
      <w:proofErr w:type="spellEnd"/>
      <w:r>
        <w:rPr>
          <w:rFonts w:hint="cs"/>
          <w:rtl/>
        </w:rPr>
        <w:t xml:space="preserve"> ההתיישנות נדחה עד למועד בו תקום חובת התשלום. יש להודות, כי עמדה זו אינה משוללת הגיון, ואף ניתן למצוא לה תמיכה מסוימת באמרת אגב של בית משפט זה (ראו: </w:t>
      </w:r>
      <w:r w:rsidRPr="00363CF9">
        <w:rPr>
          <w:rFonts w:hint="eastAsia"/>
          <w:rtl/>
        </w:rPr>
        <w:t>ע</w:t>
      </w:r>
      <w:r w:rsidRPr="00363CF9">
        <w:rPr>
          <w:rtl/>
        </w:rPr>
        <w:t>"</w:t>
      </w:r>
      <w:r w:rsidRPr="00363CF9">
        <w:rPr>
          <w:rFonts w:hint="eastAsia"/>
          <w:rtl/>
        </w:rPr>
        <w:t>א</w:t>
      </w:r>
      <w:r w:rsidRPr="00363CF9">
        <w:rPr>
          <w:rtl/>
        </w:rPr>
        <w:t xml:space="preserve"> 3616/04 </w:t>
      </w:r>
      <w:r w:rsidRPr="005A10EE">
        <w:rPr>
          <w:rFonts w:ascii="Century" w:hAnsi="Century" w:cs="Miriam" w:hint="eastAsia"/>
          <w:b/>
          <w:spacing w:val="0"/>
          <w:sz w:val="22"/>
          <w:szCs w:val="24"/>
          <w:rtl/>
        </w:rPr>
        <w:t>מגדל</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הזוהר</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בע</w:t>
      </w:r>
      <w:r w:rsidRPr="005A10EE">
        <w:rPr>
          <w:rFonts w:ascii="Century" w:hAnsi="Century" w:cs="Miriam"/>
          <w:b/>
          <w:spacing w:val="0"/>
          <w:sz w:val="22"/>
          <w:szCs w:val="24"/>
          <w:rtl/>
        </w:rPr>
        <w:t>"</w:t>
      </w:r>
      <w:r w:rsidRPr="005A10EE">
        <w:rPr>
          <w:rFonts w:ascii="Century" w:hAnsi="Century" w:cs="Miriam" w:hint="eastAsia"/>
          <w:b/>
          <w:spacing w:val="0"/>
          <w:sz w:val="22"/>
          <w:szCs w:val="24"/>
          <w:rtl/>
        </w:rPr>
        <w:t>מ</w:t>
      </w:r>
      <w:r w:rsidRPr="005A10EE">
        <w:rPr>
          <w:rFonts w:ascii="Century" w:hAnsi="Century" w:cs="Miriam"/>
          <w:b/>
          <w:spacing w:val="0"/>
          <w:sz w:val="22"/>
          <w:szCs w:val="24"/>
          <w:rtl/>
        </w:rPr>
        <w:t xml:space="preserve"> </w:t>
      </w:r>
      <w:r w:rsidRPr="005C2C61">
        <w:rPr>
          <w:rFonts w:ascii="Century" w:hAnsi="Century" w:cs="Miriam" w:hint="eastAsia"/>
          <w:b/>
          <w:spacing w:val="0"/>
          <w:sz w:val="22"/>
          <w:szCs w:val="24"/>
          <w:rtl/>
        </w:rPr>
        <w:t>נ</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מנהל</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מס</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ערך</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מוסף</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תל</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אביב</w:t>
      </w:r>
      <w:r w:rsidRPr="00363CF9">
        <w:rPr>
          <w:rtl/>
        </w:rPr>
        <w:t xml:space="preserve">, </w:t>
      </w:r>
      <w:r w:rsidRPr="00363CF9">
        <w:rPr>
          <w:rFonts w:hint="eastAsia"/>
          <w:rtl/>
        </w:rPr>
        <w:t>פסקה</w:t>
      </w:r>
      <w:r w:rsidRPr="00363CF9">
        <w:rPr>
          <w:rtl/>
        </w:rPr>
        <w:t xml:space="preserve"> 5 (22.12.2005)). </w:t>
      </w:r>
      <w:r w:rsidRPr="00363CF9">
        <w:rPr>
          <w:rFonts w:hint="eastAsia"/>
          <w:rtl/>
        </w:rPr>
        <w:t>ואולם</w:t>
      </w:r>
      <w:r w:rsidRPr="00363CF9">
        <w:rPr>
          <w:rtl/>
        </w:rPr>
        <w:t xml:space="preserve">, </w:t>
      </w:r>
      <w:r>
        <w:rPr>
          <w:rFonts w:hint="cs"/>
          <w:rtl/>
        </w:rPr>
        <w:t xml:space="preserve">עדיין מדובר בפרשנות יצירתית, שאין לה עיגון בלשון החוק, ואשר עשויה במקרים מסוימים להביא לאיון מסגרות הזמנים הקבועות בסעיף 77(ב) לחוק אשר מושתתות על מועד הגשת הדו"ח </w:t>
      </w:r>
      <w:r>
        <w:rPr>
          <w:rtl/>
        </w:rPr>
        <w:t>–</w:t>
      </w:r>
      <w:r>
        <w:rPr>
          <w:rFonts w:hint="cs"/>
          <w:rtl/>
        </w:rPr>
        <w:t xml:space="preserve"> ועליו בלבד (לחשיבות מסגרות הזמן בתחום דיני המס השוו: ע"א 3602/97 </w:t>
      </w:r>
      <w:r w:rsidRPr="005A10EE">
        <w:rPr>
          <w:rFonts w:ascii="Century" w:hAnsi="Century" w:cs="Miriam" w:hint="eastAsia"/>
          <w:b/>
          <w:spacing w:val="0"/>
          <w:szCs w:val="24"/>
          <w:rtl/>
        </w:rPr>
        <w:t>נציבות</w:t>
      </w:r>
      <w:r w:rsidRPr="005A10EE">
        <w:rPr>
          <w:rFonts w:ascii="Century" w:hAnsi="Century" w:cs="Miriam"/>
          <w:b/>
          <w:spacing w:val="0"/>
          <w:szCs w:val="24"/>
          <w:rtl/>
        </w:rPr>
        <w:t xml:space="preserve"> </w:t>
      </w:r>
      <w:r w:rsidRPr="005A10EE">
        <w:rPr>
          <w:rFonts w:ascii="Century" w:hAnsi="Century" w:cs="Miriam" w:hint="eastAsia"/>
          <w:b/>
          <w:spacing w:val="0"/>
          <w:szCs w:val="24"/>
          <w:rtl/>
        </w:rPr>
        <w:t>מס</w:t>
      </w:r>
      <w:r w:rsidRPr="005A10EE">
        <w:rPr>
          <w:rFonts w:ascii="Century" w:hAnsi="Century" w:cs="Miriam"/>
          <w:b/>
          <w:spacing w:val="0"/>
          <w:szCs w:val="24"/>
          <w:rtl/>
        </w:rPr>
        <w:t xml:space="preserve"> </w:t>
      </w:r>
      <w:r w:rsidRPr="005A10EE">
        <w:rPr>
          <w:rFonts w:ascii="Century" w:hAnsi="Century" w:cs="Miriam" w:hint="eastAsia"/>
          <w:b/>
          <w:spacing w:val="0"/>
          <w:szCs w:val="24"/>
          <w:rtl/>
        </w:rPr>
        <w:t>הכנסה</w:t>
      </w:r>
      <w:r w:rsidRPr="005A10EE">
        <w:rPr>
          <w:rFonts w:ascii="Century" w:hAnsi="Century" w:cs="Miriam"/>
          <w:b/>
          <w:spacing w:val="0"/>
          <w:szCs w:val="24"/>
          <w:rtl/>
        </w:rPr>
        <w:t xml:space="preserve"> </w:t>
      </w:r>
      <w:r w:rsidRPr="005A10EE">
        <w:rPr>
          <w:rFonts w:ascii="Century" w:hAnsi="Century" w:cs="Miriam" w:hint="eastAsia"/>
          <w:b/>
          <w:spacing w:val="0"/>
          <w:szCs w:val="24"/>
          <w:rtl/>
        </w:rPr>
        <w:t>ומס</w:t>
      </w:r>
      <w:r w:rsidRPr="005A10EE">
        <w:rPr>
          <w:rFonts w:ascii="Century" w:hAnsi="Century" w:cs="Miriam"/>
          <w:b/>
          <w:spacing w:val="0"/>
          <w:szCs w:val="24"/>
          <w:rtl/>
        </w:rPr>
        <w:t xml:space="preserve"> </w:t>
      </w:r>
      <w:r w:rsidRPr="005C2C61">
        <w:rPr>
          <w:rFonts w:ascii="Century" w:hAnsi="Century" w:cs="Miriam" w:hint="eastAsia"/>
          <w:b/>
          <w:spacing w:val="0"/>
          <w:szCs w:val="24"/>
          <w:rtl/>
        </w:rPr>
        <w:t>רכוש</w:t>
      </w:r>
      <w:r w:rsidRPr="005C2C61">
        <w:rPr>
          <w:rFonts w:ascii="Century" w:hAnsi="Century" w:cs="Miriam"/>
          <w:b/>
          <w:spacing w:val="0"/>
          <w:szCs w:val="24"/>
          <w:rtl/>
        </w:rPr>
        <w:t xml:space="preserve"> </w:t>
      </w:r>
      <w:r w:rsidRPr="005C2C61">
        <w:rPr>
          <w:rFonts w:ascii="Century" w:hAnsi="Century" w:cs="Miriam" w:hint="eastAsia"/>
          <w:b/>
          <w:spacing w:val="0"/>
          <w:szCs w:val="24"/>
          <w:rtl/>
        </w:rPr>
        <w:t>נ</w:t>
      </w:r>
      <w:r w:rsidRPr="005C2C61">
        <w:rPr>
          <w:rFonts w:ascii="Century" w:hAnsi="Century" w:cs="Miriam"/>
          <w:b/>
          <w:spacing w:val="0"/>
          <w:szCs w:val="24"/>
          <w:rtl/>
        </w:rPr>
        <w:t xml:space="preserve">' </w:t>
      </w:r>
      <w:r w:rsidRPr="005C2C61">
        <w:rPr>
          <w:rFonts w:ascii="Century" w:hAnsi="Century" w:cs="Miriam" w:hint="eastAsia"/>
          <w:b/>
          <w:spacing w:val="0"/>
          <w:szCs w:val="24"/>
          <w:rtl/>
        </w:rPr>
        <w:t>שחר</w:t>
      </w:r>
      <w:r>
        <w:rPr>
          <w:rFonts w:hint="cs"/>
          <w:rtl/>
        </w:rPr>
        <w:t>, פ"ד נו(2) 297, 328 (2002) (להלן: "</w:t>
      </w:r>
      <w:r w:rsidRPr="005A10EE">
        <w:rPr>
          <w:rFonts w:ascii="Miriam" w:hAnsi="Miriam" w:cs="Miriam" w:hint="eastAsia"/>
          <w:sz w:val="20"/>
          <w:szCs w:val="24"/>
          <w:rtl/>
        </w:rPr>
        <w:t>עניין</w:t>
      </w:r>
      <w:r w:rsidRPr="005A10EE">
        <w:rPr>
          <w:rFonts w:ascii="Miriam" w:hAnsi="Miriam" w:cs="Miriam"/>
          <w:sz w:val="20"/>
          <w:szCs w:val="24"/>
          <w:rtl/>
        </w:rPr>
        <w:t xml:space="preserve"> </w:t>
      </w:r>
      <w:r w:rsidRPr="005A10EE">
        <w:rPr>
          <w:rFonts w:ascii="Miriam" w:hAnsi="Miriam" w:cs="Miriam" w:hint="eastAsia"/>
          <w:sz w:val="20"/>
          <w:szCs w:val="24"/>
          <w:rtl/>
        </w:rPr>
        <w:t>שחר</w:t>
      </w:r>
      <w:r w:rsidRPr="005A10EE">
        <w:rPr>
          <w:rFonts w:ascii="Miriam" w:hAnsi="Miriam" w:cs="Miriam"/>
          <w:sz w:val="20"/>
          <w:szCs w:val="24"/>
          <w:rtl/>
        </w:rPr>
        <w:t>"</w:t>
      </w:r>
      <w:r>
        <w:rPr>
          <w:rFonts w:hint="cs"/>
          <w:rtl/>
        </w:rPr>
        <w:t>)). יתר על כן, פרשנותו של בית המשפט קמא מביאה להוצאת דברים מידי פשוטם. כפי שכבר צוין, דיני ההתיישנות הם "</w:t>
      </w:r>
      <w:r w:rsidRPr="005A10EE">
        <w:rPr>
          <w:rFonts w:ascii="Century" w:hAnsi="Century" w:cs="Miriam" w:hint="eastAsia"/>
          <w:b/>
          <w:spacing w:val="0"/>
          <w:sz w:val="22"/>
          <w:szCs w:val="24"/>
          <w:rtl/>
        </w:rPr>
        <w:t>דינים</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פרוצדורליים</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שראוי</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כי</w:t>
      </w:r>
      <w:r w:rsidRPr="005A10EE">
        <w:rPr>
          <w:rFonts w:ascii="Century" w:hAnsi="Century" w:cs="Miriam"/>
          <w:b/>
          <w:spacing w:val="0"/>
          <w:sz w:val="22"/>
          <w:szCs w:val="24"/>
          <w:rtl/>
        </w:rPr>
        <w:t xml:space="preserve"> </w:t>
      </w:r>
      <w:r w:rsidRPr="005C2C61">
        <w:rPr>
          <w:rFonts w:ascii="Century" w:hAnsi="Century" w:cs="Miriam" w:hint="eastAsia"/>
          <w:b/>
          <w:spacing w:val="0"/>
          <w:sz w:val="22"/>
          <w:szCs w:val="24"/>
          <w:rtl/>
        </w:rPr>
        <w:t>יהיו</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ברורים</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ופשוטים</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ככל</w:t>
      </w:r>
      <w:r w:rsidRPr="005C2C61">
        <w:rPr>
          <w:rFonts w:ascii="Century" w:hAnsi="Century" w:cs="Miriam"/>
          <w:b/>
          <w:spacing w:val="0"/>
          <w:sz w:val="22"/>
          <w:szCs w:val="24"/>
          <w:rtl/>
        </w:rPr>
        <w:t xml:space="preserve"> </w:t>
      </w:r>
      <w:r w:rsidRPr="005C2C61">
        <w:rPr>
          <w:rFonts w:ascii="Century" w:hAnsi="Century" w:cs="Miriam" w:hint="eastAsia"/>
          <w:b/>
          <w:spacing w:val="0"/>
          <w:sz w:val="22"/>
          <w:szCs w:val="24"/>
          <w:rtl/>
        </w:rPr>
        <w:t>הניתן</w:t>
      </w:r>
      <w:r>
        <w:rPr>
          <w:rFonts w:hint="cs"/>
          <w:rtl/>
        </w:rPr>
        <w:t xml:space="preserve">" (רע"א 6838/19 </w:t>
      </w:r>
      <w:r w:rsidRPr="005A10EE">
        <w:rPr>
          <w:rFonts w:ascii="Century" w:hAnsi="Century" w:cs="Miriam" w:hint="eastAsia"/>
          <w:b/>
          <w:spacing w:val="0"/>
          <w:sz w:val="22"/>
          <w:szCs w:val="24"/>
          <w:rtl/>
        </w:rPr>
        <w:t>אילני</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נ</w:t>
      </w:r>
      <w:r w:rsidRPr="005A10EE">
        <w:rPr>
          <w:rFonts w:ascii="Century" w:hAnsi="Century" w:cs="Miriam"/>
          <w:b/>
          <w:spacing w:val="0"/>
          <w:sz w:val="22"/>
          <w:szCs w:val="24"/>
          <w:rtl/>
        </w:rPr>
        <w:t xml:space="preserve">' </w:t>
      </w:r>
      <w:r w:rsidRPr="005A10EE">
        <w:rPr>
          <w:rFonts w:ascii="Century" w:hAnsi="Century" w:cs="Miriam" w:hint="eastAsia"/>
          <w:b/>
          <w:spacing w:val="0"/>
          <w:sz w:val="22"/>
          <w:szCs w:val="24"/>
          <w:rtl/>
        </w:rPr>
        <w:t>ברוך</w:t>
      </w:r>
      <w:r>
        <w:rPr>
          <w:rFonts w:hint="cs"/>
          <w:rtl/>
        </w:rPr>
        <w:t xml:space="preserve">, פסקה 32 לפסק דיני (20.8.2020)). זאת ועוד, </w:t>
      </w:r>
      <w:r w:rsidRPr="005A10EE">
        <w:rPr>
          <w:rFonts w:ascii="Miriam" w:hAnsi="Miriam" w:cs="Miriam"/>
          <w:sz w:val="20"/>
          <w:szCs w:val="24"/>
          <w:rtl/>
        </w:rPr>
        <w:t>"</w:t>
      </w:r>
      <w:r w:rsidRPr="005C2C61">
        <w:rPr>
          <w:rFonts w:ascii="Century" w:hAnsi="Century" w:cs="Miriam" w:hint="eastAsia"/>
          <w:b/>
          <w:spacing w:val="0"/>
          <w:szCs w:val="24"/>
          <w:rtl/>
        </w:rPr>
        <w:t>משעה</w:t>
      </w:r>
      <w:r w:rsidRPr="005C2C61">
        <w:rPr>
          <w:rFonts w:ascii="Century" w:hAnsi="Century" w:cs="Miriam"/>
          <w:b/>
          <w:spacing w:val="0"/>
          <w:szCs w:val="24"/>
          <w:rtl/>
        </w:rPr>
        <w:t xml:space="preserve"> </w:t>
      </w:r>
      <w:r w:rsidRPr="005C2C61">
        <w:rPr>
          <w:rFonts w:ascii="Century" w:hAnsi="Century" w:cs="Miriam" w:hint="eastAsia"/>
          <w:b/>
          <w:spacing w:val="0"/>
          <w:szCs w:val="24"/>
          <w:rtl/>
        </w:rPr>
        <w:t>שנקבעה</w:t>
      </w:r>
      <w:r w:rsidRPr="005C2C61">
        <w:rPr>
          <w:rFonts w:ascii="Century" w:hAnsi="Century" w:cs="Miriam"/>
          <w:b/>
          <w:spacing w:val="0"/>
          <w:szCs w:val="24"/>
          <w:rtl/>
        </w:rPr>
        <w:t xml:space="preserve"> </w:t>
      </w:r>
      <w:r w:rsidRPr="005C2C61">
        <w:rPr>
          <w:rFonts w:ascii="Century" w:hAnsi="Century" w:cs="Miriam" w:hint="eastAsia"/>
          <w:b/>
          <w:spacing w:val="0"/>
          <w:szCs w:val="24"/>
          <w:rtl/>
        </w:rPr>
        <w:t>התיישנות</w:t>
      </w:r>
      <w:r w:rsidRPr="005C2C61">
        <w:rPr>
          <w:rFonts w:ascii="Century" w:hAnsi="Century" w:cs="Miriam"/>
          <w:b/>
          <w:spacing w:val="0"/>
          <w:szCs w:val="24"/>
          <w:rtl/>
        </w:rPr>
        <w:t xml:space="preserve"> </w:t>
      </w:r>
      <w:r w:rsidRPr="005C2C61">
        <w:rPr>
          <w:rFonts w:ascii="Century" w:hAnsi="Century" w:cs="Miriam" w:hint="eastAsia"/>
          <w:b/>
          <w:spacing w:val="0"/>
          <w:szCs w:val="24"/>
          <w:rtl/>
        </w:rPr>
        <w:t>שומה</w:t>
      </w:r>
      <w:r w:rsidRPr="005C2C61">
        <w:rPr>
          <w:rFonts w:ascii="Century" w:hAnsi="Century" w:cs="Miriam"/>
          <w:b/>
          <w:spacing w:val="0"/>
          <w:szCs w:val="24"/>
          <w:rtl/>
        </w:rPr>
        <w:t xml:space="preserve"> </w:t>
      </w:r>
      <w:r w:rsidRPr="005C2C61">
        <w:rPr>
          <w:rFonts w:ascii="Century" w:hAnsi="Century" w:cs="Miriam" w:hint="eastAsia"/>
          <w:b/>
          <w:spacing w:val="0"/>
          <w:szCs w:val="24"/>
          <w:rtl/>
        </w:rPr>
        <w:t>עליו</w:t>
      </w:r>
      <w:r w:rsidRPr="005C2C61">
        <w:rPr>
          <w:rFonts w:ascii="Century" w:hAnsi="Century" w:cs="Miriam"/>
          <w:b/>
          <w:spacing w:val="0"/>
          <w:szCs w:val="24"/>
          <w:rtl/>
        </w:rPr>
        <w:t xml:space="preserve"> </w:t>
      </w:r>
      <w:r w:rsidRPr="005C2C61">
        <w:rPr>
          <w:rFonts w:ascii="Century" w:hAnsi="Century" w:cs="Miriam" w:hint="eastAsia"/>
          <w:b/>
          <w:spacing w:val="0"/>
          <w:szCs w:val="24"/>
          <w:rtl/>
        </w:rPr>
        <w:t>על</w:t>
      </w:r>
      <w:r w:rsidRPr="005C2C61">
        <w:rPr>
          <w:rFonts w:ascii="Century" w:hAnsi="Century" w:cs="Miriam"/>
          <w:b/>
          <w:spacing w:val="0"/>
          <w:szCs w:val="24"/>
          <w:rtl/>
        </w:rPr>
        <w:t xml:space="preserve"> </w:t>
      </w:r>
      <w:r w:rsidRPr="005C2C61">
        <w:rPr>
          <w:rFonts w:ascii="Century" w:hAnsi="Century" w:cs="Miriam" w:hint="eastAsia"/>
          <w:b/>
          <w:spacing w:val="0"/>
          <w:szCs w:val="24"/>
          <w:rtl/>
        </w:rPr>
        <w:t>בית</w:t>
      </w:r>
      <w:r w:rsidRPr="005C2C61">
        <w:rPr>
          <w:rFonts w:ascii="Century" w:hAnsi="Century" w:cs="Miriam"/>
          <w:b/>
          <w:spacing w:val="0"/>
          <w:szCs w:val="24"/>
          <w:rtl/>
        </w:rPr>
        <w:t>-</w:t>
      </w:r>
      <w:r w:rsidRPr="005C2C61">
        <w:rPr>
          <w:rFonts w:ascii="Century" w:hAnsi="Century" w:cs="Miriam" w:hint="eastAsia"/>
          <w:b/>
          <w:spacing w:val="0"/>
          <w:szCs w:val="24"/>
          <w:rtl/>
        </w:rPr>
        <w:t>משפט</w:t>
      </w:r>
      <w:r w:rsidRPr="005C2C61">
        <w:rPr>
          <w:rFonts w:ascii="Century" w:hAnsi="Century" w:cs="Miriam"/>
          <w:b/>
          <w:spacing w:val="0"/>
          <w:szCs w:val="24"/>
          <w:rtl/>
        </w:rPr>
        <w:t xml:space="preserve"> </w:t>
      </w:r>
      <w:r w:rsidRPr="005C2C61">
        <w:rPr>
          <w:rFonts w:ascii="Century" w:hAnsi="Century" w:cs="Miriam" w:hint="eastAsia"/>
          <w:b/>
          <w:spacing w:val="0"/>
          <w:szCs w:val="24"/>
          <w:rtl/>
        </w:rPr>
        <w:t>להחילה</w:t>
      </w:r>
      <w:r w:rsidRPr="005C2C61">
        <w:rPr>
          <w:rFonts w:ascii="Century" w:hAnsi="Century" w:cs="Miriam"/>
          <w:b/>
          <w:spacing w:val="0"/>
          <w:szCs w:val="24"/>
          <w:rtl/>
        </w:rPr>
        <w:t xml:space="preserve"> </w:t>
      </w:r>
      <w:r w:rsidRPr="005C2C61">
        <w:rPr>
          <w:rFonts w:ascii="Century" w:hAnsi="Century" w:cs="Miriam" w:hint="eastAsia"/>
          <w:b/>
          <w:spacing w:val="0"/>
          <w:szCs w:val="24"/>
          <w:rtl/>
        </w:rPr>
        <w:t>כלשונה</w:t>
      </w:r>
      <w:r w:rsidRPr="005C2C61">
        <w:rPr>
          <w:rFonts w:ascii="Century" w:hAnsi="Century" w:cs="Miriam"/>
          <w:b/>
          <w:spacing w:val="0"/>
          <w:szCs w:val="24"/>
          <w:rtl/>
        </w:rPr>
        <w:t xml:space="preserve"> </w:t>
      </w:r>
      <w:r w:rsidRPr="005C2C61">
        <w:rPr>
          <w:rFonts w:ascii="Century" w:hAnsi="Century" w:cs="Miriam" w:hint="eastAsia"/>
          <w:b/>
          <w:spacing w:val="0"/>
          <w:szCs w:val="24"/>
          <w:rtl/>
        </w:rPr>
        <w:t>וכרוחה</w:t>
      </w:r>
      <w:r w:rsidRPr="005C2C61">
        <w:rPr>
          <w:rFonts w:ascii="Century" w:hAnsi="Century" w:cs="Miriam"/>
          <w:b/>
          <w:spacing w:val="0"/>
          <w:szCs w:val="24"/>
          <w:rtl/>
        </w:rPr>
        <w:t xml:space="preserve"> </w:t>
      </w:r>
      <w:r w:rsidRPr="005C2C61">
        <w:rPr>
          <w:rFonts w:ascii="Century" w:hAnsi="Century" w:cs="Miriam" w:hint="eastAsia"/>
          <w:b/>
          <w:spacing w:val="0"/>
          <w:szCs w:val="24"/>
          <w:rtl/>
        </w:rPr>
        <w:t>על</w:t>
      </w:r>
      <w:r w:rsidRPr="005C2C61">
        <w:rPr>
          <w:rFonts w:ascii="Century" w:hAnsi="Century" w:cs="Miriam"/>
          <w:b/>
          <w:spacing w:val="0"/>
          <w:szCs w:val="24"/>
          <w:rtl/>
        </w:rPr>
        <w:t xml:space="preserve"> </w:t>
      </w:r>
      <w:r w:rsidRPr="005C2C61">
        <w:rPr>
          <w:rFonts w:ascii="Century" w:hAnsi="Century" w:cs="Miriam" w:hint="eastAsia"/>
          <w:b/>
          <w:spacing w:val="0"/>
          <w:szCs w:val="24"/>
          <w:rtl/>
        </w:rPr>
        <w:t>עניינים</w:t>
      </w:r>
      <w:r w:rsidRPr="005C2C61">
        <w:rPr>
          <w:rFonts w:ascii="Century" w:hAnsi="Century" w:cs="Miriam"/>
          <w:b/>
          <w:spacing w:val="0"/>
          <w:szCs w:val="24"/>
          <w:rtl/>
        </w:rPr>
        <w:t xml:space="preserve"> </w:t>
      </w:r>
      <w:r w:rsidRPr="005C2C61">
        <w:rPr>
          <w:rFonts w:ascii="Century" w:hAnsi="Century" w:cs="Miriam" w:hint="eastAsia"/>
          <w:b/>
          <w:spacing w:val="0"/>
          <w:szCs w:val="24"/>
          <w:rtl/>
        </w:rPr>
        <w:t>הבאים</w:t>
      </w:r>
      <w:r w:rsidRPr="005C2C61">
        <w:rPr>
          <w:rFonts w:ascii="Century" w:hAnsi="Century" w:cs="Miriam"/>
          <w:b/>
          <w:spacing w:val="0"/>
          <w:szCs w:val="24"/>
          <w:rtl/>
        </w:rPr>
        <w:t xml:space="preserve"> </w:t>
      </w:r>
      <w:r w:rsidRPr="005C2C61">
        <w:rPr>
          <w:rFonts w:ascii="Century" w:hAnsi="Century" w:cs="Miriam" w:hint="eastAsia"/>
          <w:b/>
          <w:spacing w:val="0"/>
          <w:szCs w:val="24"/>
          <w:rtl/>
        </w:rPr>
        <w:t>לפניו</w:t>
      </w:r>
      <w:r w:rsidRPr="005C2C61">
        <w:rPr>
          <w:rFonts w:ascii="Century" w:hAnsi="Century" w:cs="Miriam"/>
          <w:b/>
          <w:spacing w:val="0"/>
          <w:szCs w:val="24"/>
          <w:rtl/>
        </w:rPr>
        <w:t xml:space="preserve">. </w:t>
      </w:r>
      <w:r w:rsidRPr="005C2C61">
        <w:rPr>
          <w:rFonts w:ascii="Century" w:hAnsi="Century" w:cs="Miriam" w:hint="eastAsia"/>
          <w:b/>
          <w:spacing w:val="0"/>
          <w:szCs w:val="24"/>
          <w:rtl/>
        </w:rPr>
        <w:t>אכן</w:t>
      </w:r>
      <w:r w:rsidRPr="005C2C61">
        <w:rPr>
          <w:rFonts w:ascii="Century" w:hAnsi="Century" w:cs="Miriam"/>
          <w:b/>
          <w:spacing w:val="0"/>
          <w:szCs w:val="24"/>
          <w:rtl/>
        </w:rPr>
        <w:t xml:space="preserve">, </w:t>
      </w:r>
      <w:r w:rsidRPr="005C2C61">
        <w:rPr>
          <w:rFonts w:ascii="Century" w:hAnsi="Century" w:cs="Miriam" w:hint="eastAsia"/>
          <w:b/>
          <w:spacing w:val="0"/>
          <w:szCs w:val="24"/>
          <w:rtl/>
        </w:rPr>
        <w:t>האינטרסים</w:t>
      </w:r>
      <w:r w:rsidRPr="005C2C61">
        <w:rPr>
          <w:rFonts w:ascii="Century" w:hAnsi="Century" w:cs="Miriam"/>
          <w:b/>
          <w:spacing w:val="0"/>
          <w:szCs w:val="24"/>
          <w:rtl/>
        </w:rPr>
        <w:t xml:space="preserve"> </w:t>
      </w:r>
      <w:r w:rsidRPr="005C2C61">
        <w:rPr>
          <w:rFonts w:ascii="Century" w:hAnsi="Century" w:cs="Miriam" w:hint="eastAsia"/>
          <w:b/>
          <w:spacing w:val="0"/>
          <w:szCs w:val="24"/>
          <w:rtl/>
        </w:rPr>
        <w:t>אשר</w:t>
      </w:r>
      <w:r w:rsidRPr="005C2C61">
        <w:rPr>
          <w:rFonts w:ascii="Century" w:hAnsi="Century" w:cs="Miriam"/>
          <w:b/>
          <w:spacing w:val="0"/>
          <w:szCs w:val="24"/>
          <w:rtl/>
        </w:rPr>
        <w:t xml:space="preserve"> </w:t>
      </w:r>
      <w:r w:rsidRPr="005C2C61">
        <w:rPr>
          <w:rFonts w:ascii="Century" w:hAnsi="Century" w:cs="Miriam" w:hint="eastAsia"/>
          <w:b/>
          <w:spacing w:val="0"/>
          <w:szCs w:val="24"/>
          <w:rtl/>
        </w:rPr>
        <w:t>יצרו</w:t>
      </w:r>
      <w:r w:rsidRPr="005C2C61">
        <w:rPr>
          <w:rFonts w:ascii="Century" w:hAnsi="Century" w:cs="Miriam"/>
          <w:b/>
          <w:spacing w:val="0"/>
          <w:szCs w:val="24"/>
          <w:rtl/>
        </w:rPr>
        <w:t xml:space="preserve"> </w:t>
      </w:r>
      <w:r w:rsidRPr="005C2C61">
        <w:rPr>
          <w:rFonts w:ascii="Century" w:hAnsi="Century" w:cs="Miriam" w:hint="eastAsia"/>
          <w:b/>
          <w:spacing w:val="0"/>
          <w:szCs w:val="24"/>
          <w:rtl/>
        </w:rPr>
        <w:t>את</w:t>
      </w:r>
      <w:r w:rsidRPr="005C2C61">
        <w:rPr>
          <w:rFonts w:ascii="Century" w:hAnsi="Century" w:cs="Miriam"/>
          <w:b/>
          <w:spacing w:val="0"/>
          <w:szCs w:val="24"/>
          <w:rtl/>
        </w:rPr>
        <w:t xml:space="preserve"> </w:t>
      </w:r>
      <w:r w:rsidRPr="005C2C61">
        <w:rPr>
          <w:rFonts w:ascii="Century" w:hAnsi="Century" w:cs="Miriam" w:hint="eastAsia"/>
          <w:b/>
          <w:spacing w:val="0"/>
          <w:szCs w:val="24"/>
          <w:rtl/>
        </w:rPr>
        <w:t>ההתיישנות</w:t>
      </w:r>
      <w:r w:rsidRPr="005C2C61">
        <w:rPr>
          <w:rFonts w:ascii="Century" w:hAnsi="Century" w:cs="Miriam"/>
          <w:b/>
          <w:spacing w:val="0"/>
          <w:szCs w:val="24"/>
          <w:rtl/>
        </w:rPr>
        <w:t xml:space="preserve"> </w:t>
      </w:r>
      <w:r w:rsidRPr="005C2C61">
        <w:rPr>
          <w:rFonts w:ascii="Century" w:hAnsi="Century" w:cs="Miriam" w:hint="eastAsia"/>
          <w:b/>
          <w:spacing w:val="0"/>
          <w:szCs w:val="24"/>
          <w:rtl/>
        </w:rPr>
        <w:t>כוחם</w:t>
      </w:r>
      <w:r w:rsidRPr="005C2C61">
        <w:rPr>
          <w:rFonts w:ascii="Century" w:hAnsi="Century" w:cs="Miriam"/>
          <w:b/>
          <w:spacing w:val="0"/>
          <w:szCs w:val="24"/>
          <w:rtl/>
        </w:rPr>
        <w:t xml:space="preserve"> </w:t>
      </w:r>
      <w:r w:rsidRPr="005C2C61">
        <w:rPr>
          <w:rFonts w:ascii="Century" w:hAnsi="Century" w:cs="Miriam" w:hint="eastAsia"/>
          <w:b/>
          <w:spacing w:val="0"/>
          <w:szCs w:val="24"/>
          <w:rtl/>
        </w:rPr>
        <w:t>עמהם</w:t>
      </w:r>
      <w:r w:rsidRPr="005C2C61">
        <w:rPr>
          <w:rFonts w:ascii="Century" w:hAnsi="Century" w:cs="Miriam"/>
          <w:b/>
          <w:spacing w:val="0"/>
          <w:szCs w:val="24"/>
          <w:rtl/>
        </w:rPr>
        <w:t xml:space="preserve"> </w:t>
      </w:r>
      <w:r w:rsidRPr="005C2C61">
        <w:rPr>
          <w:rFonts w:ascii="Century" w:hAnsi="Century" w:cs="Miriam" w:hint="eastAsia"/>
          <w:b/>
          <w:spacing w:val="0"/>
          <w:szCs w:val="24"/>
          <w:rtl/>
        </w:rPr>
        <w:t>לפירושו</w:t>
      </w:r>
      <w:r w:rsidRPr="005C2C61">
        <w:rPr>
          <w:rFonts w:ascii="Century" w:hAnsi="Century" w:cs="Miriam"/>
          <w:b/>
          <w:spacing w:val="0"/>
          <w:szCs w:val="24"/>
          <w:rtl/>
        </w:rPr>
        <w:t xml:space="preserve"> </w:t>
      </w:r>
      <w:r w:rsidRPr="005C2C61">
        <w:rPr>
          <w:rFonts w:ascii="Century" w:hAnsi="Century" w:cs="Miriam" w:hint="eastAsia"/>
          <w:b/>
          <w:spacing w:val="0"/>
          <w:szCs w:val="24"/>
          <w:rtl/>
        </w:rPr>
        <w:t>של</w:t>
      </w:r>
      <w:r w:rsidRPr="005C2C61">
        <w:rPr>
          <w:rFonts w:ascii="Century" w:hAnsi="Century" w:cs="Miriam"/>
          <w:b/>
          <w:spacing w:val="0"/>
          <w:szCs w:val="24"/>
          <w:rtl/>
        </w:rPr>
        <w:t xml:space="preserve"> </w:t>
      </w:r>
      <w:r w:rsidRPr="005C2C61">
        <w:rPr>
          <w:rFonts w:ascii="Century" w:hAnsi="Century" w:cs="Miriam" w:hint="eastAsia"/>
          <w:b/>
          <w:spacing w:val="0"/>
          <w:szCs w:val="24"/>
          <w:rtl/>
        </w:rPr>
        <w:t>החוק</w:t>
      </w:r>
      <w:r w:rsidRPr="005C2C61">
        <w:rPr>
          <w:rFonts w:ascii="Century" w:hAnsi="Century" w:cs="Miriam"/>
          <w:b/>
          <w:spacing w:val="0"/>
          <w:szCs w:val="24"/>
          <w:rtl/>
        </w:rPr>
        <w:t xml:space="preserve">, </w:t>
      </w:r>
      <w:r w:rsidRPr="005C2C61">
        <w:rPr>
          <w:rFonts w:ascii="Century" w:hAnsi="Century" w:cs="Miriam" w:hint="eastAsia"/>
          <w:b/>
          <w:spacing w:val="0"/>
          <w:szCs w:val="24"/>
          <w:rtl/>
        </w:rPr>
        <w:t>אך</w:t>
      </w:r>
      <w:r w:rsidRPr="005C2C61">
        <w:rPr>
          <w:rFonts w:ascii="Century" w:hAnsi="Century" w:cs="Miriam"/>
          <w:b/>
          <w:spacing w:val="0"/>
          <w:szCs w:val="24"/>
          <w:rtl/>
        </w:rPr>
        <w:t xml:space="preserve"> </w:t>
      </w:r>
      <w:r w:rsidRPr="005C2C61">
        <w:rPr>
          <w:rFonts w:ascii="Century" w:hAnsi="Century" w:cs="Miriam" w:hint="eastAsia"/>
          <w:b/>
          <w:spacing w:val="0"/>
          <w:szCs w:val="24"/>
          <w:rtl/>
        </w:rPr>
        <w:t>לאחר</w:t>
      </w:r>
      <w:r w:rsidRPr="005C2C61">
        <w:rPr>
          <w:rFonts w:ascii="Century" w:hAnsi="Century" w:cs="Miriam"/>
          <w:b/>
          <w:spacing w:val="0"/>
          <w:szCs w:val="24"/>
          <w:rtl/>
        </w:rPr>
        <w:t xml:space="preserve"> </w:t>
      </w:r>
      <w:r w:rsidRPr="005C2C61">
        <w:rPr>
          <w:rFonts w:ascii="Century" w:hAnsi="Century" w:cs="Miriam" w:hint="eastAsia"/>
          <w:b/>
          <w:spacing w:val="0"/>
          <w:szCs w:val="24"/>
          <w:rtl/>
        </w:rPr>
        <w:t>עירובם</w:t>
      </w:r>
      <w:r w:rsidRPr="005C2C61">
        <w:rPr>
          <w:rFonts w:ascii="Century" w:hAnsi="Century" w:cs="Miriam"/>
          <w:b/>
          <w:spacing w:val="0"/>
          <w:szCs w:val="24"/>
          <w:rtl/>
        </w:rPr>
        <w:t xml:space="preserve"> </w:t>
      </w:r>
      <w:r w:rsidRPr="005C2C61">
        <w:rPr>
          <w:rFonts w:ascii="Century" w:hAnsi="Century" w:cs="Miriam" w:hint="eastAsia"/>
          <w:b/>
          <w:spacing w:val="0"/>
          <w:szCs w:val="24"/>
          <w:rtl/>
        </w:rPr>
        <w:t>של</w:t>
      </w:r>
      <w:r w:rsidRPr="005C2C61">
        <w:rPr>
          <w:rFonts w:ascii="Century" w:hAnsi="Century" w:cs="Miriam"/>
          <w:b/>
          <w:spacing w:val="0"/>
          <w:szCs w:val="24"/>
          <w:rtl/>
        </w:rPr>
        <w:t xml:space="preserve"> </w:t>
      </w:r>
      <w:r w:rsidRPr="005C2C61">
        <w:rPr>
          <w:rFonts w:ascii="Century" w:hAnsi="Century" w:cs="Miriam" w:hint="eastAsia"/>
          <w:b/>
          <w:spacing w:val="0"/>
          <w:szCs w:val="24"/>
          <w:rtl/>
        </w:rPr>
        <w:t>האינטרסים</w:t>
      </w:r>
      <w:r w:rsidRPr="005C2C61">
        <w:rPr>
          <w:rFonts w:ascii="Century" w:hAnsi="Century" w:cs="Miriam"/>
          <w:b/>
          <w:spacing w:val="0"/>
          <w:szCs w:val="24"/>
          <w:rtl/>
        </w:rPr>
        <w:t xml:space="preserve"> </w:t>
      </w:r>
      <w:r w:rsidRPr="005C2C61">
        <w:rPr>
          <w:rFonts w:ascii="Century" w:hAnsi="Century" w:cs="Miriam" w:hint="eastAsia"/>
          <w:b/>
          <w:spacing w:val="0"/>
          <w:szCs w:val="24"/>
          <w:rtl/>
        </w:rPr>
        <w:t>אלה</w:t>
      </w:r>
      <w:r w:rsidRPr="005C2C61">
        <w:rPr>
          <w:rFonts w:ascii="Century" w:hAnsi="Century" w:cs="Miriam"/>
          <w:b/>
          <w:spacing w:val="0"/>
          <w:szCs w:val="24"/>
          <w:rtl/>
        </w:rPr>
        <w:t>-</w:t>
      </w:r>
      <w:r w:rsidRPr="005C2C61">
        <w:rPr>
          <w:rFonts w:ascii="Century" w:hAnsi="Century" w:cs="Miriam" w:hint="eastAsia"/>
          <w:b/>
          <w:spacing w:val="0"/>
          <w:szCs w:val="24"/>
          <w:rtl/>
        </w:rPr>
        <w:t>באלה</w:t>
      </w:r>
      <w:r w:rsidRPr="005C2C61">
        <w:rPr>
          <w:rFonts w:ascii="Century" w:hAnsi="Century" w:cs="Miriam"/>
          <w:b/>
          <w:spacing w:val="0"/>
          <w:szCs w:val="24"/>
          <w:rtl/>
        </w:rPr>
        <w:t xml:space="preserve">, </w:t>
      </w:r>
      <w:r w:rsidRPr="005C2C61">
        <w:rPr>
          <w:rFonts w:ascii="Century" w:hAnsi="Century" w:cs="Miriam" w:hint="eastAsia"/>
          <w:b/>
          <w:spacing w:val="0"/>
          <w:szCs w:val="24"/>
          <w:rtl/>
        </w:rPr>
        <w:t>ולאחר</w:t>
      </w:r>
      <w:r w:rsidRPr="005C2C61">
        <w:rPr>
          <w:rFonts w:ascii="Century" w:hAnsi="Century" w:cs="Miriam"/>
          <w:b/>
          <w:spacing w:val="0"/>
          <w:szCs w:val="24"/>
          <w:rtl/>
        </w:rPr>
        <w:t xml:space="preserve"> </w:t>
      </w:r>
      <w:r w:rsidRPr="005C2C61">
        <w:rPr>
          <w:rFonts w:ascii="Century" w:hAnsi="Century" w:cs="Miriam" w:hint="eastAsia"/>
          <w:b/>
          <w:spacing w:val="0"/>
          <w:szCs w:val="24"/>
          <w:rtl/>
        </w:rPr>
        <w:t>הקריסטליזציה</w:t>
      </w:r>
      <w:r w:rsidRPr="005C2C61">
        <w:rPr>
          <w:rFonts w:ascii="Century" w:hAnsi="Century" w:cs="Miriam"/>
          <w:b/>
          <w:spacing w:val="0"/>
          <w:szCs w:val="24"/>
          <w:rtl/>
        </w:rPr>
        <w:t xml:space="preserve"> </w:t>
      </w:r>
      <w:r w:rsidRPr="005C2C61">
        <w:rPr>
          <w:rFonts w:ascii="Century" w:hAnsi="Century" w:cs="Miriam" w:hint="eastAsia"/>
          <w:b/>
          <w:spacing w:val="0"/>
          <w:szCs w:val="24"/>
          <w:rtl/>
        </w:rPr>
        <w:t>שעשה</w:t>
      </w:r>
      <w:r w:rsidRPr="005C2C61">
        <w:rPr>
          <w:rFonts w:ascii="Century" w:hAnsi="Century" w:cs="Miriam"/>
          <w:b/>
          <w:spacing w:val="0"/>
          <w:szCs w:val="24"/>
          <w:rtl/>
        </w:rPr>
        <w:t xml:space="preserve"> </w:t>
      </w:r>
      <w:r w:rsidRPr="005C2C61">
        <w:rPr>
          <w:rFonts w:ascii="Century" w:hAnsi="Century" w:cs="Miriam" w:hint="eastAsia"/>
          <w:b/>
          <w:spacing w:val="0"/>
          <w:szCs w:val="24"/>
          <w:rtl/>
        </w:rPr>
        <w:t>המחוקק</w:t>
      </w:r>
      <w:r w:rsidRPr="005C2C61">
        <w:rPr>
          <w:rFonts w:ascii="Century" w:hAnsi="Century" w:cs="Miriam"/>
          <w:b/>
          <w:spacing w:val="0"/>
          <w:szCs w:val="24"/>
          <w:rtl/>
        </w:rPr>
        <w:t xml:space="preserve"> </w:t>
      </w:r>
      <w:r w:rsidRPr="005C2C61">
        <w:rPr>
          <w:rFonts w:ascii="Century" w:hAnsi="Century" w:cs="Miriam" w:hint="eastAsia"/>
          <w:b/>
          <w:spacing w:val="0"/>
          <w:szCs w:val="24"/>
          <w:rtl/>
        </w:rPr>
        <w:t>על</w:t>
      </w:r>
      <w:r w:rsidRPr="005C2C61">
        <w:rPr>
          <w:rFonts w:ascii="Century" w:hAnsi="Century" w:cs="Miriam"/>
          <w:b/>
          <w:spacing w:val="0"/>
          <w:szCs w:val="24"/>
          <w:rtl/>
        </w:rPr>
        <w:t xml:space="preserve"> </w:t>
      </w:r>
      <w:r w:rsidRPr="005C2C61">
        <w:rPr>
          <w:rFonts w:ascii="Century" w:hAnsi="Century" w:cs="Miriam" w:hint="eastAsia"/>
          <w:b/>
          <w:spacing w:val="0"/>
          <w:szCs w:val="24"/>
          <w:rtl/>
        </w:rPr>
        <w:t>דרך</w:t>
      </w:r>
      <w:r w:rsidRPr="005C2C61">
        <w:rPr>
          <w:rFonts w:ascii="Century" w:hAnsi="Century" w:cs="Miriam"/>
          <w:b/>
          <w:spacing w:val="0"/>
          <w:szCs w:val="24"/>
          <w:rtl/>
        </w:rPr>
        <w:t xml:space="preserve"> </w:t>
      </w:r>
      <w:r w:rsidRPr="005C2C61">
        <w:rPr>
          <w:rFonts w:ascii="Century" w:hAnsi="Century" w:cs="Miriam" w:hint="eastAsia"/>
          <w:b/>
          <w:spacing w:val="0"/>
          <w:szCs w:val="24"/>
          <w:rtl/>
        </w:rPr>
        <w:t>יציקתם</w:t>
      </w:r>
      <w:r w:rsidRPr="005C2C61">
        <w:rPr>
          <w:rFonts w:ascii="Century" w:hAnsi="Century" w:cs="Miriam"/>
          <w:b/>
          <w:spacing w:val="0"/>
          <w:szCs w:val="24"/>
          <w:rtl/>
        </w:rPr>
        <w:t xml:space="preserve"> </w:t>
      </w:r>
      <w:r w:rsidRPr="005C2C61">
        <w:rPr>
          <w:rFonts w:ascii="Century" w:hAnsi="Century" w:cs="Miriam" w:hint="eastAsia"/>
          <w:b/>
          <w:spacing w:val="0"/>
          <w:szCs w:val="24"/>
          <w:rtl/>
        </w:rPr>
        <w:t>של</w:t>
      </w:r>
      <w:r w:rsidRPr="005C2C61">
        <w:rPr>
          <w:rFonts w:ascii="Century" w:hAnsi="Century" w:cs="Miriam"/>
          <w:b/>
          <w:spacing w:val="0"/>
          <w:szCs w:val="24"/>
          <w:rtl/>
        </w:rPr>
        <w:t xml:space="preserve"> </w:t>
      </w:r>
      <w:r w:rsidRPr="005C2C61">
        <w:rPr>
          <w:rFonts w:ascii="Century" w:hAnsi="Century" w:cs="Miriam" w:hint="eastAsia"/>
          <w:b/>
          <w:spacing w:val="0"/>
          <w:szCs w:val="24"/>
          <w:rtl/>
        </w:rPr>
        <w:t>אותם</w:t>
      </w:r>
      <w:r w:rsidRPr="005C2C61">
        <w:rPr>
          <w:rFonts w:ascii="Century" w:hAnsi="Century" w:cs="Miriam"/>
          <w:b/>
          <w:spacing w:val="0"/>
          <w:szCs w:val="24"/>
          <w:rtl/>
        </w:rPr>
        <w:t xml:space="preserve"> </w:t>
      </w:r>
      <w:r w:rsidRPr="005C2C61">
        <w:rPr>
          <w:rFonts w:ascii="Century" w:hAnsi="Century" w:cs="Miriam" w:hint="eastAsia"/>
          <w:b/>
          <w:spacing w:val="0"/>
          <w:szCs w:val="24"/>
          <w:rtl/>
        </w:rPr>
        <w:t>אינטרסים</w:t>
      </w:r>
      <w:r w:rsidRPr="005C2C61">
        <w:rPr>
          <w:rFonts w:ascii="Century" w:hAnsi="Century" w:cs="Miriam"/>
          <w:b/>
          <w:spacing w:val="0"/>
          <w:szCs w:val="24"/>
          <w:rtl/>
        </w:rPr>
        <w:t xml:space="preserve"> </w:t>
      </w:r>
      <w:r w:rsidRPr="005C2C61">
        <w:rPr>
          <w:rFonts w:ascii="Century" w:hAnsi="Century" w:cs="Miriam" w:hint="eastAsia"/>
          <w:b/>
          <w:spacing w:val="0"/>
          <w:szCs w:val="24"/>
          <w:rtl/>
        </w:rPr>
        <w:t>בהוראות</w:t>
      </w:r>
      <w:r w:rsidRPr="005C2C61">
        <w:rPr>
          <w:rFonts w:ascii="Century" w:hAnsi="Century" w:cs="Miriam"/>
          <w:b/>
          <w:spacing w:val="0"/>
          <w:szCs w:val="24"/>
          <w:rtl/>
        </w:rPr>
        <w:t>-</w:t>
      </w:r>
      <w:r w:rsidRPr="005C2C61">
        <w:rPr>
          <w:rFonts w:ascii="Century" w:hAnsi="Century" w:cs="Miriam" w:hint="eastAsia"/>
          <w:b/>
          <w:spacing w:val="0"/>
          <w:szCs w:val="24"/>
          <w:rtl/>
        </w:rPr>
        <w:t>חוק</w:t>
      </w:r>
      <w:r w:rsidRPr="005C2C61">
        <w:rPr>
          <w:rFonts w:ascii="Century" w:hAnsi="Century" w:cs="Miriam"/>
          <w:b/>
          <w:spacing w:val="0"/>
          <w:szCs w:val="24"/>
          <w:rtl/>
        </w:rPr>
        <w:t xml:space="preserve"> </w:t>
      </w:r>
      <w:r w:rsidRPr="005C2C61">
        <w:rPr>
          <w:rFonts w:ascii="Century" w:hAnsi="Century" w:cs="Miriam" w:hint="eastAsia"/>
          <w:b/>
          <w:spacing w:val="0"/>
          <w:szCs w:val="24"/>
          <w:rtl/>
        </w:rPr>
        <w:t>חרותות</w:t>
      </w:r>
      <w:r w:rsidRPr="005C2C61">
        <w:rPr>
          <w:rFonts w:ascii="Century" w:hAnsi="Century" w:cs="Miriam"/>
          <w:b/>
          <w:spacing w:val="0"/>
          <w:szCs w:val="24"/>
          <w:rtl/>
        </w:rPr>
        <w:t xml:space="preserve">, </w:t>
      </w:r>
      <w:r w:rsidRPr="005C2C61">
        <w:rPr>
          <w:rFonts w:ascii="Century" w:hAnsi="Century" w:cs="Miriam" w:hint="eastAsia"/>
          <w:b/>
          <w:spacing w:val="0"/>
          <w:szCs w:val="24"/>
          <w:rtl/>
        </w:rPr>
        <w:t>שוב</w:t>
      </w:r>
      <w:r w:rsidRPr="005C2C61">
        <w:rPr>
          <w:rFonts w:ascii="Century" w:hAnsi="Century" w:cs="Miriam"/>
          <w:b/>
          <w:spacing w:val="0"/>
          <w:szCs w:val="24"/>
          <w:rtl/>
        </w:rPr>
        <w:t xml:space="preserve"> </w:t>
      </w:r>
      <w:r w:rsidRPr="005C2C61">
        <w:rPr>
          <w:rFonts w:ascii="Century" w:hAnsi="Century" w:cs="Miriam" w:hint="eastAsia"/>
          <w:b/>
          <w:spacing w:val="0"/>
          <w:szCs w:val="24"/>
          <w:rtl/>
        </w:rPr>
        <w:t>אין</w:t>
      </w:r>
      <w:r w:rsidRPr="005C2C61">
        <w:rPr>
          <w:rFonts w:ascii="Century" w:hAnsi="Century" w:cs="Miriam"/>
          <w:b/>
          <w:spacing w:val="0"/>
          <w:szCs w:val="24"/>
          <w:rtl/>
        </w:rPr>
        <w:t xml:space="preserve"> </w:t>
      </w:r>
      <w:r w:rsidRPr="005C2C61">
        <w:rPr>
          <w:rFonts w:ascii="Century" w:hAnsi="Century" w:cs="Miriam" w:hint="eastAsia"/>
          <w:b/>
          <w:spacing w:val="0"/>
          <w:szCs w:val="24"/>
          <w:rtl/>
        </w:rPr>
        <w:t>זה</w:t>
      </w:r>
      <w:r w:rsidRPr="005C2C61">
        <w:rPr>
          <w:rFonts w:ascii="Century" w:hAnsi="Century" w:cs="Miriam"/>
          <w:b/>
          <w:spacing w:val="0"/>
          <w:szCs w:val="24"/>
          <w:rtl/>
        </w:rPr>
        <w:t xml:space="preserve"> </w:t>
      </w:r>
      <w:r w:rsidRPr="005C2C61">
        <w:rPr>
          <w:rFonts w:ascii="Century" w:hAnsi="Century" w:cs="Miriam" w:hint="eastAsia"/>
          <w:b/>
          <w:spacing w:val="0"/>
          <w:szCs w:val="24"/>
          <w:rtl/>
        </w:rPr>
        <w:t>בכוחו</w:t>
      </w:r>
      <w:r w:rsidRPr="005C2C61">
        <w:rPr>
          <w:rFonts w:ascii="Century" w:hAnsi="Century" w:cs="Miriam"/>
          <w:b/>
          <w:spacing w:val="0"/>
          <w:szCs w:val="24"/>
          <w:rtl/>
        </w:rPr>
        <w:t xml:space="preserve"> </w:t>
      </w:r>
      <w:r w:rsidRPr="005C2C61">
        <w:rPr>
          <w:rFonts w:ascii="Century" w:hAnsi="Century" w:cs="Miriam" w:hint="eastAsia"/>
          <w:b/>
          <w:spacing w:val="0"/>
          <w:szCs w:val="24"/>
          <w:rtl/>
        </w:rPr>
        <w:t>של</w:t>
      </w:r>
      <w:r w:rsidRPr="005C2C61">
        <w:rPr>
          <w:rFonts w:ascii="Century" w:hAnsi="Century" w:cs="Miriam"/>
          <w:b/>
          <w:spacing w:val="0"/>
          <w:szCs w:val="24"/>
          <w:rtl/>
        </w:rPr>
        <w:t xml:space="preserve"> </w:t>
      </w:r>
      <w:r w:rsidRPr="005C2C61">
        <w:rPr>
          <w:rFonts w:ascii="Century" w:hAnsi="Century" w:cs="Miriam" w:hint="eastAsia"/>
          <w:b/>
          <w:spacing w:val="0"/>
          <w:szCs w:val="24"/>
          <w:rtl/>
        </w:rPr>
        <w:t>בית</w:t>
      </w:r>
      <w:r w:rsidRPr="005C2C61">
        <w:rPr>
          <w:rFonts w:ascii="Century" w:hAnsi="Century" w:cs="Miriam"/>
          <w:b/>
          <w:spacing w:val="0"/>
          <w:szCs w:val="24"/>
          <w:rtl/>
        </w:rPr>
        <w:t>-</w:t>
      </w:r>
      <w:r w:rsidRPr="005C2C61">
        <w:rPr>
          <w:rFonts w:ascii="Century" w:hAnsi="Century" w:cs="Miriam" w:hint="eastAsia"/>
          <w:b/>
          <w:spacing w:val="0"/>
          <w:szCs w:val="24"/>
          <w:rtl/>
        </w:rPr>
        <w:t>משפט</w:t>
      </w:r>
      <w:r w:rsidRPr="005C2C61">
        <w:rPr>
          <w:rFonts w:ascii="Century" w:hAnsi="Century" w:cs="Miriam"/>
          <w:b/>
          <w:spacing w:val="0"/>
          <w:szCs w:val="24"/>
          <w:rtl/>
        </w:rPr>
        <w:t xml:space="preserve"> </w:t>
      </w:r>
      <w:r w:rsidRPr="005C2C61">
        <w:rPr>
          <w:rFonts w:ascii="Century" w:hAnsi="Century" w:cs="Miriam" w:hint="eastAsia"/>
          <w:b/>
          <w:spacing w:val="0"/>
          <w:szCs w:val="24"/>
          <w:rtl/>
        </w:rPr>
        <w:t>לבטל</w:t>
      </w:r>
      <w:r w:rsidRPr="005C2C61">
        <w:rPr>
          <w:rFonts w:ascii="Century" w:hAnsi="Century" w:cs="Miriam"/>
          <w:b/>
          <w:spacing w:val="0"/>
          <w:szCs w:val="24"/>
          <w:rtl/>
        </w:rPr>
        <w:t xml:space="preserve"> </w:t>
      </w:r>
      <w:r w:rsidRPr="005C2C61">
        <w:rPr>
          <w:rFonts w:ascii="Century" w:hAnsi="Century" w:cs="Miriam" w:hint="eastAsia"/>
          <w:b/>
          <w:spacing w:val="0"/>
          <w:szCs w:val="24"/>
          <w:rtl/>
        </w:rPr>
        <w:t>הוראות</w:t>
      </w:r>
      <w:r w:rsidRPr="005C2C61">
        <w:rPr>
          <w:rFonts w:ascii="Century" w:hAnsi="Century" w:cs="Miriam"/>
          <w:b/>
          <w:spacing w:val="0"/>
          <w:szCs w:val="24"/>
          <w:rtl/>
        </w:rPr>
        <w:t xml:space="preserve"> </w:t>
      </w:r>
      <w:r w:rsidRPr="005C2C61">
        <w:rPr>
          <w:rFonts w:ascii="Century" w:hAnsi="Century" w:cs="Miriam" w:hint="eastAsia"/>
          <w:b/>
          <w:spacing w:val="0"/>
          <w:szCs w:val="24"/>
          <w:rtl/>
        </w:rPr>
        <w:t>מפורשות</w:t>
      </w:r>
      <w:r w:rsidRPr="005C2C61">
        <w:rPr>
          <w:rFonts w:ascii="Century" w:hAnsi="Century" w:cs="Miriam"/>
          <w:b/>
          <w:spacing w:val="0"/>
          <w:szCs w:val="24"/>
          <w:rtl/>
        </w:rPr>
        <w:t xml:space="preserve"> </w:t>
      </w:r>
      <w:r w:rsidRPr="005C2C61">
        <w:rPr>
          <w:rFonts w:ascii="Century" w:hAnsi="Century" w:cs="Miriam" w:hint="eastAsia"/>
          <w:b/>
          <w:spacing w:val="0"/>
          <w:szCs w:val="24"/>
          <w:rtl/>
        </w:rPr>
        <w:t>שבחוק</w:t>
      </w:r>
      <w:r w:rsidRPr="005C2C61">
        <w:rPr>
          <w:rFonts w:ascii="Century" w:hAnsi="Century" w:cs="Miriam"/>
          <w:b/>
          <w:spacing w:val="0"/>
          <w:szCs w:val="24"/>
          <w:rtl/>
        </w:rPr>
        <w:t xml:space="preserve"> </w:t>
      </w:r>
      <w:r w:rsidRPr="005C2C61">
        <w:rPr>
          <w:rFonts w:ascii="Century" w:hAnsi="Century" w:cs="Miriam" w:hint="eastAsia"/>
          <w:b/>
          <w:spacing w:val="0"/>
          <w:szCs w:val="24"/>
          <w:rtl/>
        </w:rPr>
        <w:t>או</w:t>
      </w:r>
      <w:r w:rsidRPr="005C2C61">
        <w:rPr>
          <w:rFonts w:ascii="Century" w:hAnsi="Century" w:cs="Miriam"/>
          <w:b/>
          <w:spacing w:val="0"/>
          <w:szCs w:val="24"/>
          <w:rtl/>
        </w:rPr>
        <w:t xml:space="preserve"> </w:t>
      </w:r>
      <w:r w:rsidRPr="005C2C61">
        <w:rPr>
          <w:rFonts w:ascii="Century" w:hAnsi="Century" w:cs="Miriam" w:hint="eastAsia"/>
          <w:b/>
          <w:spacing w:val="0"/>
          <w:szCs w:val="24"/>
          <w:rtl/>
        </w:rPr>
        <w:t>לפרשן</w:t>
      </w:r>
      <w:r w:rsidRPr="005C2C61">
        <w:rPr>
          <w:rFonts w:ascii="Century" w:hAnsi="Century" w:cs="Miriam"/>
          <w:b/>
          <w:spacing w:val="0"/>
          <w:szCs w:val="24"/>
          <w:rtl/>
        </w:rPr>
        <w:t xml:space="preserve"> </w:t>
      </w:r>
      <w:r w:rsidRPr="005C2C61">
        <w:rPr>
          <w:rFonts w:ascii="Century" w:hAnsi="Century" w:cs="Miriam" w:hint="eastAsia"/>
          <w:b/>
          <w:spacing w:val="0"/>
          <w:szCs w:val="24"/>
          <w:rtl/>
        </w:rPr>
        <w:t>בדרך</w:t>
      </w:r>
      <w:r w:rsidRPr="005C2C61">
        <w:rPr>
          <w:rFonts w:ascii="Century" w:hAnsi="Century" w:cs="Miriam"/>
          <w:b/>
          <w:spacing w:val="0"/>
          <w:szCs w:val="24"/>
          <w:rtl/>
        </w:rPr>
        <w:t xml:space="preserve"> </w:t>
      </w:r>
      <w:r w:rsidRPr="005C2C61">
        <w:rPr>
          <w:rFonts w:ascii="Century" w:hAnsi="Century" w:cs="Miriam" w:hint="eastAsia"/>
          <w:b/>
          <w:spacing w:val="0"/>
          <w:szCs w:val="24"/>
          <w:rtl/>
        </w:rPr>
        <w:t>השקולה</w:t>
      </w:r>
      <w:r w:rsidRPr="005C2C61">
        <w:rPr>
          <w:rFonts w:ascii="Century" w:hAnsi="Century" w:cs="Miriam"/>
          <w:b/>
          <w:spacing w:val="0"/>
          <w:szCs w:val="24"/>
          <w:rtl/>
        </w:rPr>
        <w:t xml:space="preserve"> </w:t>
      </w:r>
      <w:r w:rsidRPr="005C2C61">
        <w:rPr>
          <w:rFonts w:ascii="Century" w:hAnsi="Century" w:cs="Miriam" w:hint="eastAsia"/>
          <w:b/>
          <w:spacing w:val="0"/>
          <w:szCs w:val="24"/>
          <w:rtl/>
        </w:rPr>
        <w:t>לביטולן</w:t>
      </w:r>
      <w:r w:rsidRPr="005A10EE">
        <w:rPr>
          <w:rFonts w:ascii="Miriam" w:hAnsi="Miriam" w:cs="Miriam"/>
          <w:sz w:val="20"/>
          <w:szCs w:val="24"/>
          <w:rtl/>
        </w:rPr>
        <w:t>"</w:t>
      </w:r>
      <w:r w:rsidRPr="005A10EE">
        <w:rPr>
          <w:sz w:val="20"/>
          <w:szCs w:val="24"/>
          <w:rtl/>
        </w:rPr>
        <w:t xml:space="preserve"> </w:t>
      </w:r>
      <w:r>
        <w:rPr>
          <w:rFonts w:hint="cs"/>
          <w:rtl/>
        </w:rPr>
        <w:t xml:space="preserve">(עניין </w:t>
      </w:r>
      <w:r w:rsidRPr="005A10EE">
        <w:rPr>
          <w:rFonts w:ascii="Century" w:hAnsi="Century" w:cs="Miriam" w:hint="eastAsia"/>
          <w:b/>
          <w:spacing w:val="0"/>
          <w:szCs w:val="24"/>
          <w:rtl/>
        </w:rPr>
        <w:t>שחר</w:t>
      </w:r>
      <w:r>
        <w:rPr>
          <w:rFonts w:hint="cs"/>
          <w:rtl/>
        </w:rPr>
        <w:t>, עמ' 326).</w:t>
      </w:r>
      <w:r w:rsidRPr="00363CF9">
        <w:rPr>
          <w:rtl/>
        </w:rPr>
        <w:t xml:space="preserve"> </w:t>
      </w:r>
      <w:r>
        <w:rPr>
          <w:rFonts w:hint="cs"/>
          <w:rtl/>
        </w:rPr>
        <w:t>ספק אם עמדת בית המשפט קמא ביחס לפרשנות סעיף 77(ב) לחוק מע"מ עולה בקנה אחד עם חזקות פרשניות אל</w:t>
      </w:r>
      <w:r w:rsidR="00BD78A2">
        <w:rPr>
          <w:rFonts w:hint="cs"/>
          <w:rtl/>
        </w:rPr>
        <w:t>ו</w:t>
      </w:r>
      <w:r>
        <w:rPr>
          <w:rFonts w:hint="cs"/>
          <w:rtl/>
        </w:rPr>
        <w:t>. והמקרה שלפנינו יוכיח: שהרי על מנת להכריע במחלוקת בעניין התיישנות הדו"ח נדרש בית המשפט קמא, כשלב מקדים, לקיים דיון מקיף ומורכב בשאלה מתי נוצרה חבות המס. ואם כך הדבר, מה הועילו חכמים בתקנותיהם הפרוצדורליות?</w:t>
      </w:r>
    </w:p>
    <w:p w:rsidR="006E1F18" w:rsidRPr="003C16CD" w:rsidRDefault="006E1F18" w:rsidP="006E1F18">
      <w:pPr>
        <w:pStyle w:val="Ruller41"/>
      </w:pPr>
    </w:p>
    <w:p w:rsidR="006E1F18" w:rsidRDefault="006E1F18" w:rsidP="00873468">
      <w:pPr>
        <w:pStyle w:val="Ruller4"/>
        <w:rPr>
          <w:rtl/>
        </w:rPr>
      </w:pPr>
      <w:r>
        <w:rPr>
          <w:rtl/>
        </w:rPr>
        <w:tab/>
      </w:r>
      <w:r>
        <w:rPr>
          <w:rFonts w:hint="cs"/>
          <w:rtl/>
        </w:rPr>
        <w:t>לא אמר</w:t>
      </w:r>
      <w:r w:rsidR="00873468">
        <w:rPr>
          <w:rFonts w:hint="cs"/>
          <w:rtl/>
        </w:rPr>
        <w:t>תי</w:t>
      </w:r>
      <w:r>
        <w:rPr>
          <w:rFonts w:hint="cs"/>
          <w:rtl/>
        </w:rPr>
        <w:t xml:space="preserve"> דברים שאמר</w:t>
      </w:r>
      <w:r w:rsidR="00873468">
        <w:rPr>
          <w:rFonts w:hint="cs"/>
          <w:rtl/>
        </w:rPr>
        <w:t>תי</w:t>
      </w:r>
      <w:r>
        <w:rPr>
          <w:rFonts w:hint="cs"/>
          <w:rtl/>
        </w:rPr>
        <w:t xml:space="preserve">, אלא כדי להדגיש שלו היינו נדרשים להכריע לגופה של טענת התיישנות הדו"ח, ספק בעיני אם היה מקום לאמץ את פרשנותו של בית המשפט קמא. ואולם משאיננו נדרשים </w:t>
      </w:r>
      <w:r w:rsidR="00873468">
        <w:rPr>
          <w:rFonts w:hint="cs"/>
          <w:rtl/>
        </w:rPr>
        <w:t xml:space="preserve">לשיטתי </w:t>
      </w:r>
      <w:r>
        <w:rPr>
          <w:rFonts w:hint="cs"/>
          <w:rtl/>
        </w:rPr>
        <w:t xml:space="preserve">לכך, אותיר עניין זה </w:t>
      </w:r>
      <w:proofErr w:type="spellStart"/>
      <w:r>
        <w:rPr>
          <w:rFonts w:hint="cs"/>
          <w:rtl/>
        </w:rPr>
        <w:t>בצריך</w:t>
      </w:r>
      <w:proofErr w:type="spellEnd"/>
      <w:r>
        <w:rPr>
          <w:rFonts w:hint="cs"/>
          <w:rtl/>
        </w:rPr>
        <w:t xml:space="preserve"> עיון</w:t>
      </w:r>
      <w:r w:rsidR="00873468">
        <w:rPr>
          <w:rFonts w:hint="cs"/>
          <w:rtl/>
        </w:rPr>
        <w:t xml:space="preserve">. </w:t>
      </w:r>
      <w:r>
        <w:rPr>
          <w:rFonts w:hint="cs"/>
          <w:rtl/>
        </w:rPr>
        <w:t xml:space="preserve">אפנה </w:t>
      </w:r>
      <w:proofErr w:type="spellStart"/>
      <w:r w:rsidR="00873468">
        <w:rPr>
          <w:rFonts w:hint="cs"/>
          <w:rtl/>
        </w:rPr>
        <w:t>איפוא</w:t>
      </w:r>
      <w:proofErr w:type="spellEnd"/>
      <w:r w:rsidR="00873468">
        <w:rPr>
          <w:rFonts w:hint="cs"/>
          <w:rtl/>
        </w:rPr>
        <w:t xml:space="preserve"> </w:t>
      </w:r>
      <w:r w:rsidR="00873468">
        <w:rPr>
          <w:rFonts w:hint="cs"/>
          <w:rtl/>
        </w:rPr>
        <w:lastRenderedPageBreak/>
        <w:t xml:space="preserve">בשלב זה </w:t>
      </w:r>
      <w:r>
        <w:rPr>
          <w:rFonts w:hint="cs"/>
          <w:rtl/>
        </w:rPr>
        <w:t>לבחינת הטענה להתיישנות התקבולים</w:t>
      </w:r>
      <w:r w:rsidR="00873468">
        <w:rPr>
          <w:rFonts w:hint="cs"/>
          <w:rtl/>
        </w:rPr>
        <w:t xml:space="preserve"> </w:t>
      </w:r>
      <w:r w:rsidR="00873468">
        <w:rPr>
          <w:rtl/>
        </w:rPr>
        <w:t>–</w:t>
      </w:r>
      <w:r w:rsidR="00873468">
        <w:rPr>
          <w:rFonts w:hint="cs"/>
          <w:rtl/>
        </w:rPr>
        <w:t xml:space="preserve"> טענת ההתיישנות היחידה </w:t>
      </w:r>
      <w:r>
        <w:rPr>
          <w:rFonts w:hint="cs"/>
          <w:rtl/>
        </w:rPr>
        <w:t>אותה הסכים המשיב לשמוע למרות שלא הועלתה בהליך ההשגה.</w:t>
      </w:r>
    </w:p>
    <w:p w:rsidR="006E1F18" w:rsidRDefault="006E1F18" w:rsidP="006E1F18">
      <w:pPr>
        <w:pStyle w:val="Ruller4"/>
        <w:numPr>
          <w:ilvl w:val="0"/>
          <w:numId w:val="0"/>
        </w:numPr>
        <w:rPr>
          <w:rFonts w:ascii="Century" w:hAnsi="Century" w:cs="Miriam"/>
          <w:b/>
          <w:spacing w:val="0"/>
          <w:sz w:val="22"/>
          <w:szCs w:val="24"/>
          <w:rtl/>
        </w:rPr>
      </w:pPr>
    </w:p>
    <w:p w:rsidR="006E1F18" w:rsidRDefault="006E1F18" w:rsidP="006E1F18">
      <w:pPr>
        <w:pStyle w:val="Ruller4"/>
        <w:numPr>
          <w:ilvl w:val="0"/>
          <w:numId w:val="0"/>
        </w:numPr>
        <w:rPr>
          <w:rFonts w:ascii="Century" w:hAnsi="Century" w:cs="Miriam"/>
          <w:b/>
          <w:spacing w:val="0"/>
          <w:sz w:val="22"/>
          <w:szCs w:val="24"/>
          <w:rtl/>
        </w:rPr>
      </w:pPr>
      <w:r>
        <w:rPr>
          <w:rFonts w:ascii="Century" w:hAnsi="Century" w:cs="Miriam" w:hint="cs"/>
          <w:b/>
          <w:spacing w:val="0"/>
          <w:sz w:val="22"/>
          <w:szCs w:val="24"/>
          <w:rtl/>
        </w:rPr>
        <w:t>התיישנות התקבולים</w:t>
      </w:r>
    </w:p>
    <w:p w:rsidR="006E1F18" w:rsidRPr="00F80B33" w:rsidRDefault="006E1F18" w:rsidP="006E1F18">
      <w:pPr>
        <w:pStyle w:val="Ruller41"/>
      </w:pPr>
    </w:p>
    <w:p w:rsidR="006E1F18" w:rsidRDefault="006E1F18" w:rsidP="006E1F18">
      <w:pPr>
        <w:pStyle w:val="Ruller4"/>
        <w:rPr>
          <w:rtl/>
        </w:rPr>
      </w:pPr>
      <w:r>
        <w:rPr>
          <w:rFonts w:hint="cs"/>
          <w:rtl/>
        </w:rPr>
        <w:t xml:space="preserve">המחלוקת בין הצדדים בעניין זה אינה נוגעת לשאלות עקרוניות של פרשנות הדין, אלא לניתוח קונקרטי של נסיבות המקרה בו עסקינן. בית המשפט קמא, בחן את התקבולים השונים שלטענת המערערת קיבלה </w:t>
      </w:r>
      <w:proofErr w:type="spellStart"/>
      <w:r>
        <w:rPr>
          <w:rFonts w:hint="cs"/>
          <w:rtl/>
        </w:rPr>
        <w:t>מאלקובי</w:t>
      </w:r>
      <w:proofErr w:type="spellEnd"/>
      <w:r>
        <w:rPr>
          <w:rFonts w:hint="cs"/>
          <w:rtl/>
        </w:rPr>
        <w:t xml:space="preserve"> </w:t>
      </w:r>
      <w:proofErr w:type="spellStart"/>
      <w:r>
        <w:rPr>
          <w:rFonts w:hint="cs"/>
          <w:rtl/>
        </w:rPr>
        <w:t>וממרציאנו</w:t>
      </w:r>
      <w:proofErr w:type="spellEnd"/>
      <w:r>
        <w:rPr>
          <w:rFonts w:hint="cs"/>
          <w:rtl/>
        </w:rPr>
        <w:t xml:space="preserve"> קודם לחודש יוני 2009, וקבע כי לא הוכח כי הם התקבלו בקשר לעסקה. המדובר בקביעה עובדתית, אשר בה ערכאת הערעור אינה נוטה להתערב (ע"א 3537/03 </w:t>
      </w:r>
      <w:r>
        <w:rPr>
          <w:rFonts w:ascii="Miriam" w:hAnsi="Miriam" w:cs="Miriam" w:hint="cs"/>
          <w:sz w:val="20"/>
          <w:szCs w:val="24"/>
          <w:rtl/>
        </w:rPr>
        <w:t>זאב ב</w:t>
      </w:r>
      <w:r w:rsidRPr="006F55B9">
        <w:rPr>
          <w:rFonts w:ascii="Miriam" w:hAnsi="Miriam" w:cs="Miriam" w:hint="eastAsia"/>
          <w:sz w:val="20"/>
          <w:szCs w:val="24"/>
          <w:rtl/>
        </w:rPr>
        <w:t>ר</w:t>
      </w:r>
      <w:r w:rsidRPr="006F55B9">
        <w:rPr>
          <w:rFonts w:ascii="Miriam" w:hAnsi="Miriam" w:cs="Miriam"/>
          <w:sz w:val="20"/>
          <w:szCs w:val="24"/>
          <w:rtl/>
        </w:rPr>
        <w:t xml:space="preserve"> </w:t>
      </w:r>
      <w:r w:rsidRPr="006F55B9">
        <w:rPr>
          <w:rFonts w:ascii="Miriam" w:hAnsi="Miriam" w:cs="Miriam" w:hint="eastAsia"/>
          <w:sz w:val="20"/>
          <w:szCs w:val="24"/>
          <w:rtl/>
        </w:rPr>
        <w:t>בע</w:t>
      </w:r>
      <w:r w:rsidRPr="006F55B9">
        <w:rPr>
          <w:rFonts w:ascii="Miriam" w:hAnsi="Miriam" w:cs="Miriam"/>
          <w:sz w:val="20"/>
          <w:szCs w:val="24"/>
          <w:rtl/>
        </w:rPr>
        <w:t>"</w:t>
      </w:r>
      <w:r w:rsidRPr="006F55B9">
        <w:rPr>
          <w:rFonts w:ascii="Miriam" w:hAnsi="Miriam" w:cs="Miriam" w:hint="eastAsia"/>
          <w:sz w:val="20"/>
          <w:szCs w:val="24"/>
          <w:rtl/>
        </w:rPr>
        <w:t>מ</w:t>
      </w:r>
      <w:r w:rsidRPr="006F55B9">
        <w:rPr>
          <w:rFonts w:ascii="Miriam" w:hAnsi="Miriam" w:cs="Miriam"/>
          <w:sz w:val="20"/>
          <w:szCs w:val="24"/>
          <w:rtl/>
        </w:rPr>
        <w:t xml:space="preserve"> </w:t>
      </w:r>
      <w:r w:rsidRPr="006F55B9">
        <w:rPr>
          <w:rFonts w:ascii="Miriam" w:hAnsi="Miriam" w:cs="Miriam" w:hint="eastAsia"/>
          <w:sz w:val="20"/>
          <w:szCs w:val="24"/>
          <w:rtl/>
        </w:rPr>
        <w:t>נ</w:t>
      </w:r>
      <w:r w:rsidRPr="006F55B9">
        <w:rPr>
          <w:rFonts w:ascii="Miriam" w:hAnsi="Miriam" w:cs="Miriam"/>
          <w:sz w:val="20"/>
          <w:szCs w:val="24"/>
          <w:rtl/>
        </w:rPr>
        <w:t xml:space="preserve">' </w:t>
      </w:r>
      <w:r w:rsidRPr="006F55B9">
        <w:rPr>
          <w:rFonts w:ascii="Miriam" w:hAnsi="Miriam" w:cs="Miriam" w:hint="eastAsia"/>
          <w:sz w:val="20"/>
          <w:szCs w:val="24"/>
          <w:rtl/>
        </w:rPr>
        <w:t>מנהל</w:t>
      </w:r>
      <w:r w:rsidRPr="006F55B9">
        <w:rPr>
          <w:rFonts w:ascii="Miriam" w:hAnsi="Miriam" w:cs="Miriam"/>
          <w:sz w:val="20"/>
          <w:szCs w:val="24"/>
          <w:rtl/>
        </w:rPr>
        <w:t xml:space="preserve"> </w:t>
      </w:r>
      <w:r w:rsidRPr="006F55B9">
        <w:rPr>
          <w:rFonts w:ascii="Miriam" w:hAnsi="Miriam" w:cs="Miriam" w:hint="eastAsia"/>
          <w:sz w:val="20"/>
          <w:szCs w:val="24"/>
          <w:rtl/>
        </w:rPr>
        <w:t>מס</w:t>
      </w:r>
      <w:r w:rsidRPr="006F55B9">
        <w:rPr>
          <w:rFonts w:ascii="Miriam" w:hAnsi="Miriam" w:cs="Miriam"/>
          <w:sz w:val="20"/>
          <w:szCs w:val="24"/>
          <w:rtl/>
        </w:rPr>
        <w:t xml:space="preserve"> </w:t>
      </w:r>
      <w:r w:rsidRPr="006F55B9">
        <w:rPr>
          <w:rFonts w:ascii="Miriam" w:hAnsi="Miriam" w:cs="Miriam" w:hint="eastAsia"/>
          <w:sz w:val="20"/>
          <w:szCs w:val="24"/>
          <w:rtl/>
        </w:rPr>
        <w:t>ערך</w:t>
      </w:r>
      <w:r w:rsidRPr="006F55B9">
        <w:rPr>
          <w:rFonts w:ascii="Miriam" w:hAnsi="Miriam" w:cs="Miriam"/>
          <w:sz w:val="20"/>
          <w:szCs w:val="24"/>
          <w:rtl/>
        </w:rPr>
        <w:t xml:space="preserve"> </w:t>
      </w:r>
      <w:r w:rsidRPr="006F55B9">
        <w:rPr>
          <w:rFonts w:ascii="Miriam" w:hAnsi="Miriam" w:cs="Miriam" w:hint="eastAsia"/>
          <w:sz w:val="20"/>
          <w:szCs w:val="24"/>
          <w:rtl/>
        </w:rPr>
        <w:t>מוסף</w:t>
      </w:r>
      <w:r>
        <w:rPr>
          <w:rFonts w:hint="cs"/>
          <w:rtl/>
        </w:rPr>
        <w:t xml:space="preserve">, פ"ד נט(4) 568, 576-575 (2005)). עם זאת, בנסיבות המקרה שלפנינו, חוששני שאין מנוס מהתערבות בקביעה עובדתית זו. </w:t>
      </w:r>
      <w:r w:rsidRPr="00F80B33">
        <w:rPr>
          <w:rFonts w:hint="cs"/>
          <w:rtl/>
        </w:rPr>
        <w:t>הטעם לכך הוא שבית המשפט קמא</w:t>
      </w:r>
      <w:r>
        <w:rPr>
          <w:rFonts w:hint="cs"/>
          <w:rtl/>
        </w:rPr>
        <w:t xml:space="preserve"> ביסס את קביעתו האמורה על כך שהעברות הכספים למערערת בוצעו רובן ככולן על ידי צדדים שלישיים, וחלקן אף במועד שקדם להסכמי המכר. משמצא כך, סירב לראות בהן תקבולים על חשבון תמורת העסקה. ואולם, לא הייתה כל מניעה לכך שיתרת הזכות שעמדה לזכותם של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אצל המערערת נוצרה כתוצאה מהעברות כספים אלו, ומשעמדה להם יתרת זכות כאמור, היה באפשרותם לבצע מתוכה את התשלומים במסגרת העסקאות, על דרך של קיזוז. להלן אפרט ואבאר עניינים אלה. </w:t>
      </w:r>
    </w:p>
    <w:p w:rsidR="006E1F18" w:rsidRPr="005A260D" w:rsidRDefault="006E1F18" w:rsidP="006E1F18">
      <w:pPr>
        <w:pStyle w:val="Ruller41"/>
      </w:pPr>
    </w:p>
    <w:p w:rsidR="007C22EF" w:rsidRDefault="006E1F18" w:rsidP="00873468">
      <w:pPr>
        <w:pStyle w:val="Ruller4"/>
        <w:rPr>
          <w:rtl/>
        </w:rPr>
      </w:pPr>
      <w:r>
        <w:rPr>
          <w:rFonts w:hint="cs"/>
          <w:rtl/>
        </w:rPr>
        <w:t xml:space="preserve">תחילה אציין כי במהלך הדיון בפני בית המשפט קמא הכיר המשיב בכך שהמערערת הוכיחה שסכום אחד של 500,000 ש"ח, ששולם לה מחשבונו הפרטי של </w:t>
      </w:r>
      <w:proofErr w:type="spellStart"/>
      <w:r>
        <w:rPr>
          <w:rFonts w:hint="cs"/>
          <w:rtl/>
        </w:rPr>
        <w:t>אלקובי</w:t>
      </w:r>
      <w:proofErr w:type="spellEnd"/>
      <w:r>
        <w:rPr>
          <w:rFonts w:hint="cs"/>
          <w:rtl/>
        </w:rPr>
        <w:t xml:space="preserve"> ביום 2.6.2008, אכן התיישן. בהתאם תוקנה שומת מס העסקאות והועמדה, כאמור לעיל, על סכום של כ-1.663 מיליון ש"ח (ראו פסקאות 89 ו-117 לפסק הדין). </w:t>
      </w:r>
    </w:p>
    <w:p w:rsidR="007C22EF" w:rsidRPr="007C22EF" w:rsidRDefault="007C22EF" w:rsidP="007C22EF">
      <w:pPr>
        <w:pStyle w:val="Ruller41"/>
      </w:pPr>
    </w:p>
    <w:p w:rsidR="006E1F18" w:rsidRDefault="00873468" w:rsidP="007C22EF">
      <w:pPr>
        <w:pStyle w:val="Ruller4"/>
      </w:pPr>
      <w:r>
        <w:rPr>
          <w:rFonts w:hint="cs"/>
          <w:rtl/>
        </w:rPr>
        <w:t xml:space="preserve">עיקר </w:t>
      </w:r>
      <w:r w:rsidR="006E1F18">
        <w:rPr>
          <w:rFonts w:hint="cs"/>
          <w:rtl/>
        </w:rPr>
        <w:t xml:space="preserve">הסכומים שהתקבלו על ידי המערערת בתקופה הרלוונטית לא שולמו לה במישרין על ידי </w:t>
      </w:r>
      <w:proofErr w:type="spellStart"/>
      <w:r w:rsidR="006E1F18">
        <w:rPr>
          <w:rFonts w:hint="cs"/>
          <w:rtl/>
        </w:rPr>
        <w:t>אלקובי</w:t>
      </w:r>
      <w:proofErr w:type="spellEnd"/>
      <w:r w:rsidR="006E1F18">
        <w:rPr>
          <w:rFonts w:hint="cs"/>
          <w:rtl/>
        </w:rPr>
        <w:t xml:space="preserve"> </w:t>
      </w:r>
      <w:proofErr w:type="spellStart"/>
      <w:r w:rsidR="006E1F18">
        <w:rPr>
          <w:rFonts w:hint="cs"/>
          <w:rtl/>
        </w:rPr>
        <w:t>ומרציאנו</w:t>
      </w:r>
      <w:proofErr w:type="spellEnd"/>
      <w:r w:rsidR="006E1F18">
        <w:rPr>
          <w:rFonts w:hint="cs"/>
          <w:rtl/>
        </w:rPr>
        <w:t xml:space="preserve">, אלא הועברו על ידי צדדים שלישיים, חלקם לפני מועד כריתת הסכמי המכר (30.1.2008) וחלקם בחודשים שלאחר מכן. יחד עם זאת, כפי שמציין בית המשפט קמא בפסק הדין, בסמוך לאחר שהועברו הכספים הללו למערערת הם נזקפו לזכות </w:t>
      </w:r>
      <w:proofErr w:type="spellStart"/>
      <w:r w:rsidR="006E1F18">
        <w:rPr>
          <w:rFonts w:hint="cs"/>
          <w:rtl/>
        </w:rPr>
        <w:t>אלקובי</w:t>
      </w:r>
      <w:proofErr w:type="spellEnd"/>
      <w:r w:rsidR="006E1F18">
        <w:rPr>
          <w:rFonts w:hint="cs"/>
          <w:rtl/>
        </w:rPr>
        <w:t xml:space="preserve"> </w:t>
      </w:r>
      <w:proofErr w:type="spellStart"/>
      <w:r w:rsidR="006E1F18">
        <w:rPr>
          <w:rFonts w:hint="cs"/>
          <w:rtl/>
        </w:rPr>
        <w:t>ומרציאנו</w:t>
      </w:r>
      <w:proofErr w:type="spellEnd"/>
      <w:r w:rsidR="006E1F18">
        <w:rPr>
          <w:rFonts w:hint="cs"/>
          <w:rtl/>
        </w:rPr>
        <w:t xml:space="preserve"> בכרטיסי </w:t>
      </w:r>
      <w:proofErr w:type="spellStart"/>
      <w:r w:rsidR="006E1F18">
        <w:rPr>
          <w:rFonts w:hint="cs"/>
          <w:rtl/>
        </w:rPr>
        <w:t>החו"ז</w:t>
      </w:r>
      <w:proofErr w:type="spellEnd"/>
      <w:r w:rsidR="006E1F18">
        <w:rPr>
          <w:rFonts w:hint="cs"/>
          <w:rtl/>
        </w:rPr>
        <w:t xml:space="preserve"> שלהם אצל המערערת. בשלב מאוחר יותר, ביום 15.6.2008, חויבו כרטיסי </w:t>
      </w:r>
      <w:proofErr w:type="spellStart"/>
      <w:r w:rsidR="006E1F18">
        <w:rPr>
          <w:rFonts w:hint="cs"/>
          <w:rtl/>
        </w:rPr>
        <w:t>החו"ז</w:t>
      </w:r>
      <w:proofErr w:type="spellEnd"/>
      <w:r w:rsidR="006E1F18">
        <w:rPr>
          <w:rFonts w:hint="cs"/>
          <w:rtl/>
        </w:rPr>
        <w:t xml:space="preserve"> של </w:t>
      </w:r>
      <w:proofErr w:type="spellStart"/>
      <w:r w:rsidR="006E1F18">
        <w:rPr>
          <w:rFonts w:hint="cs"/>
          <w:rtl/>
        </w:rPr>
        <w:t>אלקובי</w:t>
      </w:r>
      <w:proofErr w:type="spellEnd"/>
      <w:r w:rsidR="006E1F18">
        <w:rPr>
          <w:rFonts w:hint="cs"/>
          <w:rtl/>
        </w:rPr>
        <w:t xml:space="preserve"> </w:t>
      </w:r>
      <w:proofErr w:type="spellStart"/>
      <w:r w:rsidR="006E1F18">
        <w:rPr>
          <w:rFonts w:hint="cs"/>
          <w:rtl/>
        </w:rPr>
        <w:t>ומרציאנו</w:t>
      </w:r>
      <w:proofErr w:type="spellEnd"/>
      <w:r w:rsidR="006E1F18">
        <w:rPr>
          <w:rFonts w:hint="cs"/>
          <w:rtl/>
        </w:rPr>
        <w:t xml:space="preserve"> בגין התשלומים המגיעים למערערת על פי הסכמי המכר, וכתוצאה מכך נמחקו יתרות הזכות שעמדו לטובת </w:t>
      </w:r>
      <w:proofErr w:type="spellStart"/>
      <w:r w:rsidR="006E1F18">
        <w:rPr>
          <w:rFonts w:hint="cs"/>
          <w:rtl/>
        </w:rPr>
        <w:t>אלקובי</w:t>
      </w:r>
      <w:proofErr w:type="spellEnd"/>
      <w:r w:rsidR="006E1F18">
        <w:rPr>
          <w:rFonts w:hint="cs"/>
          <w:rtl/>
        </w:rPr>
        <w:t xml:space="preserve"> </w:t>
      </w:r>
      <w:proofErr w:type="spellStart"/>
      <w:r w:rsidR="006E1F18">
        <w:rPr>
          <w:rFonts w:hint="cs"/>
          <w:rtl/>
        </w:rPr>
        <w:t>ומרציאנו</w:t>
      </w:r>
      <w:proofErr w:type="spellEnd"/>
      <w:r w:rsidR="006E1F18">
        <w:rPr>
          <w:rFonts w:hint="cs"/>
          <w:rtl/>
        </w:rPr>
        <w:t xml:space="preserve">, והפכו ליתרות חובה. ואולם, בית המשפט קמא לא נתן דעתו בשאלה האם ביצוע החיובים האמורים בכרטיסי </w:t>
      </w:r>
      <w:proofErr w:type="spellStart"/>
      <w:r w:rsidR="006E1F18">
        <w:rPr>
          <w:rFonts w:hint="cs"/>
          <w:rtl/>
        </w:rPr>
        <w:t>החו"ז</w:t>
      </w:r>
      <w:proofErr w:type="spellEnd"/>
      <w:r w:rsidR="006E1F18">
        <w:rPr>
          <w:rFonts w:hint="cs"/>
          <w:rtl/>
        </w:rPr>
        <w:t xml:space="preserve"> מהווה תשלום למערערת על ידי </w:t>
      </w:r>
      <w:proofErr w:type="spellStart"/>
      <w:r w:rsidR="006E1F18">
        <w:rPr>
          <w:rFonts w:hint="cs"/>
          <w:rtl/>
        </w:rPr>
        <w:lastRenderedPageBreak/>
        <w:t>אלקובי</w:t>
      </w:r>
      <w:proofErr w:type="spellEnd"/>
      <w:r w:rsidR="006E1F18">
        <w:rPr>
          <w:rFonts w:hint="cs"/>
          <w:rtl/>
        </w:rPr>
        <w:t xml:space="preserve"> </w:t>
      </w:r>
      <w:proofErr w:type="spellStart"/>
      <w:r w:rsidR="006E1F18">
        <w:rPr>
          <w:rFonts w:hint="cs"/>
          <w:rtl/>
        </w:rPr>
        <w:t>ומרציאנו</w:t>
      </w:r>
      <w:proofErr w:type="spellEnd"/>
      <w:r w:rsidR="006E1F18">
        <w:rPr>
          <w:rFonts w:hint="cs"/>
          <w:rtl/>
        </w:rPr>
        <w:t xml:space="preserve"> על חשבון העסקה. חלף זאת, התמקד בפסק דינו בקביעות לפיהן העברות הכספים שמכוחן נוצרו יתרות הזכות הללו, לא היוו תשלומים על חשבון העסקה. לעניין זה נקבע כי סעיף 29(1) לחוק מע"מ, עליו מבוססת טענת התיישנות התקבולים, מתמקד ב"תשלום" מנקודת מבטו של המשלם ולא ב"קבלה" של הסכומים מצד העוסק, ולכן היה מוטל על המערערת לשיטת בית המשפט קמא נטל כבד להוכיח כי התקבולים הנטענים אכן שולמו לה על ידי </w:t>
      </w:r>
      <w:proofErr w:type="spellStart"/>
      <w:r w:rsidR="006E1F18">
        <w:rPr>
          <w:rFonts w:hint="cs"/>
          <w:rtl/>
        </w:rPr>
        <w:t>אלקובי</w:t>
      </w:r>
      <w:proofErr w:type="spellEnd"/>
      <w:r w:rsidR="006E1F18">
        <w:rPr>
          <w:rFonts w:hint="cs"/>
          <w:rtl/>
        </w:rPr>
        <w:t xml:space="preserve"> </w:t>
      </w:r>
      <w:proofErr w:type="spellStart"/>
      <w:r w:rsidR="006E1F18">
        <w:rPr>
          <w:rFonts w:hint="cs"/>
          <w:rtl/>
        </w:rPr>
        <w:t>ומרציאנו</w:t>
      </w:r>
      <w:proofErr w:type="spellEnd"/>
      <w:r w:rsidR="006E1F18">
        <w:rPr>
          <w:rFonts w:hint="cs"/>
          <w:rtl/>
        </w:rPr>
        <w:t xml:space="preserve"> על חשבון העסקה, נטל בו לא עמדה ביחס למרבית התשלומים. </w:t>
      </w:r>
    </w:p>
    <w:p w:rsidR="006E1F18" w:rsidRPr="005A260D" w:rsidRDefault="006E1F18" w:rsidP="006E1F18">
      <w:pPr>
        <w:pStyle w:val="Ruller4"/>
        <w:numPr>
          <w:ilvl w:val="0"/>
          <w:numId w:val="0"/>
        </w:numPr>
      </w:pPr>
    </w:p>
    <w:p w:rsidR="006E1F18" w:rsidRDefault="006E1F18" w:rsidP="006E1F18">
      <w:pPr>
        <w:pStyle w:val="Ruller4"/>
        <w:rPr>
          <w:rtl/>
        </w:rPr>
      </w:pPr>
      <w:r>
        <w:rPr>
          <w:rFonts w:hint="cs"/>
          <w:rtl/>
        </w:rPr>
        <w:t xml:space="preserve">מקובלת עליי קביעת בית המשפט קמא כי תחת כנפיו של סעיף 29(1) לחוק מע"מ יכולים לחסות רק התשלומים שלגביהם הוכיחה המערערת כי התקבלו </w:t>
      </w:r>
      <w:r w:rsidRPr="00363CF9">
        <w:rPr>
          <w:rFonts w:ascii="Miriam" w:hAnsi="Miriam" w:cs="Miriam"/>
          <w:sz w:val="20"/>
          <w:szCs w:val="24"/>
          <w:rtl/>
        </w:rPr>
        <w:t>"</w:t>
      </w:r>
      <w:r w:rsidRPr="00363CF9">
        <w:rPr>
          <w:rFonts w:ascii="Miriam" w:hAnsi="Miriam" w:cs="Miriam" w:hint="eastAsia"/>
          <w:sz w:val="20"/>
          <w:szCs w:val="24"/>
          <w:rtl/>
        </w:rPr>
        <w:t>על</w:t>
      </w:r>
      <w:r w:rsidRPr="00363CF9">
        <w:rPr>
          <w:rFonts w:ascii="Miriam" w:hAnsi="Miriam" w:cs="Miriam"/>
          <w:sz w:val="20"/>
          <w:szCs w:val="24"/>
          <w:rtl/>
        </w:rPr>
        <w:t xml:space="preserve"> </w:t>
      </w:r>
      <w:r w:rsidRPr="00363CF9">
        <w:rPr>
          <w:rFonts w:ascii="Miriam" w:hAnsi="Miriam" w:cs="Miriam" w:hint="eastAsia"/>
          <w:sz w:val="20"/>
          <w:szCs w:val="24"/>
          <w:rtl/>
        </w:rPr>
        <w:t>חשבון</w:t>
      </w:r>
      <w:r w:rsidRPr="00363CF9">
        <w:rPr>
          <w:rFonts w:ascii="Miriam" w:hAnsi="Miriam" w:cs="Miriam"/>
          <w:sz w:val="20"/>
          <w:szCs w:val="24"/>
          <w:rtl/>
        </w:rPr>
        <w:t xml:space="preserve"> </w:t>
      </w:r>
      <w:r w:rsidRPr="00363CF9">
        <w:rPr>
          <w:rFonts w:ascii="Miriam" w:hAnsi="Miriam" w:cs="Miriam" w:hint="eastAsia"/>
          <w:sz w:val="20"/>
          <w:szCs w:val="24"/>
          <w:rtl/>
        </w:rPr>
        <w:t>התמורה</w:t>
      </w:r>
      <w:r w:rsidRPr="00363CF9">
        <w:rPr>
          <w:rFonts w:ascii="Miriam" w:hAnsi="Miriam" w:cs="Miriam"/>
          <w:sz w:val="20"/>
          <w:szCs w:val="24"/>
          <w:rtl/>
        </w:rPr>
        <w:t>"</w:t>
      </w:r>
      <w:r>
        <w:rPr>
          <w:rFonts w:hint="cs"/>
          <w:rtl/>
        </w:rPr>
        <w:t xml:space="preserve"> כהוראת הסעיף, דהיינו כחלק מביצוע העסקה. כן מקובלת עליי עמדת בית המשפט קמא כי בנסיבות דנא מוטל על המערערת נטל הוכחה מוגבר, בין היתר בשים לב ליחסים המיוחדים 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לבין המערערת, והימנעותה של המערערת מהגשת תצהיר מטעם </w:t>
      </w:r>
      <w:proofErr w:type="spellStart"/>
      <w:r>
        <w:rPr>
          <w:rFonts w:hint="cs"/>
          <w:rtl/>
        </w:rPr>
        <w:t>מרציאנו</w:t>
      </w:r>
      <w:proofErr w:type="spellEnd"/>
      <w:r>
        <w:rPr>
          <w:rFonts w:hint="cs"/>
          <w:rtl/>
        </w:rPr>
        <w:t xml:space="preserve"> ומטעם </w:t>
      </w:r>
      <w:proofErr w:type="spellStart"/>
      <w:r>
        <w:rPr>
          <w:rFonts w:hint="cs"/>
          <w:rtl/>
        </w:rPr>
        <w:t>אלקובי</w:t>
      </w:r>
      <w:proofErr w:type="spellEnd"/>
      <w:r>
        <w:rPr>
          <w:rFonts w:hint="cs"/>
          <w:rtl/>
        </w:rPr>
        <w:t xml:space="preserve"> ומהזמנתם למתן עדות, וכן לנוכח שינויי גרסאותיה של המערערת בנוגע לחלק מהתקבולים. ועדיין, גם בהינתן נטל הוכחה זה, סבורני כי בית המשפט קמא החמיר יתר על המידה עם המערערת. </w:t>
      </w:r>
    </w:p>
    <w:p w:rsidR="006E1F18" w:rsidRPr="005A260D" w:rsidRDefault="006E1F18" w:rsidP="006E1F18">
      <w:pPr>
        <w:pStyle w:val="Ruller41"/>
      </w:pPr>
    </w:p>
    <w:p w:rsidR="006E1F18" w:rsidRDefault="006E1F18" w:rsidP="004E68D0">
      <w:pPr>
        <w:pStyle w:val="Ruller4"/>
        <w:rPr>
          <w:rtl/>
        </w:rPr>
      </w:pPr>
      <w:r>
        <w:rPr>
          <w:rFonts w:hint="cs"/>
          <w:rtl/>
        </w:rPr>
        <w:t xml:space="preserve">המערערת טוענת כי בהתאם להסכמי המכר, ביום 15.6.2008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שילמו לה בעבור הדירות בבניין הישן סכום כולל של </w:t>
      </w:r>
      <w:r w:rsidRPr="00363CF9">
        <w:rPr>
          <w:rFonts w:ascii="FrankRuehl" w:hAnsi="FrankRuehl"/>
          <w:sz w:val="28"/>
        </w:rPr>
        <w:t>8,108,379</w:t>
      </w:r>
      <w:r w:rsidRPr="00363CF9">
        <w:rPr>
          <w:sz w:val="28"/>
          <w:rtl/>
        </w:rPr>
        <w:t xml:space="preserve"> </w:t>
      </w:r>
      <w:r>
        <w:rPr>
          <w:rFonts w:hint="cs"/>
          <w:rtl/>
        </w:rPr>
        <w:t>ש"ח (</w:t>
      </w:r>
      <w:r w:rsidRPr="00363CF9">
        <w:rPr>
          <w:rFonts w:ascii="FrankRuehl" w:hAnsi="FrankRuehl"/>
          <w:sz w:val="28"/>
        </w:rPr>
        <w:t>4,055,980</w:t>
      </w:r>
      <w:r>
        <w:rPr>
          <w:rFonts w:hint="cs"/>
          <w:rtl/>
        </w:rPr>
        <w:t xml:space="preserve"> ש"ח על ידי </w:t>
      </w:r>
      <w:proofErr w:type="spellStart"/>
      <w:r>
        <w:rPr>
          <w:rFonts w:hint="cs"/>
          <w:rtl/>
        </w:rPr>
        <w:t>מרציאנו</w:t>
      </w:r>
      <w:proofErr w:type="spellEnd"/>
      <w:r>
        <w:rPr>
          <w:rFonts w:hint="cs"/>
          <w:rtl/>
        </w:rPr>
        <w:t xml:space="preserve"> ו-</w:t>
      </w:r>
      <w:r w:rsidRPr="00363CF9">
        <w:rPr>
          <w:rFonts w:ascii="FrankRuehl" w:hAnsi="FrankRuehl"/>
          <w:sz w:val="28"/>
        </w:rPr>
        <w:t>4,052,399</w:t>
      </w:r>
      <w:r>
        <w:rPr>
          <w:rFonts w:hint="cs"/>
          <w:rtl/>
        </w:rPr>
        <w:t xml:space="preserve"> ש"ח על ידי </w:t>
      </w:r>
      <w:proofErr w:type="spellStart"/>
      <w:r>
        <w:rPr>
          <w:rFonts w:hint="cs"/>
          <w:rtl/>
        </w:rPr>
        <w:t>אלקובי</w:t>
      </w:r>
      <w:proofErr w:type="spellEnd"/>
      <w:r>
        <w:rPr>
          <w:rFonts w:hint="cs"/>
          <w:rtl/>
        </w:rPr>
        <w:t xml:space="preserve">). תשלום זה תואם את הסכום שאותו חייבים היו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לשלם למערערת על פי סעיפי התמורה בששת הסכמי המכר (אם כי לא במועדים שנקבעו בהסכמים אלה). להוכחת התשלום מתבססת המערערת על שתי אסמכתאות מרכזיות: </w:t>
      </w:r>
      <w:r w:rsidRPr="00AA05C2">
        <w:rPr>
          <w:rFonts w:ascii="Miriam" w:hAnsi="Miriam" w:cs="Miriam" w:hint="eastAsia"/>
          <w:sz w:val="20"/>
          <w:szCs w:val="24"/>
          <w:rtl/>
        </w:rPr>
        <w:t>ראשית</w:t>
      </w:r>
      <w:r>
        <w:rPr>
          <w:rFonts w:hint="cs"/>
          <w:rtl/>
        </w:rPr>
        <w:t xml:space="preserve">, 6 חשבוניות מס שהוצאו על ידי המערערת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xml:space="preserve"> ביום 15.6.2008 (3 חשבוניות לכל אחד), בגין סכומים המייצגים את התמורה שנקבעה בהסכמי המכר לכל אחת מ-6 הדירות בערכים </w:t>
      </w:r>
      <w:proofErr w:type="spellStart"/>
      <w:r>
        <w:rPr>
          <w:rFonts w:hint="cs"/>
          <w:rtl/>
        </w:rPr>
        <w:t>שקליים</w:t>
      </w:r>
      <w:proofErr w:type="spellEnd"/>
      <w:r>
        <w:rPr>
          <w:rFonts w:hint="cs"/>
          <w:rtl/>
        </w:rPr>
        <w:t xml:space="preserve"> לפי שער החליפין של יום כריתת הסכמי המכר (3.7 ש"ח לדולר); </w:t>
      </w:r>
      <w:r w:rsidRPr="00AA05C2">
        <w:rPr>
          <w:rFonts w:ascii="Miriam" w:hAnsi="Miriam" w:cs="Miriam" w:hint="eastAsia"/>
          <w:sz w:val="20"/>
          <w:szCs w:val="24"/>
          <w:rtl/>
        </w:rPr>
        <w:t>שנית</w:t>
      </w:r>
      <w:r>
        <w:rPr>
          <w:rFonts w:hint="cs"/>
          <w:rtl/>
        </w:rPr>
        <w:t xml:space="preserve">, רישומים בכרטסת </w:t>
      </w:r>
      <w:proofErr w:type="spellStart"/>
      <w:r>
        <w:rPr>
          <w:rFonts w:hint="cs"/>
          <w:rtl/>
        </w:rPr>
        <w:t>החו"ז</w:t>
      </w:r>
      <w:proofErr w:type="spellEnd"/>
      <w:r>
        <w:rPr>
          <w:rFonts w:hint="cs"/>
          <w:rtl/>
        </w:rPr>
        <w:t xml:space="preserve"> של המערערת, בהם חויבו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בסכומי החשבוניות (תוך הפנייה למספר החשבונית הרלוונטית). לשיטת המערערת, די בראיות אל</w:t>
      </w:r>
      <w:r w:rsidR="00827C3A">
        <w:rPr>
          <w:rFonts w:hint="cs"/>
          <w:rtl/>
        </w:rPr>
        <w:t>ו</w:t>
      </w:r>
      <w:r>
        <w:rPr>
          <w:rFonts w:hint="cs"/>
          <w:rtl/>
        </w:rPr>
        <w:t xml:space="preserve"> כדי ללמד כי קיבלה את התשלום האמור עובר לחודש יוני 2009 (תשלום שהצדדים להסכמי המכר ייחסו לדירות </w:t>
      </w:r>
      <w:r w:rsidR="004E68D0">
        <w:rPr>
          <w:rFonts w:hint="cs"/>
          <w:rtl/>
        </w:rPr>
        <w:t>בבניין הישן</w:t>
      </w:r>
      <w:r>
        <w:rPr>
          <w:rFonts w:hint="cs"/>
          <w:rtl/>
        </w:rPr>
        <w:t>, ובית המשפט ראה אותו כמתייחס לדירות חדשות).</w:t>
      </w:r>
    </w:p>
    <w:p w:rsidR="006E1F18" w:rsidRDefault="006E1F18" w:rsidP="006E1F18">
      <w:pPr>
        <w:pStyle w:val="Ruller41"/>
        <w:rPr>
          <w:rtl/>
        </w:rPr>
      </w:pPr>
    </w:p>
    <w:p w:rsidR="006E1F18" w:rsidRDefault="006E1F18" w:rsidP="007C22EF">
      <w:pPr>
        <w:pStyle w:val="Ruller4"/>
        <w:rPr>
          <w:rtl/>
        </w:rPr>
      </w:pPr>
      <w:r>
        <w:rPr>
          <w:rFonts w:hint="cs"/>
          <w:rtl/>
        </w:rPr>
        <w:t>בית המשפט קמא דחה כאמור את טענת המערערת, וסבר כי נדרשות ראיות נוספות המלמדות על כך שהתשלומים על פי הסכמי המכר בוצעו הלכה למעשה</w:t>
      </w:r>
      <w:r w:rsidR="007C22EF">
        <w:rPr>
          <w:rFonts w:hint="cs"/>
          <w:rtl/>
        </w:rPr>
        <w:t xml:space="preserve">, </w:t>
      </w:r>
      <w:r>
        <w:rPr>
          <w:rFonts w:hint="cs"/>
          <w:rtl/>
        </w:rPr>
        <w:lastRenderedPageBreak/>
        <w:t xml:space="preserve">והתקבלו אצל המערערת על חשבון העסקה. ואולם, אם אכן כשיטת המערערת התשלום בוצע באמצעות קיזוז יתרות הזכות שעמדו אצלה לטובת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לא ברור מדוע אין די בראיות שהציגה המערערת. וזאת יש לזכור, על פי המשפט האזרחי, קיזוז היא דרך לגיטימית לפירעון חוב. עמד על כך פרופ' מנחם </w:t>
      </w:r>
      <w:proofErr w:type="spellStart"/>
      <w:r>
        <w:rPr>
          <w:rFonts w:hint="cs"/>
          <w:rtl/>
        </w:rPr>
        <w:t>מאוטנר</w:t>
      </w:r>
      <w:proofErr w:type="spellEnd"/>
      <w:r>
        <w:rPr>
          <w:rFonts w:hint="cs"/>
          <w:rtl/>
        </w:rPr>
        <w:t xml:space="preserve"> בציינו:</w:t>
      </w:r>
    </w:p>
    <w:p w:rsidR="006E1F18" w:rsidRDefault="006E1F18" w:rsidP="006E1F18">
      <w:pPr>
        <w:pStyle w:val="Ruller41"/>
        <w:rPr>
          <w:rtl/>
        </w:rPr>
      </w:pPr>
    </w:p>
    <w:p w:rsidR="006E1F18" w:rsidRDefault="006E1F18" w:rsidP="006E1F18">
      <w:pPr>
        <w:pStyle w:val="Ruller5"/>
        <w:rPr>
          <w:rtl/>
        </w:rPr>
      </w:pPr>
      <w:r>
        <w:rPr>
          <w:rFonts w:hint="cs"/>
          <w:rtl/>
        </w:rPr>
        <w:t xml:space="preserve">קיזוז של עזרה עצמית הוא דרך לתשלום חובות. בשיטות משפט מתוקנות נקבע "הילך חוקי", הינו נכס, שבאמצעות מסירתו לנושה, חייב ייחשב כמי שקיים כלפי הנושה חיוב של תשלום כסף. עם זאת מסירתו של "הילך חוקי" אינה ממצה את הדרכים שבהן יכול חייב לקיים חיוב, שתוכנו תשלום כסף. נושה וחייב רשאים להסכים ביניהם, במפורש או מכללא, כי התשלום יעשה בדרך אחרת, כגון מתן מסמך סחיר או זיכוי חשבונו של הנושה בבנק או אף בדרך של המחאת זכות לגבייתו של חוב. לצד דרכים אלו, הקיזוז של עזרה עצמית הוא דרך נוספת לתשלום, שמקורה בדין או בהסכמת הצדדים. הוא מביא לקיומם ולהפקעתם של שני החיובים המקוזזים, בשיעור הקיזוז. משמע: בעקבות הקיזוז, נחשב חובו של חייב לנושה משולם בשיעור הקיזוז והוא הדין בחיובו של הנושה לחייב (מנחם </w:t>
      </w:r>
      <w:proofErr w:type="spellStart"/>
      <w:r>
        <w:rPr>
          <w:rFonts w:hint="cs"/>
          <w:rtl/>
        </w:rPr>
        <w:t>מאוטנר</w:t>
      </w:r>
      <w:proofErr w:type="spellEnd"/>
      <w:r>
        <w:rPr>
          <w:rFonts w:hint="cs"/>
          <w:rtl/>
        </w:rPr>
        <w:t xml:space="preserve"> "קיזוז" </w:t>
      </w:r>
      <w:r w:rsidRPr="00363CF9">
        <w:rPr>
          <w:rFonts w:ascii="Century" w:hAnsi="Century" w:cs="Miriam" w:hint="eastAsia"/>
          <w:b/>
          <w:spacing w:val="0"/>
          <w:szCs w:val="24"/>
          <w:rtl/>
        </w:rPr>
        <w:t>דיני</w:t>
      </w:r>
      <w:r w:rsidRPr="00363CF9">
        <w:rPr>
          <w:rFonts w:ascii="Century" w:hAnsi="Century" w:cs="Miriam"/>
          <w:b/>
          <w:spacing w:val="0"/>
          <w:szCs w:val="24"/>
          <w:rtl/>
        </w:rPr>
        <w:t xml:space="preserve"> </w:t>
      </w:r>
      <w:r w:rsidRPr="00363CF9">
        <w:rPr>
          <w:rFonts w:ascii="Century" w:hAnsi="Century" w:cs="Miriam" w:hint="eastAsia"/>
          <w:b/>
          <w:spacing w:val="0"/>
          <w:szCs w:val="24"/>
          <w:rtl/>
        </w:rPr>
        <w:t>חיובים</w:t>
      </w:r>
      <w:r>
        <w:rPr>
          <w:rFonts w:ascii="Century" w:hAnsi="Century" w:cs="Miriam" w:hint="cs"/>
          <w:b/>
          <w:spacing w:val="0"/>
          <w:szCs w:val="24"/>
          <w:rtl/>
        </w:rPr>
        <w:t>:</w:t>
      </w:r>
      <w:r w:rsidRPr="00363CF9">
        <w:rPr>
          <w:rFonts w:ascii="Century" w:hAnsi="Century" w:cs="Miriam"/>
          <w:b/>
          <w:spacing w:val="0"/>
          <w:szCs w:val="24"/>
          <w:rtl/>
        </w:rPr>
        <w:t xml:space="preserve"> </w:t>
      </w:r>
      <w:r w:rsidRPr="00363CF9">
        <w:rPr>
          <w:rFonts w:ascii="Century" w:hAnsi="Century" w:cs="Miriam" w:hint="eastAsia"/>
          <w:b/>
          <w:spacing w:val="0"/>
          <w:szCs w:val="24"/>
          <w:rtl/>
        </w:rPr>
        <w:t>חלק</w:t>
      </w:r>
      <w:r w:rsidRPr="00363CF9">
        <w:rPr>
          <w:rFonts w:ascii="Century" w:hAnsi="Century" w:cs="Miriam"/>
          <w:b/>
          <w:spacing w:val="0"/>
          <w:szCs w:val="24"/>
          <w:rtl/>
        </w:rPr>
        <w:t xml:space="preserve"> </w:t>
      </w:r>
      <w:r w:rsidRPr="00363CF9">
        <w:rPr>
          <w:rFonts w:ascii="Century" w:hAnsi="Century" w:cs="Miriam" w:hint="eastAsia"/>
          <w:b/>
          <w:spacing w:val="0"/>
          <w:szCs w:val="24"/>
          <w:rtl/>
        </w:rPr>
        <w:t>כללי</w:t>
      </w:r>
      <w:r w:rsidRPr="00120E60">
        <w:rPr>
          <w:rtl/>
        </w:rPr>
        <w:t xml:space="preserve"> </w:t>
      </w:r>
      <w:r>
        <w:rPr>
          <w:rFonts w:hint="cs"/>
          <w:rtl/>
        </w:rPr>
        <w:t>462, 468 (דניאל פרידמן עורך, 1994) (להלן: "</w:t>
      </w:r>
      <w:proofErr w:type="spellStart"/>
      <w:r w:rsidRPr="00363CF9">
        <w:rPr>
          <w:rFonts w:ascii="Century" w:hAnsi="Century" w:cs="Miriam" w:hint="eastAsia"/>
          <w:b/>
          <w:spacing w:val="0"/>
          <w:szCs w:val="24"/>
          <w:rtl/>
        </w:rPr>
        <w:t>מאוטנר</w:t>
      </w:r>
      <w:proofErr w:type="spellEnd"/>
      <w:r>
        <w:rPr>
          <w:rFonts w:hint="cs"/>
          <w:rtl/>
        </w:rPr>
        <w:t xml:space="preserve">")). </w:t>
      </w:r>
    </w:p>
    <w:p w:rsidR="006E1F18" w:rsidRPr="00363CF9" w:rsidRDefault="006E1F18" w:rsidP="006E1F18">
      <w:pPr>
        <w:pStyle w:val="Ruller5"/>
      </w:pPr>
    </w:p>
    <w:p w:rsidR="006E1F18" w:rsidRDefault="006E1F18" w:rsidP="006E1F18">
      <w:pPr>
        <w:pStyle w:val="Ruller41"/>
        <w:rPr>
          <w:rtl/>
        </w:rPr>
      </w:pPr>
      <w:r>
        <w:rPr>
          <w:rtl/>
        </w:rPr>
        <w:tab/>
      </w:r>
      <w:r>
        <w:rPr>
          <w:rFonts w:hint="cs"/>
          <w:rtl/>
        </w:rPr>
        <w:t>קיזוז מבוצע בהודעה של צד אחד למשנהו, או בהסכמה ביניהם, כי החובות ההדדיים ישמשו זה לפירעונו של זה (ראו: סעיף 53 לחוק החוזים (חלק כללי), התשל"ג-1973 (להלן: ״</w:t>
      </w:r>
      <w:r w:rsidRPr="00BB2059">
        <w:rPr>
          <w:rFonts w:ascii="Century" w:hAnsi="Century" w:cs="Miriam" w:hint="eastAsia"/>
          <w:b/>
          <w:spacing w:val="0"/>
          <w:szCs w:val="24"/>
          <w:rtl/>
        </w:rPr>
        <w:t>חוק</w:t>
      </w:r>
      <w:r w:rsidRPr="00BB2059">
        <w:rPr>
          <w:rFonts w:ascii="Century" w:hAnsi="Century" w:cs="Miriam"/>
          <w:b/>
          <w:spacing w:val="0"/>
          <w:szCs w:val="24"/>
          <w:rtl/>
        </w:rPr>
        <w:t xml:space="preserve"> </w:t>
      </w:r>
      <w:r w:rsidRPr="00BB2059">
        <w:rPr>
          <w:rFonts w:ascii="Century" w:hAnsi="Century" w:cs="Miriam" w:hint="eastAsia"/>
          <w:b/>
          <w:spacing w:val="0"/>
          <w:szCs w:val="24"/>
          <w:rtl/>
        </w:rPr>
        <w:t>החוזים</w:t>
      </w:r>
      <w:r>
        <w:rPr>
          <w:rFonts w:hint="cs"/>
          <w:rtl/>
        </w:rPr>
        <w:t xml:space="preserve">״), וכן </w:t>
      </w:r>
      <w:proofErr w:type="spellStart"/>
      <w:r w:rsidRPr="00363CF9">
        <w:rPr>
          <w:rFonts w:ascii="Century" w:hAnsi="Century" w:cs="Miriam" w:hint="eastAsia"/>
          <w:b/>
          <w:spacing w:val="0"/>
          <w:szCs w:val="24"/>
          <w:rtl/>
        </w:rPr>
        <w:t>מאוטנר</w:t>
      </w:r>
      <w:proofErr w:type="spellEnd"/>
      <w:r>
        <w:rPr>
          <w:rFonts w:hint="cs"/>
          <w:rtl/>
        </w:rPr>
        <w:t xml:space="preserve">, בעמ' 481-479, 526-518; השוו גם: ע"א 476/82 </w:t>
      </w:r>
      <w:r w:rsidRPr="00363CF9">
        <w:rPr>
          <w:rFonts w:ascii="Century" w:hAnsi="Century" w:cs="Miriam"/>
          <w:b/>
          <w:spacing w:val="0"/>
          <w:szCs w:val="24"/>
          <w:rtl/>
        </w:rPr>
        <w:t>"</w:t>
      </w:r>
      <w:r w:rsidRPr="00363CF9">
        <w:rPr>
          <w:rFonts w:ascii="Century" w:hAnsi="Century" w:cs="Miriam" w:hint="eastAsia"/>
          <w:b/>
          <w:spacing w:val="0"/>
          <w:szCs w:val="24"/>
          <w:rtl/>
        </w:rPr>
        <w:t>תדהר</w:t>
      </w:r>
      <w:r w:rsidRPr="00363CF9">
        <w:rPr>
          <w:rFonts w:ascii="Century" w:hAnsi="Century" w:cs="Miriam"/>
          <w:b/>
          <w:spacing w:val="0"/>
          <w:szCs w:val="24"/>
          <w:rtl/>
        </w:rPr>
        <w:t xml:space="preserve">" </w:t>
      </w:r>
      <w:r w:rsidRPr="00363CF9">
        <w:rPr>
          <w:rFonts w:ascii="Century" w:hAnsi="Century" w:cs="Miriam" w:hint="eastAsia"/>
          <w:b/>
          <w:spacing w:val="0"/>
          <w:szCs w:val="24"/>
          <w:rtl/>
        </w:rPr>
        <w:t>נגריה</w:t>
      </w:r>
      <w:r w:rsidRPr="00363CF9">
        <w:rPr>
          <w:rFonts w:ascii="Century" w:hAnsi="Century" w:cs="Miriam"/>
          <w:b/>
          <w:spacing w:val="0"/>
          <w:szCs w:val="24"/>
          <w:rtl/>
        </w:rPr>
        <w:t xml:space="preserve"> </w:t>
      </w:r>
      <w:r w:rsidRPr="00363CF9">
        <w:rPr>
          <w:rFonts w:ascii="Century" w:hAnsi="Century" w:cs="Miriam" w:hint="eastAsia"/>
          <w:b/>
          <w:spacing w:val="0"/>
          <w:szCs w:val="24"/>
          <w:rtl/>
        </w:rPr>
        <w:t>קואופרטיבית</w:t>
      </w:r>
      <w:r w:rsidRPr="00363CF9">
        <w:rPr>
          <w:rFonts w:ascii="Century" w:hAnsi="Century" w:cs="Miriam"/>
          <w:b/>
          <w:spacing w:val="0"/>
          <w:szCs w:val="24"/>
          <w:rtl/>
        </w:rPr>
        <w:t xml:space="preserve"> </w:t>
      </w:r>
      <w:r w:rsidRPr="00363CF9">
        <w:rPr>
          <w:rFonts w:ascii="Century" w:hAnsi="Century" w:cs="Miriam" w:hint="eastAsia"/>
          <w:b/>
          <w:spacing w:val="0"/>
          <w:szCs w:val="24"/>
          <w:rtl/>
        </w:rPr>
        <w:t>בע</w:t>
      </w:r>
      <w:r w:rsidRPr="00363CF9">
        <w:rPr>
          <w:rFonts w:ascii="Century" w:hAnsi="Century" w:cs="Miriam"/>
          <w:b/>
          <w:spacing w:val="0"/>
          <w:szCs w:val="24"/>
          <w:rtl/>
        </w:rPr>
        <w:t>"</w:t>
      </w:r>
      <w:r w:rsidRPr="00363CF9">
        <w:rPr>
          <w:rFonts w:ascii="Century" w:hAnsi="Century" w:cs="Miriam" w:hint="eastAsia"/>
          <w:b/>
          <w:spacing w:val="0"/>
          <w:szCs w:val="24"/>
          <w:rtl/>
        </w:rPr>
        <w:t>מ</w:t>
      </w:r>
      <w:r w:rsidRPr="00363CF9">
        <w:rPr>
          <w:rFonts w:ascii="Century" w:hAnsi="Century" w:cs="Miriam"/>
          <w:b/>
          <w:spacing w:val="0"/>
          <w:szCs w:val="24"/>
          <w:rtl/>
        </w:rPr>
        <w:t xml:space="preserve"> (</w:t>
      </w:r>
      <w:r w:rsidRPr="00363CF9">
        <w:rPr>
          <w:rFonts w:ascii="Century" w:hAnsi="Century" w:cs="Miriam" w:hint="eastAsia"/>
          <w:b/>
          <w:spacing w:val="0"/>
          <w:szCs w:val="24"/>
          <w:rtl/>
        </w:rPr>
        <w:t>בפירוק</w:t>
      </w:r>
      <w:r w:rsidRPr="00363CF9">
        <w:rPr>
          <w:rFonts w:ascii="Century" w:hAnsi="Century" w:cs="Miriam"/>
          <w:b/>
          <w:spacing w:val="0"/>
          <w:szCs w:val="24"/>
          <w:rtl/>
        </w:rPr>
        <w:t xml:space="preserve">) </w:t>
      </w:r>
      <w:r w:rsidRPr="00363CF9">
        <w:rPr>
          <w:rFonts w:ascii="Century" w:hAnsi="Century" w:cs="Miriam" w:hint="eastAsia"/>
          <w:b/>
          <w:spacing w:val="0"/>
          <w:szCs w:val="24"/>
          <w:rtl/>
        </w:rPr>
        <w:t>נ</w:t>
      </w:r>
      <w:r w:rsidRPr="00363CF9">
        <w:rPr>
          <w:rFonts w:ascii="Century" w:hAnsi="Century" w:cs="Miriam"/>
          <w:b/>
          <w:spacing w:val="0"/>
          <w:szCs w:val="24"/>
          <w:rtl/>
        </w:rPr>
        <w:t xml:space="preserve">' </w:t>
      </w:r>
      <w:proofErr w:type="spellStart"/>
      <w:r w:rsidRPr="00363CF9">
        <w:rPr>
          <w:rFonts w:ascii="Century" w:hAnsi="Century" w:cs="Miriam" w:hint="eastAsia"/>
          <w:b/>
          <w:spacing w:val="0"/>
          <w:szCs w:val="24"/>
          <w:rtl/>
        </w:rPr>
        <w:t>מרקוביץ</w:t>
      </w:r>
      <w:proofErr w:type="spellEnd"/>
      <w:r>
        <w:rPr>
          <w:rFonts w:hint="cs"/>
          <w:rtl/>
        </w:rPr>
        <w:t xml:space="preserve">, פ"ד לט(2) 813, 820 (1985)). מבחינתו של כל אחד מהצדדים, הקיזוז הוא בו זמנית תשלום חובו לצד שכנגד, וקבלת פירעון של נשייתו, וזאת עד כדי גובהם המשותף של החיובים ההדדיים. כך, למשל, אם אמנון חייב לתמר 100 ותמר חייבת לאמנון 70, הרי שקיזוז משמעו כי אמנון פורע לתמר, ותמר פורעת לאמנון, חובות של 70, ונותרת חבות של אמנון כלפי תמר בגובה 30. </w:t>
      </w:r>
    </w:p>
    <w:p w:rsidR="006E1F18" w:rsidRDefault="006E1F18" w:rsidP="006E1F18">
      <w:pPr>
        <w:pStyle w:val="Ruller41"/>
        <w:rPr>
          <w:rtl/>
        </w:rPr>
      </w:pPr>
    </w:p>
    <w:p w:rsidR="006E1F18" w:rsidRDefault="006E1F18" w:rsidP="007C22EF">
      <w:pPr>
        <w:pStyle w:val="Ruller4"/>
      </w:pPr>
      <w:r>
        <w:rPr>
          <w:rFonts w:hint="cs"/>
          <w:rtl/>
        </w:rPr>
        <w:t>נשוב לבחינת ענייננו. כאמור, במועדים שונים שקדמ</w:t>
      </w:r>
      <w:r w:rsidR="005751B6">
        <w:rPr>
          <w:rFonts w:hint="cs"/>
          <w:rtl/>
        </w:rPr>
        <w:t>ו</w:t>
      </w:r>
      <w:r>
        <w:rPr>
          <w:rFonts w:hint="cs"/>
          <w:rtl/>
        </w:rPr>
        <w:t xml:space="preserve"> ליום 15.6.2008 הועברו לחשבון הבנק של המערערת כספים שונים, אשר בזמן אמת נרשמו לזכותם של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בכרטיסי </w:t>
      </w:r>
      <w:proofErr w:type="spellStart"/>
      <w:r>
        <w:rPr>
          <w:rFonts w:hint="cs"/>
          <w:rtl/>
        </w:rPr>
        <w:t>חו"ז</w:t>
      </w:r>
      <w:proofErr w:type="spellEnd"/>
      <w:r>
        <w:rPr>
          <w:rFonts w:hint="cs"/>
          <w:rtl/>
        </w:rPr>
        <w:t xml:space="preserve"> אצל המערערת. כתוצאה מכך, נוצרו יתרות זכות אצל המערערת לטובת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ויובהר, אין חולק כי העברות הכספים בהן מדובר הן העברות ממשיות, שכן נמצא להן תיעוד בחשבון הבנק של המערערת. אכן, מרבית ההעברות הללו בוצעו על ידי צדדים שלישיים, ואולם, אין כל מניעה על פי המשפט הישראלי לכך שתשלום שבוצע על ידי פלוני ייזקף אצל מקבל התשלום לזכותו של אלמוני. כך, אפילו </w:t>
      </w:r>
      <w:r>
        <w:rPr>
          <w:rFonts w:hint="cs"/>
          <w:rtl/>
        </w:rPr>
        <w:lastRenderedPageBreak/>
        <w:t>כשמדובר בקיום חיוב של אלמוני, לא כל שכן ביצירת יתרת זכות לטובת אלמוני (והשוו סעיף 40 לחוק החוזים: "</w:t>
      </w:r>
      <w:r w:rsidRPr="005A260D">
        <w:rPr>
          <w:rFonts w:ascii="Century" w:hAnsi="Century" w:cs="Miriam" w:hint="eastAsia"/>
          <w:b/>
          <w:spacing w:val="0"/>
          <w:sz w:val="22"/>
          <w:szCs w:val="24"/>
          <w:rtl/>
        </w:rPr>
        <w:t>חיוב</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יכול</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שיקויים</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בידי</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אדם</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שאיננו</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החייב</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זולת</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אם</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לפי</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מהות</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החיוב</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או</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לפי</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המוסכם</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בין</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הצדדים</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על</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החייב</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לקיימו</w:t>
      </w:r>
      <w:r w:rsidRPr="005A260D">
        <w:rPr>
          <w:rFonts w:ascii="Century" w:hAnsi="Century" w:cs="Miriam"/>
          <w:b/>
          <w:spacing w:val="0"/>
          <w:sz w:val="22"/>
          <w:szCs w:val="24"/>
          <w:rtl/>
        </w:rPr>
        <w:t xml:space="preserve"> </w:t>
      </w:r>
      <w:r w:rsidRPr="005A260D">
        <w:rPr>
          <w:rFonts w:ascii="Century" w:hAnsi="Century" w:cs="Miriam" w:hint="eastAsia"/>
          <w:b/>
          <w:spacing w:val="0"/>
          <w:sz w:val="22"/>
          <w:szCs w:val="24"/>
          <w:rtl/>
        </w:rPr>
        <w:t>אישית</w:t>
      </w:r>
      <w:r>
        <w:rPr>
          <w:rFonts w:hint="cs"/>
          <w:rtl/>
        </w:rPr>
        <w:t>"</w:t>
      </w:r>
      <w:r w:rsidRPr="00363CF9">
        <w:rPr>
          <w:rtl/>
        </w:rPr>
        <w:t>.</w:t>
      </w:r>
      <w:r>
        <w:rPr>
          <w:rFonts w:hint="cs"/>
          <w:rtl/>
        </w:rPr>
        <w:t xml:space="preserve"> הדוגמה המובהקת לחיוב שעל פי מהותו אין מניעה שיקויים בידי אדם שאינו החייב היא התחייבות לתשלום כספי. ראו דניאל פרידמן ונילי כהן </w:t>
      </w:r>
      <w:r w:rsidRPr="005A260D">
        <w:rPr>
          <w:rFonts w:ascii="Century" w:hAnsi="Century" w:cs="Miriam" w:hint="eastAsia"/>
          <w:b/>
          <w:spacing w:val="0"/>
          <w:sz w:val="22"/>
          <w:szCs w:val="24"/>
          <w:rtl/>
        </w:rPr>
        <w:t>חוזים</w:t>
      </w:r>
      <w:r w:rsidRPr="00363CF9">
        <w:rPr>
          <w:rtl/>
        </w:rPr>
        <w:t xml:space="preserve"> </w:t>
      </w:r>
      <w:r w:rsidRPr="00363CF9">
        <w:rPr>
          <w:rFonts w:hint="eastAsia"/>
          <w:rtl/>
        </w:rPr>
        <w:t>כרך</w:t>
      </w:r>
      <w:r w:rsidRPr="00363CF9">
        <w:rPr>
          <w:rtl/>
        </w:rPr>
        <w:t xml:space="preserve"> </w:t>
      </w:r>
      <w:r w:rsidRPr="00363CF9">
        <w:rPr>
          <w:rFonts w:hint="eastAsia"/>
          <w:rtl/>
        </w:rPr>
        <w:t>ג</w:t>
      </w:r>
      <w:r>
        <w:rPr>
          <w:rFonts w:hint="cs"/>
          <w:rtl/>
        </w:rPr>
        <w:t xml:space="preserve"> 409-408</w:t>
      </w:r>
      <w:r w:rsidRPr="00363CF9">
        <w:rPr>
          <w:rtl/>
        </w:rPr>
        <w:t xml:space="preserve"> (</w:t>
      </w:r>
      <w:r>
        <w:rPr>
          <w:rFonts w:hint="cs"/>
          <w:rtl/>
        </w:rPr>
        <w:t>2003</w:t>
      </w:r>
      <w:r w:rsidRPr="00363CF9">
        <w:rPr>
          <w:rtl/>
        </w:rPr>
        <w:t>)</w:t>
      </w:r>
      <w:r>
        <w:rPr>
          <w:rFonts w:hint="cs"/>
          <w:rtl/>
        </w:rPr>
        <w:t xml:space="preserve">). לעניין זה, זקיפת הכספים בזמן אמת לזכות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בכרטיסי </w:t>
      </w:r>
      <w:proofErr w:type="spellStart"/>
      <w:r>
        <w:rPr>
          <w:rFonts w:hint="cs"/>
          <w:rtl/>
        </w:rPr>
        <w:t>החו"ז</w:t>
      </w:r>
      <w:proofErr w:type="spellEnd"/>
      <w:r>
        <w:rPr>
          <w:rFonts w:hint="cs"/>
          <w:rtl/>
        </w:rPr>
        <w:t xml:space="preserve"> שלהם אצל המערערת מהווה אינדיקציה חזקה לכך שהסכום בו מדובר, גם אם הועבר על ידי צד שלישי, הוא סכום שיש לראותו כאילו התקבל על ידי המערערת בשעתו </w:t>
      </w:r>
      <w:proofErr w:type="spellStart"/>
      <w:r>
        <w:rPr>
          <w:rFonts w:hint="cs"/>
          <w:rtl/>
        </w:rPr>
        <w:t>מאלקובי</w:t>
      </w:r>
      <w:proofErr w:type="spellEnd"/>
      <w:r>
        <w:rPr>
          <w:rFonts w:hint="cs"/>
          <w:rtl/>
        </w:rPr>
        <w:t xml:space="preserve"> </w:t>
      </w:r>
      <w:proofErr w:type="spellStart"/>
      <w:r>
        <w:rPr>
          <w:rFonts w:hint="cs"/>
          <w:rtl/>
        </w:rPr>
        <w:t>ומרציאנו</w:t>
      </w:r>
      <w:proofErr w:type="spellEnd"/>
      <w:r>
        <w:rPr>
          <w:rFonts w:hint="cs"/>
          <w:rtl/>
        </w:rPr>
        <w:t>. מכל מקום, חומר הראיות, אף לשיטתו של בית המשפט קמא, אינו מבסס טעם משכנע לקבוע ש</w:t>
      </w:r>
      <w:r w:rsidR="007C22EF">
        <w:rPr>
          <w:rFonts w:hint="cs"/>
          <w:rtl/>
        </w:rPr>
        <w:t xml:space="preserve">לא דובר </w:t>
      </w:r>
      <w:r>
        <w:rPr>
          <w:rFonts w:hint="cs"/>
          <w:rtl/>
        </w:rPr>
        <w:t>ביתר</w:t>
      </w:r>
      <w:r w:rsidR="007C22EF">
        <w:rPr>
          <w:rFonts w:hint="cs"/>
          <w:rtl/>
        </w:rPr>
        <w:t>ו</w:t>
      </w:r>
      <w:r>
        <w:rPr>
          <w:rFonts w:hint="cs"/>
          <w:rtl/>
        </w:rPr>
        <w:t xml:space="preserve">ת זכות </w:t>
      </w:r>
      <w:proofErr w:type="spellStart"/>
      <w:r>
        <w:rPr>
          <w:rFonts w:hint="cs"/>
          <w:rtl/>
        </w:rPr>
        <w:t>אמ</w:t>
      </w:r>
      <w:r w:rsidR="00602869">
        <w:rPr>
          <w:rFonts w:hint="cs"/>
          <w:rtl/>
        </w:rPr>
        <w:t>י</w:t>
      </w:r>
      <w:r>
        <w:rPr>
          <w:rFonts w:hint="cs"/>
          <w:rtl/>
        </w:rPr>
        <w:t>תי</w:t>
      </w:r>
      <w:r w:rsidR="007C22EF">
        <w:rPr>
          <w:rFonts w:hint="cs"/>
          <w:rtl/>
        </w:rPr>
        <w:t>ו</w:t>
      </w:r>
      <w:r w:rsidR="00101B98">
        <w:rPr>
          <w:rFonts w:hint="cs"/>
          <w:rtl/>
        </w:rPr>
        <w:t>ת</w:t>
      </w:r>
      <w:proofErr w:type="spellEnd"/>
      <w:r w:rsidR="00101B98">
        <w:rPr>
          <w:rFonts w:hint="cs"/>
          <w:rtl/>
        </w:rPr>
        <w:t>.</w:t>
      </w:r>
    </w:p>
    <w:p w:rsidR="006E1F18" w:rsidRDefault="006E1F18" w:rsidP="006E1F18">
      <w:pPr>
        <w:pStyle w:val="Ruller4"/>
        <w:numPr>
          <w:ilvl w:val="0"/>
          <w:numId w:val="0"/>
        </w:numPr>
        <w:rPr>
          <w:rtl/>
        </w:rPr>
      </w:pPr>
      <w:r>
        <w:rPr>
          <w:rtl/>
        </w:rPr>
        <w:tab/>
      </w:r>
    </w:p>
    <w:p w:rsidR="006E1F18" w:rsidRDefault="006E1F18" w:rsidP="007C22EF">
      <w:pPr>
        <w:pStyle w:val="Ruller4"/>
      </w:pPr>
      <w:r>
        <w:rPr>
          <w:rFonts w:hint="cs"/>
          <w:rtl/>
        </w:rPr>
        <w:t xml:space="preserve">ביום 15.6.2008, או בסמוך לפני כן, הסכימו הצדדים על כך שתשלום התמורה על פי הסכמי המכר יעשה באמצעות חיוב כרטיסי </w:t>
      </w:r>
      <w:proofErr w:type="spellStart"/>
      <w:r>
        <w:rPr>
          <w:rFonts w:hint="cs"/>
          <w:rtl/>
        </w:rPr>
        <w:t>החו"ז</w:t>
      </w:r>
      <w:proofErr w:type="spellEnd"/>
      <w:r>
        <w:rPr>
          <w:rFonts w:hint="cs"/>
          <w:rtl/>
        </w:rPr>
        <w:t xml:space="preserve"> של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אצל המערערת, וכנגד הוצאת חשבוניות על ידי המערערת, וכך נעשה בפועל. משמעות הדבר היא שיתרות הזכות שהיו רשומות לטובת</w:t>
      </w:r>
      <w:r w:rsidRPr="00AB2E8E">
        <w:rPr>
          <w:rFonts w:hint="cs"/>
          <w:rtl/>
        </w:rPr>
        <w:t xml:space="preserve">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קוזזו כנגד החיובים הכספיים שחבו למערערת מכוח הסכמי המכר, באופן שפרע חלק מהתמורה על חשבון הדירות. בכך התקבל תקבול אצל המערערת בגובה קיזוז </w:t>
      </w:r>
      <w:r w:rsidRPr="007D310A">
        <w:rPr>
          <w:rFonts w:ascii="Century" w:hAnsi="Century" w:cs="Miriam" w:hint="cs"/>
          <w:b/>
          <w:spacing w:val="0"/>
          <w:sz w:val="22"/>
          <w:szCs w:val="24"/>
          <w:rtl/>
        </w:rPr>
        <w:t>יתר</w:t>
      </w:r>
      <w:r w:rsidR="007C22EF">
        <w:rPr>
          <w:rFonts w:ascii="Century" w:hAnsi="Century" w:cs="Miriam" w:hint="cs"/>
          <w:b/>
          <w:spacing w:val="0"/>
          <w:sz w:val="22"/>
          <w:szCs w:val="24"/>
          <w:rtl/>
        </w:rPr>
        <w:t>ו</w:t>
      </w:r>
      <w:r w:rsidRPr="007D310A">
        <w:rPr>
          <w:rFonts w:ascii="Century" w:hAnsi="Century" w:cs="Miriam" w:hint="cs"/>
          <w:b/>
          <w:spacing w:val="0"/>
          <w:sz w:val="22"/>
          <w:szCs w:val="24"/>
          <w:rtl/>
        </w:rPr>
        <w:t>ת הזכות</w:t>
      </w:r>
      <w:r w:rsidRPr="007D310A">
        <w:rPr>
          <w:rFonts w:hint="cs"/>
          <w:rtl/>
        </w:rPr>
        <w:t xml:space="preserve"> </w:t>
      </w:r>
      <w:r>
        <w:rPr>
          <w:rFonts w:hint="cs"/>
          <w:rtl/>
        </w:rPr>
        <w:t>שעמד</w:t>
      </w:r>
      <w:r w:rsidR="007C22EF">
        <w:rPr>
          <w:rFonts w:hint="cs"/>
          <w:rtl/>
        </w:rPr>
        <w:t>ו</w:t>
      </w:r>
      <w:r>
        <w:rPr>
          <w:rFonts w:hint="cs"/>
          <w:rtl/>
        </w:rPr>
        <w:t xml:space="preserve">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xml:space="preserve"> </w:t>
      </w:r>
      <w:r w:rsidR="007C22EF">
        <w:rPr>
          <w:rFonts w:hint="cs"/>
          <w:rtl/>
        </w:rPr>
        <w:t xml:space="preserve">אצל המערערת </w:t>
      </w:r>
      <w:r>
        <w:rPr>
          <w:rFonts w:hint="cs"/>
          <w:rtl/>
        </w:rPr>
        <w:t>עובר לביצוע הפעולה האמורה. היתרה מהתמורה על חשבון הדירות, שנותרה לאחר הקיזוז, היוותה חוב</w:t>
      </w:r>
      <w:r w:rsidR="007C22EF">
        <w:rPr>
          <w:rFonts w:hint="cs"/>
          <w:rtl/>
        </w:rPr>
        <w:t>ות</w:t>
      </w:r>
      <w:r>
        <w:rPr>
          <w:rFonts w:hint="cs"/>
          <w:rtl/>
        </w:rPr>
        <w:t xml:space="preserve"> של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כלפי המערערת. יתרה זו לא נפרעה לידי המערערת באותו המועד, אלא רק כאשר הופקדו כספים נוספים על ידי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(או על ידי אחרים בעבורם). מכאן, שבמועד בו חויבו כרטיסי </w:t>
      </w:r>
      <w:proofErr w:type="spellStart"/>
      <w:r>
        <w:rPr>
          <w:rFonts w:hint="cs"/>
          <w:rtl/>
        </w:rPr>
        <w:t>החו"ז</w:t>
      </w:r>
      <w:proofErr w:type="spellEnd"/>
      <w:r>
        <w:rPr>
          <w:rFonts w:hint="cs"/>
          <w:rtl/>
        </w:rPr>
        <w:t xml:space="preserve"> קיבלה המערערת תקבול, כטענתה, ואולם גובהו של התקבול לא היה מלוא גובה החיוב שבוצע בכרטיס </w:t>
      </w:r>
      <w:proofErr w:type="spellStart"/>
      <w:r>
        <w:rPr>
          <w:rFonts w:hint="cs"/>
          <w:rtl/>
        </w:rPr>
        <w:t>החו"ז</w:t>
      </w:r>
      <w:proofErr w:type="spellEnd"/>
      <w:r>
        <w:rPr>
          <w:rFonts w:hint="cs"/>
          <w:rtl/>
        </w:rPr>
        <w:t xml:space="preserve">, אלא רק כדי הסכום שיכלו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לפרוע לה באותו מועד על דרך הקיזוז, דהיינו בגובה </w:t>
      </w:r>
      <w:r w:rsidRPr="00D96BF2">
        <w:rPr>
          <w:rFonts w:ascii="Century" w:hAnsi="Century" w:cs="Miriam" w:hint="cs"/>
          <w:b/>
          <w:spacing w:val="0"/>
          <w:sz w:val="22"/>
          <w:szCs w:val="24"/>
          <w:rtl/>
        </w:rPr>
        <w:t>יתר</w:t>
      </w:r>
      <w:r w:rsidR="007C22EF">
        <w:rPr>
          <w:rFonts w:ascii="Century" w:hAnsi="Century" w:cs="Miriam" w:hint="cs"/>
          <w:b/>
          <w:spacing w:val="0"/>
          <w:sz w:val="22"/>
          <w:szCs w:val="24"/>
          <w:rtl/>
        </w:rPr>
        <w:t>ו</w:t>
      </w:r>
      <w:r w:rsidRPr="00D96BF2">
        <w:rPr>
          <w:rFonts w:ascii="Century" w:hAnsi="Century" w:cs="Miriam" w:hint="cs"/>
          <w:b/>
          <w:spacing w:val="0"/>
          <w:sz w:val="22"/>
          <w:szCs w:val="24"/>
          <w:rtl/>
        </w:rPr>
        <w:t>ת הזכות</w:t>
      </w:r>
      <w:r w:rsidRPr="00D96BF2">
        <w:rPr>
          <w:rFonts w:hint="cs"/>
          <w:rtl/>
        </w:rPr>
        <w:t xml:space="preserve"> </w:t>
      </w:r>
      <w:r>
        <w:rPr>
          <w:rFonts w:hint="cs"/>
          <w:rtl/>
        </w:rPr>
        <w:t>שהי</w:t>
      </w:r>
      <w:r w:rsidR="007C22EF">
        <w:rPr>
          <w:rFonts w:hint="cs"/>
          <w:rtl/>
        </w:rPr>
        <w:t>ו</w:t>
      </w:r>
      <w:r>
        <w:rPr>
          <w:rFonts w:hint="cs"/>
          <w:rtl/>
        </w:rPr>
        <w:t xml:space="preserve"> להם אצל המערערת באותה עת. על דרך ההשאלה ניתן לחשוב על כך באופן הבא: אם המערערת הייתה בנק </w:t>
      </w:r>
      <w:proofErr w:type="spellStart"/>
      <w:r>
        <w:rPr>
          <w:rFonts w:hint="cs"/>
          <w:rtl/>
        </w:rPr>
        <w:t>ואלקובי</w:t>
      </w:r>
      <w:proofErr w:type="spellEnd"/>
      <w:r>
        <w:rPr>
          <w:rFonts w:hint="cs"/>
          <w:rtl/>
        </w:rPr>
        <w:t xml:space="preserve"> </w:t>
      </w:r>
      <w:proofErr w:type="spellStart"/>
      <w:r>
        <w:rPr>
          <w:rFonts w:hint="cs"/>
          <w:rtl/>
        </w:rPr>
        <w:t>ומרציאנו</w:t>
      </w:r>
      <w:proofErr w:type="spellEnd"/>
      <w:r>
        <w:rPr>
          <w:rFonts w:hint="cs"/>
          <w:rtl/>
        </w:rPr>
        <w:t xml:space="preserve"> היו בעלי חשבון באותו בנק, הרי שהקיזוז המתואר לעיל היה יכול להיעשות רק מהכספים שהיו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xml:space="preserve"> כ"פלוס" בחשבונות הבנק, אך לא מכספים שהיו יוצרים "מינוס" באותם חשבונות</w:t>
      </w:r>
      <w:r w:rsidR="0025721D">
        <w:rPr>
          <w:rFonts w:hint="cs"/>
          <w:rtl/>
        </w:rPr>
        <w:t xml:space="preserve"> (השוו: ע"א 1507/11 </w:t>
      </w:r>
      <w:r w:rsidR="0025721D" w:rsidRPr="00DE1A2F">
        <w:rPr>
          <w:rFonts w:ascii="Century" w:hAnsi="Century" w:cs="Miriam" w:hint="cs"/>
          <w:b/>
          <w:spacing w:val="0"/>
          <w:sz w:val="22"/>
          <w:szCs w:val="24"/>
          <w:rtl/>
        </w:rPr>
        <w:t xml:space="preserve">בנק מזרחי טפחות בע"מ נ' </w:t>
      </w:r>
      <w:proofErr w:type="spellStart"/>
      <w:r w:rsidR="0025721D" w:rsidRPr="00DE1A2F">
        <w:rPr>
          <w:rFonts w:ascii="Century" w:hAnsi="Century" w:cs="Miriam" w:hint="cs"/>
          <w:b/>
          <w:spacing w:val="0"/>
          <w:sz w:val="22"/>
          <w:szCs w:val="24"/>
          <w:rtl/>
        </w:rPr>
        <w:t>אלבס</w:t>
      </w:r>
      <w:proofErr w:type="spellEnd"/>
      <w:r w:rsidR="0025721D">
        <w:rPr>
          <w:rFonts w:hint="cs"/>
          <w:rtl/>
        </w:rPr>
        <w:t xml:space="preserve"> (16.1.2014))</w:t>
      </w:r>
      <w:r>
        <w:rPr>
          <w:rFonts w:hint="cs"/>
          <w:rtl/>
        </w:rPr>
        <w:t>.</w:t>
      </w:r>
    </w:p>
    <w:p w:rsidR="006E1F18" w:rsidRDefault="006E1F18" w:rsidP="006E1F18">
      <w:pPr>
        <w:pStyle w:val="Ruller4"/>
        <w:numPr>
          <w:ilvl w:val="0"/>
          <w:numId w:val="0"/>
        </w:numPr>
      </w:pPr>
    </w:p>
    <w:p w:rsidR="006E1F18" w:rsidRDefault="006E1F18" w:rsidP="0031674D">
      <w:pPr>
        <w:pStyle w:val="Ruller4"/>
        <w:rPr>
          <w:rtl/>
        </w:rPr>
      </w:pPr>
      <w:r>
        <w:rPr>
          <w:rFonts w:hint="cs"/>
          <w:rtl/>
        </w:rPr>
        <w:t>ודוק, ככל שהיה מוכח כי יתרות הזכות שהיו רשומ</w:t>
      </w:r>
      <w:r w:rsidR="0031674D">
        <w:rPr>
          <w:rFonts w:hint="cs"/>
          <w:rtl/>
        </w:rPr>
        <w:t>ות</w:t>
      </w:r>
      <w:r>
        <w:rPr>
          <w:rFonts w:hint="cs"/>
          <w:rtl/>
        </w:rPr>
        <w:t xml:space="preserve"> לטובת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אצל המערערת עובר ליום 15.6.2008 היו פיקטיביות, או כי הפעולות שבוצעו במועד זה (דהיינו חיוב כרטיסי </w:t>
      </w:r>
      <w:proofErr w:type="spellStart"/>
      <w:r>
        <w:rPr>
          <w:rFonts w:hint="cs"/>
          <w:rtl/>
        </w:rPr>
        <w:t>החו"ז</w:t>
      </w:r>
      <w:proofErr w:type="spellEnd"/>
      <w:r>
        <w:rPr>
          <w:rFonts w:hint="cs"/>
          <w:rtl/>
        </w:rPr>
        <w:t xml:space="preserve"> של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כנגד מתן 6 החשבוניות) נעשו למראית </w:t>
      </w:r>
      <w:r>
        <w:rPr>
          <w:rFonts w:hint="cs"/>
          <w:rtl/>
        </w:rPr>
        <w:lastRenderedPageBreak/>
        <w:t>עין בלבד, כי אז לא היה מקום לראות בפעולות הללו כיוצרות תקבול בידי המערערת. ואולם, אין לפנינו ראיות המעידות על כך שיתרות הזכות היו פיקטיביות (כאמור, בחינת חשבון הבנק של המערערת מלמדת כי הן נוצרו כתוצאה מהזרמות כספים שבוצעו, חל</w:t>
      </w:r>
      <w:r w:rsidR="004A6AE4">
        <w:rPr>
          <w:rFonts w:hint="cs"/>
          <w:rtl/>
        </w:rPr>
        <w:t xml:space="preserve">קן על ידי </w:t>
      </w:r>
      <w:proofErr w:type="spellStart"/>
      <w:r w:rsidR="004A6AE4">
        <w:rPr>
          <w:rFonts w:hint="cs"/>
          <w:rtl/>
        </w:rPr>
        <w:t>אלקובי</w:t>
      </w:r>
      <w:proofErr w:type="spellEnd"/>
      <w:r w:rsidR="004A6AE4">
        <w:rPr>
          <w:rFonts w:hint="cs"/>
          <w:rtl/>
        </w:rPr>
        <w:t xml:space="preserve"> </w:t>
      </w:r>
      <w:proofErr w:type="spellStart"/>
      <w:r w:rsidR="004A6AE4">
        <w:rPr>
          <w:rFonts w:hint="cs"/>
          <w:rtl/>
        </w:rPr>
        <w:t>ומרציאנו</w:t>
      </w:r>
      <w:proofErr w:type="spellEnd"/>
      <w:r w:rsidR="004A6AE4">
        <w:rPr>
          <w:rFonts w:hint="cs"/>
          <w:rtl/>
        </w:rPr>
        <w:t>, וחלקן</w:t>
      </w:r>
      <w:r>
        <w:rPr>
          <w:rFonts w:hint="cs"/>
          <w:rtl/>
        </w:rPr>
        <w:t xml:space="preserve"> על ידי צדדים שלישיים שהעבירו כספים בגינם זוכו השניים על ידי המערערת), או שהפעולות היו למראית עין (אין חולק כי נעשו ונרשמו בזמן אמת, ובעקבותיהן נמחקו חובות של המערערת </w:t>
      </w:r>
      <w:proofErr w:type="spellStart"/>
      <w:r>
        <w:rPr>
          <w:rFonts w:hint="cs"/>
          <w:rtl/>
        </w:rPr>
        <w:t>לאלקובי</w:t>
      </w:r>
      <w:proofErr w:type="spellEnd"/>
      <w:r>
        <w:rPr>
          <w:rFonts w:hint="cs"/>
          <w:rtl/>
        </w:rPr>
        <w:t xml:space="preserve"> </w:t>
      </w:r>
      <w:proofErr w:type="spellStart"/>
      <w:r>
        <w:rPr>
          <w:rFonts w:hint="cs"/>
          <w:rtl/>
        </w:rPr>
        <w:t>ומרציאנו</w:t>
      </w:r>
      <w:proofErr w:type="spellEnd"/>
      <w:r>
        <w:rPr>
          <w:rFonts w:hint="cs"/>
          <w:rtl/>
        </w:rPr>
        <w:t>). כל שנטען על ידי המשיב הוא שהחיוב האמור לא היה בגין דירות בבניין הישן, אלא בגין דירות חדשות</w:t>
      </w:r>
      <w:r w:rsidR="00D60D86">
        <w:rPr>
          <w:rFonts w:hint="cs"/>
          <w:rtl/>
        </w:rPr>
        <w:t xml:space="preserve"> </w:t>
      </w:r>
      <w:r w:rsidR="00D60D86">
        <w:rPr>
          <w:rtl/>
        </w:rPr>
        <w:t>–</w:t>
      </w:r>
      <w:r w:rsidR="00D60D86">
        <w:rPr>
          <w:rFonts w:hint="cs"/>
          <w:rtl/>
        </w:rPr>
        <w:t xml:space="preserve"> ובכך אין די כדי לשלול את הטענה כי מדובר בתקבול שהיה חייב במס כבר בשעתו</w:t>
      </w:r>
      <w:r>
        <w:rPr>
          <w:rFonts w:hint="cs"/>
          <w:rtl/>
        </w:rPr>
        <w:t xml:space="preserve">. </w:t>
      </w:r>
    </w:p>
    <w:p w:rsidR="006E1F18" w:rsidRPr="00120E60" w:rsidRDefault="006E1F18" w:rsidP="006E1F18">
      <w:pPr>
        <w:pStyle w:val="Ruller41"/>
      </w:pPr>
    </w:p>
    <w:p w:rsidR="006E1F18" w:rsidRDefault="006E1F18" w:rsidP="006E1F18">
      <w:pPr>
        <w:pStyle w:val="Ruller4"/>
        <w:rPr>
          <w:rtl/>
        </w:rPr>
      </w:pPr>
      <w:r>
        <w:rPr>
          <w:rFonts w:hint="cs"/>
          <w:rtl/>
        </w:rPr>
        <w:t xml:space="preserve">המסקנה המתבקשת היא שיש לקבל את טענת המערערת לפיה חיוב כרטיסיית </w:t>
      </w:r>
      <w:proofErr w:type="spellStart"/>
      <w:r>
        <w:rPr>
          <w:rFonts w:hint="cs"/>
          <w:rtl/>
        </w:rPr>
        <w:t>החו"ז</w:t>
      </w:r>
      <w:proofErr w:type="spellEnd"/>
      <w:r>
        <w:rPr>
          <w:rFonts w:hint="cs"/>
          <w:rtl/>
        </w:rPr>
        <w:t>, והקיזוז שהתרחש בעקבותיו, מהווה תקבול בידיה במועד בו בוצע (15.6.2008) של תמורה בעבור העסקה, כדי סכום החיוב שנרשם או יתרת הזכות שקוזזה, לפי הנמוך. בענייננו, סכום החיוב הכולל על חשבון התמורה (</w:t>
      </w:r>
      <w:r w:rsidRPr="00363CF9">
        <w:rPr>
          <w:rFonts w:ascii="FrankRuehl" w:hAnsi="FrankRuehl"/>
          <w:sz w:val="28"/>
        </w:rPr>
        <w:t>8,108,379</w:t>
      </w:r>
      <w:r w:rsidRPr="00363CF9">
        <w:rPr>
          <w:sz w:val="28"/>
          <w:rtl/>
        </w:rPr>
        <w:t xml:space="preserve"> </w:t>
      </w:r>
      <w:r>
        <w:rPr>
          <w:rFonts w:hint="cs"/>
          <w:rtl/>
        </w:rPr>
        <w:t xml:space="preserve">ש"ח) עולה על יתרות הזכות של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במועד החיוב (15.6.2008), ועל כן התקבול שהיה מקום להכיר בכך שבוצע באותו מועד, הוא בגובה יתרת הזכות, דהיינו 2,965,000 ש"ח ביחס </w:t>
      </w:r>
      <w:proofErr w:type="spellStart"/>
      <w:r>
        <w:rPr>
          <w:rFonts w:hint="cs"/>
          <w:rtl/>
        </w:rPr>
        <w:t>למרציאנו</w:t>
      </w:r>
      <w:proofErr w:type="spellEnd"/>
      <w:r>
        <w:rPr>
          <w:rFonts w:hint="cs"/>
          <w:rtl/>
        </w:rPr>
        <w:t xml:space="preserve"> ו-3,156,650 ש"ח ביחס </w:t>
      </w:r>
      <w:proofErr w:type="spellStart"/>
      <w:r>
        <w:rPr>
          <w:rFonts w:hint="cs"/>
          <w:rtl/>
        </w:rPr>
        <w:t>לאלקובי</w:t>
      </w:r>
      <w:proofErr w:type="spellEnd"/>
      <w:r>
        <w:rPr>
          <w:rFonts w:hint="cs"/>
          <w:rtl/>
        </w:rPr>
        <w:t>, ובסך הכול 6,121,650 ש"ח.</w:t>
      </w:r>
    </w:p>
    <w:p w:rsidR="006E1F18" w:rsidRDefault="006E1F18" w:rsidP="006E1F18">
      <w:pPr>
        <w:pStyle w:val="Ruller41"/>
        <w:rPr>
          <w:rtl/>
        </w:rPr>
      </w:pPr>
    </w:p>
    <w:p w:rsidR="006E1F18" w:rsidRDefault="006E1F18" w:rsidP="006E1F18">
      <w:pPr>
        <w:pStyle w:val="Ruller4"/>
        <w:rPr>
          <w:rFonts w:ascii="Arial TUR" w:hAnsi="Arial TUR"/>
          <w:sz w:val="22"/>
          <w:rtl/>
        </w:rPr>
      </w:pPr>
      <w:r>
        <w:rPr>
          <w:rFonts w:hint="cs"/>
          <w:rtl/>
        </w:rPr>
        <w:t xml:space="preserve">ויובהר, סכום זה כולל בחובו שני תשלומים שכבר הוכרו למערערת: </w:t>
      </w:r>
      <w:r w:rsidRPr="00AA05C2">
        <w:rPr>
          <w:rFonts w:ascii="Miriam" w:hAnsi="Miriam" w:cs="Miriam" w:hint="eastAsia"/>
          <w:sz w:val="20"/>
          <w:szCs w:val="24"/>
          <w:rtl/>
        </w:rPr>
        <w:t>האחד</w:t>
      </w:r>
      <w:r>
        <w:rPr>
          <w:rFonts w:hint="cs"/>
          <w:rtl/>
        </w:rPr>
        <w:t xml:space="preserve">, הוא סכום של 500,000 ש"ח ששולם על ידי </w:t>
      </w:r>
      <w:proofErr w:type="spellStart"/>
      <w:r>
        <w:rPr>
          <w:rFonts w:hint="cs"/>
          <w:rtl/>
        </w:rPr>
        <w:t>אלקובי</w:t>
      </w:r>
      <w:proofErr w:type="spellEnd"/>
      <w:r>
        <w:rPr>
          <w:rFonts w:hint="cs"/>
          <w:rtl/>
        </w:rPr>
        <w:t xml:space="preserve"> בהעברה למערערת ביום 2.6.2008, ואשר בו הכיר המשיב כתקבול במהלך הדיון בבית המשפט המחוזי; </w:t>
      </w:r>
      <w:r w:rsidRPr="00AA05C2">
        <w:rPr>
          <w:rFonts w:ascii="Miriam" w:hAnsi="Miriam" w:cs="Miriam" w:hint="eastAsia"/>
          <w:sz w:val="20"/>
          <w:szCs w:val="24"/>
          <w:rtl/>
        </w:rPr>
        <w:t>השני</w:t>
      </w:r>
      <w:r>
        <w:rPr>
          <w:rFonts w:hint="cs"/>
          <w:rtl/>
        </w:rPr>
        <w:t xml:space="preserve">, הוא סכום של 691,819 ש"ח </w:t>
      </w:r>
      <w:r>
        <w:rPr>
          <w:rtl/>
        </w:rPr>
        <w:t>–</w:t>
      </w:r>
      <w:r>
        <w:rPr>
          <w:rFonts w:hint="cs"/>
          <w:rtl/>
        </w:rPr>
        <w:t xml:space="preserve"> הרווח ממכירת הדירות בבניין הישן, עליו דיווחה המערערת בשעתו כתקבול חייב במס משסברה שסעיף 5(ב) לחוק מע"מ חל לגביה. מכאן שהסכום בגינו יש להפחית את חבות המע"מ של המערערת בעקבות קבלת הערעור עומד על 4,929,831 ש"ח. </w:t>
      </w:r>
    </w:p>
    <w:p w:rsidR="006E1F18" w:rsidRPr="00120E60" w:rsidRDefault="006E1F18" w:rsidP="006E1F18">
      <w:pPr>
        <w:pStyle w:val="Ruller41"/>
      </w:pPr>
    </w:p>
    <w:p w:rsidR="006E1F18" w:rsidRPr="00E22FAE" w:rsidRDefault="006E1F18" w:rsidP="00D60D86">
      <w:pPr>
        <w:pStyle w:val="Ruller4"/>
        <w:rPr>
          <w:rtl/>
        </w:rPr>
      </w:pPr>
      <w:r>
        <w:rPr>
          <w:rFonts w:hint="cs"/>
          <w:rtl/>
        </w:rPr>
        <w:t xml:space="preserve"> לסיכום סוגיית התיישנות התקבולים </w:t>
      </w:r>
      <w:r>
        <w:rPr>
          <w:rtl/>
        </w:rPr>
        <w:t>–</w:t>
      </w:r>
      <w:r>
        <w:rPr>
          <w:rFonts w:hint="cs"/>
          <w:rtl/>
        </w:rPr>
        <w:t xml:space="preserve"> מהטעמים שצוינו לעיל, היה מקום להכיר בסכום נוסף של 4,929,831 ש"ח ככזה שהתקבל על ידי המערערת </w:t>
      </w:r>
      <w:proofErr w:type="spellStart"/>
      <w:r>
        <w:rPr>
          <w:rFonts w:hint="cs"/>
          <w:rtl/>
        </w:rPr>
        <w:t>מאלקובי</w:t>
      </w:r>
      <w:proofErr w:type="spellEnd"/>
      <w:r>
        <w:rPr>
          <w:rFonts w:hint="cs"/>
          <w:rtl/>
        </w:rPr>
        <w:t xml:space="preserve"> </w:t>
      </w:r>
      <w:proofErr w:type="spellStart"/>
      <w:r>
        <w:rPr>
          <w:rFonts w:hint="cs"/>
          <w:rtl/>
        </w:rPr>
        <w:t>ומרציאנו</w:t>
      </w:r>
      <w:proofErr w:type="spellEnd"/>
      <w:r>
        <w:rPr>
          <w:rFonts w:hint="cs"/>
          <w:rtl/>
        </w:rPr>
        <w:t xml:space="preserve"> על חשבון העסקה קודם לחודש יוני 2009, ועל יסוד הסכמתו הדיונית של המשיב, כמתואר לעיל, תביעת המע"מ לגביו התיישנה.</w:t>
      </w:r>
    </w:p>
    <w:p w:rsidR="00B85295" w:rsidRDefault="00B85295" w:rsidP="006E1F18">
      <w:pPr>
        <w:pStyle w:val="Ruller41"/>
        <w:rPr>
          <w:rtl/>
        </w:rPr>
      </w:pPr>
    </w:p>
    <w:p w:rsidR="00955122" w:rsidRDefault="00955122" w:rsidP="006E1F18">
      <w:pPr>
        <w:pStyle w:val="Ruller41"/>
        <w:rPr>
          <w:rtl/>
        </w:rPr>
      </w:pPr>
    </w:p>
    <w:p w:rsidR="00955122" w:rsidRDefault="00955122" w:rsidP="006E1F18">
      <w:pPr>
        <w:pStyle w:val="Ruller41"/>
        <w:rPr>
          <w:rtl/>
        </w:rPr>
      </w:pPr>
    </w:p>
    <w:p w:rsidR="00955122" w:rsidRDefault="00955122" w:rsidP="006E1F18">
      <w:pPr>
        <w:pStyle w:val="Ruller41"/>
        <w:rPr>
          <w:rtl/>
        </w:rPr>
      </w:pPr>
    </w:p>
    <w:p w:rsidR="006E1F18" w:rsidRPr="00BC7515" w:rsidRDefault="006E1F18" w:rsidP="006E1F18">
      <w:pPr>
        <w:pStyle w:val="Ruller4"/>
        <w:numPr>
          <w:ilvl w:val="0"/>
          <w:numId w:val="0"/>
        </w:numPr>
        <w:rPr>
          <w:rFonts w:ascii="Century" w:hAnsi="Century" w:cs="Miriam"/>
          <w:b/>
          <w:spacing w:val="0"/>
          <w:sz w:val="22"/>
          <w:szCs w:val="24"/>
          <w:rtl/>
        </w:rPr>
      </w:pPr>
      <w:r w:rsidRPr="00BC7515">
        <w:rPr>
          <w:rFonts w:ascii="Century" w:hAnsi="Century" w:cs="Miriam" w:hint="cs"/>
          <w:b/>
          <w:spacing w:val="0"/>
          <w:sz w:val="22"/>
          <w:szCs w:val="24"/>
          <w:rtl/>
        </w:rPr>
        <w:lastRenderedPageBreak/>
        <w:t xml:space="preserve">הטענה המהותית </w:t>
      </w:r>
    </w:p>
    <w:p w:rsidR="006E1F18" w:rsidRPr="00BC7515" w:rsidRDefault="006E1F18" w:rsidP="006E1F18">
      <w:pPr>
        <w:pStyle w:val="Ruller41"/>
        <w:rPr>
          <w:rtl/>
        </w:rPr>
      </w:pPr>
    </w:p>
    <w:p w:rsidR="006E1F18" w:rsidRDefault="006E1F18" w:rsidP="00D60D86">
      <w:pPr>
        <w:pStyle w:val="Ruller4"/>
      </w:pPr>
      <w:r>
        <w:rPr>
          <w:rFonts w:hint="cs"/>
          <w:rtl/>
        </w:rPr>
        <w:t xml:space="preserve">הדו"ח שהוגש על ידי המערערת מבוסס על ראיית העסקה שנעשתה בין הצדדים כמכירה של הדירות בבניין הישן מהמערערת </w:t>
      </w:r>
      <w:proofErr w:type="spellStart"/>
      <w:r>
        <w:rPr>
          <w:rFonts w:hint="cs"/>
          <w:rtl/>
        </w:rPr>
        <w:t>לאלקובי</w:t>
      </w:r>
      <w:proofErr w:type="spellEnd"/>
      <w:r>
        <w:rPr>
          <w:rFonts w:hint="cs"/>
          <w:rtl/>
        </w:rPr>
        <w:t xml:space="preserve"> </w:t>
      </w:r>
      <w:proofErr w:type="spellStart"/>
      <w:r>
        <w:rPr>
          <w:rFonts w:hint="cs"/>
          <w:rtl/>
        </w:rPr>
        <w:t>ולמרציאנו</w:t>
      </w:r>
      <w:proofErr w:type="spellEnd"/>
      <w:r>
        <w:rPr>
          <w:rFonts w:hint="cs"/>
          <w:rtl/>
        </w:rPr>
        <w:t xml:space="preserve">. אם אכן כך, הרי שמכירה זו זכאית להקלת המס הקבועה בסעיף 5(ב) </w:t>
      </w:r>
      <w:r w:rsidRPr="005C3257">
        <w:rPr>
          <w:rFonts w:hint="cs"/>
          <w:rtl/>
        </w:rPr>
        <w:t>לחוק מע"מ</w:t>
      </w:r>
      <w:r>
        <w:rPr>
          <w:rFonts w:hint="cs"/>
          <w:rtl/>
        </w:rPr>
        <w:t xml:space="preserve">, דהיינו החוב במע"מ חל רק על ההפרש שבין המחיר ששילמה המערערת בעבור דירות אלו ביום 30.1.2007 (7.3 מיליון ש"ח) למחיר שנקבע בהסכמי המכר שנכרתו ביום 30.1.2008 (8.1 מיליון ש"ח). אפס, בית המשפט קמא סירב להכיר בכך שהעסקה שנעשתה בין הצדדים היא עסקה למכירת דירות בבניין הישן, וסבר כי המדובר, הלכה למעשה, בעסקה למכירת דירות חדשות. במילים אחרות, לשיטתו, למרות הניסוחים בהם עשו הצדדים שימוש וחרף העובדה שהתקשרו במספר הסכמים, המהות </w:t>
      </w:r>
      <w:proofErr w:type="spellStart"/>
      <w:r>
        <w:rPr>
          <w:rFonts w:hint="cs"/>
          <w:rtl/>
        </w:rPr>
        <w:t>האמיתית</w:t>
      </w:r>
      <w:proofErr w:type="spellEnd"/>
      <w:r>
        <w:rPr>
          <w:rFonts w:hint="cs"/>
          <w:rtl/>
        </w:rPr>
        <w:t xml:space="preserve"> של העסקה אותה עשו הייתה של מכר דירות חדשות ולא של מכר דירות ישנות בצירוף שירותי בניה (ראו פסקאות 31-20 לפסק הדין). בקביעה זו אין מקום להתערב. היא מבוססת כדבעי על העובדות, ובמיוחד על העובדה שבמועד עריכת הסכמי המכר היה ברור וגלוי לצדדים כי בכוונת המערערת להרוס את הבניין הישן ולבנות בניין חדש תחתיו, ואף היה בידיה ההיתר הדרוש על מנת לעשות כן. זאת ועוד, כפי שהדגיש בית המשפט קמא (בפסקה 29 לפסק הדין) כבר בהסכם הראשון, שנחתם יחד עם הסכמי המכר ביום 30.1.2008, התחייבה המערערת כלפי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לספק להם דירות חדשות. מכאן שבצדק נקבע כי מהותה </w:t>
      </w:r>
      <w:proofErr w:type="spellStart"/>
      <w:r>
        <w:rPr>
          <w:rFonts w:hint="cs"/>
          <w:rtl/>
        </w:rPr>
        <w:t>האמיתית</w:t>
      </w:r>
      <w:proofErr w:type="spellEnd"/>
      <w:r>
        <w:rPr>
          <w:rFonts w:hint="cs"/>
          <w:rtl/>
        </w:rPr>
        <w:t xml:space="preserve"> של העסקה אינה רכישת הדירות בבניין הישן, אלא עסקה למכירת דירות חדשות כפי שתכננו הצדדים מתחילת</w:t>
      </w:r>
      <w:r w:rsidR="00D60D86">
        <w:rPr>
          <w:rFonts w:hint="cs"/>
          <w:rtl/>
        </w:rPr>
        <w:t xml:space="preserve"> ה</w:t>
      </w:r>
      <w:r>
        <w:rPr>
          <w:rFonts w:hint="cs"/>
          <w:rtl/>
        </w:rPr>
        <w:t xml:space="preserve">דרך. </w:t>
      </w:r>
    </w:p>
    <w:p w:rsidR="006E1F18" w:rsidRPr="00D60D86" w:rsidRDefault="006E1F18" w:rsidP="006E1F18">
      <w:pPr>
        <w:pStyle w:val="Ruller4"/>
        <w:numPr>
          <w:ilvl w:val="0"/>
          <w:numId w:val="0"/>
        </w:numPr>
      </w:pPr>
    </w:p>
    <w:p w:rsidR="006E1F18" w:rsidRDefault="006E1F18" w:rsidP="006E1F18">
      <w:pPr>
        <w:pStyle w:val="Ruller4"/>
      </w:pPr>
      <w:r>
        <w:rPr>
          <w:rFonts w:hint="cs"/>
          <w:rtl/>
        </w:rPr>
        <w:t xml:space="preserve">הקביעה כי זו הייתה מהותה </w:t>
      </w:r>
      <w:proofErr w:type="spellStart"/>
      <w:r>
        <w:rPr>
          <w:rFonts w:hint="cs"/>
          <w:rtl/>
        </w:rPr>
        <w:t>האמיתית</w:t>
      </w:r>
      <w:proofErr w:type="spellEnd"/>
      <w:r>
        <w:rPr>
          <w:rFonts w:hint="cs"/>
          <w:rtl/>
        </w:rPr>
        <w:t xml:space="preserve"> של העסקה, מייתרת את הדיון בשאלה אם מדובר בעסקה מלאכותית (</w:t>
      </w:r>
      <w:r w:rsidRPr="00874466">
        <w:rPr>
          <w:rFonts w:hint="eastAsia"/>
          <w:rtl/>
        </w:rPr>
        <w:t>רע</w:t>
      </w:r>
      <w:r w:rsidRPr="00874466">
        <w:rPr>
          <w:rtl/>
        </w:rPr>
        <w:t>"</w:t>
      </w:r>
      <w:r w:rsidRPr="00874466">
        <w:rPr>
          <w:rFonts w:hint="eastAsia"/>
          <w:rtl/>
        </w:rPr>
        <w:t>א</w:t>
      </w:r>
      <w:r w:rsidRPr="00874466">
        <w:rPr>
          <w:rtl/>
        </w:rPr>
        <w:t xml:space="preserve"> 8522/96</w:t>
      </w:r>
      <w:r w:rsidRPr="00831C85">
        <w:rPr>
          <w:rtl/>
        </w:rPr>
        <w:t xml:space="preserve"> </w:t>
      </w:r>
      <w:proofErr w:type="spellStart"/>
      <w:r w:rsidRPr="00874466">
        <w:rPr>
          <w:rFonts w:ascii="Miriam" w:hAnsi="Miriam" w:cs="Miriam"/>
          <w:sz w:val="20"/>
          <w:szCs w:val="24"/>
          <w:rtl/>
        </w:rPr>
        <w:t>רוכוורגר</w:t>
      </w:r>
      <w:proofErr w:type="spellEnd"/>
      <w:r w:rsidRPr="00874466">
        <w:rPr>
          <w:rFonts w:ascii="Miriam" w:hAnsi="Miriam" w:cs="Miriam"/>
          <w:sz w:val="20"/>
          <w:szCs w:val="24"/>
          <w:rtl/>
        </w:rPr>
        <w:t xml:space="preserve"> </w:t>
      </w:r>
      <w:proofErr w:type="spellStart"/>
      <w:r w:rsidRPr="00874466">
        <w:rPr>
          <w:rFonts w:ascii="Miriam" w:hAnsi="Miriam" w:cs="Miriam"/>
          <w:sz w:val="20"/>
          <w:szCs w:val="24"/>
          <w:rtl/>
        </w:rPr>
        <w:t>רוטמנטש</w:t>
      </w:r>
      <w:proofErr w:type="spellEnd"/>
      <w:r w:rsidRPr="00874466">
        <w:rPr>
          <w:rFonts w:ascii="Miriam" w:hAnsi="Miriam" w:cs="Miriam"/>
          <w:sz w:val="20"/>
          <w:szCs w:val="24"/>
          <w:rtl/>
        </w:rPr>
        <w:t xml:space="preserve"> חברה לבניין והשקעות בע"מ נ' פקיד שומה תל אביב 1</w:t>
      </w:r>
      <w:r w:rsidRPr="00874466">
        <w:rPr>
          <w:rtl/>
        </w:rPr>
        <w:t xml:space="preserve"> </w:t>
      </w:r>
      <w:r w:rsidRPr="00831C85">
        <w:rPr>
          <w:rtl/>
        </w:rPr>
        <w:t>(14.4.1997)</w:t>
      </w:r>
      <w:r>
        <w:rPr>
          <w:rFonts w:hint="cs"/>
          <w:rtl/>
        </w:rPr>
        <w:t>;</w:t>
      </w:r>
      <w:r w:rsidRPr="00512ABE">
        <w:rPr>
          <w:rFonts w:hint="cs"/>
          <w:rtl/>
        </w:rPr>
        <w:t xml:space="preserve"> </w:t>
      </w:r>
      <w:r w:rsidRPr="002A7B59">
        <w:rPr>
          <w:rFonts w:hint="cs"/>
          <w:rtl/>
        </w:rPr>
        <w:t xml:space="preserve">ע"א 2330/04 </w:t>
      </w:r>
      <w:r w:rsidRPr="00512ABE">
        <w:rPr>
          <w:rFonts w:ascii="Miriam" w:hAnsi="Miriam" w:cs="Miriam" w:hint="cs"/>
          <w:sz w:val="20"/>
          <w:szCs w:val="24"/>
          <w:rtl/>
        </w:rPr>
        <w:t>מנהל מס שבח אזור ירושלים נ' מלונות צרפת ירושלים</w:t>
      </w:r>
      <w:r>
        <w:rPr>
          <w:rFonts w:hint="cs"/>
          <w:rtl/>
        </w:rPr>
        <w:t xml:space="preserve">, פסקה 13 </w:t>
      </w:r>
      <w:r w:rsidRPr="002A7B59">
        <w:rPr>
          <w:rFonts w:hint="cs"/>
          <w:rtl/>
        </w:rPr>
        <w:t>(</w:t>
      </w:r>
      <w:r>
        <w:rPr>
          <w:rFonts w:hint="cs"/>
          <w:rtl/>
        </w:rPr>
        <w:t>21.5.2006</w:t>
      </w:r>
      <w:r w:rsidRPr="002A7B59">
        <w:rPr>
          <w:rFonts w:hint="cs"/>
          <w:rtl/>
        </w:rPr>
        <w:t>)</w:t>
      </w:r>
      <w:r>
        <w:rPr>
          <w:rFonts w:hint="cs"/>
          <w:rtl/>
        </w:rPr>
        <w:t>;</w:t>
      </w:r>
      <w:r w:rsidRPr="009F4B36">
        <w:rPr>
          <w:rFonts w:hint="eastAsia"/>
          <w:rtl/>
        </w:rPr>
        <w:t xml:space="preserve"> ע</w:t>
      </w:r>
      <w:r w:rsidRPr="009F4B36">
        <w:rPr>
          <w:rtl/>
        </w:rPr>
        <w:t>"</w:t>
      </w:r>
      <w:r w:rsidRPr="009F4B36">
        <w:rPr>
          <w:rFonts w:hint="eastAsia"/>
          <w:rtl/>
        </w:rPr>
        <w:t>א</w:t>
      </w:r>
      <w:r w:rsidRPr="009F4B36">
        <w:rPr>
          <w:rtl/>
        </w:rPr>
        <w:t xml:space="preserve"> 204/07 </w:t>
      </w:r>
      <w:r w:rsidRPr="00363CF9">
        <w:rPr>
          <w:rFonts w:ascii="Miriam" w:hAnsi="Miriam" w:cs="Miriam" w:hint="eastAsia"/>
          <w:sz w:val="20"/>
          <w:szCs w:val="24"/>
          <w:rtl/>
        </w:rPr>
        <w:t>מנהל</w:t>
      </w:r>
      <w:r w:rsidRPr="00363CF9">
        <w:rPr>
          <w:rFonts w:ascii="Miriam" w:hAnsi="Miriam" w:cs="Miriam"/>
          <w:sz w:val="20"/>
          <w:szCs w:val="24"/>
          <w:rtl/>
        </w:rPr>
        <w:t xml:space="preserve"> </w:t>
      </w:r>
      <w:r w:rsidRPr="00363CF9">
        <w:rPr>
          <w:rFonts w:ascii="Miriam" w:hAnsi="Miriam" w:cs="Miriam" w:hint="eastAsia"/>
          <w:sz w:val="20"/>
          <w:szCs w:val="24"/>
          <w:rtl/>
        </w:rPr>
        <w:t>מיסוי</w:t>
      </w:r>
      <w:r w:rsidRPr="00363CF9">
        <w:rPr>
          <w:rFonts w:ascii="Miriam" w:hAnsi="Miriam" w:cs="Miriam"/>
          <w:sz w:val="20"/>
          <w:szCs w:val="24"/>
          <w:rtl/>
        </w:rPr>
        <w:t xml:space="preserve"> </w:t>
      </w:r>
      <w:r w:rsidRPr="00363CF9">
        <w:rPr>
          <w:rFonts w:ascii="Miriam" w:hAnsi="Miriam" w:cs="Miriam" w:hint="eastAsia"/>
          <w:sz w:val="20"/>
          <w:szCs w:val="24"/>
          <w:rtl/>
        </w:rPr>
        <w:t>מקרקעין</w:t>
      </w:r>
      <w:r w:rsidRPr="00363CF9">
        <w:rPr>
          <w:rFonts w:ascii="Miriam" w:hAnsi="Miriam" w:cs="Miriam"/>
          <w:sz w:val="20"/>
          <w:szCs w:val="24"/>
          <w:rtl/>
        </w:rPr>
        <w:t xml:space="preserve"> </w:t>
      </w:r>
      <w:r w:rsidRPr="00363CF9">
        <w:rPr>
          <w:rFonts w:ascii="Miriam" w:hAnsi="Miriam" w:cs="Miriam" w:hint="eastAsia"/>
          <w:sz w:val="20"/>
          <w:szCs w:val="24"/>
          <w:rtl/>
        </w:rPr>
        <w:t>רחובות</w:t>
      </w:r>
      <w:r w:rsidRPr="00363CF9">
        <w:rPr>
          <w:rFonts w:ascii="Miriam" w:hAnsi="Miriam" w:cs="Miriam"/>
          <w:sz w:val="20"/>
          <w:szCs w:val="24"/>
          <w:rtl/>
        </w:rPr>
        <w:t xml:space="preserve"> </w:t>
      </w:r>
      <w:r w:rsidRPr="00363CF9">
        <w:rPr>
          <w:rFonts w:ascii="Miriam" w:hAnsi="Miriam" w:cs="Miriam" w:hint="eastAsia"/>
          <w:sz w:val="20"/>
          <w:szCs w:val="24"/>
          <w:rtl/>
        </w:rPr>
        <w:t>נ</w:t>
      </w:r>
      <w:r w:rsidRPr="00363CF9">
        <w:rPr>
          <w:rFonts w:ascii="Miriam" w:hAnsi="Miriam" w:cs="Miriam"/>
          <w:sz w:val="20"/>
          <w:szCs w:val="24"/>
          <w:rtl/>
        </w:rPr>
        <w:t xml:space="preserve">' </w:t>
      </w:r>
      <w:r w:rsidRPr="00363CF9">
        <w:rPr>
          <w:rFonts w:ascii="Miriam" w:hAnsi="Miriam" w:cs="Miriam" w:hint="eastAsia"/>
          <w:sz w:val="20"/>
          <w:szCs w:val="24"/>
          <w:rtl/>
        </w:rPr>
        <w:t>בני</w:t>
      </w:r>
      <w:r w:rsidRPr="00363CF9">
        <w:rPr>
          <w:rFonts w:ascii="Miriam" w:hAnsi="Miriam" w:cs="Miriam"/>
          <w:sz w:val="20"/>
          <w:szCs w:val="24"/>
          <w:rtl/>
        </w:rPr>
        <w:t xml:space="preserve"> </w:t>
      </w:r>
      <w:r w:rsidRPr="00363CF9">
        <w:rPr>
          <w:rFonts w:ascii="Miriam" w:hAnsi="Miriam" w:cs="Miriam" w:hint="eastAsia"/>
          <w:sz w:val="20"/>
          <w:szCs w:val="24"/>
          <w:rtl/>
        </w:rPr>
        <w:t>ויינר</w:t>
      </w:r>
      <w:r w:rsidRPr="00363CF9">
        <w:rPr>
          <w:rFonts w:ascii="Miriam" w:hAnsi="Miriam" w:cs="Miriam"/>
          <w:sz w:val="20"/>
          <w:szCs w:val="24"/>
          <w:rtl/>
        </w:rPr>
        <w:t xml:space="preserve"> </w:t>
      </w:r>
      <w:r w:rsidRPr="00363CF9">
        <w:rPr>
          <w:rFonts w:ascii="Miriam" w:hAnsi="Miriam" w:cs="Miriam" w:hint="eastAsia"/>
          <w:sz w:val="20"/>
          <w:szCs w:val="24"/>
          <w:rtl/>
        </w:rPr>
        <w:t>ובניו</w:t>
      </w:r>
      <w:r w:rsidRPr="00363CF9">
        <w:rPr>
          <w:rFonts w:ascii="Miriam" w:hAnsi="Miriam" w:cs="Miriam"/>
          <w:sz w:val="20"/>
          <w:szCs w:val="24"/>
          <w:rtl/>
        </w:rPr>
        <w:t xml:space="preserve"> </w:t>
      </w:r>
      <w:r w:rsidRPr="00363CF9">
        <w:rPr>
          <w:rFonts w:ascii="Miriam" w:hAnsi="Miriam" w:cs="Miriam" w:hint="eastAsia"/>
          <w:sz w:val="20"/>
          <w:szCs w:val="24"/>
          <w:rtl/>
        </w:rPr>
        <w:t>ביין</w:t>
      </w:r>
      <w:r w:rsidRPr="00363CF9">
        <w:rPr>
          <w:rFonts w:ascii="Miriam" w:hAnsi="Miriam" w:cs="Miriam"/>
          <w:sz w:val="20"/>
          <w:szCs w:val="24"/>
          <w:rtl/>
        </w:rPr>
        <w:t xml:space="preserve"> </w:t>
      </w:r>
      <w:r w:rsidRPr="00363CF9">
        <w:rPr>
          <w:rFonts w:ascii="Miriam" w:hAnsi="Miriam" w:cs="Miriam" w:hint="eastAsia"/>
          <w:sz w:val="20"/>
          <w:szCs w:val="24"/>
          <w:rtl/>
        </w:rPr>
        <w:t>והשקעות</w:t>
      </w:r>
      <w:r>
        <w:rPr>
          <w:rFonts w:hint="cs"/>
          <w:rtl/>
        </w:rPr>
        <w:t xml:space="preserve">, פסקה 23 </w:t>
      </w:r>
      <w:r w:rsidRPr="009F4B36">
        <w:rPr>
          <w:rtl/>
        </w:rPr>
        <w:t>(19.7.2010)</w:t>
      </w:r>
      <w:r>
        <w:rPr>
          <w:rFonts w:hint="cs"/>
          <w:rtl/>
        </w:rPr>
        <w:t xml:space="preserve">; ע"א 3136/17 </w:t>
      </w:r>
      <w:r w:rsidRPr="005A260D">
        <w:rPr>
          <w:rFonts w:ascii="Century" w:hAnsi="Century" w:cs="Miriam" w:hint="cs"/>
          <w:b/>
          <w:spacing w:val="0"/>
          <w:sz w:val="22"/>
          <w:szCs w:val="24"/>
          <w:rtl/>
        </w:rPr>
        <w:t xml:space="preserve">פקיד שומה רמלה נ' </w:t>
      </w:r>
      <w:proofErr w:type="spellStart"/>
      <w:r w:rsidRPr="005A260D">
        <w:rPr>
          <w:rFonts w:ascii="Century" w:hAnsi="Century" w:cs="Miriam" w:hint="cs"/>
          <w:b/>
          <w:spacing w:val="0"/>
          <w:sz w:val="22"/>
          <w:szCs w:val="24"/>
          <w:rtl/>
        </w:rPr>
        <w:t>פליינג</w:t>
      </w:r>
      <w:proofErr w:type="spellEnd"/>
      <w:r w:rsidRPr="005A260D">
        <w:rPr>
          <w:rFonts w:ascii="Century" w:hAnsi="Century" w:cs="Miriam" w:hint="cs"/>
          <w:b/>
          <w:spacing w:val="0"/>
          <w:sz w:val="22"/>
          <w:szCs w:val="24"/>
          <w:rtl/>
        </w:rPr>
        <w:t xml:space="preserve"> קרגו בע"מ</w:t>
      </w:r>
      <w:r>
        <w:rPr>
          <w:rFonts w:hint="cs"/>
          <w:rtl/>
        </w:rPr>
        <w:t>, פסקה 35 (20.3.2019)), הגם שאף בעניין זה מקובל עליי ניתוחו של בית המשפט קמא (ראו פסקאות 43-32</w:t>
      </w:r>
      <w:r w:rsidR="001A3120">
        <w:rPr>
          <w:rFonts w:hint="cs"/>
          <w:rtl/>
        </w:rPr>
        <w:t xml:space="preserve"> לפסק הדין</w:t>
      </w:r>
      <w:r>
        <w:rPr>
          <w:rFonts w:hint="cs"/>
          <w:rtl/>
        </w:rPr>
        <w:t xml:space="preserve">). אכן, גם אם היינו מניחים שמבחינה משפטית ההתקשרות בין הצדדים פוצלה לשתי עסקאות (או יותר, כפי שנעשה במקרה דנן) </w:t>
      </w:r>
      <w:r>
        <w:rPr>
          <w:rtl/>
        </w:rPr>
        <w:t>–</w:t>
      </w:r>
      <w:r>
        <w:rPr>
          <w:rFonts w:hint="cs"/>
          <w:rtl/>
        </w:rPr>
        <w:t xml:space="preserve"> מכירת הדירות בבניין הישן ומתן שירותי בנייה של דירות חדשות </w:t>
      </w:r>
      <w:r>
        <w:rPr>
          <w:rtl/>
        </w:rPr>
        <w:t>–</w:t>
      </w:r>
      <w:r>
        <w:rPr>
          <w:rFonts w:hint="cs"/>
          <w:rtl/>
        </w:rPr>
        <w:t xml:space="preserve"> הרי שנראה כי בנסיבות המקרה דנן פיצול זה היה נתפס במשקפי סעיף 138 לחוק מע"מ כעסקה מלאכותית</w:t>
      </w:r>
      <w:r w:rsidR="00D60D86">
        <w:rPr>
          <w:rFonts w:hint="cs"/>
          <w:rtl/>
        </w:rPr>
        <w:t>,</w:t>
      </w:r>
      <w:r>
        <w:rPr>
          <w:rFonts w:hint="cs"/>
          <w:rtl/>
        </w:rPr>
        <w:t xml:space="preserve"> ובכך מקים למנהל סמכות להתעלם מהעסקה או מחלקיה (ע"א 265/67 </w:t>
      </w:r>
      <w:r w:rsidRPr="00363CF9">
        <w:rPr>
          <w:rFonts w:ascii="Miriam" w:hAnsi="Miriam" w:cs="Miriam" w:hint="eastAsia"/>
          <w:sz w:val="20"/>
          <w:szCs w:val="24"/>
          <w:rtl/>
        </w:rPr>
        <w:t>מפי</w:t>
      </w:r>
      <w:r w:rsidRPr="00363CF9">
        <w:rPr>
          <w:rFonts w:ascii="Miriam" w:hAnsi="Miriam" w:cs="Miriam"/>
          <w:sz w:val="20"/>
          <w:szCs w:val="24"/>
          <w:rtl/>
        </w:rPr>
        <w:t xml:space="preserve"> </w:t>
      </w:r>
      <w:r w:rsidRPr="00363CF9">
        <w:rPr>
          <w:rFonts w:ascii="Miriam" w:hAnsi="Miriam" w:cs="Miriam" w:hint="eastAsia"/>
          <w:sz w:val="20"/>
          <w:szCs w:val="24"/>
          <w:rtl/>
        </w:rPr>
        <w:t>בע</w:t>
      </w:r>
      <w:r w:rsidRPr="00363CF9">
        <w:rPr>
          <w:rFonts w:ascii="Miriam" w:hAnsi="Miriam" w:cs="Miriam"/>
          <w:sz w:val="20"/>
          <w:szCs w:val="24"/>
          <w:rtl/>
        </w:rPr>
        <w:t>"</w:t>
      </w:r>
      <w:r w:rsidRPr="00363CF9">
        <w:rPr>
          <w:rFonts w:ascii="Miriam" w:hAnsi="Miriam" w:cs="Miriam" w:hint="eastAsia"/>
          <w:sz w:val="20"/>
          <w:szCs w:val="24"/>
          <w:rtl/>
        </w:rPr>
        <w:t>מ</w:t>
      </w:r>
      <w:r w:rsidRPr="00363CF9">
        <w:rPr>
          <w:rFonts w:ascii="Miriam" w:hAnsi="Miriam" w:cs="Miriam"/>
          <w:sz w:val="20"/>
          <w:szCs w:val="24"/>
          <w:rtl/>
        </w:rPr>
        <w:t xml:space="preserve"> </w:t>
      </w:r>
      <w:r w:rsidRPr="00363CF9">
        <w:rPr>
          <w:rFonts w:ascii="Miriam" w:hAnsi="Miriam" w:cs="Miriam" w:hint="eastAsia"/>
          <w:sz w:val="20"/>
          <w:szCs w:val="24"/>
          <w:rtl/>
        </w:rPr>
        <w:t>נ</w:t>
      </w:r>
      <w:r w:rsidRPr="00363CF9">
        <w:rPr>
          <w:rFonts w:ascii="Miriam" w:hAnsi="Miriam" w:cs="Miriam"/>
          <w:sz w:val="20"/>
          <w:szCs w:val="24"/>
          <w:rtl/>
        </w:rPr>
        <w:t xml:space="preserve">' </w:t>
      </w:r>
      <w:r w:rsidRPr="00363CF9">
        <w:rPr>
          <w:rFonts w:ascii="Miriam" w:hAnsi="Miriam" w:cs="Miriam" w:hint="eastAsia"/>
          <w:sz w:val="20"/>
          <w:szCs w:val="24"/>
          <w:rtl/>
        </w:rPr>
        <w:t>פקיד</w:t>
      </w:r>
      <w:r w:rsidRPr="00363CF9">
        <w:rPr>
          <w:rFonts w:ascii="Miriam" w:hAnsi="Miriam" w:cs="Miriam"/>
          <w:sz w:val="20"/>
          <w:szCs w:val="24"/>
          <w:rtl/>
        </w:rPr>
        <w:t xml:space="preserve"> </w:t>
      </w:r>
      <w:r w:rsidRPr="00363CF9">
        <w:rPr>
          <w:rFonts w:ascii="Miriam" w:hAnsi="Miriam" w:cs="Miriam" w:hint="eastAsia"/>
          <w:sz w:val="20"/>
          <w:szCs w:val="24"/>
          <w:rtl/>
        </w:rPr>
        <w:t>השומה</w:t>
      </w:r>
      <w:r w:rsidRPr="00363CF9">
        <w:rPr>
          <w:rFonts w:ascii="Miriam" w:hAnsi="Miriam" w:cs="Miriam"/>
          <w:sz w:val="20"/>
          <w:szCs w:val="24"/>
          <w:rtl/>
        </w:rPr>
        <w:t xml:space="preserve"> </w:t>
      </w:r>
      <w:r w:rsidRPr="00363CF9">
        <w:rPr>
          <w:rFonts w:ascii="Miriam" w:hAnsi="Miriam" w:cs="Miriam" w:hint="eastAsia"/>
          <w:sz w:val="20"/>
          <w:szCs w:val="24"/>
          <w:rtl/>
        </w:rPr>
        <w:t>למפעלים</w:t>
      </w:r>
      <w:r w:rsidRPr="00363CF9">
        <w:rPr>
          <w:rFonts w:ascii="Miriam" w:hAnsi="Miriam" w:cs="Miriam"/>
          <w:sz w:val="20"/>
          <w:szCs w:val="24"/>
          <w:rtl/>
        </w:rPr>
        <w:t xml:space="preserve"> </w:t>
      </w:r>
      <w:r w:rsidRPr="00363CF9">
        <w:rPr>
          <w:rFonts w:ascii="Miriam" w:hAnsi="Miriam" w:cs="Miriam" w:hint="eastAsia"/>
          <w:sz w:val="20"/>
          <w:szCs w:val="24"/>
          <w:rtl/>
        </w:rPr>
        <w:t>גדולים</w:t>
      </w:r>
      <w:r>
        <w:rPr>
          <w:rFonts w:hint="cs"/>
          <w:rtl/>
        </w:rPr>
        <w:t xml:space="preserve">, פ"ד </w:t>
      </w:r>
      <w:proofErr w:type="spellStart"/>
      <w:r>
        <w:rPr>
          <w:rFonts w:hint="cs"/>
          <w:rtl/>
        </w:rPr>
        <w:t>כא</w:t>
      </w:r>
      <w:proofErr w:type="spellEnd"/>
      <w:r>
        <w:rPr>
          <w:rFonts w:hint="cs"/>
          <w:rtl/>
        </w:rPr>
        <w:t xml:space="preserve">(2) 593, 598 (1967); ראו עוד: ע"א 252/87 </w:t>
      </w:r>
      <w:r w:rsidRPr="00363CF9">
        <w:rPr>
          <w:rFonts w:ascii="Miriam" w:hAnsi="Miriam" w:cs="Miriam" w:hint="eastAsia"/>
          <w:sz w:val="20"/>
          <w:szCs w:val="24"/>
          <w:rtl/>
        </w:rPr>
        <w:t>גחלת</w:t>
      </w:r>
      <w:r w:rsidRPr="00363CF9">
        <w:rPr>
          <w:rFonts w:ascii="Miriam" w:hAnsi="Miriam" w:cs="Miriam"/>
          <w:sz w:val="20"/>
          <w:szCs w:val="24"/>
          <w:rtl/>
        </w:rPr>
        <w:t xml:space="preserve"> </w:t>
      </w:r>
      <w:r w:rsidRPr="00363CF9">
        <w:rPr>
          <w:rFonts w:ascii="Miriam" w:hAnsi="Miriam" w:cs="Miriam" w:hint="eastAsia"/>
          <w:sz w:val="20"/>
          <w:szCs w:val="24"/>
          <w:rtl/>
        </w:rPr>
        <w:t>חברה</w:t>
      </w:r>
      <w:r w:rsidRPr="00363CF9">
        <w:rPr>
          <w:rFonts w:ascii="Miriam" w:hAnsi="Miriam" w:cs="Miriam"/>
          <w:sz w:val="20"/>
          <w:szCs w:val="24"/>
          <w:rtl/>
        </w:rPr>
        <w:t xml:space="preserve"> </w:t>
      </w:r>
      <w:r w:rsidRPr="00363CF9">
        <w:rPr>
          <w:rFonts w:ascii="Miriam" w:hAnsi="Miriam" w:cs="Miriam" w:hint="eastAsia"/>
          <w:sz w:val="20"/>
          <w:szCs w:val="24"/>
          <w:rtl/>
        </w:rPr>
        <w:t>להשקעות</w:t>
      </w:r>
      <w:r w:rsidRPr="00363CF9">
        <w:rPr>
          <w:rFonts w:ascii="Miriam" w:hAnsi="Miriam" w:cs="Miriam"/>
          <w:sz w:val="20"/>
          <w:szCs w:val="24"/>
          <w:rtl/>
        </w:rPr>
        <w:t xml:space="preserve"> </w:t>
      </w:r>
      <w:r w:rsidRPr="00363CF9">
        <w:rPr>
          <w:rFonts w:ascii="Miriam" w:hAnsi="Miriam" w:cs="Miriam" w:hint="eastAsia"/>
          <w:sz w:val="20"/>
          <w:szCs w:val="24"/>
          <w:rtl/>
        </w:rPr>
        <w:t>בע</w:t>
      </w:r>
      <w:r w:rsidRPr="00363CF9">
        <w:rPr>
          <w:rFonts w:ascii="Miriam" w:hAnsi="Miriam" w:cs="Miriam"/>
          <w:sz w:val="20"/>
          <w:szCs w:val="24"/>
          <w:rtl/>
        </w:rPr>
        <w:t>"</w:t>
      </w:r>
      <w:r w:rsidRPr="00363CF9">
        <w:rPr>
          <w:rFonts w:ascii="Miriam" w:hAnsi="Miriam" w:cs="Miriam" w:hint="eastAsia"/>
          <w:sz w:val="20"/>
          <w:szCs w:val="24"/>
          <w:rtl/>
        </w:rPr>
        <w:t>מ</w:t>
      </w:r>
      <w:r w:rsidRPr="00363CF9">
        <w:rPr>
          <w:rFonts w:ascii="Miriam" w:hAnsi="Miriam" w:cs="Miriam"/>
          <w:sz w:val="20"/>
          <w:szCs w:val="24"/>
          <w:rtl/>
        </w:rPr>
        <w:t xml:space="preserve"> </w:t>
      </w:r>
      <w:r w:rsidRPr="00363CF9">
        <w:rPr>
          <w:rFonts w:ascii="Miriam" w:hAnsi="Miriam" w:cs="Miriam" w:hint="eastAsia"/>
          <w:sz w:val="20"/>
          <w:szCs w:val="24"/>
          <w:rtl/>
        </w:rPr>
        <w:t>נ</w:t>
      </w:r>
      <w:r w:rsidRPr="00363CF9">
        <w:rPr>
          <w:rFonts w:ascii="Miriam" w:hAnsi="Miriam" w:cs="Miriam"/>
          <w:sz w:val="20"/>
          <w:szCs w:val="24"/>
          <w:rtl/>
        </w:rPr>
        <w:t xml:space="preserve">' </w:t>
      </w:r>
      <w:r w:rsidRPr="00363CF9">
        <w:rPr>
          <w:rFonts w:ascii="Miriam" w:hAnsi="Miriam" w:cs="Miriam" w:hint="eastAsia"/>
          <w:sz w:val="20"/>
          <w:szCs w:val="24"/>
          <w:rtl/>
        </w:rPr>
        <w:t>מנהל</w:t>
      </w:r>
      <w:r w:rsidRPr="00363CF9">
        <w:rPr>
          <w:rFonts w:ascii="Miriam" w:hAnsi="Miriam" w:cs="Miriam"/>
          <w:sz w:val="20"/>
          <w:szCs w:val="24"/>
          <w:rtl/>
        </w:rPr>
        <w:t xml:space="preserve"> </w:t>
      </w:r>
      <w:r w:rsidRPr="00363CF9">
        <w:rPr>
          <w:rFonts w:ascii="Miriam" w:hAnsi="Miriam" w:cs="Miriam" w:hint="eastAsia"/>
          <w:sz w:val="20"/>
          <w:szCs w:val="24"/>
          <w:rtl/>
        </w:rPr>
        <w:t>המכס</w:t>
      </w:r>
      <w:r w:rsidRPr="00363CF9">
        <w:rPr>
          <w:rFonts w:ascii="Miriam" w:hAnsi="Miriam" w:cs="Miriam"/>
          <w:sz w:val="20"/>
          <w:szCs w:val="24"/>
          <w:rtl/>
        </w:rPr>
        <w:t xml:space="preserve"> </w:t>
      </w:r>
      <w:r w:rsidRPr="00363CF9">
        <w:rPr>
          <w:rFonts w:ascii="Miriam" w:hAnsi="Miriam" w:cs="Miriam" w:hint="eastAsia"/>
          <w:sz w:val="20"/>
          <w:szCs w:val="24"/>
          <w:rtl/>
        </w:rPr>
        <w:lastRenderedPageBreak/>
        <w:t>ומע</w:t>
      </w:r>
      <w:r w:rsidRPr="00363CF9">
        <w:rPr>
          <w:rFonts w:ascii="Miriam" w:hAnsi="Miriam" w:cs="Miriam"/>
          <w:sz w:val="20"/>
          <w:szCs w:val="24"/>
          <w:rtl/>
        </w:rPr>
        <w:t>"</w:t>
      </w:r>
      <w:r w:rsidRPr="00363CF9">
        <w:rPr>
          <w:rFonts w:ascii="Miriam" w:hAnsi="Miriam" w:cs="Miriam" w:hint="eastAsia"/>
          <w:sz w:val="20"/>
          <w:szCs w:val="24"/>
          <w:rtl/>
        </w:rPr>
        <w:t>מ</w:t>
      </w:r>
      <w:r>
        <w:rPr>
          <w:rFonts w:hint="cs"/>
          <w:rtl/>
        </w:rPr>
        <w:t xml:space="preserve">, פ"ד מה(1) 245, 249-248 (1991); ע"א 67/89 </w:t>
      </w:r>
      <w:proofErr w:type="spellStart"/>
      <w:r w:rsidRPr="00363CF9">
        <w:rPr>
          <w:rFonts w:ascii="Miriam" w:hAnsi="Miriam" w:cs="Miriam" w:hint="eastAsia"/>
          <w:sz w:val="20"/>
          <w:szCs w:val="24"/>
          <w:rtl/>
        </w:rPr>
        <w:t>שטיינקריץ</w:t>
      </w:r>
      <w:proofErr w:type="spellEnd"/>
      <w:r w:rsidRPr="00363CF9">
        <w:rPr>
          <w:rFonts w:ascii="Miriam" w:hAnsi="Miriam" w:cs="Miriam"/>
          <w:sz w:val="20"/>
          <w:szCs w:val="24"/>
          <w:rtl/>
        </w:rPr>
        <w:t xml:space="preserve"> </w:t>
      </w:r>
      <w:r w:rsidRPr="00363CF9">
        <w:rPr>
          <w:rFonts w:ascii="Miriam" w:hAnsi="Miriam" w:cs="Miriam" w:hint="eastAsia"/>
          <w:sz w:val="20"/>
          <w:szCs w:val="24"/>
          <w:rtl/>
        </w:rPr>
        <w:t>נ</w:t>
      </w:r>
      <w:r w:rsidRPr="00363CF9">
        <w:rPr>
          <w:rFonts w:ascii="Miriam" w:hAnsi="Miriam" w:cs="Miriam"/>
          <w:sz w:val="20"/>
          <w:szCs w:val="24"/>
          <w:rtl/>
        </w:rPr>
        <w:t xml:space="preserve">' </w:t>
      </w:r>
      <w:r w:rsidRPr="00363CF9">
        <w:rPr>
          <w:rFonts w:ascii="Miriam" w:hAnsi="Miriam" w:cs="Miriam" w:hint="eastAsia"/>
          <w:sz w:val="20"/>
          <w:szCs w:val="24"/>
          <w:rtl/>
        </w:rPr>
        <w:t>מנהל</w:t>
      </w:r>
      <w:r w:rsidRPr="00363CF9">
        <w:rPr>
          <w:rFonts w:ascii="Miriam" w:hAnsi="Miriam" w:cs="Miriam"/>
          <w:sz w:val="20"/>
          <w:szCs w:val="24"/>
          <w:rtl/>
        </w:rPr>
        <w:t xml:space="preserve"> </w:t>
      </w:r>
      <w:r w:rsidRPr="00363CF9">
        <w:rPr>
          <w:rFonts w:ascii="Miriam" w:hAnsi="Miriam" w:cs="Miriam" w:hint="eastAsia"/>
          <w:sz w:val="20"/>
          <w:szCs w:val="24"/>
          <w:rtl/>
        </w:rPr>
        <w:t>מס</w:t>
      </w:r>
      <w:r w:rsidRPr="00363CF9">
        <w:rPr>
          <w:rFonts w:ascii="Miriam" w:hAnsi="Miriam" w:cs="Miriam"/>
          <w:sz w:val="20"/>
          <w:szCs w:val="24"/>
          <w:rtl/>
        </w:rPr>
        <w:t xml:space="preserve"> </w:t>
      </w:r>
      <w:r w:rsidRPr="00363CF9">
        <w:rPr>
          <w:rFonts w:ascii="Miriam" w:hAnsi="Miriam" w:cs="Miriam" w:hint="eastAsia"/>
          <w:sz w:val="20"/>
          <w:szCs w:val="24"/>
          <w:rtl/>
        </w:rPr>
        <w:t>ערך</w:t>
      </w:r>
      <w:r w:rsidRPr="00363CF9">
        <w:rPr>
          <w:rFonts w:ascii="Miriam" w:hAnsi="Miriam" w:cs="Miriam"/>
          <w:sz w:val="20"/>
          <w:szCs w:val="24"/>
          <w:rtl/>
        </w:rPr>
        <w:t xml:space="preserve"> </w:t>
      </w:r>
      <w:r w:rsidRPr="00363CF9">
        <w:rPr>
          <w:rFonts w:ascii="Miriam" w:hAnsi="Miriam" w:cs="Miriam" w:hint="eastAsia"/>
          <w:sz w:val="20"/>
          <w:szCs w:val="24"/>
          <w:rtl/>
        </w:rPr>
        <w:t>מוסף</w:t>
      </w:r>
      <w:r w:rsidRPr="00363CF9">
        <w:rPr>
          <w:rFonts w:ascii="Miriam" w:hAnsi="Miriam" w:cs="Miriam"/>
          <w:sz w:val="20"/>
          <w:szCs w:val="24"/>
          <w:rtl/>
        </w:rPr>
        <w:t xml:space="preserve">, </w:t>
      </w:r>
      <w:r w:rsidRPr="00363CF9">
        <w:rPr>
          <w:rFonts w:ascii="Miriam" w:hAnsi="Miriam" w:cs="Miriam" w:hint="eastAsia"/>
          <w:sz w:val="20"/>
          <w:szCs w:val="24"/>
          <w:rtl/>
        </w:rPr>
        <w:t>חיפה</w:t>
      </w:r>
      <w:r>
        <w:rPr>
          <w:rFonts w:hint="cs"/>
          <w:rtl/>
        </w:rPr>
        <w:t xml:space="preserve">, פ"ד </w:t>
      </w:r>
      <w:proofErr w:type="spellStart"/>
      <w:r>
        <w:rPr>
          <w:rFonts w:hint="cs"/>
          <w:rtl/>
        </w:rPr>
        <w:t>מז</w:t>
      </w:r>
      <w:proofErr w:type="spellEnd"/>
      <w:r>
        <w:rPr>
          <w:rFonts w:hint="cs"/>
          <w:rtl/>
        </w:rPr>
        <w:t xml:space="preserve">(4) 11, 15-14 (1993); ע"א 2965/08 </w:t>
      </w:r>
      <w:r w:rsidRPr="00363CF9">
        <w:rPr>
          <w:rFonts w:ascii="Miriam" w:hAnsi="Miriam" w:cs="Miriam" w:hint="eastAsia"/>
          <w:sz w:val="20"/>
          <w:szCs w:val="24"/>
          <w:rtl/>
        </w:rPr>
        <w:t>סגנון</w:t>
      </w:r>
      <w:r w:rsidRPr="00363CF9">
        <w:rPr>
          <w:rFonts w:ascii="Miriam" w:hAnsi="Miriam" w:cs="Miriam"/>
          <w:sz w:val="20"/>
          <w:szCs w:val="24"/>
          <w:rtl/>
        </w:rPr>
        <w:t xml:space="preserve"> </w:t>
      </w:r>
      <w:r w:rsidRPr="00363CF9">
        <w:rPr>
          <w:rFonts w:ascii="Miriam" w:hAnsi="Miriam" w:cs="Miriam" w:hint="eastAsia"/>
          <w:sz w:val="20"/>
          <w:szCs w:val="24"/>
          <w:rtl/>
        </w:rPr>
        <w:t>שירותי</w:t>
      </w:r>
      <w:r w:rsidRPr="00363CF9">
        <w:rPr>
          <w:rFonts w:ascii="Miriam" w:hAnsi="Miriam" w:cs="Miriam"/>
          <w:sz w:val="20"/>
          <w:szCs w:val="24"/>
          <w:rtl/>
        </w:rPr>
        <w:t xml:space="preserve"> </w:t>
      </w:r>
      <w:r w:rsidRPr="00363CF9">
        <w:rPr>
          <w:rFonts w:ascii="Miriam" w:hAnsi="Miriam" w:cs="Miriam" w:hint="eastAsia"/>
          <w:sz w:val="20"/>
          <w:szCs w:val="24"/>
          <w:rtl/>
        </w:rPr>
        <w:t>תקשוב</w:t>
      </w:r>
      <w:r>
        <w:rPr>
          <w:rFonts w:ascii="Miriam" w:hAnsi="Miriam" w:cs="Miriam" w:hint="cs"/>
          <w:sz w:val="20"/>
          <w:szCs w:val="24"/>
          <w:rtl/>
        </w:rPr>
        <w:t xml:space="preserve"> בע"מ נ' פקיד שומה פתח-תקווה</w:t>
      </w:r>
      <w:r>
        <w:rPr>
          <w:rFonts w:hint="cs"/>
          <w:rtl/>
        </w:rPr>
        <w:t>, פסקאות 28-27 (21.6.2011)</w:t>
      </w:r>
      <w:r>
        <w:rPr>
          <w:rFonts w:ascii="Miriam" w:hAnsi="Miriam" w:cs="Miriam" w:hint="cs"/>
          <w:sz w:val="20"/>
          <w:szCs w:val="24"/>
          <w:rtl/>
        </w:rPr>
        <w:t xml:space="preserve">; </w:t>
      </w:r>
      <w:proofErr w:type="spellStart"/>
      <w:r w:rsidRPr="00363CF9">
        <w:rPr>
          <w:rFonts w:ascii="Miriam" w:hAnsi="Miriam" w:cs="Miriam" w:hint="eastAsia"/>
          <w:sz w:val="20"/>
          <w:szCs w:val="24"/>
          <w:rtl/>
        </w:rPr>
        <w:t>נמדר</w:t>
      </w:r>
      <w:proofErr w:type="spellEnd"/>
      <w:r>
        <w:rPr>
          <w:rFonts w:hint="cs"/>
          <w:rtl/>
        </w:rPr>
        <w:t xml:space="preserve">, בעמוד 820). אין להתפלא </w:t>
      </w:r>
      <w:proofErr w:type="spellStart"/>
      <w:r>
        <w:rPr>
          <w:rFonts w:hint="cs"/>
          <w:rtl/>
        </w:rPr>
        <w:t>איפוא</w:t>
      </w:r>
      <w:proofErr w:type="spellEnd"/>
      <w:r>
        <w:rPr>
          <w:rFonts w:hint="cs"/>
          <w:rtl/>
        </w:rPr>
        <w:t xml:space="preserve"> כי גם מנהל המיסוי הגיע למסקנה דומה ביחס לסיווג העסקה עת נדרש לקבוע את גובה מס הרכישה, וכי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xml:space="preserve"> הסכימו לפרשנותו בהסכם הפשרה (ודוק, כמובן שאין זהות מבחינת האישיות המשפטית בין המערערת, שהיא תאגיד, לבין </w:t>
      </w:r>
      <w:proofErr w:type="spellStart"/>
      <w:r>
        <w:rPr>
          <w:rFonts w:hint="cs"/>
          <w:rtl/>
        </w:rPr>
        <w:t>אלקובי</w:t>
      </w:r>
      <w:proofErr w:type="spellEnd"/>
      <w:r>
        <w:rPr>
          <w:rFonts w:hint="cs"/>
          <w:rtl/>
        </w:rPr>
        <w:t xml:space="preserve"> </w:t>
      </w:r>
      <w:proofErr w:type="spellStart"/>
      <w:r>
        <w:rPr>
          <w:rFonts w:hint="cs"/>
          <w:rtl/>
        </w:rPr>
        <w:t>ומרציאנו</w:t>
      </w:r>
      <w:proofErr w:type="spellEnd"/>
      <w:r>
        <w:rPr>
          <w:rFonts w:hint="cs"/>
          <w:rtl/>
        </w:rPr>
        <w:t>, שהם אנשים פרטיים. ואולם, לא ניתן להתעלם מכך שהאחרונים הם בעל עניין ובעל השליטה במערערת</w:t>
      </w:r>
      <w:r w:rsidR="00D60D86">
        <w:rPr>
          <w:rFonts w:hint="cs"/>
          <w:rtl/>
        </w:rPr>
        <w:t>,</w:t>
      </w:r>
      <w:r>
        <w:rPr>
          <w:rFonts w:hint="cs"/>
          <w:rtl/>
        </w:rPr>
        <w:t xml:space="preserve"> ולכן מקובלת עליי הישענות בית המשפט קמא </w:t>
      </w:r>
      <w:r w:rsidRPr="00363CF9">
        <w:rPr>
          <w:rFonts w:ascii="Miriam" w:hAnsi="Miriam" w:cs="Miriam" w:hint="eastAsia"/>
          <w:sz w:val="20"/>
          <w:szCs w:val="24"/>
          <w:rtl/>
        </w:rPr>
        <w:t>גם</w:t>
      </w:r>
      <w:r w:rsidRPr="00363CF9">
        <w:rPr>
          <w:sz w:val="20"/>
          <w:szCs w:val="24"/>
          <w:rtl/>
        </w:rPr>
        <w:t xml:space="preserve"> </w:t>
      </w:r>
      <w:r>
        <w:rPr>
          <w:rFonts w:hint="cs"/>
          <w:rtl/>
        </w:rPr>
        <w:t xml:space="preserve">על הסכם הפשרה לצורך סיווג מהותה של העסקה). </w:t>
      </w:r>
    </w:p>
    <w:p w:rsidR="006E1F18" w:rsidRDefault="006E1F18" w:rsidP="006E1F18">
      <w:pPr>
        <w:pStyle w:val="Ruller4"/>
        <w:numPr>
          <w:ilvl w:val="0"/>
          <w:numId w:val="0"/>
        </w:numPr>
      </w:pPr>
    </w:p>
    <w:p w:rsidR="006E1F18" w:rsidRDefault="006E1F18" w:rsidP="00D60D86">
      <w:pPr>
        <w:pStyle w:val="Ruller4"/>
        <w:rPr>
          <w:rtl/>
        </w:rPr>
      </w:pPr>
      <w:r>
        <w:rPr>
          <w:rFonts w:hint="cs"/>
          <w:rtl/>
        </w:rPr>
        <w:t>בא-כוחה של המערערת ניסה לשכנענו כי התוצאה שהיא ביקשה להשיג</w:t>
      </w:r>
      <w:r w:rsidR="00D60D86">
        <w:rPr>
          <w:rFonts w:hint="cs"/>
          <w:rtl/>
        </w:rPr>
        <w:t xml:space="preserve"> </w:t>
      </w:r>
      <w:r w:rsidR="00D60D86">
        <w:rPr>
          <w:rtl/>
        </w:rPr>
        <w:t>–</w:t>
      </w:r>
      <w:r w:rsidR="00D60D86">
        <w:rPr>
          <w:rFonts w:hint="cs"/>
          <w:rtl/>
        </w:rPr>
        <w:t xml:space="preserve"> הזדכות </w:t>
      </w:r>
      <w:r>
        <w:rPr>
          <w:rFonts w:hint="cs"/>
          <w:rtl/>
        </w:rPr>
        <w:t>על המע"מ ששולם על ידי המוכרים הפרטיים מהם רכשה את הבניין הישן</w:t>
      </w:r>
      <w:r w:rsidR="00D60D86">
        <w:rPr>
          <w:rFonts w:hint="cs"/>
          <w:rtl/>
        </w:rPr>
        <w:t xml:space="preserve"> </w:t>
      </w:r>
      <w:r w:rsidR="00D60D86">
        <w:rPr>
          <w:rtl/>
        </w:rPr>
        <w:t>–</w:t>
      </w:r>
      <w:r>
        <w:rPr>
          <w:rFonts w:hint="cs"/>
          <w:rtl/>
        </w:rPr>
        <w:t xml:space="preserve"> היא תוצאה רצויה, מאחר שיש בה כדי למנוע תשלום כפל מע"מ. ייתכן שכעניין כלכלי הצדק עם בא</w:t>
      </w:r>
      <w:r w:rsidR="007352E8">
        <w:rPr>
          <w:rFonts w:hint="cs"/>
          <w:rtl/>
        </w:rPr>
        <w:t>-</w:t>
      </w:r>
      <w:r>
        <w:rPr>
          <w:rFonts w:hint="cs"/>
          <w:rtl/>
        </w:rPr>
        <w:t xml:space="preserve">הכוח המלומד, ואולם המחוקק הישראלי ראה הצדקה לתחום את הקלת המס שניתנה בסעיף 5(ב) לחוק מע"מ לנסיבות בהן עוסק מוכר את אותה דירת המגורים שרכש מאדם פרטי, ולא להחילה כשהעוסק רוכש בניין ישן, הורס אותו, ובונה במקומו בניין חדש. בענייננו, המערערת רכשה אומנם דירות מגורים מגורמים פרטיים, ואולם היא לא מכרה את אותן דירות הלאה, אלא הרסה את הבניין, בנתה בניין חדש במקומו ומכרה את דירותיו של הבניין החדש. הצעת החוק שהוגשה לכנסת ביקשה להעניק הקלה במס גם במצב דברים זה (בהצעת החוק דובר על עוסק שרוכש "מקרקעין" מאדם פרטי; ראו הצעת חוק מס ערך מוסף (תיקון מס' 10), התשנ"ג-1993, </w:t>
      </w:r>
      <w:proofErr w:type="spellStart"/>
      <w:r>
        <w:rPr>
          <w:rFonts w:hint="cs"/>
          <w:rtl/>
        </w:rPr>
        <w:t>ה"ח</w:t>
      </w:r>
      <w:proofErr w:type="spellEnd"/>
      <w:r>
        <w:rPr>
          <w:rFonts w:hint="cs"/>
          <w:rtl/>
        </w:rPr>
        <w:t xml:space="preserve"> 2194, 288 (28.7.1993)), ואולם המחוקק צמצם לבסוף את הקלת המס, כך שהיא הוחלה רק על קנייה ומכירה של אותה "דירת מגורים" (ראו עוד: פסקאות 58-41 לפסק </w:t>
      </w:r>
      <w:r w:rsidR="00A373CF">
        <w:rPr>
          <w:rFonts w:hint="cs"/>
          <w:rtl/>
        </w:rPr>
        <w:t>ה</w:t>
      </w:r>
      <w:r>
        <w:rPr>
          <w:rFonts w:hint="cs"/>
          <w:rtl/>
        </w:rPr>
        <w:t>די</w:t>
      </w:r>
      <w:r w:rsidR="00A373CF">
        <w:rPr>
          <w:rFonts w:hint="cs"/>
          <w:rtl/>
        </w:rPr>
        <w:t>ן</w:t>
      </w:r>
      <w:r>
        <w:rPr>
          <w:rFonts w:hint="cs"/>
          <w:rtl/>
        </w:rPr>
        <w:t xml:space="preserve"> והאסמכתאות שם). עובדה זו הייתה ברורה גם למערערת, ומשום כך ביקשה להציג את העסקה </w:t>
      </w:r>
      <w:proofErr w:type="spellStart"/>
      <w:r>
        <w:rPr>
          <w:rFonts w:hint="cs"/>
          <w:rtl/>
        </w:rPr>
        <w:t>ככזו</w:t>
      </w:r>
      <w:proofErr w:type="spellEnd"/>
      <w:r>
        <w:rPr>
          <w:rFonts w:hint="cs"/>
          <w:rtl/>
        </w:rPr>
        <w:t xml:space="preserve"> הנופלת לגדרו המצומצם של הפטור שהוכר לבסוף על ידי המחוקק. מהטעמים שפורטו לעיל, ניסיונה זה אינו תואם את מהותה </w:t>
      </w:r>
      <w:proofErr w:type="spellStart"/>
      <w:r>
        <w:rPr>
          <w:rFonts w:hint="cs"/>
          <w:rtl/>
        </w:rPr>
        <w:t>האמיתית</w:t>
      </w:r>
      <w:proofErr w:type="spellEnd"/>
      <w:r>
        <w:rPr>
          <w:rFonts w:hint="cs"/>
          <w:rtl/>
        </w:rPr>
        <w:t xml:space="preserve"> של ההתקשרות בין הצדדים, ולפיכך דינו להיכשל. אשר על כן, אין מנוס מדחיית טענותיה המהותיות של המערערת. </w:t>
      </w:r>
    </w:p>
    <w:p w:rsidR="00547B3F" w:rsidRDefault="00547B3F" w:rsidP="006E1F18">
      <w:pPr>
        <w:pStyle w:val="Ruller41"/>
        <w:rPr>
          <w:rtl/>
        </w:rPr>
      </w:pPr>
    </w:p>
    <w:p w:rsidR="006E1F18" w:rsidRPr="008E78F3" w:rsidRDefault="006E1F18" w:rsidP="006E1F18">
      <w:pPr>
        <w:pStyle w:val="Ruller4"/>
        <w:numPr>
          <w:ilvl w:val="0"/>
          <w:numId w:val="0"/>
        </w:numPr>
        <w:rPr>
          <w:rFonts w:ascii="Century" w:hAnsi="Century" w:cs="Miriam"/>
          <w:b/>
          <w:spacing w:val="0"/>
          <w:sz w:val="22"/>
          <w:szCs w:val="24"/>
          <w:rtl/>
        </w:rPr>
      </w:pPr>
      <w:r w:rsidRPr="008E78F3">
        <w:rPr>
          <w:rFonts w:ascii="Century" w:hAnsi="Century" w:cs="Miriam" w:hint="cs"/>
          <w:b/>
          <w:spacing w:val="0"/>
          <w:sz w:val="22"/>
          <w:szCs w:val="24"/>
          <w:rtl/>
        </w:rPr>
        <w:t xml:space="preserve">שומת מס תשומות </w:t>
      </w:r>
    </w:p>
    <w:p w:rsidR="006E1F18" w:rsidRDefault="006E1F18" w:rsidP="006E1F18">
      <w:pPr>
        <w:pStyle w:val="Ruller41"/>
        <w:rPr>
          <w:rtl/>
        </w:rPr>
      </w:pPr>
    </w:p>
    <w:p w:rsidR="006E1F18" w:rsidRDefault="006E1F18" w:rsidP="00AB4C13">
      <w:pPr>
        <w:pStyle w:val="Ruller4"/>
        <w:rPr>
          <w:rtl/>
        </w:rPr>
      </w:pPr>
      <w:r>
        <w:rPr>
          <w:rFonts w:hint="cs"/>
          <w:rtl/>
        </w:rPr>
        <w:t>הערעור בעניין זה, נוגע לקביעות עובדתיות מובהקות של בית המשפט קמא, ולפיכך דינו להידחות. כידוע, הערכאה הדיונית נהנית מיתרון לנוכח התרשמותה הבלתי אמצעית מהראיות המונחות לפניה</w:t>
      </w:r>
      <w:r w:rsidR="00D60D86">
        <w:rPr>
          <w:rFonts w:hint="cs"/>
          <w:rtl/>
        </w:rPr>
        <w:t>,</w:t>
      </w:r>
      <w:r>
        <w:rPr>
          <w:rFonts w:hint="cs"/>
          <w:rtl/>
        </w:rPr>
        <w:t xml:space="preserve"> ולכן רק במקרים חריגים יתערב בית משפט זה בקביעותיה העובדתיות (ע"א 3871/04 </w:t>
      </w:r>
      <w:r w:rsidRPr="00363CF9">
        <w:rPr>
          <w:rFonts w:ascii="Miriam" w:hAnsi="Miriam" w:cs="Miriam" w:hint="eastAsia"/>
          <w:sz w:val="20"/>
          <w:szCs w:val="24"/>
          <w:rtl/>
        </w:rPr>
        <w:t>מיכאל</w:t>
      </w:r>
      <w:r w:rsidRPr="00363CF9">
        <w:rPr>
          <w:rFonts w:ascii="Miriam" w:hAnsi="Miriam" w:cs="Miriam"/>
          <w:sz w:val="20"/>
          <w:szCs w:val="24"/>
          <w:rtl/>
        </w:rPr>
        <w:t xml:space="preserve"> </w:t>
      </w:r>
      <w:r w:rsidRPr="00363CF9">
        <w:rPr>
          <w:rFonts w:ascii="Miriam" w:hAnsi="Miriam" w:cs="Miriam" w:hint="eastAsia"/>
          <w:sz w:val="20"/>
          <w:szCs w:val="24"/>
          <w:rtl/>
        </w:rPr>
        <w:t>רונן</w:t>
      </w:r>
      <w:r w:rsidRPr="00363CF9">
        <w:rPr>
          <w:rFonts w:ascii="Miriam" w:hAnsi="Miriam" w:cs="Miriam"/>
          <w:sz w:val="20"/>
          <w:szCs w:val="24"/>
          <w:rtl/>
        </w:rPr>
        <w:t xml:space="preserve"> </w:t>
      </w:r>
      <w:r w:rsidRPr="00363CF9">
        <w:rPr>
          <w:rFonts w:ascii="Miriam" w:hAnsi="Miriam" w:cs="Miriam" w:hint="eastAsia"/>
          <w:sz w:val="20"/>
          <w:szCs w:val="24"/>
          <w:rtl/>
        </w:rPr>
        <w:t>מהנדסים</w:t>
      </w:r>
      <w:r w:rsidRPr="00363CF9">
        <w:rPr>
          <w:rFonts w:ascii="Miriam" w:hAnsi="Miriam" w:cs="Miriam"/>
          <w:sz w:val="20"/>
          <w:szCs w:val="24"/>
          <w:rtl/>
        </w:rPr>
        <w:t xml:space="preserve"> </w:t>
      </w:r>
      <w:r w:rsidRPr="00363CF9">
        <w:rPr>
          <w:rFonts w:ascii="Miriam" w:hAnsi="Miriam" w:cs="Miriam" w:hint="eastAsia"/>
          <w:sz w:val="20"/>
          <w:szCs w:val="24"/>
          <w:rtl/>
        </w:rPr>
        <w:t>בע</w:t>
      </w:r>
      <w:r w:rsidRPr="00363CF9">
        <w:rPr>
          <w:rFonts w:ascii="Miriam" w:hAnsi="Miriam" w:cs="Miriam"/>
          <w:sz w:val="20"/>
          <w:szCs w:val="24"/>
          <w:rtl/>
        </w:rPr>
        <w:t>"</w:t>
      </w:r>
      <w:r w:rsidRPr="00363CF9">
        <w:rPr>
          <w:rFonts w:ascii="Miriam" w:hAnsi="Miriam" w:cs="Miriam" w:hint="eastAsia"/>
          <w:sz w:val="20"/>
          <w:szCs w:val="24"/>
          <w:rtl/>
        </w:rPr>
        <w:t>מ</w:t>
      </w:r>
      <w:r w:rsidRPr="00363CF9">
        <w:rPr>
          <w:rFonts w:ascii="Miriam" w:hAnsi="Miriam" w:cs="Miriam"/>
          <w:sz w:val="20"/>
          <w:szCs w:val="24"/>
          <w:rtl/>
        </w:rPr>
        <w:t xml:space="preserve"> </w:t>
      </w:r>
      <w:r w:rsidRPr="00363CF9">
        <w:rPr>
          <w:rFonts w:ascii="Miriam" w:hAnsi="Miriam" w:cs="Miriam" w:hint="eastAsia"/>
          <w:sz w:val="20"/>
          <w:szCs w:val="24"/>
          <w:rtl/>
        </w:rPr>
        <w:t>נ</w:t>
      </w:r>
      <w:r w:rsidRPr="00363CF9">
        <w:rPr>
          <w:rFonts w:ascii="Miriam" w:hAnsi="Miriam" w:cs="Miriam"/>
          <w:sz w:val="20"/>
          <w:szCs w:val="24"/>
          <w:rtl/>
        </w:rPr>
        <w:t xml:space="preserve">' </w:t>
      </w:r>
      <w:r w:rsidRPr="00363CF9">
        <w:rPr>
          <w:rFonts w:ascii="Miriam" w:hAnsi="Miriam" w:cs="Miriam" w:hint="eastAsia"/>
          <w:sz w:val="20"/>
          <w:szCs w:val="24"/>
          <w:rtl/>
        </w:rPr>
        <w:t>מנהל</w:t>
      </w:r>
      <w:r w:rsidRPr="00363CF9">
        <w:rPr>
          <w:rFonts w:ascii="Miriam" w:hAnsi="Miriam" w:cs="Miriam"/>
          <w:sz w:val="20"/>
          <w:szCs w:val="24"/>
          <w:rtl/>
        </w:rPr>
        <w:t xml:space="preserve"> </w:t>
      </w:r>
      <w:r w:rsidRPr="00363CF9">
        <w:rPr>
          <w:rFonts w:ascii="Miriam" w:hAnsi="Miriam" w:cs="Miriam" w:hint="eastAsia"/>
          <w:sz w:val="20"/>
          <w:szCs w:val="24"/>
          <w:rtl/>
        </w:rPr>
        <w:t>מע</w:t>
      </w:r>
      <w:r w:rsidRPr="00363CF9">
        <w:rPr>
          <w:rFonts w:ascii="Miriam" w:hAnsi="Miriam" w:cs="Miriam"/>
          <w:sz w:val="20"/>
          <w:szCs w:val="24"/>
          <w:rtl/>
        </w:rPr>
        <w:t>"</w:t>
      </w:r>
      <w:r w:rsidRPr="00363CF9">
        <w:rPr>
          <w:rFonts w:ascii="Miriam" w:hAnsi="Miriam" w:cs="Miriam" w:hint="eastAsia"/>
          <w:sz w:val="20"/>
          <w:szCs w:val="24"/>
          <w:rtl/>
        </w:rPr>
        <w:t>מ</w:t>
      </w:r>
      <w:r w:rsidRPr="00363CF9">
        <w:rPr>
          <w:rFonts w:ascii="Miriam" w:hAnsi="Miriam" w:cs="Miriam"/>
          <w:sz w:val="20"/>
          <w:szCs w:val="24"/>
          <w:rtl/>
        </w:rPr>
        <w:t xml:space="preserve"> </w:t>
      </w:r>
      <w:r>
        <w:rPr>
          <w:rFonts w:ascii="Miriam" w:hAnsi="Miriam" w:cs="Miriam"/>
          <w:sz w:val="20"/>
          <w:szCs w:val="24"/>
          <w:rtl/>
        </w:rPr>
        <w:t>–</w:t>
      </w:r>
      <w:r>
        <w:rPr>
          <w:rFonts w:ascii="Miriam" w:hAnsi="Miriam" w:cs="Miriam" w:hint="cs"/>
          <w:sz w:val="20"/>
          <w:szCs w:val="24"/>
          <w:rtl/>
        </w:rPr>
        <w:t xml:space="preserve"> </w:t>
      </w:r>
      <w:r w:rsidRPr="00363CF9">
        <w:rPr>
          <w:rFonts w:ascii="Miriam" w:hAnsi="Miriam" w:cs="Miriam" w:hint="eastAsia"/>
          <w:sz w:val="20"/>
          <w:szCs w:val="24"/>
          <w:rtl/>
        </w:rPr>
        <w:lastRenderedPageBreak/>
        <w:t>אשדוד</w:t>
      </w:r>
      <w:r>
        <w:rPr>
          <w:rFonts w:hint="cs"/>
          <w:rtl/>
        </w:rPr>
        <w:t xml:space="preserve">, פסקה 4 (29.4.2007); </w:t>
      </w:r>
      <w:r w:rsidRPr="00CA735C">
        <w:rPr>
          <w:rFonts w:hint="eastAsia"/>
          <w:rtl/>
        </w:rPr>
        <w:t>ע</w:t>
      </w:r>
      <w:r w:rsidRPr="00CA735C">
        <w:rPr>
          <w:rtl/>
        </w:rPr>
        <w:t>"</w:t>
      </w:r>
      <w:r w:rsidRPr="00CA735C">
        <w:rPr>
          <w:rFonts w:hint="eastAsia"/>
          <w:rtl/>
        </w:rPr>
        <w:t>א</w:t>
      </w:r>
      <w:r w:rsidRPr="00CA735C">
        <w:rPr>
          <w:rtl/>
        </w:rPr>
        <w:t xml:space="preserve"> 8945/06 </w:t>
      </w:r>
      <w:r w:rsidRPr="00B0724D">
        <w:rPr>
          <w:rFonts w:ascii="Miriam" w:hAnsi="Miriam" w:cs="Miriam" w:hint="eastAsia"/>
          <w:sz w:val="20"/>
          <w:szCs w:val="24"/>
          <w:rtl/>
        </w:rPr>
        <w:t>בוסקילה</w:t>
      </w:r>
      <w:r w:rsidRPr="00B0724D">
        <w:rPr>
          <w:rFonts w:ascii="Miriam" w:hAnsi="Miriam" w:cs="Miriam"/>
          <w:sz w:val="20"/>
          <w:szCs w:val="24"/>
          <w:rtl/>
        </w:rPr>
        <w:t xml:space="preserve"> </w:t>
      </w:r>
      <w:r w:rsidRPr="00B0724D">
        <w:rPr>
          <w:rFonts w:ascii="Miriam" w:hAnsi="Miriam" w:cs="Miriam" w:hint="eastAsia"/>
          <w:sz w:val="20"/>
          <w:szCs w:val="24"/>
          <w:rtl/>
        </w:rPr>
        <w:t>נ</w:t>
      </w:r>
      <w:r w:rsidRPr="00B0724D">
        <w:rPr>
          <w:rFonts w:ascii="Miriam" w:hAnsi="Miriam" w:cs="Miriam"/>
          <w:sz w:val="20"/>
          <w:szCs w:val="24"/>
          <w:rtl/>
        </w:rPr>
        <w:t xml:space="preserve">' </w:t>
      </w:r>
      <w:r w:rsidRPr="00B0724D">
        <w:rPr>
          <w:rFonts w:ascii="Miriam" w:hAnsi="Miriam" w:cs="Miriam" w:hint="eastAsia"/>
          <w:sz w:val="20"/>
          <w:szCs w:val="24"/>
          <w:rtl/>
        </w:rPr>
        <w:t>מדינת</w:t>
      </w:r>
      <w:r w:rsidRPr="00B0724D">
        <w:rPr>
          <w:rFonts w:ascii="Miriam" w:hAnsi="Miriam" w:cs="Miriam"/>
          <w:sz w:val="20"/>
          <w:szCs w:val="24"/>
          <w:rtl/>
        </w:rPr>
        <w:t xml:space="preserve"> </w:t>
      </w:r>
      <w:r w:rsidRPr="00B0724D">
        <w:rPr>
          <w:rFonts w:ascii="Miriam" w:hAnsi="Miriam" w:cs="Miriam" w:hint="eastAsia"/>
          <w:sz w:val="20"/>
          <w:szCs w:val="24"/>
          <w:rtl/>
        </w:rPr>
        <w:t>ישראל</w:t>
      </w:r>
      <w:r w:rsidRPr="00B0724D">
        <w:rPr>
          <w:rFonts w:ascii="Miriam" w:hAnsi="Miriam" w:cs="Miriam"/>
          <w:sz w:val="20"/>
          <w:szCs w:val="24"/>
          <w:rtl/>
        </w:rPr>
        <w:t xml:space="preserve"> - </w:t>
      </w:r>
      <w:r w:rsidRPr="00B0724D">
        <w:rPr>
          <w:rFonts w:ascii="Miriam" w:hAnsi="Miriam" w:cs="Miriam" w:hint="eastAsia"/>
          <w:sz w:val="20"/>
          <w:szCs w:val="24"/>
          <w:rtl/>
        </w:rPr>
        <w:t>מנהל</w:t>
      </w:r>
      <w:r w:rsidRPr="00B0724D">
        <w:rPr>
          <w:rFonts w:ascii="Miriam" w:hAnsi="Miriam" w:cs="Miriam"/>
          <w:sz w:val="20"/>
          <w:szCs w:val="24"/>
          <w:rtl/>
        </w:rPr>
        <w:t xml:space="preserve"> </w:t>
      </w:r>
      <w:r w:rsidRPr="00B0724D">
        <w:rPr>
          <w:rFonts w:ascii="Miriam" w:hAnsi="Miriam" w:cs="Miriam" w:hint="eastAsia"/>
          <w:sz w:val="20"/>
          <w:szCs w:val="24"/>
          <w:rtl/>
        </w:rPr>
        <w:t>מע</w:t>
      </w:r>
      <w:r w:rsidRPr="00B0724D">
        <w:rPr>
          <w:rFonts w:ascii="Miriam" w:hAnsi="Miriam" w:cs="Miriam"/>
          <w:sz w:val="20"/>
          <w:szCs w:val="24"/>
          <w:rtl/>
        </w:rPr>
        <w:t>"</w:t>
      </w:r>
      <w:r w:rsidRPr="00B0724D">
        <w:rPr>
          <w:rFonts w:ascii="Miriam" w:hAnsi="Miriam" w:cs="Miriam" w:hint="eastAsia"/>
          <w:sz w:val="20"/>
          <w:szCs w:val="24"/>
          <w:rtl/>
        </w:rPr>
        <w:t>מ</w:t>
      </w:r>
      <w:r w:rsidRPr="00B0724D">
        <w:rPr>
          <w:rFonts w:ascii="Miriam" w:hAnsi="Miriam" w:cs="Miriam"/>
          <w:sz w:val="20"/>
          <w:szCs w:val="24"/>
          <w:rtl/>
        </w:rPr>
        <w:t xml:space="preserve"> </w:t>
      </w:r>
      <w:r w:rsidRPr="00B0724D">
        <w:rPr>
          <w:rFonts w:ascii="Miriam" w:hAnsi="Miriam" w:cs="Miriam" w:hint="eastAsia"/>
          <w:sz w:val="20"/>
          <w:szCs w:val="24"/>
          <w:rtl/>
        </w:rPr>
        <w:t>באר</w:t>
      </w:r>
      <w:r w:rsidRPr="00B0724D">
        <w:rPr>
          <w:rFonts w:ascii="Miriam" w:hAnsi="Miriam" w:cs="Miriam"/>
          <w:sz w:val="20"/>
          <w:szCs w:val="24"/>
          <w:rtl/>
        </w:rPr>
        <w:t xml:space="preserve"> </w:t>
      </w:r>
      <w:r w:rsidRPr="00B0724D">
        <w:rPr>
          <w:rFonts w:ascii="Miriam" w:hAnsi="Miriam" w:cs="Miriam" w:hint="eastAsia"/>
          <w:sz w:val="20"/>
          <w:szCs w:val="24"/>
          <w:rtl/>
        </w:rPr>
        <w:t>שבע</w:t>
      </w:r>
      <w:r>
        <w:rPr>
          <w:rFonts w:hint="cs"/>
          <w:rtl/>
        </w:rPr>
        <w:t>, פסקה י״ב</w:t>
      </w:r>
      <w:r w:rsidRPr="00CA735C">
        <w:rPr>
          <w:rtl/>
        </w:rPr>
        <w:t xml:space="preserve"> (16.</w:t>
      </w:r>
      <w:r>
        <w:rPr>
          <w:rFonts w:hint="cs"/>
          <w:rtl/>
        </w:rPr>
        <w:t>3</w:t>
      </w:r>
      <w:r w:rsidRPr="00CA735C">
        <w:rPr>
          <w:rtl/>
        </w:rPr>
        <w:t>.2010)</w:t>
      </w:r>
      <w:r>
        <w:rPr>
          <w:rFonts w:hint="cs"/>
          <w:rtl/>
        </w:rPr>
        <w:t>). עיון בפסק דינו של בית המשפט קמא מגלה כי ממצאיו העובדתיים מעוגנים היטב בחומר הראיות, וכי בצדק נקבע שבנסיבות דנן לא הוכיחה המערערת שנקטה בכל האמצעים הסבירים שעמדו לרשותה כדי לאמת את החשבוניות שהפיקה חברת שקד. משכך, לא מצאתי כל סיבה שבדין המצדיקה את התערבותנו.</w:t>
      </w:r>
    </w:p>
    <w:p w:rsidR="006E1F18" w:rsidRDefault="006E1F18" w:rsidP="006E1F18">
      <w:pPr>
        <w:pStyle w:val="Ruller41"/>
        <w:rPr>
          <w:rtl/>
        </w:rPr>
      </w:pPr>
    </w:p>
    <w:p w:rsidR="006E1F18" w:rsidRPr="008E78F3" w:rsidRDefault="006E1F18" w:rsidP="006E1F18">
      <w:pPr>
        <w:pStyle w:val="Ruller4"/>
        <w:numPr>
          <w:ilvl w:val="0"/>
          <w:numId w:val="0"/>
        </w:numPr>
        <w:rPr>
          <w:rFonts w:ascii="Century" w:hAnsi="Century" w:cs="Miriam"/>
          <w:b/>
          <w:spacing w:val="0"/>
          <w:sz w:val="22"/>
          <w:szCs w:val="24"/>
          <w:rtl/>
        </w:rPr>
      </w:pPr>
      <w:r w:rsidRPr="008E78F3">
        <w:rPr>
          <w:rFonts w:ascii="Century" w:hAnsi="Century" w:cs="Miriam" w:hint="cs"/>
          <w:b/>
          <w:spacing w:val="0"/>
          <w:sz w:val="22"/>
          <w:szCs w:val="24"/>
          <w:rtl/>
        </w:rPr>
        <w:t xml:space="preserve">סוף דבר </w:t>
      </w:r>
    </w:p>
    <w:p w:rsidR="006E1F18" w:rsidRDefault="006E1F18" w:rsidP="006E1F18">
      <w:pPr>
        <w:pStyle w:val="Ruller41"/>
        <w:rPr>
          <w:rtl/>
        </w:rPr>
      </w:pPr>
    </w:p>
    <w:p w:rsidR="006E1F18" w:rsidRDefault="006E1F18" w:rsidP="004C146F">
      <w:pPr>
        <w:pStyle w:val="Ruller4"/>
        <w:rPr>
          <w:rtl/>
        </w:rPr>
      </w:pPr>
      <w:r>
        <w:rPr>
          <w:rFonts w:hint="cs"/>
          <w:rtl/>
        </w:rPr>
        <w:t xml:space="preserve">אציע לחברתי ולחברי כי נקבל את הערעור בחלקו, במובן זה שנכיר בכך שסכום נוסף של 4,929,831 ש"ח, בו לא הכיר בית המשפט קמא, התקבל על ידי המערערת </w:t>
      </w:r>
      <w:proofErr w:type="spellStart"/>
      <w:r>
        <w:rPr>
          <w:rFonts w:hint="cs"/>
          <w:rtl/>
        </w:rPr>
        <w:t>מאלקובי</w:t>
      </w:r>
      <w:proofErr w:type="spellEnd"/>
      <w:r>
        <w:rPr>
          <w:rFonts w:hint="cs"/>
          <w:rtl/>
        </w:rPr>
        <w:t xml:space="preserve"> </w:t>
      </w:r>
      <w:proofErr w:type="spellStart"/>
      <w:r>
        <w:rPr>
          <w:rFonts w:hint="cs"/>
          <w:rtl/>
        </w:rPr>
        <w:t>ומרציאנו</w:t>
      </w:r>
      <w:proofErr w:type="spellEnd"/>
      <w:r>
        <w:rPr>
          <w:rFonts w:hint="cs"/>
          <w:rtl/>
        </w:rPr>
        <w:t xml:space="preserve"> קודם ל</w:t>
      </w:r>
      <w:r w:rsidR="00003308">
        <w:rPr>
          <w:rFonts w:hint="cs"/>
          <w:rtl/>
        </w:rPr>
        <w:t xml:space="preserve">חודש </w:t>
      </w:r>
      <w:r>
        <w:rPr>
          <w:rFonts w:hint="cs"/>
          <w:rtl/>
        </w:rPr>
        <w:t>יוני 2009 על חשבון העסקה, ועל כן תביעת המע"מ לגביו התיישנה</w:t>
      </w:r>
      <w:r w:rsidR="00D60D86">
        <w:rPr>
          <w:rFonts w:hint="cs"/>
          <w:rtl/>
        </w:rPr>
        <w:t xml:space="preserve"> (ביצוע תחשיב </w:t>
      </w:r>
      <w:r w:rsidR="00836140">
        <w:rPr>
          <w:rFonts w:hint="cs"/>
          <w:rtl/>
        </w:rPr>
        <w:t xml:space="preserve">השומה המתוקנת </w:t>
      </w:r>
      <w:r w:rsidR="00D60D86">
        <w:rPr>
          <w:rFonts w:hint="cs"/>
          <w:rtl/>
        </w:rPr>
        <w:t xml:space="preserve">צריך שיעשה </w:t>
      </w:r>
      <w:r w:rsidR="00301EA6">
        <w:rPr>
          <w:rFonts w:hint="cs"/>
          <w:rtl/>
        </w:rPr>
        <w:t>על פי אותה מתכונת ששימשה ל</w:t>
      </w:r>
      <w:r w:rsidR="004C146F">
        <w:rPr>
          <w:rFonts w:hint="cs"/>
          <w:rtl/>
        </w:rPr>
        <w:t xml:space="preserve">הפחתת </w:t>
      </w:r>
      <w:r w:rsidR="00301EA6">
        <w:rPr>
          <w:rFonts w:hint="cs"/>
          <w:rtl/>
        </w:rPr>
        <w:t xml:space="preserve">השומה </w:t>
      </w:r>
      <w:r w:rsidR="00D60D86">
        <w:rPr>
          <w:rFonts w:hint="cs"/>
          <w:rtl/>
        </w:rPr>
        <w:t>ביחס ל</w:t>
      </w:r>
      <w:r w:rsidR="00301EA6">
        <w:rPr>
          <w:rFonts w:hint="cs"/>
          <w:rtl/>
        </w:rPr>
        <w:t xml:space="preserve">סכום של </w:t>
      </w:r>
      <w:r w:rsidR="00D60D86">
        <w:rPr>
          <w:rFonts w:hint="cs"/>
          <w:rtl/>
        </w:rPr>
        <w:t>500,000 ש"ח בו הסכי</w:t>
      </w:r>
      <w:r w:rsidR="00301EA6">
        <w:rPr>
          <w:rFonts w:hint="cs"/>
          <w:rtl/>
        </w:rPr>
        <w:t>ם</w:t>
      </w:r>
      <w:r w:rsidR="00D60D86">
        <w:rPr>
          <w:rFonts w:hint="cs"/>
          <w:rtl/>
        </w:rPr>
        <w:t xml:space="preserve"> המשיב להכיר)</w:t>
      </w:r>
      <w:r w:rsidR="00836140">
        <w:rPr>
          <w:rFonts w:hint="cs"/>
          <w:rtl/>
        </w:rPr>
        <w:t xml:space="preserve">. </w:t>
      </w:r>
      <w:r>
        <w:rPr>
          <w:rFonts w:hint="cs"/>
          <w:rtl/>
        </w:rPr>
        <w:t>דין יתר רכיבי הערעור להידחות.</w:t>
      </w:r>
    </w:p>
    <w:p w:rsidR="006E1F18" w:rsidRDefault="006E1F18" w:rsidP="006E1F18">
      <w:pPr>
        <w:pStyle w:val="Ruller41"/>
        <w:rPr>
          <w:rtl/>
        </w:rPr>
      </w:pPr>
    </w:p>
    <w:p w:rsidR="006E1F18" w:rsidRDefault="006E1F18" w:rsidP="006E1F18">
      <w:pPr>
        <w:pStyle w:val="Ruller4"/>
        <w:rPr>
          <w:rFonts w:hint="cs"/>
          <w:rtl/>
        </w:rPr>
      </w:pPr>
      <w:r>
        <w:rPr>
          <w:rFonts w:hint="cs"/>
          <w:rtl/>
        </w:rPr>
        <w:t>בהינתן שהערעור התקבל בחלקו, ושאף זאת רק בזכות הגינותו של המשיב שהסכים בבית המשפט המחוזי, לפנים משורת הדין, לדון לגופה של טענת התיישנות התקבולים, אציע לחברי ולחברתי שלא לעשות צו להוצאות בערכאתנו, אך לבטל את חיוב ההוצאות ושכר הטרחה שנפסק בבית המשפט קמא.</w:t>
      </w:r>
    </w:p>
    <w:p w:rsidR="001648BF" w:rsidRDefault="001648BF" w:rsidP="001648BF">
      <w:pPr>
        <w:pStyle w:val="Ruller41"/>
        <w:rPr>
          <w:rtl/>
        </w:rPr>
      </w:pPr>
    </w:p>
    <w:tbl>
      <w:tblPr>
        <w:bidiVisual/>
        <w:tblW w:w="8363" w:type="dxa"/>
        <w:tblLook w:val="01E0" w:firstRow="1" w:lastRow="1" w:firstColumn="1" w:lastColumn="1" w:noHBand="0" w:noVBand="0"/>
      </w:tblPr>
      <w:tblGrid>
        <w:gridCol w:w="2786"/>
        <w:gridCol w:w="2787"/>
        <w:gridCol w:w="2790"/>
      </w:tblGrid>
      <w:tr w:rsidR="001648BF" w:rsidTr="00483F7B">
        <w:tc>
          <w:tcPr>
            <w:tcW w:w="2786" w:type="dxa"/>
            <w:shd w:val="clear" w:color="auto" w:fill="auto"/>
          </w:tcPr>
          <w:p w:rsidR="001648BF" w:rsidRDefault="001648BF" w:rsidP="00483F7B">
            <w:pPr>
              <w:pStyle w:val="Ruller41"/>
              <w:rPr>
                <w:rtl/>
              </w:rPr>
            </w:pPr>
          </w:p>
        </w:tc>
        <w:tc>
          <w:tcPr>
            <w:tcW w:w="2787" w:type="dxa"/>
            <w:shd w:val="clear" w:color="auto" w:fill="auto"/>
          </w:tcPr>
          <w:p w:rsidR="001648BF" w:rsidRDefault="001648BF" w:rsidP="00483F7B">
            <w:pPr>
              <w:pStyle w:val="Ruller41"/>
              <w:jc w:val="center"/>
              <w:rPr>
                <w:rtl/>
              </w:rPr>
            </w:pPr>
          </w:p>
        </w:tc>
        <w:tc>
          <w:tcPr>
            <w:tcW w:w="2790" w:type="dxa"/>
            <w:shd w:val="clear" w:color="auto" w:fill="auto"/>
          </w:tcPr>
          <w:p w:rsidR="001648BF" w:rsidRDefault="001648BF" w:rsidP="001648BF">
            <w:pPr>
              <w:pStyle w:val="Ruller41"/>
              <w:jc w:val="center"/>
              <w:rPr>
                <w:rtl/>
              </w:rPr>
            </w:pPr>
            <w:r>
              <w:rPr>
                <w:rtl/>
              </w:rPr>
              <w:t>ש ו פ ט</w:t>
            </w:r>
          </w:p>
        </w:tc>
      </w:tr>
    </w:tbl>
    <w:p w:rsidR="00BB7DE4" w:rsidRDefault="00BB7DE4" w:rsidP="00BB7DE4">
      <w:pPr>
        <w:pStyle w:val="Ruller41"/>
        <w:rPr>
          <w:rtl/>
        </w:rPr>
      </w:pPr>
    </w:p>
    <w:p w:rsidR="00955122" w:rsidRDefault="00955122" w:rsidP="00BB7DE4">
      <w:pPr>
        <w:pStyle w:val="Ruller41"/>
        <w:rPr>
          <w:rtl/>
        </w:rPr>
      </w:pPr>
    </w:p>
    <w:p w:rsidR="00BB7DE4" w:rsidRPr="003A3D47" w:rsidRDefault="00BB7DE4" w:rsidP="00BB7DE4">
      <w:pPr>
        <w:pStyle w:val="Ruller41"/>
        <w:rPr>
          <w:rFonts w:ascii="Century" w:hAnsi="Century" w:cs="Miriam"/>
          <w:b/>
          <w:spacing w:val="0"/>
          <w:szCs w:val="24"/>
          <w:u w:val="single"/>
          <w:rtl/>
        </w:rPr>
      </w:pPr>
      <w:r w:rsidRPr="003A3D47">
        <w:rPr>
          <w:rFonts w:ascii="Century" w:hAnsi="Century" w:cs="Miriam" w:hint="cs"/>
          <w:b/>
          <w:spacing w:val="0"/>
          <w:szCs w:val="24"/>
          <w:u w:val="single"/>
          <w:rtl/>
        </w:rPr>
        <w:t>השופט</w:t>
      </w:r>
      <w:r>
        <w:rPr>
          <w:rFonts w:ascii="Century" w:hAnsi="Century" w:cs="Miriam" w:hint="cs"/>
          <w:b/>
          <w:spacing w:val="0"/>
          <w:szCs w:val="24"/>
          <w:u w:val="single"/>
          <w:rtl/>
        </w:rPr>
        <w:t>ת</w:t>
      </w:r>
      <w:r w:rsidRPr="003A3D47">
        <w:rPr>
          <w:rFonts w:ascii="Century" w:hAnsi="Century" w:cs="Miriam" w:hint="cs"/>
          <w:b/>
          <w:spacing w:val="0"/>
          <w:szCs w:val="24"/>
          <w:u w:val="single"/>
          <w:rtl/>
        </w:rPr>
        <w:t xml:space="preserve"> </w:t>
      </w:r>
      <w:r>
        <w:rPr>
          <w:rFonts w:ascii="Century" w:hAnsi="Century" w:cs="Miriam" w:hint="cs"/>
          <w:b/>
          <w:spacing w:val="0"/>
          <w:szCs w:val="24"/>
          <w:u w:val="single"/>
          <w:rtl/>
        </w:rPr>
        <w:t>ע</w:t>
      </w:r>
      <w:r w:rsidRPr="003A3D47">
        <w:rPr>
          <w:rFonts w:ascii="Century" w:hAnsi="Century" w:cs="Miriam" w:hint="cs"/>
          <w:b/>
          <w:spacing w:val="0"/>
          <w:szCs w:val="24"/>
          <w:u w:val="single"/>
          <w:rtl/>
        </w:rPr>
        <w:t xml:space="preserve">' </w:t>
      </w:r>
      <w:r>
        <w:rPr>
          <w:rFonts w:ascii="Century" w:hAnsi="Century" w:cs="Miriam" w:hint="cs"/>
          <w:b/>
          <w:spacing w:val="0"/>
          <w:szCs w:val="24"/>
          <w:u w:val="single"/>
          <w:rtl/>
        </w:rPr>
        <w:t>ברון</w:t>
      </w:r>
      <w:r w:rsidRPr="003A3D47">
        <w:rPr>
          <w:rFonts w:ascii="Century" w:hAnsi="Century" w:cs="Miriam" w:hint="cs"/>
          <w:b/>
          <w:spacing w:val="0"/>
          <w:szCs w:val="24"/>
          <w:u w:val="single"/>
          <w:rtl/>
        </w:rPr>
        <w:t>:</w:t>
      </w:r>
    </w:p>
    <w:p w:rsidR="00BB7DE4" w:rsidRDefault="00BB7DE4" w:rsidP="00BB7DE4">
      <w:pPr>
        <w:pStyle w:val="Ruller41"/>
        <w:rPr>
          <w:rtl/>
        </w:rPr>
      </w:pPr>
    </w:p>
    <w:p w:rsidR="00D12A39" w:rsidRDefault="00BB7DE4" w:rsidP="00D12A39">
      <w:pPr>
        <w:pStyle w:val="Ruller41"/>
        <w:rPr>
          <w:rtl/>
        </w:rPr>
      </w:pPr>
      <w:r>
        <w:rPr>
          <w:rtl/>
        </w:rPr>
        <w:tab/>
      </w:r>
      <w:r w:rsidR="00D12A39" w:rsidRPr="00D12A39">
        <w:rPr>
          <w:rtl/>
        </w:rPr>
        <w:t xml:space="preserve">אני מסכימה עם פסק דינו של חברי השופט </w:t>
      </w:r>
      <w:r w:rsidR="00D12A39" w:rsidRPr="00D12A39">
        <w:rPr>
          <w:rFonts w:ascii="Century" w:hAnsi="Century" w:cs="Miriam"/>
          <w:b/>
          <w:spacing w:val="0"/>
          <w:szCs w:val="24"/>
          <w:rtl/>
        </w:rPr>
        <w:t>ע' גרוסקופף</w:t>
      </w:r>
      <w:r w:rsidR="00D12A39" w:rsidRPr="00D12A39">
        <w:rPr>
          <w:rtl/>
        </w:rPr>
        <w:t>, הן לדרך הילוכו הן לתוצאה.</w:t>
      </w:r>
    </w:p>
    <w:p w:rsidR="00BB7DE4" w:rsidRDefault="00BB7DE4" w:rsidP="00BB7DE4">
      <w:pPr>
        <w:pStyle w:val="Ruller41"/>
        <w:rPr>
          <w:rtl/>
        </w:rPr>
      </w:pPr>
    </w:p>
    <w:tbl>
      <w:tblPr>
        <w:bidiVisual/>
        <w:tblW w:w="8363" w:type="dxa"/>
        <w:tblLook w:val="01E0" w:firstRow="1" w:lastRow="1" w:firstColumn="1" w:lastColumn="1" w:noHBand="0" w:noVBand="0"/>
      </w:tblPr>
      <w:tblGrid>
        <w:gridCol w:w="2786"/>
        <w:gridCol w:w="2787"/>
        <w:gridCol w:w="2790"/>
      </w:tblGrid>
      <w:tr w:rsidR="00BB7DE4" w:rsidTr="00B42E4C">
        <w:tc>
          <w:tcPr>
            <w:tcW w:w="2786" w:type="dxa"/>
            <w:shd w:val="clear" w:color="auto" w:fill="auto"/>
          </w:tcPr>
          <w:p w:rsidR="00BB7DE4" w:rsidRDefault="00BB7DE4" w:rsidP="00B42E4C">
            <w:pPr>
              <w:pStyle w:val="Ruller41"/>
              <w:rPr>
                <w:rtl/>
              </w:rPr>
            </w:pPr>
          </w:p>
        </w:tc>
        <w:tc>
          <w:tcPr>
            <w:tcW w:w="2787" w:type="dxa"/>
            <w:shd w:val="clear" w:color="auto" w:fill="auto"/>
          </w:tcPr>
          <w:p w:rsidR="00BB7DE4" w:rsidRDefault="00BB7DE4" w:rsidP="00B42E4C">
            <w:pPr>
              <w:pStyle w:val="Ruller41"/>
              <w:jc w:val="center"/>
              <w:rPr>
                <w:rtl/>
              </w:rPr>
            </w:pPr>
          </w:p>
        </w:tc>
        <w:tc>
          <w:tcPr>
            <w:tcW w:w="2790" w:type="dxa"/>
            <w:shd w:val="clear" w:color="auto" w:fill="auto"/>
          </w:tcPr>
          <w:p w:rsidR="00BB7DE4" w:rsidRDefault="00BB7DE4" w:rsidP="00B42E4C">
            <w:pPr>
              <w:pStyle w:val="Ruller41"/>
              <w:jc w:val="center"/>
              <w:rPr>
                <w:rtl/>
              </w:rPr>
            </w:pPr>
            <w:r>
              <w:rPr>
                <w:rtl/>
              </w:rPr>
              <w:t>ש ו פ ט</w:t>
            </w:r>
            <w:r>
              <w:rPr>
                <w:rFonts w:hint="cs"/>
                <w:rtl/>
              </w:rPr>
              <w:t xml:space="preserve"> ת</w:t>
            </w:r>
          </w:p>
        </w:tc>
      </w:tr>
    </w:tbl>
    <w:p w:rsidR="00BB7DE4" w:rsidRDefault="00BB7DE4" w:rsidP="00BB7DE4">
      <w:pPr>
        <w:pStyle w:val="Ruller41"/>
        <w:rPr>
          <w:rtl/>
        </w:rPr>
      </w:pPr>
    </w:p>
    <w:p w:rsidR="00955122" w:rsidRDefault="00955122" w:rsidP="00BB7DE4">
      <w:pPr>
        <w:pStyle w:val="Ruller41"/>
        <w:rPr>
          <w:rtl/>
        </w:rPr>
      </w:pPr>
    </w:p>
    <w:p w:rsidR="00955122" w:rsidRDefault="00955122" w:rsidP="00BB7DE4">
      <w:pPr>
        <w:pStyle w:val="Ruller41"/>
        <w:rPr>
          <w:rtl/>
        </w:rPr>
      </w:pPr>
    </w:p>
    <w:p w:rsidR="00955122" w:rsidRDefault="00955122" w:rsidP="00BB7DE4">
      <w:pPr>
        <w:pStyle w:val="Ruller41"/>
        <w:rPr>
          <w:rtl/>
        </w:rPr>
      </w:pPr>
    </w:p>
    <w:p w:rsidR="00BB7DE4" w:rsidRPr="003A3D47" w:rsidRDefault="00BB7DE4" w:rsidP="00BB7DE4">
      <w:pPr>
        <w:pStyle w:val="Ruller41"/>
        <w:rPr>
          <w:rFonts w:ascii="Century" w:hAnsi="Century" w:cs="Miriam"/>
          <w:b/>
          <w:spacing w:val="0"/>
          <w:szCs w:val="24"/>
          <w:u w:val="single"/>
          <w:rtl/>
        </w:rPr>
      </w:pPr>
      <w:r w:rsidRPr="003A3D47">
        <w:rPr>
          <w:rFonts w:ascii="Century" w:hAnsi="Century" w:cs="Miriam" w:hint="cs"/>
          <w:b/>
          <w:spacing w:val="0"/>
          <w:szCs w:val="24"/>
          <w:u w:val="single"/>
          <w:rtl/>
        </w:rPr>
        <w:lastRenderedPageBreak/>
        <w:t xml:space="preserve">השופט י' </w:t>
      </w:r>
      <w:r>
        <w:rPr>
          <w:rFonts w:ascii="Century" w:hAnsi="Century" w:cs="Miriam" w:hint="cs"/>
          <w:b/>
          <w:spacing w:val="0"/>
          <w:szCs w:val="24"/>
          <w:u w:val="single"/>
          <w:rtl/>
        </w:rPr>
        <w:t>אלרון</w:t>
      </w:r>
      <w:r w:rsidRPr="003A3D47">
        <w:rPr>
          <w:rFonts w:ascii="Century" w:hAnsi="Century" w:cs="Miriam" w:hint="cs"/>
          <w:b/>
          <w:spacing w:val="0"/>
          <w:szCs w:val="24"/>
          <w:u w:val="single"/>
          <w:rtl/>
        </w:rPr>
        <w:t>:</w:t>
      </w:r>
    </w:p>
    <w:p w:rsidR="00BB7DE4" w:rsidRDefault="00BB7DE4" w:rsidP="00BB7DE4">
      <w:pPr>
        <w:pStyle w:val="Ruller41"/>
        <w:rPr>
          <w:rtl/>
        </w:rPr>
      </w:pPr>
    </w:p>
    <w:p w:rsidR="00BB7DE4" w:rsidRDefault="00BB7DE4" w:rsidP="00BB7DE4">
      <w:pPr>
        <w:pStyle w:val="Ruller41"/>
        <w:rPr>
          <w:rtl/>
        </w:rPr>
      </w:pPr>
      <w:r>
        <w:rPr>
          <w:rtl/>
        </w:rPr>
        <w:tab/>
      </w:r>
      <w:r>
        <w:rPr>
          <w:rFonts w:hint="cs"/>
          <w:rtl/>
        </w:rPr>
        <w:t>אני מסכים.</w:t>
      </w:r>
    </w:p>
    <w:p w:rsidR="00BB7DE4" w:rsidRDefault="00BB7DE4" w:rsidP="00BB7DE4">
      <w:pPr>
        <w:pStyle w:val="Ruller41"/>
        <w:rPr>
          <w:rtl/>
        </w:rPr>
      </w:pPr>
    </w:p>
    <w:tbl>
      <w:tblPr>
        <w:bidiVisual/>
        <w:tblW w:w="8363" w:type="dxa"/>
        <w:tblLook w:val="01E0" w:firstRow="1" w:lastRow="1" w:firstColumn="1" w:lastColumn="1" w:noHBand="0" w:noVBand="0"/>
      </w:tblPr>
      <w:tblGrid>
        <w:gridCol w:w="2786"/>
        <w:gridCol w:w="2787"/>
        <w:gridCol w:w="2790"/>
      </w:tblGrid>
      <w:tr w:rsidR="00BB7DE4" w:rsidTr="00B42E4C">
        <w:tc>
          <w:tcPr>
            <w:tcW w:w="2786" w:type="dxa"/>
            <w:shd w:val="clear" w:color="auto" w:fill="auto"/>
          </w:tcPr>
          <w:p w:rsidR="00BB7DE4" w:rsidRDefault="00BB7DE4" w:rsidP="00B42E4C">
            <w:pPr>
              <w:pStyle w:val="Ruller41"/>
              <w:rPr>
                <w:rtl/>
              </w:rPr>
            </w:pPr>
          </w:p>
        </w:tc>
        <w:tc>
          <w:tcPr>
            <w:tcW w:w="2787" w:type="dxa"/>
            <w:shd w:val="clear" w:color="auto" w:fill="auto"/>
          </w:tcPr>
          <w:p w:rsidR="00BB7DE4" w:rsidRDefault="00BB7DE4" w:rsidP="00B42E4C">
            <w:pPr>
              <w:pStyle w:val="Ruller41"/>
              <w:jc w:val="center"/>
              <w:rPr>
                <w:rtl/>
              </w:rPr>
            </w:pPr>
          </w:p>
        </w:tc>
        <w:tc>
          <w:tcPr>
            <w:tcW w:w="2790" w:type="dxa"/>
            <w:shd w:val="clear" w:color="auto" w:fill="auto"/>
          </w:tcPr>
          <w:p w:rsidR="00BB7DE4" w:rsidRDefault="00BB7DE4" w:rsidP="00B42E4C">
            <w:pPr>
              <w:pStyle w:val="Ruller41"/>
              <w:jc w:val="center"/>
              <w:rPr>
                <w:rtl/>
              </w:rPr>
            </w:pPr>
            <w:r>
              <w:rPr>
                <w:rtl/>
              </w:rPr>
              <w:t>ש ו פ ט</w:t>
            </w:r>
          </w:p>
        </w:tc>
      </w:tr>
    </w:tbl>
    <w:p w:rsidR="00BB7DE4" w:rsidRDefault="00BB7DE4" w:rsidP="00BB7DE4">
      <w:pPr>
        <w:pStyle w:val="Ruller41"/>
        <w:rPr>
          <w:rtl/>
        </w:rPr>
      </w:pPr>
    </w:p>
    <w:p w:rsidR="00955122" w:rsidRDefault="00955122" w:rsidP="00BB7DE4">
      <w:pPr>
        <w:pStyle w:val="Ruller41"/>
        <w:rPr>
          <w:rtl/>
        </w:rPr>
      </w:pPr>
      <w:bookmarkStart w:id="7" w:name="_GoBack"/>
      <w:bookmarkEnd w:id="7"/>
    </w:p>
    <w:p w:rsidR="00BB7DE4" w:rsidRPr="006F01DE" w:rsidRDefault="00BB7DE4" w:rsidP="00BB7DE4">
      <w:pPr>
        <w:pStyle w:val="Ruller41"/>
        <w:rPr>
          <w:rtl/>
        </w:rPr>
      </w:pPr>
      <w:r>
        <w:rPr>
          <w:rtl/>
        </w:rPr>
        <w:tab/>
      </w:r>
      <w:r>
        <w:rPr>
          <w:rFonts w:hint="cs"/>
          <w:rtl/>
        </w:rPr>
        <w:t xml:space="preserve">הוחלט כאמור בחוות דעתו של השופט </w:t>
      </w:r>
      <w:r>
        <w:rPr>
          <w:rFonts w:ascii="Century" w:hAnsi="Century" w:cs="Miriam" w:hint="cs"/>
          <w:b/>
          <w:spacing w:val="0"/>
          <w:szCs w:val="24"/>
          <w:rtl/>
        </w:rPr>
        <w:t>ע</w:t>
      </w:r>
      <w:r w:rsidRPr="006F01DE">
        <w:rPr>
          <w:rFonts w:ascii="Century" w:hAnsi="Century" w:cs="Miriam" w:hint="cs"/>
          <w:b/>
          <w:spacing w:val="0"/>
          <w:szCs w:val="24"/>
          <w:rtl/>
        </w:rPr>
        <w:t xml:space="preserve">' </w:t>
      </w:r>
      <w:r>
        <w:rPr>
          <w:rFonts w:ascii="Century" w:hAnsi="Century" w:cs="Miriam" w:hint="cs"/>
          <w:b/>
          <w:spacing w:val="0"/>
          <w:szCs w:val="24"/>
          <w:rtl/>
        </w:rPr>
        <w:t>גרוסקופף</w:t>
      </w:r>
      <w:r>
        <w:rPr>
          <w:rFonts w:hint="cs"/>
          <w:rtl/>
        </w:rPr>
        <w:t>.</w:t>
      </w:r>
    </w:p>
    <w:p w:rsidR="00BB7DE4" w:rsidRDefault="00BB7DE4" w:rsidP="00BB7DE4">
      <w:pPr>
        <w:pStyle w:val="Ruller41"/>
        <w:rPr>
          <w:rtl/>
        </w:rPr>
      </w:pPr>
    </w:p>
    <w:p w:rsidR="00BB7DE4" w:rsidRDefault="00BB7DE4" w:rsidP="00BB7DE4">
      <w:pPr>
        <w:pStyle w:val="Ruller41"/>
        <w:rPr>
          <w:rtl/>
        </w:rPr>
      </w:pPr>
    </w:p>
    <w:p w:rsidR="00BB7DE4" w:rsidRDefault="00BB7DE4" w:rsidP="00BB7DE4">
      <w:pPr>
        <w:pStyle w:val="Ruller41"/>
        <w:rPr>
          <w:rtl/>
        </w:rPr>
      </w:pPr>
      <w:r>
        <w:rPr>
          <w:rtl/>
        </w:rPr>
        <w:tab/>
        <w:t xml:space="preserve">ניתן היום, </w:t>
      </w:r>
      <w:r>
        <w:rPr>
          <w:rFonts w:hint="eastAsia"/>
          <w:rtl/>
        </w:rPr>
        <w:t>‏כ</w:t>
      </w:r>
      <w:r>
        <w:rPr>
          <w:rtl/>
        </w:rPr>
        <w:t xml:space="preserve">"ד בחשון </w:t>
      </w:r>
      <w:proofErr w:type="spellStart"/>
      <w:r>
        <w:rPr>
          <w:rtl/>
        </w:rPr>
        <w:t>התשפ"א</w:t>
      </w:r>
      <w:proofErr w:type="spellEnd"/>
      <w:r>
        <w:rPr>
          <w:rtl/>
        </w:rPr>
        <w:t xml:space="preserve"> (</w:t>
      </w:r>
      <w:r>
        <w:rPr>
          <w:rFonts w:hint="eastAsia"/>
          <w:rtl/>
        </w:rPr>
        <w:t>‏</w:t>
      </w:r>
      <w:r>
        <w:rPr>
          <w:rtl/>
        </w:rPr>
        <w:t>11.11.2020).</w:t>
      </w:r>
    </w:p>
    <w:p w:rsidR="00BB7DE4" w:rsidRDefault="00BB7DE4" w:rsidP="00BB7DE4">
      <w:pPr>
        <w:pStyle w:val="Ruller41"/>
        <w:rPr>
          <w:rtl/>
        </w:rPr>
      </w:pPr>
    </w:p>
    <w:p w:rsidR="00BB7DE4" w:rsidRPr="00BB7DE4" w:rsidRDefault="00BB7DE4" w:rsidP="00BB7DE4">
      <w:pPr>
        <w:pStyle w:val="Ruller41"/>
        <w:rPr>
          <w:rtl/>
        </w:rPr>
      </w:pPr>
    </w:p>
    <w:p w:rsidR="00BB7DE4" w:rsidRPr="006F01DE" w:rsidRDefault="00BB7DE4" w:rsidP="00BB7DE4">
      <w:pPr>
        <w:pStyle w:val="Ruller41"/>
        <w:rPr>
          <w:b/>
          <w:bCs/>
          <w:rtl/>
        </w:rPr>
      </w:pPr>
    </w:p>
    <w:tbl>
      <w:tblPr>
        <w:bidiVisual/>
        <w:tblW w:w="8363" w:type="dxa"/>
        <w:tblLook w:val="01E0" w:firstRow="1" w:lastRow="1" w:firstColumn="1" w:lastColumn="1" w:noHBand="0" w:noVBand="0"/>
      </w:tblPr>
      <w:tblGrid>
        <w:gridCol w:w="2787"/>
        <w:gridCol w:w="2788"/>
        <w:gridCol w:w="2788"/>
      </w:tblGrid>
      <w:tr w:rsidR="00BB7DE4" w:rsidTr="00BB7DE4">
        <w:tc>
          <w:tcPr>
            <w:tcW w:w="2787" w:type="dxa"/>
            <w:shd w:val="clear" w:color="auto" w:fill="auto"/>
          </w:tcPr>
          <w:p w:rsidR="00BB7DE4" w:rsidRDefault="00BB7DE4" w:rsidP="00B42E4C">
            <w:pPr>
              <w:pStyle w:val="Ruller41"/>
              <w:rPr>
                <w:rtl/>
              </w:rPr>
            </w:pPr>
            <w:r>
              <w:rPr>
                <w:rtl/>
              </w:rPr>
              <w:t>ש ו פ ט</w:t>
            </w:r>
            <w:r>
              <w:rPr>
                <w:rFonts w:hint="cs"/>
                <w:rtl/>
              </w:rPr>
              <w:t xml:space="preserve"> ת</w:t>
            </w:r>
          </w:p>
        </w:tc>
        <w:tc>
          <w:tcPr>
            <w:tcW w:w="2788" w:type="dxa"/>
            <w:shd w:val="clear" w:color="auto" w:fill="auto"/>
          </w:tcPr>
          <w:p w:rsidR="00BB7DE4" w:rsidRDefault="00BB7DE4" w:rsidP="00B42E4C">
            <w:pPr>
              <w:pStyle w:val="Ruller41"/>
              <w:jc w:val="center"/>
              <w:rPr>
                <w:rtl/>
              </w:rPr>
            </w:pPr>
            <w:r>
              <w:rPr>
                <w:rtl/>
              </w:rPr>
              <w:t>ש ו פ ט</w:t>
            </w:r>
          </w:p>
        </w:tc>
        <w:tc>
          <w:tcPr>
            <w:tcW w:w="2788" w:type="dxa"/>
            <w:shd w:val="clear" w:color="auto" w:fill="auto"/>
          </w:tcPr>
          <w:p w:rsidR="00BB7DE4" w:rsidRDefault="00133DD4" w:rsidP="00B42E4C">
            <w:pPr>
              <w:pStyle w:val="Ruller41"/>
              <w:jc w:val="center"/>
              <w:rPr>
                <w:rtl/>
              </w:rPr>
            </w:pPr>
            <w:r>
              <w:rPr>
                <w:rFonts w:hint="cs"/>
                <w:rtl/>
              </w:rPr>
              <w:t xml:space="preserve">                </w:t>
            </w:r>
            <w:r w:rsidR="00BB7DE4">
              <w:rPr>
                <w:rtl/>
              </w:rPr>
              <w:t>ש ו פ ט</w:t>
            </w:r>
          </w:p>
        </w:tc>
      </w:tr>
      <w:tr w:rsidR="001A0164" w:rsidTr="00301EA6">
        <w:tc>
          <w:tcPr>
            <w:tcW w:w="2787" w:type="dxa"/>
            <w:shd w:val="clear" w:color="auto" w:fill="auto"/>
          </w:tcPr>
          <w:p w:rsidR="00016EF1" w:rsidRDefault="00016EF1" w:rsidP="00A51FAE">
            <w:pPr>
              <w:pStyle w:val="Ruller41"/>
              <w:rPr>
                <w:rtl/>
              </w:rPr>
            </w:pPr>
          </w:p>
        </w:tc>
        <w:tc>
          <w:tcPr>
            <w:tcW w:w="2788" w:type="dxa"/>
            <w:shd w:val="clear" w:color="auto" w:fill="auto"/>
          </w:tcPr>
          <w:p w:rsidR="001A0164" w:rsidRDefault="001A0164" w:rsidP="00BA0B08">
            <w:pPr>
              <w:pStyle w:val="Ruller41"/>
              <w:jc w:val="center"/>
              <w:rPr>
                <w:rtl/>
              </w:rPr>
            </w:pPr>
          </w:p>
        </w:tc>
        <w:tc>
          <w:tcPr>
            <w:tcW w:w="2788" w:type="dxa"/>
            <w:shd w:val="clear" w:color="auto" w:fill="auto"/>
          </w:tcPr>
          <w:p w:rsidR="001A0164" w:rsidRDefault="001A0164" w:rsidP="00BA0B08">
            <w:pPr>
              <w:pStyle w:val="Ruller41"/>
              <w:jc w:val="center"/>
              <w:rPr>
                <w:rtl/>
              </w:rPr>
            </w:pPr>
          </w:p>
        </w:tc>
      </w:tr>
    </w:tbl>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820A3C">
        <w:rPr>
          <w:sz w:val="16"/>
        </w:rPr>
        <w:t xml:space="preserve">17098380_Y23.docx   </w:t>
      </w:r>
      <w:proofErr w:type="spellStart"/>
      <w:r w:rsidR="00820A3C">
        <w:rPr>
          <w:sz w:val="16"/>
          <w:rtl/>
        </w:rPr>
        <w:t>עו</w:t>
      </w:r>
      <w:proofErr w:type="spellEnd"/>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TUR">
    <w:charset w:val="00"/>
    <w:family w:val="swiss"/>
    <w:pitch w:val="variable"/>
    <w:sig w:usb0="E0002EFF"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3C" w:rsidRDefault="00820A3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8" w:name="footer_line"/>
    <w:bookmarkEnd w:id="8"/>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955122">
      <w:rPr>
        <w:rStyle w:val="a4"/>
        <w:noProof/>
        <w:rtl/>
      </w:rPr>
      <w:t>23</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674EB7F6"/>
    <w:lvl w:ilvl="0" w:tplc="103E64DE">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outline w:val="0"/>
        <w:shadow w:val="0"/>
        <w:emboss w:val="0"/>
        <w:imprint w:val="0"/>
        <w:vanish w:val="0"/>
        <w:color w:val="auto"/>
        <w:spacing w:val="10"/>
        <w:w w:val="100"/>
        <w:kern w:val="0"/>
        <w:position w:val="0"/>
        <w:sz w:val="22"/>
        <w:szCs w:val="28"/>
        <w:u w:val="none"/>
        <w:effect w:val="none"/>
        <w:vertAlign w:val="baseline"/>
        <w:lang w:val="en-US"/>
      </w:rPr>
    </w:lvl>
    <w:lvl w:ilvl="1" w:tplc="04B6310C">
      <w:start w:val="1"/>
      <w:numFmt w:val="hebrew1"/>
      <w:lvlText w:val="%2."/>
      <w:lvlJc w:val="center"/>
      <w:pPr>
        <w:tabs>
          <w:tab w:val="num" w:pos="1440"/>
        </w:tabs>
        <w:ind w:left="1440" w:hanging="360"/>
      </w:pPr>
    </w:lvl>
    <w:lvl w:ilvl="2" w:tplc="0F207E0C" w:tentative="1">
      <w:start w:val="1"/>
      <w:numFmt w:val="lowerRoman"/>
      <w:lvlText w:val="%3."/>
      <w:lvlJc w:val="right"/>
      <w:pPr>
        <w:tabs>
          <w:tab w:val="num" w:pos="2160"/>
        </w:tabs>
        <w:ind w:left="2160" w:hanging="180"/>
      </w:pPr>
    </w:lvl>
    <w:lvl w:ilvl="3" w:tplc="26FC144A" w:tentative="1">
      <w:start w:val="1"/>
      <w:numFmt w:val="decimal"/>
      <w:lvlText w:val="%4."/>
      <w:lvlJc w:val="left"/>
      <w:pPr>
        <w:tabs>
          <w:tab w:val="num" w:pos="2880"/>
        </w:tabs>
        <w:ind w:left="2880" w:hanging="360"/>
      </w:pPr>
    </w:lvl>
    <w:lvl w:ilvl="4" w:tplc="CFFEF0C4" w:tentative="1">
      <w:start w:val="1"/>
      <w:numFmt w:val="lowerLetter"/>
      <w:lvlText w:val="%5."/>
      <w:lvlJc w:val="left"/>
      <w:pPr>
        <w:tabs>
          <w:tab w:val="num" w:pos="3600"/>
        </w:tabs>
        <w:ind w:left="3600" w:hanging="360"/>
      </w:pPr>
    </w:lvl>
    <w:lvl w:ilvl="5" w:tplc="271A89DA" w:tentative="1">
      <w:start w:val="1"/>
      <w:numFmt w:val="lowerRoman"/>
      <w:lvlText w:val="%6."/>
      <w:lvlJc w:val="right"/>
      <w:pPr>
        <w:tabs>
          <w:tab w:val="num" w:pos="4320"/>
        </w:tabs>
        <w:ind w:left="4320" w:hanging="180"/>
      </w:pPr>
    </w:lvl>
    <w:lvl w:ilvl="6" w:tplc="0D12CFC2" w:tentative="1">
      <w:start w:val="1"/>
      <w:numFmt w:val="decimal"/>
      <w:lvlText w:val="%7."/>
      <w:lvlJc w:val="left"/>
      <w:pPr>
        <w:tabs>
          <w:tab w:val="num" w:pos="5040"/>
        </w:tabs>
        <w:ind w:left="5040" w:hanging="360"/>
      </w:pPr>
    </w:lvl>
    <w:lvl w:ilvl="7" w:tplc="ED44CCE6" w:tentative="1">
      <w:start w:val="1"/>
      <w:numFmt w:val="lowerLetter"/>
      <w:lvlText w:val="%8."/>
      <w:lvlJc w:val="left"/>
      <w:pPr>
        <w:tabs>
          <w:tab w:val="num" w:pos="5760"/>
        </w:tabs>
        <w:ind w:left="5760" w:hanging="360"/>
      </w:pPr>
    </w:lvl>
    <w:lvl w:ilvl="8" w:tplc="2EE6873C" w:tentative="1">
      <w:start w:val="1"/>
      <w:numFmt w:val="lowerRoman"/>
      <w:lvlText w:val="%9."/>
      <w:lvlJc w:val="right"/>
      <w:pPr>
        <w:tabs>
          <w:tab w:val="num" w:pos="6480"/>
        </w:tabs>
        <w:ind w:left="6480" w:hanging="180"/>
      </w:pPr>
    </w:lvl>
  </w:abstractNum>
  <w:abstractNum w:abstractNumId="11" w15:restartNumberingAfterBreak="0">
    <w:nsid w:val="240B692D"/>
    <w:multiLevelType w:val="hybridMultilevel"/>
    <w:tmpl w:val="700C1A84"/>
    <w:lvl w:ilvl="0" w:tplc="C2D856DA">
      <w:numFmt w:val="bullet"/>
      <w:lvlText w:val="-"/>
      <w:lvlJc w:val="left"/>
      <w:pPr>
        <w:ind w:left="720" w:hanging="360"/>
      </w:pPr>
      <w:rPr>
        <w:rFonts w:ascii="FrankRuehl" w:eastAsia="Times New Roman" w:hAnsi="FrankRuehl" w:cs="FrankRuehl" w:hint="default"/>
        <w:sz w:val="28"/>
      </w:rPr>
    </w:lvl>
    <w:lvl w:ilvl="1" w:tplc="52863586" w:tentative="1">
      <w:start w:val="1"/>
      <w:numFmt w:val="bullet"/>
      <w:lvlText w:val="o"/>
      <w:lvlJc w:val="left"/>
      <w:pPr>
        <w:ind w:left="1440" w:hanging="360"/>
      </w:pPr>
      <w:rPr>
        <w:rFonts w:ascii="Courier New" w:hAnsi="Courier New" w:cs="Courier New" w:hint="default"/>
      </w:rPr>
    </w:lvl>
    <w:lvl w:ilvl="2" w:tplc="B40CE7C4" w:tentative="1">
      <w:start w:val="1"/>
      <w:numFmt w:val="bullet"/>
      <w:lvlText w:val=""/>
      <w:lvlJc w:val="left"/>
      <w:pPr>
        <w:ind w:left="2160" w:hanging="360"/>
      </w:pPr>
      <w:rPr>
        <w:rFonts w:ascii="Wingdings" w:hAnsi="Wingdings" w:hint="default"/>
      </w:rPr>
    </w:lvl>
    <w:lvl w:ilvl="3" w:tplc="00BEBAA2" w:tentative="1">
      <w:start w:val="1"/>
      <w:numFmt w:val="bullet"/>
      <w:lvlText w:val=""/>
      <w:lvlJc w:val="left"/>
      <w:pPr>
        <w:ind w:left="2880" w:hanging="360"/>
      </w:pPr>
      <w:rPr>
        <w:rFonts w:ascii="Symbol" w:hAnsi="Symbol" w:hint="default"/>
      </w:rPr>
    </w:lvl>
    <w:lvl w:ilvl="4" w:tplc="815AC186" w:tentative="1">
      <w:start w:val="1"/>
      <w:numFmt w:val="bullet"/>
      <w:lvlText w:val="o"/>
      <w:lvlJc w:val="left"/>
      <w:pPr>
        <w:ind w:left="3600" w:hanging="360"/>
      </w:pPr>
      <w:rPr>
        <w:rFonts w:ascii="Courier New" w:hAnsi="Courier New" w:cs="Courier New" w:hint="default"/>
      </w:rPr>
    </w:lvl>
    <w:lvl w:ilvl="5" w:tplc="D52C7756" w:tentative="1">
      <w:start w:val="1"/>
      <w:numFmt w:val="bullet"/>
      <w:lvlText w:val=""/>
      <w:lvlJc w:val="left"/>
      <w:pPr>
        <w:ind w:left="4320" w:hanging="360"/>
      </w:pPr>
      <w:rPr>
        <w:rFonts w:ascii="Wingdings" w:hAnsi="Wingdings" w:hint="default"/>
      </w:rPr>
    </w:lvl>
    <w:lvl w:ilvl="6" w:tplc="9F38CAAA" w:tentative="1">
      <w:start w:val="1"/>
      <w:numFmt w:val="bullet"/>
      <w:lvlText w:val=""/>
      <w:lvlJc w:val="left"/>
      <w:pPr>
        <w:ind w:left="5040" w:hanging="360"/>
      </w:pPr>
      <w:rPr>
        <w:rFonts w:ascii="Symbol" w:hAnsi="Symbol" w:hint="default"/>
      </w:rPr>
    </w:lvl>
    <w:lvl w:ilvl="7" w:tplc="78CA6A64" w:tentative="1">
      <w:start w:val="1"/>
      <w:numFmt w:val="bullet"/>
      <w:lvlText w:val="o"/>
      <w:lvlJc w:val="left"/>
      <w:pPr>
        <w:ind w:left="5760" w:hanging="360"/>
      </w:pPr>
      <w:rPr>
        <w:rFonts w:ascii="Courier New" w:hAnsi="Courier New" w:cs="Courier New" w:hint="default"/>
      </w:rPr>
    </w:lvl>
    <w:lvl w:ilvl="8" w:tplc="DE32DCC8" w:tentative="1">
      <w:start w:val="1"/>
      <w:numFmt w:val="bullet"/>
      <w:lvlText w:val=""/>
      <w:lvlJc w:val="left"/>
      <w:pPr>
        <w:ind w:left="6480" w:hanging="360"/>
      </w:pPr>
      <w:rPr>
        <w:rFonts w:ascii="Wingdings" w:hAnsi="Wingdings" w:hint="default"/>
      </w:rPr>
    </w:lvl>
  </w:abstractNum>
  <w:abstractNum w:abstractNumId="12" w15:restartNumberingAfterBreak="0">
    <w:nsid w:val="25A03691"/>
    <w:multiLevelType w:val="hybridMultilevel"/>
    <w:tmpl w:val="7910F520"/>
    <w:lvl w:ilvl="0" w:tplc="6E88BBFE">
      <w:numFmt w:val="bullet"/>
      <w:lvlText w:val="-"/>
      <w:lvlJc w:val="left"/>
      <w:pPr>
        <w:ind w:left="720" w:hanging="360"/>
      </w:pPr>
      <w:rPr>
        <w:rFonts w:ascii="FrankRuehl" w:eastAsia="Times New Roman" w:hAnsi="FrankRuehl" w:cs="FrankRuehl" w:hint="default"/>
      </w:rPr>
    </w:lvl>
    <w:lvl w:ilvl="1" w:tplc="8DD010E4" w:tentative="1">
      <w:start w:val="1"/>
      <w:numFmt w:val="bullet"/>
      <w:lvlText w:val="o"/>
      <w:lvlJc w:val="left"/>
      <w:pPr>
        <w:ind w:left="1440" w:hanging="360"/>
      </w:pPr>
      <w:rPr>
        <w:rFonts w:ascii="Courier New" w:hAnsi="Courier New" w:cs="Courier New" w:hint="default"/>
      </w:rPr>
    </w:lvl>
    <w:lvl w:ilvl="2" w:tplc="52668286" w:tentative="1">
      <w:start w:val="1"/>
      <w:numFmt w:val="bullet"/>
      <w:lvlText w:val=""/>
      <w:lvlJc w:val="left"/>
      <w:pPr>
        <w:ind w:left="2160" w:hanging="360"/>
      </w:pPr>
      <w:rPr>
        <w:rFonts w:ascii="Wingdings" w:hAnsi="Wingdings" w:hint="default"/>
      </w:rPr>
    </w:lvl>
    <w:lvl w:ilvl="3" w:tplc="B748F764" w:tentative="1">
      <w:start w:val="1"/>
      <w:numFmt w:val="bullet"/>
      <w:lvlText w:val=""/>
      <w:lvlJc w:val="left"/>
      <w:pPr>
        <w:ind w:left="2880" w:hanging="360"/>
      </w:pPr>
      <w:rPr>
        <w:rFonts w:ascii="Symbol" w:hAnsi="Symbol" w:hint="default"/>
      </w:rPr>
    </w:lvl>
    <w:lvl w:ilvl="4" w:tplc="4C4C8382" w:tentative="1">
      <w:start w:val="1"/>
      <w:numFmt w:val="bullet"/>
      <w:lvlText w:val="o"/>
      <w:lvlJc w:val="left"/>
      <w:pPr>
        <w:ind w:left="3600" w:hanging="360"/>
      </w:pPr>
      <w:rPr>
        <w:rFonts w:ascii="Courier New" w:hAnsi="Courier New" w:cs="Courier New" w:hint="default"/>
      </w:rPr>
    </w:lvl>
    <w:lvl w:ilvl="5" w:tplc="9CDC138E" w:tentative="1">
      <w:start w:val="1"/>
      <w:numFmt w:val="bullet"/>
      <w:lvlText w:val=""/>
      <w:lvlJc w:val="left"/>
      <w:pPr>
        <w:ind w:left="4320" w:hanging="360"/>
      </w:pPr>
      <w:rPr>
        <w:rFonts w:ascii="Wingdings" w:hAnsi="Wingdings" w:hint="default"/>
      </w:rPr>
    </w:lvl>
    <w:lvl w:ilvl="6" w:tplc="720E1F6A" w:tentative="1">
      <w:start w:val="1"/>
      <w:numFmt w:val="bullet"/>
      <w:lvlText w:val=""/>
      <w:lvlJc w:val="left"/>
      <w:pPr>
        <w:ind w:left="5040" w:hanging="360"/>
      </w:pPr>
      <w:rPr>
        <w:rFonts w:ascii="Symbol" w:hAnsi="Symbol" w:hint="default"/>
      </w:rPr>
    </w:lvl>
    <w:lvl w:ilvl="7" w:tplc="A91ADE34" w:tentative="1">
      <w:start w:val="1"/>
      <w:numFmt w:val="bullet"/>
      <w:lvlText w:val="o"/>
      <w:lvlJc w:val="left"/>
      <w:pPr>
        <w:ind w:left="5760" w:hanging="360"/>
      </w:pPr>
      <w:rPr>
        <w:rFonts w:ascii="Courier New" w:hAnsi="Courier New" w:cs="Courier New" w:hint="default"/>
      </w:rPr>
    </w:lvl>
    <w:lvl w:ilvl="8" w:tplc="F26E0A12" w:tentative="1">
      <w:start w:val="1"/>
      <w:numFmt w:val="bullet"/>
      <w:lvlText w:val=""/>
      <w:lvlJc w:val="left"/>
      <w:pPr>
        <w:ind w:left="6480" w:hanging="360"/>
      </w:pPr>
      <w:rPr>
        <w:rFonts w:ascii="Wingdings" w:hAnsi="Wingdings" w:hint="default"/>
      </w:rPr>
    </w:lvl>
  </w:abstractNum>
  <w:abstractNum w:abstractNumId="13" w15:restartNumberingAfterBreak="0">
    <w:nsid w:val="4FE70B62"/>
    <w:multiLevelType w:val="hybridMultilevel"/>
    <w:tmpl w:val="ADA8711E"/>
    <w:lvl w:ilvl="0" w:tplc="48D2FC90">
      <w:start w:val="1"/>
      <w:numFmt w:val="hebrew1"/>
      <w:pStyle w:val="Ruller40"/>
      <w:lvlText w:val="%1."/>
      <w:lvlJc w:val="left"/>
      <w:pPr>
        <w:tabs>
          <w:tab w:val="num" w:pos="907"/>
        </w:tabs>
        <w:ind w:left="0" w:firstLine="0"/>
      </w:pPr>
      <w:rPr>
        <w:rFonts w:hint="default"/>
      </w:rPr>
    </w:lvl>
    <w:lvl w:ilvl="1" w:tplc="B1E8853E" w:tentative="1">
      <w:start w:val="1"/>
      <w:numFmt w:val="lowerLetter"/>
      <w:lvlText w:val="%2."/>
      <w:lvlJc w:val="left"/>
      <w:pPr>
        <w:tabs>
          <w:tab w:val="num" w:pos="1440"/>
        </w:tabs>
        <w:ind w:left="1440" w:hanging="360"/>
      </w:pPr>
    </w:lvl>
    <w:lvl w:ilvl="2" w:tplc="2EE21D5E" w:tentative="1">
      <w:start w:val="1"/>
      <w:numFmt w:val="lowerRoman"/>
      <w:lvlText w:val="%3."/>
      <w:lvlJc w:val="right"/>
      <w:pPr>
        <w:tabs>
          <w:tab w:val="num" w:pos="2160"/>
        </w:tabs>
        <w:ind w:left="2160" w:hanging="180"/>
      </w:pPr>
    </w:lvl>
    <w:lvl w:ilvl="3" w:tplc="E196FCAC" w:tentative="1">
      <w:start w:val="1"/>
      <w:numFmt w:val="decimal"/>
      <w:lvlText w:val="%4."/>
      <w:lvlJc w:val="left"/>
      <w:pPr>
        <w:tabs>
          <w:tab w:val="num" w:pos="2880"/>
        </w:tabs>
        <w:ind w:left="2880" w:hanging="360"/>
      </w:pPr>
    </w:lvl>
    <w:lvl w:ilvl="4" w:tplc="F5B605C6" w:tentative="1">
      <w:start w:val="1"/>
      <w:numFmt w:val="lowerLetter"/>
      <w:lvlText w:val="%5."/>
      <w:lvlJc w:val="left"/>
      <w:pPr>
        <w:tabs>
          <w:tab w:val="num" w:pos="3600"/>
        </w:tabs>
        <w:ind w:left="3600" w:hanging="360"/>
      </w:pPr>
    </w:lvl>
    <w:lvl w:ilvl="5" w:tplc="F35EDF7A" w:tentative="1">
      <w:start w:val="1"/>
      <w:numFmt w:val="lowerRoman"/>
      <w:lvlText w:val="%6."/>
      <w:lvlJc w:val="right"/>
      <w:pPr>
        <w:tabs>
          <w:tab w:val="num" w:pos="4320"/>
        </w:tabs>
        <w:ind w:left="4320" w:hanging="180"/>
      </w:pPr>
    </w:lvl>
    <w:lvl w:ilvl="6" w:tplc="E730C5CA" w:tentative="1">
      <w:start w:val="1"/>
      <w:numFmt w:val="decimal"/>
      <w:lvlText w:val="%7."/>
      <w:lvlJc w:val="left"/>
      <w:pPr>
        <w:tabs>
          <w:tab w:val="num" w:pos="5040"/>
        </w:tabs>
        <w:ind w:left="5040" w:hanging="360"/>
      </w:pPr>
    </w:lvl>
    <w:lvl w:ilvl="7" w:tplc="7C24F178" w:tentative="1">
      <w:start w:val="1"/>
      <w:numFmt w:val="lowerLetter"/>
      <w:lvlText w:val="%8."/>
      <w:lvlJc w:val="left"/>
      <w:pPr>
        <w:tabs>
          <w:tab w:val="num" w:pos="5760"/>
        </w:tabs>
        <w:ind w:left="5760" w:hanging="360"/>
      </w:pPr>
    </w:lvl>
    <w:lvl w:ilvl="8" w:tplc="1FDCAF5C" w:tentative="1">
      <w:start w:val="1"/>
      <w:numFmt w:val="lowerRoman"/>
      <w:lvlText w:val="%9."/>
      <w:lvlJc w:val="right"/>
      <w:pPr>
        <w:tabs>
          <w:tab w:val="num" w:pos="6480"/>
        </w:tabs>
        <w:ind w:left="6480" w:hanging="180"/>
      </w:pPr>
    </w:lvl>
  </w:abstractNum>
  <w:abstractNum w:abstractNumId="14" w15:restartNumberingAfterBreak="0">
    <w:nsid w:val="721D0BB1"/>
    <w:multiLevelType w:val="hybridMultilevel"/>
    <w:tmpl w:val="1780F914"/>
    <w:lvl w:ilvl="0" w:tplc="800A65B4">
      <w:numFmt w:val="bullet"/>
      <w:lvlText w:val="-"/>
      <w:lvlJc w:val="left"/>
      <w:pPr>
        <w:ind w:left="720" w:hanging="360"/>
      </w:pPr>
      <w:rPr>
        <w:rFonts w:ascii="FrankRuehl" w:eastAsia="Times New Roman" w:hAnsi="FrankRuehl" w:cs="FrankRuehl" w:hint="default"/>
      </w:rPr>
    </w:lvl>
    <w:lvl w:ilvl="1" w:tplc="3E209C74" w:tentative="1">
      <w:start w:val="1"/>
      <w:numFmt w:val="bullet"/>
      <w:lvlText w:val="o"/>
      <w:lvlJc w:val="left"/>
      <w:pPr>
        <w:ind w:left="1440" w:hanging="360"/>
      </w:pPr>
      <w:rPr>
        <w:rFonts w:ascii="Courier New" w:hAnsi="Courier New" w:cs="Courier New" w:hint="default"/>
      </w:rPr>
    </w:lvl>
    <w:lvl w:ilvl="2" w:tplc="BE6CB232" w:tentative="1">
      <w:start w:val="1"/>
      <w:numFmt w:val="bullet"/>
      <w:lvlText w:val=""/>
      <w:lvlJc w:val="left"/>
      <w:pPr>
        <w:ind w:left="2160" w:hanging="360"/>
      </w:pPr>
      <w:rPr>
        <w:rFonts w:ascii="Wingdings" w:hAnsi="Wingdings" w:hint="default"/>
      </w:rPr>
    </w:lvl>
    <w:lvl w:ilvl="3" w:tplc="CBD08040" w:tentative="1">
      <w:start w:val="1"/>
      <w:numFmt w:val="bullet"/>
      <w:lvlText w:val=""/>
      <w:lvlJc w:val="left"/>
      <w:pPr>
        <w:ind w:left="2880" w:hanging="360"/>
      </w:pPr>
      <w:rPr>
        <w:rFonts w:ascii="Symbol" w:hAnsi="Symbol" w:hint="default"/>
      </w:rPr>
    </w:lvl>
    <w:lvl w:ilvl="4" w:tplc="7806EBE8" w:tentative="1">
      <w:start w:val="1"/>
      <w:numFmt w:val="bullet"/>
      <w:lvlText w:val="o"/>
      <w:lvlJc w:val="left"/>
      <w:pPr>
        <w:ind w:left="3600" w:hanging="360"/>
      </w:pPr>
      <w:rPr>
        <w:rFonts w:ascii="Courier New" w:hAnsi="Courier New" w:cs="Courier New" w:hint="default"/>
      </w:rPr>
    </w:lvl>
    <w:lvl w:ilvl="5" w:tplc="DDB858D8" w:tentative="1">
      <w:start w:val="1"/>
      <w:numFmt w:val="bullet"/>
      <w:lvlText w:val=""/>
      <w:lvlJc w:val="left"/>
      <w:pPr>
        <w:ind w:left="4320" w:hanging="360"/>
      </w:pPr>
      <w:rPr>
        <w:rFonts w:ascii="Wingdings" w:hAnsi="Wingdings" w:hint="default"/>
      </w:rPr>
    </w:lvl>
    <w:lvl w:ilvl="6" w:tplc="D0587706" w:tentative="1">
      <w:start w:val="1"/>
      <w:numFmt w:val="bullet"/>
      <w:lvlText w:val=""/>
      <w:lvlJc w:val="left"/>
      <w:pPr>
        <w:ind w:left="5040" w:hanging="360"/>
      </w:pPr>
      <w:rPr>
        <w:rFonts w:ascii="Symbol" w:hAnsi="Symbol" w:hint="default"/>
      </w:rPr>
    </w:lvl>
    <w:lvl w:ilvl="7" w:tplc="B38808AC" w:tentative="1">
      <w:start w:val="1"/>
      <w:numFmt w:val="bullet"/>
      <w:lvlText w:val="o"/>
      <w:lvlJc w:val="left"/>
      <w:pPr>
        <w:ind w:left="5760" w:hanging="360"/>
      </w:pPr>
      <w:rPr>
        <w:rFonts w:ascii="Courier New" w:hAnsi="Courier New" w:cs="Courier New" w:hint="default"/>
      </w:rPr>
    </w:lvl>
    <w:lvl w:ilvl="8" w:tplc="2B50ECBC" w:tentative="1">
      <w:start w:val="1"/>
      <w:numFmt w:val="bullet"/>
      <w:lvlText w:val=""/>
      <w:lvlJc w:val="left"/>
      <w:pPr>
        <w:ind w:left="6480" w:hanging="360"/>
      </w:pPr>
      <w:rPr>
        <w:rFonts w:ascii="Wingdings" w:hAnsi="Wingdings" w:hint="default"/>
      </w:rPr>
    </w:lvl>
  </w:abstractNum>
  <w:abstractNum w:abstractNumId="15" w15:restartNumberingAfterBreak="0">
    <w:nsid w:val="7A3D379A"/>
    <w:multiLevelType w:val="hybridMultilevel"/>
    <w:tmpl w:val="2106480A"/>
    <w:lvl w:ilvl="0" w:tplc="A1E69FD6">
      <w:numFmt w:val="bullet"/>
      <w:lvlText w:val="-"/>
      <w:lvlJc w:val="left"/>
      <w:pPr>
        <w:ind w:left="720" w:hanging="360"/>
      </w:pPr>
      <w:rPr>
        <w:rFonts w:ascii="FrankRuehl" w:eastAsia="Times New Roman" w:hAnsi="FrankRuehl" w:cs="FrankRuehl" w:hint="default"/>
      </w:rPr>
    </w:lvl>
    <w:lvl w:ilvl="1" w:tplc="41C48C54" w:tentative="1">
      <w:start w:val="1"/>
      <w:numFmt w:val="bullet"/>
      <w:lvlText w:val="o"/>
      <w:lvlJc w:val="left"/>
      <w:pPr>
        <w:ind w:left="1440" w:hanging="360"/>
      </w:pPr>
      <w:rPr>
        <w:rFonts w:ascii="Courier New" w:hAnsi="Courier New" w:cs="Courier New" w:hint="default"/>
      </w:rPr>
    </w:lvl>
    <w:lvl w:ilvl="2" w:tplc="190E72B8" w:tentative="1">
      <w:start w:val="1"/>
      <w:numFmt w:val="bullet"/>
      <w:lvlText w:val=""/>
      <w:lvlJc w:val="left"/>
      <w:pPr>
        <w:ind w:left="2160" w:hanging="360"/>
      </w:pPr>
      <w:rPr>
        <w:rFonts w:ascii="Wingdings" w:hAnsi="Wingdings" w:hint="default"/>
      </w:rPr>
    </w:lvl>
    <w:lvl w:ilvl="3" w:tplc="8A1E146A" w:tentative="1">
      <w:start w:val="1"/>
      <w:numFmt w:val="bullet"/>
      <w:lvlText w:val=""/>
      <w:lvlJc w:val="left"/>
      <w:pPr>
        <w:ind w:left="2880" w:hanging="360"/>
      </w:pPr>
      <w:rPr>
        <w:rFonts w:ascii="Symbol" w:hAnsi="Symbol" w:hint="default"/>
      </w:rPr>
    </w:lvl>
    <w:lvl w:ilvl="4" w:tplc="925AEB2E" w:tentative="1">
      <w:start w:val="1"/>
      <w:numFmt w:val="bullet"/>
      <w:lvlText w:val="o"/>
      <w:lvlJc w:val="left"/>
      <w:pPr>
        <w:ind w:left="3600" w:hanging="360"/>
      </w:pPr>
      <w:rPr>
        <w:rFonts w:ascii="Courier New" w:hAnsi="Courier New" w:cs="Courier New" w:hint="default"/>
      </w:rPr>
    </w:lvl>
    <w:lvl w:ilvl="5" w:tplc="DF460AA0" w:tentative="1">
      <w:start w:val="1"/>
      <w:numFmt w:val="bullet"/>
      <w:lvlText w:val=""/>
      <w:lvlJc w:val="left"/>
      <w:pPr>
        <w:ind w:left="4320" w:hanging="360"/>
      </w:pPr>
      <w:rPr>
        <w:rFonts w:ascii="Wingdings" w:hAnsi="Wingdings" w:hint="default"/>
      </w:rPr>
    </w:lvl>
    <w:lvl w:ilvl="6" w:tplc="1316B8E8" w:tentative="1">
      <w:start w:val="1"/>
      <w:numFmt w:val="bullet"/>
      <w:lvlText w:val=""/>
      <w:lvlJc w:val="left"/>
      <w:pPr>
        <w:ind w:left="5040" w:hanging="360"/>
      </w:pPr>
      <w:rPr>
        <w:rFonts w:ascii="Symbol" w:hAnsi="Symbol" w:hint="default"/>
      </w:rPr>
    </w:lvl>
    <w:lvl w:ilvl="7" w:tplc="4D74C706" w:tentative="1">
      <w:start w:val="1"/>
      <w:numFmt w:val="bullet"/>
      <w:lvlText w:val="o"/>
      <w:lvlJc w:val="left"/>
      <w:pPr>
        <w:ind w:left="5760" w:hanging="360"/>
      </w:pPr>
      <w:rPr>
        <w:rFonts w:ascii="Courier New" w:hAnsi="Courier New" w:cs="Courier New" w:hint="default"/>
      </w:rPr>
    </w:lvl>
    <w:lvl w:ilvl="8" w:tplc="DE16A008"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2"/>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3308"/>
    <w:rsid w:val="00016EF1"/>
    <w:rsid w:val="00032036"/>
    <w:rsid w:val="00036227"/>
    <w:rsid w:val="00044953"/>
    <w:rsid w:val="00045B4D"/>
    <w:rsid w:val="00053722"/>
    <w:rsid w:val="000725F5"/>
    <w:rsid w:val="00072AD2"/>
    <w:rsid w:val="000809AC"/>
    <w:rsid w:val="000A3006"/>
    <w:rsid w:val="000A695A"/>
    <w:rsid w:val="000B1478"/>
    <w:rsid w:val="000C4690"/>
    <w:rsid w:val="000D25C4"/>
    <w:rsid w:val="00101B98"/>
    <w:rsid w:val="001324A7"/>
    <w:rsid w:val="00133DD4"/>
    <w:rsid w:val="00134A67"/>
    <w:rsid w:val="001648BF"/>
    <w:rsid w:val="00184E49"/>
    <w:rsid w:val="001869C7"/>
    <w:rsid w:val="001A0164"/>
    <w:rsid w:val="001A3120"/>
    <w:rsid w:val="001B020B"/>
    <w:rsid w:val="001B64D0"/>
    <w:rsid w:val="00200D6B"/>
    <w:rsid w:val="0025721D"/>
    <w:rsid w:val="00265F6E"/>
    <w:rsid w:val="0026619D"/>
    <w:rsid w:val="00271F29"/>
    <w:rsid w:val="00283865"/>
    <w:rsid w:val="002876BF"/>
    <w:rsid w:val="002A4A7A"/>
    <w:rsid w:val="002A4BF3"/>
    <w:rsid w:val="002B5E5E"/>
    <w:rsid w:val="002F6853"/>
    <w:rsid w:val="002F7BB6"/>
    <w:rsid w:val="00301EA6"/>
    <w:rsid w:val="0031674D"/>
    <w:rsid w:val="003448B2"/>
    <w:rsid w:val="00361DB2"/>
    <w:rsid w:val="0037622E"/>
    <w:rsid w:val="00377102"/>
    <w:rsid w:val="0039709B"/>
    <w:rsid w:val="003D72DA"/>
    <w:rsid w:val="003F1F97"/>
    <w:rsid w:val="00405807"/>
    <w:rsid w:val="0041048F"/>
    <w:rsid w:val="00437D59"/>
    <w:rsid w:val="00441B0C"/>
    <w:rsid w:val="004610A4"/>
    <w:rsid w:val="004A6AE4"/>
    <w:rsid w:val="004B29FF"/>
    <w:rsid w:val="004C146F"/>
    <w:rsid w:val="004C7868"/>
    <w:rsid w:val="004E68D0"/>
    <w:rsid w:val="00503A3E"/>
    <w:rsid w:val="00527F02"/>
    <w:rsid w:val="00545E5B"/>
    <w:rsid w:val="00547B3F"/>
    <w:rsid w:val="00553E80"/>
    <w:rsid w:val="00561B5A"/>
    <w:rsid w:val="005751B6"/>
    <w:rsid w:val="005803E2"/>
    <w:rsid w:val="0058440A"/>
    <w:rsid w:val="00591983"/>
    <w:rsid w:val="00595DCC"/>
    <w:rsid w:val="00602869"/>
    <w:rsid w:val="0060645A"/>
    <w:rsid w:val="00624A42"/>
    <w:rsid w:val="00635C66"/>
    <w:rsid w:val="006373A0"/>
    <w:rsid w:val="006446AB"/>
    <w:rsid w:val="0065522F"/>
    <w:rsid w:val="006770BD"/>
    <w:rsid w:val="006A2BA4"/>
    <w:rsid w:val="006A30F7"/>
    <w:rsid w:val="006C42AD"/>
    <w:rsid w:val="006D2037"/>
    <w:rsid w:val="006E1F18"/>
    <w:rsid w:val="007228D3"/>
    <w:rsid w:val="00725345"/>
    <w:rsid w:val="007352E8"/>
    <w:rsid w:val="00741CC0"/>
    <w:rsid w:val="00761040"/>
    <w:rsid w:val="007B512F"/>
    <w:rsid w:val="007C22EF"/>
    <w:rsid w:val="007D07B8"/>
    <w:rsid w:val="007D310A"/>
    <w:rsid w:val="007E074B"/>
    <w:rsid w:val="007F7512"/>
    <w:rsid w:val="00810894"/>
    <w:rsid w:val="008143AB"/>
    <w:rsid w:val="00820A3C"/>
    <w:rsid w:val="00827C3A"/>
    <w:rsid w:val="0083345F"/>
    <w:rsid w:val="00836140"/>
    <w:rsid w:val="00836667"/>
    <w:rsid w:val="00866D0F"/>
    <w:rsid w:val="00873468"/>
    <w:rsid w:val="00895168"/>
    <w:rsid w:val="008C2F11"/>
    <w:rsid w:val="008D5EA4"/>
    <w:rsid w:val="008D78B9"/>
    <w:rsid w:val="008E3F85"/>
    <w:rsid w:val="00902B6C"/>
    <w:rsid w:val="009051E8"/>
    <w:rsid w:val="00914156"/>
    <w:rsid w:val="00916FF8"/>
    <w:rsid w:val="00922093"/>
    <w:rsid w:val="00930C85"/>
    <w:rsid w:val="00955122"/>
    <w:rsid w:val="00955ABD"/>
    <w:rsid w:val="009B38DA"/>
    <w:rsid w:val="009F2F53"/>
    <w:rsid w:val="009F4187"/>
    <w:rsid w:val="00A12E0F"/>
    <w:rsid w:val="00A15F99"/>
    <w:rsid w:val="00A373CF"/>
    <w:rsid w:val="00A51FAE"/>
    <w:rsid w:val="00A80845"/>
    <w:rsid w:val="00AB4C13"/>
    <w:rsid w:val="00AB69F7"/>
    <w:rsid w:val="00AC5C9F"/>
    <w:rsid w:val="00AD0555"/>
    <w:rsid w:val="00AD097B"/>
    <w:rsid w:val="00AD64B9"/>
    <w:rsid w:val="00AE022B"/>
    <w:rsid w:val="00B009CC"/>
    <w:rsid w:val="00B0782A"/>
    <w:rsid w:val="00B27E36"/>
    <w:rsid w:val="00B62B8C"/>
    <w:rsid w:val="00B63343"/>
    <w:rsid w:val="00B85295"/>
    <w:rsid w:val="00B87FF7"/>
    <w:rsid w:val="00BA0B08"/>
    <w:rsid w:val="00BA5876"/>
    <w:rsid w:val="00BB7DE4"/>
    <w:rsid w:val="00BC0E82"/>
    <w:rsid w:val="00BD0054"/>
    <w:rsid w:val="00BD40F9"/>
    <w:rsid w:val="00BD78A2"/>
    <w:rsid w:val="00BF28A8"/>
    <w:rsid w:val="00C41C86"/>
    <w:rsid w:val="00C63A6C"/>
    <w:rsid w:val="00C719C6"/>
    <w:rsid w:val="00CA0A15"/>
    <w:rsid w:val="00CA13AF"/>
    <w:rsid w:val="00CA1444"/>
    <w:rsid w:val="00CB1590"/>
    <w:rsid w:val="00CB7600"/>
    <w:rsid w:val="00CC0E9D"/>
    <w:rsid w:val="00CC3639"/>
    <w:rsid w:val="00CE50CB"/>
    <w:rsid w:val="00D00B1D"/>
    <w:rsid w:val="00D00CB7"/>
    <w:rsid w:val="00D12A39"/>
    <w:rsid w:val="00D25F16"/>
    <w:rsid w:val="00D60D86"/>
    <w:rsid w:val="00D96BF2"/>
    <w:rsid w:val="00DB1288"/>
    <w:rsid w:val="00DE1A2F"/>
    <w:rsid w:val="00E21CA9"/>
    <w:rsid w:val="00E31063"/>
    <w:rsid w:val="00E36FE9"/>
    <w:rsid w:val="00E5072F"/>
    <w:rsid w:val="00E73E98"/>
    <w:rsid w:val="00E75223"/>
    <w:rsid w:val="00E90D72"/>
    <w:rsid w:val="00EA0BE1"/>
    <w:rsid w:val="00EC23AC"/>
    <w:rsid w:val="00EC2992"/>
    <w:rsid w:val="00EC624E"/>
    <w:rsid w:val="00ED412F"/>
    <w:rsid w:val="00ED46A4"/>
    <w:rsid w:val="00ED6FD9"/>
    <w:rsid w:val="00EE3810"/>
    <w:rsid w:val="00F27498"/>
    <w:rsid w:val="00F63C3B"/>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E82F1"/>
  <w15:chartTrackingRefBased/>
  <w15:docId w15:val="{08EED785-9766-4ED5-97BD-D61F06C2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5">
    <w:name w:val="heading 5"/>
    <w:basedOn w:val="a"/>
    <w:link w:val="50"/>
    <w:uiPriority w:val="9"/>
    <w:qFormat/>
    <w:rsid w:val="006E1F18"/>
    <w:pPr>
      <w:overflowPunct/>
      <w:autoSpaceDE/>
      <w:autoSpaceDN/>
      <w:bidi w:val="0"/>
      <w:adjustRightInd/>
      <w:spacing w:before="100" w:beforeAutospacing="1" w:after="100" w:afterAutospacing="1"/>
      <w:textAlignment w:val="auto"/>
      <w:outlineLvl w:val="4"/>
    </w:pPr>
    <w:rPr>
      <w:rFonts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31">
    <w:name w:val="ruller 3"/>
    <w:basedOn w:val="Casenameintextbody"/>
    <w:rsid w:val="006D2037"/>
    <w:pPr>
      <w:jc w:val="left"/>
    </w:pPr>
    <w:rPr>
      <w:rFonts w:cs="David"/>
      <w:b w:val="0"/>
      <w:bCs w:val="0"/>
      <w:sz w:val="22"/>
      <w:u w:val="none"/>
    </w:rPr>
  </w:style>
  <w:style w:type="character" w:customStyle="1" w:styleId="50">
    <w:name w:val="כותרת 5 תו"/>
    <w:basedOn w:val="a0"/>
    <w:link w:val="5"/>
    <w:uiPriority w:val="9"/>
    <w:rsid w:val="006E1F18"/>
    <w:rPr>
      <w:b/>
      <w:bCs/>
    </w:rPr>
  </w:style>
  <w:style w:type="paragraph" w:customStyle="1" w:styleId="Ruller4">
    <w:name w:val="Ruller 4 ממוספר"/>
    <w:basedOn w:val="Ruller41"/>
    <w:next w:val="Ruller41"/>
    <w:rsid w:val="006E1F18"/>
    <w:pPr>
      <w:numPr>
        <w:numId w:val="11"/>
      </w:numPr>
    </w:pPr>
    <w:rPr>
      <w:rFonts w:ascii="Garamond" w:hAnsi="Garamond"/>
      <w:sz w:val="24"/>
    </w:rPr>
  </w:style>
  <w:style w:type="paragraph" w:customStyle="1" w:styleId="Ruller40">
    <w:name w:val="Ruller4 אלפביתי"/>
    <w:basedOn w:val="Ruller41"/>
    <w:next w:val="Ruller41"/>
    <w:rsid w:val="006E1F18"/>
    <w:pPr>
      <w:numPr>
        <w:numId w:val="12"/>
      </w:numPr>
    </w:pPr>
  </w:style>
  <w:style w:type="character" w:customStyle="1" w:styleId="default">
    <w:name w:val="default"/>
    <w:basedOn w:val="a0"/>
    <w:rsid w:val="006E1F18"/>
  </w:style>
  <w:style w:type="paragraph" w:customStyle="1" w:styleId="ruller43">
    <w:name w:val="ruller4"/>
    <w:basedOn w:val="a"/>
    <w:rsid w:val="006E1F18"/>
    <w:pPr>
      <w:overflowPunct/>
      <w:autoSpaceDE/>
      <w:autoSpaceDN/>
      <w:bidi w:val="0"/>
      <w:adjustRightInd/>
      <w:spacing w:before="100" w:beforeAutospacing="1" w:after="100" w:afterAutospacing="1"/>
      <w:textAlignment w:val="auto"/>
    </w:pPr>
    <w:rPr>
      <w:rFonts w:cs="Times New Roman"/>
      <w:sz w:val="24"/>
    </w:rPr>
  </w:style>
  <w:style w:type="character" w:customStyle="1" w:styleId="Ruller42">
    <w:name w:val="Ruller4 תו"/>
    <w:link w:val="Ruller41"/>
    <w:locked/>
    <w:rsid w:val="006E1F18"/>
    <w:rPr>
      <w:rFonts w:ascii="Arial TUR" w:hAnsi="Arial TUR" w:cs="FrankRuehl"/>
      <w:spacing w:val="10"/>
      <w:sz w:val="22"/>
      <w:szCs w:val="28"/>
    </w:rPr>
  </w:style>
  <w:style w:type="paragraph" w:styleId="ae">
    <w:name w:val="List Paragraph"/>
    <w:basedOn w:val="a"/>
    <w:uiPriority w:val="34"/>
    <w:qFormat/>
    <w:rsid w:val="006E1F18"/>
    <w:pPr>
      <w:spacing w:line="360" w:lineRule="auto"/>
      <w:ind w:left="720"/>
      <w:contextualSpacing/>
    </w:pPr>
    <w:rPr>
      <w:rFonts w:ascii="Century" w:hAnsi="Century" w:cs="FrankRuehl"/>
      <w:spacing w:val="10"/>
      <w:szCs w:val="28"/>
    </w:rPr>
  </w:style>
  <w:style w:type="paragraph" w:customStyle="1" w:styleId="ruller400">
    <w:name w:val="ruller40"/>
    <w:basedOn w:val="a"/>
    <w:rsid w:val="006E1F18"/>
    <w:pPr>
      <w:adjustRightInd/>
      <w:spacing w:line="360" w:lineRule="auto"/>
      <w:jc w:val="both"/>
      <w:textAlignment w:val="auto"/>
    </w:pPr>
    <w:rPr>
      <w:rFonts w:ascii="Garamond" w:hAnsi="Garamond" w:cs="Times New Roman"/>
      <w:spacing w:val="10"/>
      <w:sz w:val="24"/>
    </w:rPr>
  </w:style>
  <w:style w:type="paragraph" w:customStyle="1" w:styleId="P00">
    <w:name w:val="P00"/>
    <w:rsid w:val="006E1F1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styleId="af">
    <w:name w:val="Revision"/>
    <w:hidden/>
    <w:uiPriority w:val="99"/>
    <w:semiHidden/>
    <w:rsid w:val="006E1F18"/>
    <w:rPr>
      <w:rFonts w:ascii="Century" w:hAnsi="Century" w:cs="FrankRuehl"/>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8494</Words>
  <Characters>39997</Characters>
  <Application>Microsoft Office Word</Application>
  <DocSecurity>0</DocSecurity>
  <Lines>333</Lines>
  <Paragraphs>96</Paragraphs>
  <ScaleCrop>false</ScaleCrop>
  <HeadingPairs>
    <vt:vector size="2" baseType="variant">
      <vt:variant>
        <vt:lpstr>שם</vt:lpstr>
      </vt:variant>
      <vt:variant>
        <vt:i4>1</vt:i4>
      </vt:variant>
    </vt:vector>
  </HeadingPairs>
  <TitlesOfParts>
    <vt:vector size="1" baseType="lpstr">
      <vt:lpstr>פסק-דין בתיק ע"א  9838/17</vt:lpstr>
    </vt:vector>
  </TitlesOfParts>
  <Company/>
  <LinksUpToDate>false</LinksUpToDate>
  <CharactersWithSpaces>48395</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2020-11-12T09:53:03Z</cp:lastPrinted>
  <dcterms:created xsi:type="dcterms:W3CDTF">2020-11-12T09:53:03Z</dcterms:created>
  <dcterms:modified xsi:type="dcterms:W3CDTF">2020-11-12T09:53:03Z</dcterms:modified>
</cp:coreProperties>
</file>