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8363" w:type="dxa"/>
        <w:tblInd w:w="9" w:type="dxa"/>
        <w:tblLook w:val="0000" w:firstRow="0" w:lastRow="0" w:firstColumn="0" w:lastColumn="0" w:noHBand="0" w:noVBand="0"/>
      </w:tblPr>
      <w:tblGrid>
        <w:gridCol w:w="8363"/>
      </w:tblGrid>
      <w:tr w:rsidR="00036227" w:rsidTr="00AF4231">
        <w:tc>
          <w:tcPr>
            <w:tcW w:w="8363" w:type="dxa"/>
          </w:tcPr>
          <w:p w:rsidR="00916FF8" w:rsidRPr="00624A42" w:rsidRDefault="00844565"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844565">
            <w:pPr>
              <w:pStyle w:val="FileNumber"/>
              <w:rPr>
                <w:sz w:val="28"/>
                <w:szCs w:val="28"/>
              </w:rPr>
            </w:pPr>
            <w:bookmarkStart w:id="0" w:name="casename_body"/>
            <w:r>
              <w:rPr>
                <w:sz w:val="28"/>
                <w:szCs w:val="28"/>
                <w:rtl/>
              </w:rPr>
              <w:t>ע"א  10220/17</w:t>
            </w:r>
          </w:p>
        </w:tc>
      </w:tr>
      <w:tr w:rsidR="00844565" w:rsidTr="0039709B">
        <w:trPr>
          <w:trHeight w:val="342"/>
        </w:trPr>
        <w:tc>
          <w:tcPr>
            <w:tcW w:w="9828" w:type="dxa"/>
          </w:tcPr>
          <w:p w:rsidR="00844565" w:rsidRPr="00810894" w:rsidRDefault="00844565">
            <w:pPr>
              <w:pStyle w:val="FileNumber"/>
              <w:rPr>
                <w:sz w:val="28"/>
                <w:szCs w:val="28"/>
              </w:rPr>
            </w:pPr>
            <w:r>
              <w:rPr>
                <w:sz w:val="28"/>
                <w:szCs w:val="28"/>
                <w:rtl/>
              </w:rPr>
              <w:t>ע"א  917/18</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844565">
            <w:pPr>
              <w:pStyle w:val="BodyRuller"/>
            </w:pPr>
            <w:r>
              <w:rPr>
                <w:rtl/>
              </w:rPr>
              <w:t>כבוד השופט י' עמית</w:t>
            </w:r>
          </w:p>
        </w:tc>
      </w:tr>
      <w:tr w:rsidR="00844565" w:rsidTr="00EC23AC">
        <w:trPr>
          <w:trHeight w:val="287"/>
        </w:trPr>
        <w:tc>
          <w:tcPr>
            <w:tcW w:w="3261" w:type="dxa"/>
          </w:tcPr>
          <w:p w:rsidR="00844565" w:rsidRDefault="00844565">
            <w:pPr>
              <w:pStyle w:val="BodyRuller"/>
              <w:rPr>
                <w:rtl/>
              </w:rPr>
            </w:pPr>
          </w:p>
        </w:tc>
        <w:tc>
          <w:tcPr>
            <w:tcW w:w="5239" w:type="dxa"/>
          </w:tcPr>
          <w:p w:rsidR="00844565" w:rsidRDefault="00844565">
            <w:pPr>
              <w:pStyle w:val="BodyRuller"/>
              <w:rPr>
                <w:rtl/>
              </w:rPr>
            </w:pPr>
            <w:r>
              <w:rPr>
                <w:rtl/>
              </w:rPr>
              <w:t>כבוד השופטת ע' ברון</w:t>
            </w:r>
          </w:p>
        </w:tc>
      </w:tr>
      <w:tr w:rsidR="00844565" w:rsidTr="00EC23AC">
        <w:trPr>
          <w:trHeight w:val="287"/>
        </w:trPr>
        <w:tc>
          <w:tcPr>
            <w:tcW w:w="3261" w:type="dxa"/>
          </w:tcPr>
          <w:p w:rsidR="00844565" w:rsidRDefault="00844565">
            <w:pPr>
              <w:pStyle w:val="BodyRuller"/>
              <w:rPr>
                <w:rtl/>
              </w:rPr>
            </w:pPr>
          </w:p>
        </w:tc>
        <w:tc>
          <w:tcPr>
            <w:tcW w:w="5239" w:type="dxa"/>
          </w:tcPr>
          <w:p w:rsidR="00844565" w:rsidRDefault="00844565">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Default="00844565" w:rsidP="00DD6306">
            <w:pPr>
              <w:pStyle w:val="BodyRuller"/>
              <w:rPr>
                <w:rFonts w:ascii="David" w:hAnsi="David"/>
                <w:rtl/>
              </w:rPr>
            </w:pPr>
            <w:r>
              <w:rPr>
                <w:rFonts w:ascii="David" w:hAnsi="David"/>
                <w:rtl/>
              </w:rPr>
              <w:t>המערער</w:t>
            </w:r>
            <w:r w:rsidR="00AF4231">
              <w:rPr>
                <w:rFonts w:ascii="David" w:hAnsi="David" w:hint="cs"/>
                <w:rtl/>
              </w:rPr>
              <w:t>ת בע"א 10220/17</w:t>
            </w:r>
            <w:r>
              <w:rPr>
                <w:rFonts w:ascii="David" w:hAnsi="David"/>
                <w:rtl/>
              </w:rPr>
              <w:t>:</w:t>
            </w:r>
          </w:p>
          <w:p w:rsidR="00F765DF" w:rsidRDefault="00F765DF" w:rsidP="00DD6306">
            <w:pPr>
              <w:pStyle w:val="BodyRuller"/>
              <w:rPr>
                <w:rFonts w:ascii="David" w:hAnsi="David"/>
                <w:rtl/>
              </w:rPr>
            </w:pPr>
          </w:p>
          <w:p w:rsidR="00F765DF" w:rsidRPr="00E75223" w:rsidRDefault="00F765DF" w:rsidP="00DD6306">
            <w:pPr>
              <w:pStyle w:val="BodyRuller"/>
              <w:rPr>
                <w:rFonts w:ascii="David" w:hAnsi="David"/>
              </w:rPr>
            </w:pPr>
            <w:r>
              <w:rPr>
                <w:rFonts w:ascii="David" w:hAnsi="David" w:hint="cs"/>
                <w:rtl/>
              </w:rPr>
              <w:t>המערערות בע"א 917/18:</w:t>
            </w:r>
          </w:p>
        </w:tc>
        <w:tc>
          <w:tcPr>
            <w:tcW w:w="5239" w:type="dxa"/>
          </w:tcPr>
          <w:p w:rsidR="00D00CB7" w:rsidRDefault="00844565" w:rsidP="00DD6306">
            <w:pPr>
              <w:pStyle w:val="BodyRuller"/>
              <w:rPr>
                <w:rtl/>
              </w:rPr>
            </w:pPr>
            <w:r>
              <w:rPr>
                <w:rtl/>
              </w:rPr>
              <w:t>דלק ניהול קידוחים (1993)  בע"מ</w:t>
            </w:r>
          </w:p>
          <w:p w:rsidR="00F765DF" w:rsidRDefault="00F765DF" w:rsidP="00DD6306">
            <w:pPr>
              <w:pStyle w:val="BodyRuller"/>
              <w:rPr>
                <w:rtl/>
              </w:rPr>
            </w:pPr>
          </w:p>
          <w:p w:rsidR="00F765DF" w:rsidRDefault="00F765DF" w:rsidP="00DD6306">
            <w:pPr>
              <w:pStyle w:val="BodyRuller"/>
              <w:rPr>
                <w:rtl/>
              </w:rPr>
            </w:pPr>
            <w:r>
              <w:rPr>
                <w:rFonts w:hint="cs"/>
                <w:rtl/>
              </w:rPr>
              <w:t xml:space="preserve">1. </w:t>
            </w:r>
            <w:proofErr w:type="spellStart"/>
            <w:r>
              <w:rPr>
                <w:rFonts w:hint="cs"/>
                <w:rtl/>
              </w:rPr>
              <w:t>ישראמקו</w:t>
            </w:r>
            <w:proofErr w:type="spellEnd"/>
            <w:r>
              <w:rPr>
                <w:rFonts w:hint="cs"/>
                <w:rtl/>
              </w:rPr>
              <w:t xml:space="preserve"> ניהול (1988) בע"מ</w:t>
            </w:r>
          </w:p>
          <w:p w:rsidR="00F765DF" w:rsidRDefault="00F765DF" w:rsidP="00DD6306">
            <w:pPr>
              <w:pStyle w:val="BodyRuller"/>
            </w:pPr>
            <w:r>
              <w:rPr>
                <w:rFonts w:hint="cs"/>
                <w:rtl/>
              </w:rPr>
              <w:t xml:space="preserve">2. </w:t>
            </w:r>
            <w:proofErr w:type="spellStart"/>
            <w:r>
              <w:rPr>
                <w:rFonts w:hint="cs"/>
                <w:rtl/>
              </w:rPr>
              <w:t>ישראמקו</w:t>
            </w:r>
            <w:proofErr w:type="spellEnd"/>
            <w:r>
              <w:rPr>
                <w:rFonts w:hint="cs"/>
                <w:rtl/>
              </w:rPr>
              <w:t xml:space="preserve"> </w:t>
            </w:r>
            <w:proofErr w:type="spellStart"/>
            <w:r>
              <w:rPr>
                <w:rFonts w:hint="cs"/>
                <w:rtl/>
              </w:rPr>
              <w:t>אויל</w:t>
            </w:r>
            <w:proofErr w:type="spellEnd"/>
            <w:r>
              <w:rPr>
                <w:rFonts w:hint="cs"/>
                <w:rtl/>
              </w:rPr>
              <w:t xml:space="preserve"> אנד גז בע"מ</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844565" w:rsidP="00DD6306">
            <w:pPr>
              <w:pStyle w:val="BodyRuller"/>
              <w:rPr>
                <w:rFonts w:ascii="David" w:hAnsi="David"/>
              </w:rPr>
            </w:pPr>
            <w:r>
              <w:rPr>
                <w:rFonts w:ascii="David" w:hAnsi="David"/>
                <w:rtl/>
              </w:rPr>
              <w:t>המשיבים</w:t>
            </w:r>
            <w:r w:rsidR="005C5569">
              <w:rPr>
                <w:rFonts w:ascii="David" w:hAnsi="David" w:hint="cs"/>
                <w:rtl/>
              </w:rPr>
              <w:t xml:space="preserve"> בע"א 10220/17</w:t>
            </w:r>
            <w:r>
              <w:rPr>
                <w:rFonts w:ascii="David" w:hAnsi="David"/>
                <w:rtl/>
              </w:rPr>
              <w:t>:</w:t>
            </w:r>
          </w:p>
        </w:tc>
        <w:tc>
          <w:tcPr>
            <w:tcW w:w="5239" w:type="dxa"/>
          </w:tcPr>
          <w:p w:rsidR="0083345F" w:rsidRDefault="00844565" w:rsidP="00DD6306">
            <w:pPr>
              <w:pStyle w:val="BodyRuller"/>
            </w:pPr>
            <w:r>
              <w:rPr>
                <w:rtl/>
              </w:rPr>
              <w:t>1. גיסין את קידר בע"מ</w:t>
            </w:r>
          </w:p>
        </w:tc>
      </w:tr>
      <w:tr w:rsidR="00844565" w:rsidTr="00DD6306">
        <w:trPr>
          <w:trHeight w:val="287"/>
        </w:trPr>
        <w:tc>
          <w:tcPr>
            <w:tcW w:w="3261" w:type="dxa"/>
          </w:tcPr>
          <w:p w:rsidR="00844565" w:rsidRDefault="00844565" w:rsidP="00DD6306">
            <w:pPr>
              <w:pStyle w:val="BodyRuller"/>
              <w:rPr>
                <w:rFonts w:ascii="David" w:hAnsi="David"/>
                <w:rtl/>
              </w:rPr>
            </w:pPr>
          </w:p>
        </w:tc>
        <w:tc>
          <w:tcPr>
            <w:tcW w:w="5239" w:type="dxa"/>
          </w:tcPr>
          <w:p w:rsidR="00844565" w:rsidRDefault="00844565" w:rsidP="00AF5AFB">
            <w:pPr>
              <w:pStyle w:val="BodyRuller"/>
              <w:rPr>
                <w:rtl/>
              </w:rPr>
            </w:pPr>
            <w:r>
              <w:rPr>
                <w:rtl/>
              </w:rPr>
              <w:t xml:space="preserve">2. </w:t>
            </w:r>
            <w:proofErr w:type="spellStart"/>
            <w:r>
              <w:rPr>
                <w:rtl/>
              </w:rPr>
              <w:t>פאהן</w:t>
            </w:r>
            <w:proofErr w:type="spellEnd"/>
            <w:r>
              <w:rPr>
                <w:rtl/>
              </w:rPr>
              <w:t xml:space="preserve"> קנה ושות' ורו"ח</w:t>
            </w:r>
            <w:r w:rsidR="00AF5AFB">
              <w:rPr>
                <w:rFonts w:hint="cs"/>
                <w:rtl/>
              </w:rPr>
              <w:t xml:space="preserve"> </w:t>
            </w:r>
            <w:r>
              <w:rPr>
                <w:rtl/>
              </w:rPr>
              <w:t>מיכה בלומנטל</w:t>
            </w:r>
          </w:p>
        </w:tc>
      </w:tr>
      <w:tr w:rsidR="00844565" w:rsidTr="00DD6306">
        <w:trPr>
          <w:trHeight w:val="287"/>
        </w:trPr>
        <w:tc>
          <w:tcPr>
            <w:tcW w:w="3261" w:type="dxa"/>
          </w:tcPr>
          <w:p w:rsidR="00844565" w:rsidRDefault="00844565" w:rsidP="00DD6306">
            <w:pPr>
              <w:pStyle w:val="BodyRuller"/>
              <w:rPr>
                <w:rFonts w:ascii="David" w:hAnsi="David"/>
                <w:rtl/>
              </w:rPr>
            </w:pPr>
          </w:p>
        </w:tc>
        <w:tc>
          <w:tcPr>
            <w:tcW w:w="5239" w:type="dxa"/>
          </w:tcPr>
          <w:p w:rsidR="00844565" w:rsidRDefault="00844565" w:rsidP="003354F3">
            <w:pPr>
              <w:pStyle w:val="BodyRuller"/>
              <w:rPr>
                <w:rtl/>
              </w:rPr>
            </w:pPr>
            <w:r>
              <w:rPr>
                <w:rtl/>
              </w:rPr>
              <w:t>3. דלק  קידוחים</w:t>
            </w:r>
            <w:r w:rsidR="003354F3">
              <w:rPr>
                <w:rFonts w:hint="cs"/>
                <w:rtl/>
              </w:rPr>
              <w:t xml:space="preserve"> </w:t>
            </w:r>
            <w:r w:rsidR="003354F3">
              <w:rPr>
                <w:rtl/>
              </w:rPr>
              <w:t>–</w:t>
            </w:r>
            <w:r w:rsidR="003354F3">
              <w:rPr>
                <w:rFonts w:hint="cs"/>
                <w:rtl/>
              </w:rPr>
              <w:t xml:space="preserve"> </w:t>
            </w:r>
            <w:r>
              <w:rPr>
                <w:rtl/>
              </w:rPr>
              <w:t>שותפות מוגבלת</w:t>
            </w:r>
          </w:p>
        </w:tc>
      </w:tr>
      <w:tr w:rsidR="00844565" w:rsidTr="00DD6306">
        <w:trPr>
          <w:trHeight w:val="287"/>
        </w:trPr>
        <w:tc>
          <w:tcPr>
            <w:tcW w:w="3261" w:type="dxa"/>
          </w:tcPr>
          <w:p w:rsidR="00844565" w:rsidRDefault="00844565" w:rsidP="00DD6306">
            <w:pPr>
              <w:pStyle w:val="BodyRuller"/>
              <w:rPr>
                <w:rFonts w:ascii="David" w:hAnsi="David"/>
                <w:rtl/>
              </w:rPr>
            </w:pPr>
          </w:p>
        </w:tc>
        <w:tc>
          <w:tcPr>
            <w:tcW w:w="5239" w:type="dxa"/>
          </w:tcPr>
          <w:p w:rsidR="00844565" w:rsidRDefault="00844565" w:rsidP="00DD6306">
            <w:pPr>
              <w:pStyle w:val="BodyRuller"/>
              <w:rPr>
                <w:rtl/>
              </w:rPr>
            </w:pPr>
            <w:r>
              <w:rPr>
                <w:rtl/>
              </w:rPr>
              <w:t>4. דלק נאמנויות קידוחים בע"מ</w:t>
            </w:r>
          </w:p>
        </w:tc>
      </w:tr>
      <w:tr w:rsidR="00844565" w:rsidTr="00DD6306">
        <w:trPr>
          <w:trHeight w:val="287"/>
        </w:trPr>
        <w:tc>
          <w:tcPr>
            <w:tcW w:w="3261" w:type="dxa"/>
          </w:tcPr>
          <w:p w:rsidR="00844565" w:rsidRDefault="00844565" w:rsidP="00DD6306">
            <w:pPr>
              <w:pStyle w:val="BodyRuller"/>
              <w:rPr>
                <w:rFonts w:ascii="David" w:hAnsi="David"/>
                <w:rtl/>
              </w:rPr>
            </w:pPr>
          </w:p>
        </w:tc>
        <w:tc>
          <w:tcPr>
            <w:tcW w:w="5239" w:type="dxa"/>
          </w:tcPr>
          <w:p w:rsidR="00844565" w:rsidRDefault="00FF6386" w:rsidP="00FF6386">
            <w:pPr>
              <w:pStyle w:val="BodyRuller"/>
              <w:rPr>
                <w:rtl/>
              </w:rPr>
            </w:pPr>
            <w:r>
              <w:rPr>
                <w:rtl/>
              </w:rPr>
              <w:t>5. משרד המשפטים</w:t>
            </w:r>
            <w:r>
              <w:rPr>
                <w:rFonts w:hint="cs"/>
                <w:rtl/>
              </w:rPr>
              <w:t xml:space="preserve">, </w:t>
            </w:r>
            <w:r w:rsidR="00844565">
              <w:rPr>
                <w:rtl/>
              </w:rPr>
              <w:t>מחלקת ייעוץ וחקיקה</w:t>
            </w:r>
            <w:r>
              <w:rPr>
                <w:rFonts w:hint="cs"/>
                <w:rtl/>
              </w:rPr>
              <w:t xml:space="preserve"> (כלכלי פיסקאלי)</w:t>
            </w:r>
          </w:p>
        </w:tc>
      </w:tr>
      <w:tr w:rsidR="00844565" w:rsidTr="00DD6306">
        <w:trPr>
          <w:trHeight w:val="287"/>
        </w:trPr>
        <w:tc>
          <w:tcPr>
            <w:tcW w:w="3261" w:type="dxa"/>
          </w:tcPr>
          <w:p w:rsidR="00844565" w:rsidRDefault="00844565" w:rsidP="00DD6306">
            <w:pPr>
              <w:pStyle w:val="BodyRuller"/>
              <w:rPr>
                <w:rFonts w:ascii="David" w:hAnsi="David"/>
                <w:rtl/>
              </w:rPr>
            </w:pPr>
          </w:p>
        </w:tc>
        <w:tc>
          <w:tcPr>
            <w:tcW w:w="5239" w:type="dxa"/>
          </w:tcPr>
          <w:p w:rsidR="00844565" w:rsidRDefault="00844565" w:rsidP="00DD6306">
            <w:pPr>
              <w:pStyle w:val="BodyRuller"/>
              <w:rPr>
                <w:rtl/>
              </w:rPr>
            </w:pPr>
            <w:r>
              <w:rPr>
                <w:rtl/>
              </w:rPr>
              <w:t>6. רשות המיסים</w:t>
            </w:r>
            <w:r w:rsidR="00FF6386">
              <w:rPr>
                <w:rFonts w:hint="cs"/>
                <w:rtl/>
              </w:rPr>
              <w:t xml:space="preserve"> </w:t>
            </w:r>
            <w:r w:rsidR="00FF6386">
              <w:rPr>
                <w:rtl/>
              </w:rPr>
              <w:t>–</w:t>
            </w:r>
            <w:r w:rsidR="00FF6386">
              <w:rPr>
                <w:rFonts w:hint="cs"/>
                <w:rtl/>
              </w:rPr>
              <w:t xml:space="preserve"> </w:t>
            </w:r>
            <w:proofErr w:type="spellStart"/>
            <w:r w:rsidR="00FF6386">
              <w:rPr>
                <w:rFonts w:hint="cs"/>
                <w:rtl/>
              </w:rPr>
              <w:t>פשמ"ג</w:t>
            </w:r>
            <w:proofErr w:type="spellEnd"/>
          </w:p>
        </w:tc>
      </w:tr>
      <w:tr w:rsidR="00844565" w:rsidTr="00DD6306">
        <w:trPr>
          <w:trHeight w:val="287"/>
        </w:trPr>
        <w:tc>
          <w:tcPr>
            <w:tcW w:w="3261" w:type="dxa"/>
          </w:tcPr>
          <w:p w:rsidR="00844565" w:rsidRDefault="00844565" w:rsidP="00DD6306">
            <w:pPr>
              <w:pStyle w:val="BodyRuller"/>
              <w:rPr>
                <w:rFonts w:ascii="David" w:hAnsi="David"/>
                <w:rtl/>
              </w:rPr>
            </w:pPr>
          </w:p>
        </w:tc>
        <w:tc>
          <w:tcPr>
            <w:tcW w:w="5239" w:type="dxa"/>
          </w:tcPr>
          <w:p w:rsidR="00844565" w:rsidRDefault="00844565" w:rsidP="00DD6306">
            <w:pPr>
              <w:pStyle w:val="BodyRuller"/>
              <w:rPr>
                <w:rtl/>
              </w:rPr>
            </w:pPr>
            <w:r>
              <w:rPr>
                <w:rtl/>
              </w:rPr>
              <w:t>7. רשות ניירות ערך</w:t>
            </w:r>
          </w:p>
        </w:tc>
      </w:tr>
      <w:tr w:rsidR="00844565" w:rsidTr="00DD6306">
        <w:trPr>
          <w:trHeight w:val="287"/>
        </w:trPr>
        <w:tc>
          <w:tcPr>
            <w:tcW w:w="3261" w:type="dxa"/>
          </w:tcPr>
          <w:p w:rsidR="00844565" w:rsidRDefault="00844565" w:rsidP="00DD6306">
            <w:pPr>
              <w:pStyle w:val="BodyRuller"/>
              <w:rPr>
                <w:rFonts w:ascii="David" w:hAnsi="David"/>
                <w:rtl/>
              </w:rPr>
            </w:pPr>
          </w:p>
        </w:tc>
        <w:tc>
          <w:tcPr>
            <w:tcW w:w="5239" w:type="dxa"/>
          </w:tcPr>
          <w:p w:rsidR="00844565" w:rsidRDefault="00844565" w:rsidP="00DD6306">
            <w:pPr>
              <w:pStyle w:val="BodyRuller"/>
              <w:rPr>
                <w:rtl/>
              </w:rPr>
            </w:pPr>
            <w:r>
              <w:rPr>
                <w:rtl/>
              </w:rPr>
              <w:t>8. אריאל ינקו</w:t>
            </w:r>
          </w:p>
        </w:tc>
      </w:tr>
      <w:tr w:rsidR="00844565" w:rsidTr="00DD6306">
        <w:trPr>
          <w:trHeight w:val="287"/>
        </w:trPr>
        <w:tc>
          <w:tcPr>
            <w:tcW w:w="3261" w:type="dxa"/>
          </w:tcPr>
          <w:p w:rsidR="00844565" w:rsidRDefault="00844565" w:rsidP="00DD6306">
            <w:pPr>
              <w:pStyle w:val="BodyRuller"/>
              <w:rPr>
                <w:rFonts w:ascii="David" w:hAnsi="David"/>
                <w:rtl/>
              </w:rPr>
            </w:pPr>
          </w:p>
        </w:tc>
        <w:tc>
          <w:tcPr>
            <w:tcW w:w="5239" w:type="dxa"/>
          </w:tcPr>
          <w:p w:rsidR="00844565" w:rsidRDefault="00844565" w:rsidP="00DD6306">
            <w:pPr>
              <w:pStyle w:val="BodyRuller"/>
              <w:rPr>
                <w:rtl/>
              </w:rPr>
            </w:pPr>
            <w:r>
              <w:rPr>
                <w:rtl/>
              </w:rPr>
              <w:t xml:space="preserve">9. יצחק </w:t>
            </w:r>
            <w:proofErr w:type="spellStart"/>
            <w:r>
              <w:rPr>
                <w:rtl/>
              </w:rPr>
              <w:t>לסטמן</w:t>
            </w:r>
            <w:proofErr w:type="spellEnd"/>
          </w:p>
        </w:tc>
      </w:tr>
      <w:tr w:rsidR="00844565" w:rsidTr="00DD6306">
        <w:trPr>
          <w:trHeight w:val="287"/>
        </w:trPr>
        <w:tc>
          <w:tcPr>
            <w:tcW w:w="3261" w:type="dxa"/>
          </w:tcPr>
          <w:p w:rsidR="00844565" w:rsidRDefault="00844565" w:rsidP="00DD6306">
            <w:pPr>
              <w:pStyle w:val="BodyRuller"/>
              <w:rPr>
                <w:rFonts w:ascii="David" w:hAnsi="David"/>
                <w:rtl/>
              </w:rPr>
            </w:pPr>
          </w:p>
        </w:tc>
        <w:tc>
          <w:tcPr>
            <w:tcW w:w="5239" w:type="dxa"/>
          </w:tcPr>
          <w:p w:rsidR="00844565" w:rsidRDefault="00844565" w:rsidP="00DD6306">
            <w:pPr>
              <w:pStyle w:val="BodyRuller"/>
              <w:rPr>
                <w:rtl/>
              </w:rPr>
            </w:pPr>
            <w:r>
              <w:rPr>
                <w:rtl/>
              </w:rPr>
              <w:t>10. עמיקם רשף</w:t>
            </w:r>
          </w:p>
        </w:tc>
      </w:tr>
      <w:tr w:rsidR="00844565" w:rsidTr="00DD6306">
        <w:trPr>
          <w:trHeight w:val="287"/>
        </w:trPr>
        <w:tc>
          <w:tcPr>
            <w:tcW w:w="3261" w:type="dxa"/>
          </w:tcPr>
          <w:p w:rsidR="00844565" w:rsidRDefault="00844565" w:rsidP="00DD6306">
            <w:pPr>
              <w:pStyle w:val="BodyRuller"/>
              <w:rPr>
                <w:rFonts w:ascii="David" w:hAnsi="David"/>
                <w:rtl/>
              </w:rPr>
            </w:pPr>
          </w:p>
          <w:p w:rsidR="005C5569" w:rsidRDefault="005C5569" w:rsidP="00DD6306">
            <w:pPr>
              <w:pStyle w:val="BodyRuller"/>
              <w:rPr>
                <w:rFonts w:ascii="David" w:hAnsi="David"/>
                <w:rtl/>
              </w:rPr>
            </w:pPr>
          </w:p>
          <w:p w:rsidR="005C5569" w:rsidRDefault="005C5569" w:rsidP="005C5569">
            <w:pPr>
              <w:pStyle w:val="BodyRuller"/>
              <w:rPr>
                <w:rFonts w:ascii="David" w:hAnsi="David"/>
                <w:rtl/>
              </w:rPr>
            </w:pPr>
            <w:r>
              <w:rPr>
                <w:rFonts w:ascii="David" w:hAnsi="David" w:hint="cs"/>
                <w:rtl/>
              </w:rPr>
              <w:t>המשיב בע"א 917/18:</w:t>
            </w:r>
          </w:p>
        </w:tc>
        <w:tc>
          <w:tcPr>
            <w:tcW w:w="5239" w:type="dxa"/>
          </w:tcPr>
          <w:p w:rsidR="00844565" w:rsidRDefault="00C34220" w:rsidP="00DD6306">
            <w:pPr>
              <w:pStyle w:val="BodyRuller"/>
              <w:rPr>
                <w:rtl/>
              </w:rPr>
            </w:pPr>
            <w:r>
              <w:rPr>
                <w:rtl/>
              </w:rPr>
              <w:t>11. ד</w:t>
            </w:r>
            <w:r>
              <w:rPr>
                <w:rFonts w:hint="cs"/>
                <w:rtl/>
              </w:rPr>
              <w:t>ר</w:t>
            </w:r>
            <w:r w:rsidR="00844565">
              <w:rPr>
                <w:rtl/>
              </w:rPr>
              <w:t>ורה רשף</w:t>
            </w:r>
          </w:p>
          <w:p w:rsidR="005C5569" w:rsidRDefault="005C5569" w:rsidP="00DD6306">
            <w:pPr>
              <w:pStyle w:val="BodyRuller"/>
              <w:rPr>
                <w:rtl/>
              </w:rPr>
            </w:pPr>
          </w:p>
          <w:p w:rsidR="005C5569" w:rsidRDefault="005C5569" w:rsidP="00DD6306">
            <w:pPr>
              <w:pStyle w:val="BodyRuller"/>
              <w:rPr>
                <w:rtl/>
              </w:rPr>
            </w:pPr>
            <w:r>
              <w:rPr>
                <w:rFonts w:hint="cs"/>
                <w:rtl/>
              </w:rPr>
              <w:t>פקיד שומה למפעלים גדולים</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844565" w:rsidP="003354F3">
            <w:pPr>
              <w:pStyle w:val="BodyRuller"/>
              <w:jc w:val="both"/>
              <w:rPr>
                <w:sz w:val="24"/>
                <w:szCs w:val="24"/>
              </w:rPr>
            </w:pPr>
            <w:r>
              <w:rPr>
                <w:sz w:val="24"/>
                <w:szCs w:val="24"/>
                <w:rtl/>
              </w:rPr>
              <w:t xml:space="preserve">ערעור על פסק דינו של בית המשפט המחוזי </w:t>
            </w:r>
            <w:r w:rsidR="003354F3">
              <w:rPr>
                <w:rFonts w:hint="cs"/>
                <w:sz w:val="24"/>
                <w:szCs w:val="24"/>
                <w:rtl/>
              </w:rPr>
              <w:t>ב</w:t>
            </w:r>
            <w:r>
              <w:rPr>
                <w:sz w:val="24"/>
                <w:szCs w:val="24"/>
                <w:rtl/>
              </w:rPr>
              <w:t xml:space="preserve">תל אביב-יפו </w:t>
            </w:r>
            <w:proofErr w:type="spellStart"/>
            <w:r w:rsidR="003354F3">
              <w:rPr>
                <w:rFonts w:hint="cs"/>
                <w:sz w:val="24"/>
                <w:szCs w:val="24"/>
                <w:rtl/>
              </w:rPr>
              <w:t>בה"פ</w:t>
            </w:r>
            <w:proofErr w:type="spellEnd"/>
            <w:r w:rsidR="003354F3">
              <w:rPr>
                <w:rFonts w:hint="cs"/>
                <w:sz w:val="24"/>
                <w:szCs w:val="24"/>
                <w:rtl/>
              </w:rPr>
              <w:t xml:space="preserve"> 41282-10-16 </w:t>
            </w:r>
            <w:r>
              <w:rPr>
                <w:sz w:val="24"/>
                <w:szCs w:val="24"/>
                <w:rtl/>
              </w:rPr>
              <w:t xml:space="preserve">מיום </w:t>
            </w:r>
            <w:r w:rsidR="003354F3">
              <w:rPr>
                <w:rFonts w:hint="cs"/>
                <w:sz w:val="24"/>
                <w:szCs w:val="24"/>
                <w:rtl/>
              </w:rPr>
              <w:t>1</w:t>
            </w:r>
            <w:r>
              <w:rPr>
                <w:sz w:val="24"/>
                <w:szCs w:val="24"/>
                <w:rtl/>
              </w:rPr>
              <w:t xml:space="preserve">.11.2017 </w:t>
            </w:r>
            <w:r w:rsidR="003354F3">
              <w:rPr>
                <w:rFonts w:hint="cs"/>
                <w:sz w:val="24"/>
                <w:szCs w:val="24"/>
                <w:rtl/>
              </w:rPr>
              <w:t xml:space="preserve">שניתן על ידי כב' השופט מגן </w:t>
            </w:r>
            <w:proofErr w:type="spellStart"/>
            <w:r w:rsidR="003354F3">
              <w:rPr>
                <w:rFonts w:hint="cs"/>
                <w:sz w:val="24"/>
                <w:szCs w:val="24"/>
                <w:rtl/>
              </w:rPr>
              <w:t>אלטוביה</w:t>
            </w:r>
            <w:proofErr w:type="spellEnd"/>
            <w:r w:rsidR="003354F3">
              <w:rPr>
                <w:rFonts w:hint="cs"/>
                <w:sz w:val="24"/>
                <w:szCs w:val="24"/>
                <w:rtl/>
              </w:rPr>
              <w:t xml:space="preserve"> וערעור על פסק דינו של בית המשפט המחוזי בתל אביב-יפו </w:t>
            </w:r>
            <w:proofErr w:type="spellStart"/>
            <w:r w:rsidR="003354F3">
              <w:rPr>
                <w:rFonts w:hint="cs"/>
                <w:sz w:val="24"/>
                <w:szCs w:val="24"/>
                <w:rtl/>
              </w:rPr>
              <w:t>בה"פ</w:t>
            </w:r>
            <w:proofErr w:type="spellEnd"/>
            <w:r w:rsidR="003354F3">
              <w:rPr>
                <w:rFonts w:hint="cs"/>
                <w:sz w:val="24"/>
                <w:szCs w:val="24"/>
                <w:rtl/>
              </w:rPr>
              <w:t xml:space="preserve"> 50869-09-17 מיום 19.12.2017</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4424"/>
        <w:gridCol w:w="709"/>
      </w:tblGrid>
      <w:tr w:rsidR="008C2F11" w:rsidTr="003354F3">
        <w:tc>
          <w:tcPr>
            <w:tcW w:w="3230"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4424" w:type="dxa"/>
            <w:tcBorders>
              <w:top w:val="nil"/>
              <w:left w:val="nil"/>
              <w:bottom w:val="nil"/>
              <w:right w:val="nil"/>
            </w:tcBorders>
          </w:tcPr>
          <w:p w:rsidR="008C2F11" w:rsidRDefault="003354F3">
            <w:pPr>
              <w:pStyle w:val="BodyRuller"/>
              <w:rPr>
                <w:rtl/>
              </w:rPr>
            </w:pPr>
            <w:r w:rsidRPr="003354F3">
              <w:rPr>
                <w:sz w:val="24"/>
                <w:szCs w:val="24"/>
                <w:rtl/>
              </w:rPr>
              <w:t xml:space="preserve">כ"ב בתמוז </w:t>
            </w:r>
            <w:proofErr w:type="spellStart"/>
            <w:r w:rsidRPr="003354F3">
              <w:rPr>
                <w:sz w:val="24"/>
                <w:szCs w:val="24"/>
                <w:rtl/>
              </w:rPr>
              <w:t>התשע"ט</w:t>
            </w:r>
            <w:proofErr w:type="spellEnd"/>
            <w:r w:rsidRPr="003354F3">
              <w:rPr>
                <w:sz w:val="24"/>
                <w:szCs w:val="24"/>
                <w:rtl/>
              </w:rPr>
              <w:t xml:space="preserve"> (25.07.19)</w:t>
            </w:r>
          </w:p>
        </w:tc>
        <w:tc>
          <w:tcPr>
            <w:tcW w:w="709" w:type="dxa"/>
            <w:tcBorders>
              <w:top w:val="nil"/>
              <w:left w:val="nil"/>
              <w:bottom w:val="nil"/>
              <w:right w:val="nil"/>
            </w:tcBorders>
          </w:tcPr>
          <w:p w:rsidR="008C2F11" w:rsidRDefault="008C2F11">
            <w:pPr>
              <w:pStyle w:val="BodyRuller"/>
              <w:rPr>
                <w:sz w:val="24"/>
                <w:szCs w:val="24"/>
                <w:rtl/>
              </w:rPr>
            </w:pP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D00B1D">
        <w:tc>
          <w:tcPr>
            <w:tcW w:w="3257" w:type="dxa"/>
            <w:tcBorders>
              <w:top w:val="nil"/>
              <w:left w:val="nil"/>
              <w:bottom w:val="nil"/>
              <w:right w:val="nil"/>
            </w:tcBorders>
          </w:tcPr>
          <w:p w:rsidR="00036227" w:rsidRDefault="003354F3" w:rsidP="003354F3">
            <w:pPr>
              <w:pStyle w:val="BodyRuller"/>
              <w:rPr>
                <w:rFonts w:ascii="David" w:hAnsi="David"/>
                <w:rtl/>
              </w:rPr>
            </w:pPr>
            <w:r>
              <w:rPr>
                <w:rtl/>
              </w:rPr>
              <w:t xml:space="preserve">בשם </w:t>
            </w:r>
            <w:r>
              <w:rPr>
                <w:rFonts w:ascii="David" w:hAnsi="David"/>
                <w:rtl/>
              </w:rPr>
              <w:t>המערער</w:t>
            </w:r>
            <w:r>
              <w:rPr>
                <w:rFonts w:ascii="David" w:hAnsi="David" w:hint="cs"/>
                <w:rtl/>
              </w:rPr>
              <w:t>ת בע"א 10220/17</w:t>
            </w:r>
            <w:r>
              <w:rPr>
                <w:rFonts w:hint="cs"/>
                <w:rtl/>
              </w:rPr>
              <w:t xml:space="preserve"> </w:t>
            </w:r>
            <w:r>
              <w:rPr>
                <w:rFonts w:ascii="David" w:hAnsi="David" w:hint="cs"/>
                <w:rtl/>
              </w:rPr>
              <w:t>המערערות בע"א 917/18:</w:t>
            </w:r>
          </w:p>
          <w:p w:rsidR="003354F3" w:rsidRDefault="003354F3" w:rsidP="003354F3">
            <w:pPr>
              <w:pStyle w:val="BodyRuller"/>
              <w:rPr>
                <w:rtl/>
              </w:rPr>
            </w:pPr>
          </w:p>
          <w:p w:rsidR="003354F3" w:rsidRDefault="003354F3" w:rsidP="003354F3">
            <w:pPr>
              <w:pStyle w:val="BodyRuller"/>
              <w:rPr>
                <w:rtl/>
              </w:rPr>
            </w:pPr>
          </w:p>
          <w:p w:rsidR="003354F3" w:rsidRDefault="00E75DA4" w:rsidP="003354F3">
            <w:pPr>
              <w:pStyle w:val="BodyRuller"/>
              <w:rPr>
                <w:rtl/>
              </w:rPr>
            </w:pPr>
            <w:r>
              <w:rPr>
                <w:rFonts w:hint="cs"/>
                <w:rtl/>
              </w:rPr>
              <w:lastRenderedPageBreak/>
              <w:t xml:space="preserve">בשם המשיבים 2-1 </w:t>
            </w:r>
            <w:r>
              <w:rPr>
                <w:rFonts w:ascii="David" w:hAnsi="David" w:hint="cs"/>
                <w:rtl/>
              </w:rPr>
              <w:t>בע"א 10220/17</w:t>
            </w:r>
            <w:r>
              <w:rPr>
                <w:rFonts w:hint="cs"/>
                <w:rtl/>
              </w:rPr>
              <w:t>:</w:t>
            </w:r>
          </w:p>
          <w:p w:rsidR="00E75DA4" w:rsidRDefault="00E75DA4" w:rsidP="003354F3">
            <w:pPr>
              <w:pStyle w:val="BodyRuller"/>
              <w:rPr>
                <w:rtl/>
              </w:rPr>
            </w:pPr>
          </w:p>
          <w:p w:rsidR="00E75DA4" w:rsidRDefault="00E75DA4" w:rsidP="00E75DA4">
            <w:pPr>
              <w:pStyle w:val="BodyRuller"/>
              <w:rPr>
                <w:rtl/>
              </w:rPr>
            </w:pPr>
            <w:r>
              <w:rPr>
                <w:rFonts w:hint="cs"/>
                <w:rtl/>
              </w:rPr>
              <w:t xml:space="preserve">בשם המשיבים 4-3 </w:t>
            </w:r>
            <w:r>
              <w:rPr>
                <w:rFonts w:ascii="David" w:hAnsi="David" w:hint="cs"/>
                <w:rtl/>
              </w:rPr>
              <w:t>בע"א 10220/17</w:t>
            </w:r>
            <w:r>
              <w:rPr>
                <w:rFonts w:hint="cs"/>
                <w:rtl/>
              </w:rPr>
              <w:t>:</w:t>
            </w:r>
          </w:p>
          <w:p w:rsidR="00E75DA4" w:rsidRDefault="00E75DA4" w:rsidP="00E75DA4">
            <w:pPr>
              <w:pStyle w:val="BodyRuller"/>
              <w:rPr>
                <w:rtl/>
              </w:rPr>
            </w:pPr>
          </w:p>
          <w:p w:rsidR="00E75DA4" w:rsidRDefault="00E75DA4" w:rsidP="00E75DA4">
            <w:pPr>
              <w:pStyle w:val="BodyRuller"/>
              <w:rPr>
                <w:rtl/>
              </w:rPr>
            </w:pPr>
            <w:r>
              <w:rPr>
                <w:rFonts w:hint="cs"/>
                <w:rtl/>
              </w:rPr>
              <w:t xml:space="preserve">בשם המשיבים 6-5 </w:t>
            </w:r>
            <w:r>
              <w:rPr>
                <w:rFonts w:ascii="David" w:hAnsi="David" w:hint="cs"/>
                <w:rtl/>
              </w:rPr>
              <w:t>בע"א  10220/17</w:t>
            </w:r>
            <w:r>
              <w:rPr>
                <w:rFonts w:hint="cs"/>
                <w:rtl/>
              </w:rPr>
              <w:t xml:space="preserve"> והמשיב בע"א 917/18:</w:t>
            </w:r>
          </w:p>
          <w:p w:rsidR="00E75DA4" w:rsidRDefault="00E75DA4" w:rsidP="00E75DA4">
            <w:pPr>
              <w:pStyle w:val="BodyRuller"/>
              <w:rPr>
                <w:rtl/>
              </w:rPr>
            </w:pPr>
          </w:p>
          <w:p w:rsidR="00E75DA4" w:rsidRDefault="008C1D10" w:rsidP="00E75DA4">
            <w:pPr>
              <w:pStyle w:val="BodyRuller"/>
              <w:rPr>
                <w:rtl/>
              </w:rPr>
            </w:pPr>
            <w:r>
              <w:rPr>
                <w:rFonts w:hint="cs"/>
                <w:rtl/>
              </w:rPr>
              <w:t xml:space="preserve">בשם המשיבה 7 </w:t>
            </w:r>
            <w:r>
              <w:rPr>
                <w:rFonts w:ascii="David" w:hAnsi="David" w:hint="cs"/>
                <w:rtl/>
              </w:rPr>
              <w:t>בע"א 10220/17:</w:t>
            </w:r>
          </w:p>
          <w:p w:rsidR="00E75DA4" w:rsidRDefault="00E75DA4" w:rsidP="00E75DA4">
            <w:pPr>
              <w:pStyle w:val="BodyRuller"/>
              <w:rPr>
                <w:rtl/>
              </w:rPr>
            </w:pPr>
          </w:p>
          <w:p w:rsidR="00E75DA4" w:rsidRDefault="00E75DA4" w:rsidP="00E75DA4">
            <w:pPr>
              <w:pStyle w:val="BodyRuller"/>
              <w:rPr>
                <w:rtl/>
              </w:rPr>
            </w:pPr>
          </w:p>
          <w:p w:rsidR="00E75DA4" w:rsidRDefault="0055539B" w:rsidP="0055539B">
            <w:pPr>
              <w:pStyle w:val="BodyRuller"/>
            </w:pPr>
            <w:r>
              <w:rPr>
                <w:rFonts w:hint="cs"/>
                <w:rtl/>
              </w:rPr>
              <w:t xml:space="preserve">בשם המשיבים 11-8 </w:t>
            </w:r>
            <w:r>
              <w:rPr>
                <w:rFonts w:ascii="David" w:hAnsi="David" w:hint="cs"/>
                <w:rtl/>
              </w:rPr>
              <w:t>בע"א 10220/17:</w:t>
            </w:r>
          </w:p>
        </w:tc>
        <w:tc>
          <w:tcPr>
            <w:tcW w:w="5238" w:type="dxa"/>
            <w:tcBorders>
              <w:top w:val="nil"/>
              <w:left w:val="nil"/>
              <w:bottom w:val="nil"/>
              <w:right w:val="nil"/>
            </w:tcBorders>
          </w:tcPr>
          <w:p w:rsidR="00036227" w:rsidRDefault="00036227">
            <w:pPr>
              <w:pStyle w:val="BodyRuller"/>
              <w:rPr>
                <w:rtl/>
              </w:rPr>
            </w:pPr>
          </w:p>
          <w:p w:rsidR="003354F3" w:rsidRDefault="003354F3">
            <w:pPr>
              <w:pStyle w:val="BodyRuller"/>
              <w:rPr>
                <w:rtl/>
              </w:rPr>
            </w:pPr>
          </w:p>
          <w:p w:rsidR="003354F3" w:rsidRDefault="003354F3">
            <w:pPr>
              <w:pStyle w:val="BodyRuller"/>
              <w:rPr>
                <w:rtl/>
              </w:rPr>
            </w:pPr>
            <w:r w:rsidRPr="003354F3">
              <w:rPr>
                <w:rFonts w:hint="cs"/>
                <w:rtl/>
              </w:rPr>
              <w:t>עו"ד אורי רוזנברג; עו"ד אורי שורק; עו"ד תום כהנא; עו"ד טלי ירון-אלדר; עו"ד אוהד בוגנים</w:t>
            </w:r>
            <w:r w:rsidRPr="003354F3">
              <w:rPr>
                <w:rtl/>
              </w:rPr>
              <w:tab/>
            </w:r>
          </w:p>
          <w:p w:rsidR="00E75DA4" w:rsidRDefault="00E75DA4">
            <w:pPr>
              <w:pStyle w:val="BodyRuller"/>
              <w:rPr>
                <w:rtl/>
              </w:rPr>
            </w:pPr>
          </w:p>
          <w:p w:rsidR="00E75DA4" w:rsidRDefault="00E75DA4" w:rsidP="00E75DA4">
            <w:pPr>
              <w:pStyle w:val="BodyRuller"/>
              <w:rPr>
                <w:sz w:val="26"/>
                <w:szCs w:val="26"/>
                <w:rtl/>
              </w:rPr>
            </w:pPr>
            <w:r>
              <w:rPr>
                <w:rFonts w:hint="cs"/>
                <w:sz w:val="26"/>
                <w:szCs w:val="26"/>
                <w:rtl/>
              </w:rPr>
              <w:t xml:space="preserve">עו"ד אורי קידר; עו"ד עמוס </w:t>
            </w:r>
            <w:proofErr w:type="spellStart"/>
            <w:r>
              <w:rPr>
                <w:rFonts w:hint="cs"/>
                <w:sz w:val="26"/>
                <w:szCs w:val="26"/>
                <w:rtl/>
              </w:rPr>
              <w:t>נוה</w:t>
            </w:r>
            <w:proofErr w:type="spellEnd"/>
            <w:r w:rsidRPr="00E874EC">
              <w:rPr>
                <w:sz w:val="26"/>
                <w:szCs w:val="26"/>
                <w:rtl/>
              </w:rPr>
              <w:tab/>
            </w:r>
          </w:p>
          <w:p w:rsidR="00E75DA4" w:rsidRDefault="00E75DA4" w:rsidP="00E75DA4">
            <w:pPr>
              <w:pStyle w:val="BodyRuller"/>
              <w:rPr>
                <w:rtl/>
              </w:rPr>
            </w:pPr>
          </w:p>
          <w:p w:rsidR="00E75DA4" w:rsidRDefault="00E75DA4" w:rsidP="00E75DA4">
            <w:pPr>
              <w:pStyle w:val="BodyRuller"/>
              <w:rPr>
                <w:rtl/>
              </w:rPr>
            </w:pPr>
          </w:p>
          <w:p w:rsidR="00E75DA4" w:rsidRDefault="00E75DA4" w:rsidP="00E75DA4">
            <w:pPr>
              <w:pStyle w:val="BodyRuller"/>
              <w:rPr>
                <w:rtl/>
              </w:rPr>
            </w:pPr>
            <w:r>
              <w:rPr>
                <w:rFonts w:hint="cs"/>
                <w:rtl/>
              </w:rPr>
              <w:t>אין התייצבות</w:t>
            </w:r>
          </w:p>
          <w:p w:rsidR="00E75DA4" w:rsidRDefault="00E75DA4" w:rsidP="00E75DA4">
            <w:pPr>
              <w:pStyle w:val="BodyRuller"/>
              <w:rPr>
                <w:rtl/>
              </w:rPr>
            </w:pPr>
          </w:p>
          <w:p w:rsidR="00E75DA4" w:rsidRDefault="00E75DA4" w:rsidP="00E75DA4">
            <w:pPr>
              <w:pStyle w:val="BodyRuller"/>
              <w:rPr>
                <w:rtl/>
              </w:rPr>
            </w:pPr>
          </w:p>
          <w:p w:rsidR="00E75DA4" w:rsidRDefault="00E75DA4" w:rsidP="00E75DA4">
            <w:pPr>
              <w:pStyle w:val="BodyRuller"/>
              <w:rPr>
                <w:rtl/>
              </w:rPr>
            </w:pPr>
          </w:p>
          <w:p w:rsidR="00E75DA4" w:rsidRDefault="00E75DA4" w:rsidP="00E75DA4">
            <w:pPr>
              <w:pStyle w:val="BodyRuller"/>
              <w:rPr>
                <w:rtl/>
              </w:rPr>
            </w:pPr>
            <w:r>
              <w:rPr>
                <w:rFonts w:hint="cs"/>
                <w:rtl/>
              </w:rPr>
              <w:t xml:space="preserve">עו"ד עמנואל </w:t>
            </w:r>
            <w:proofErr w:type="spellStart"/>
            <w:r>
              <w:rPr>
                <w:rFonts w:hint="cs"/>
                <w:rtl/>
              </w:rPr>
              <w:t>לינדר</w:t>
            </w:r>
            <w:proofErr w:type="spellEnd"/>
          </w:p>
          <w:p w:rsidR="008C1D10" w:rsidRDefault="008C1D10" w:rsidP="00E75DA4">
            <w:pPr>
              <w:pStyle w:val="BodyRuller"/>
              <w:rPr>
                <w:rtl/>
              </w:rPr>
            </w:pPr>
          </w:p>
          <w:p w:rsidR="008C1D10" w:rsidRDefault="008C1D10" w:rsidP="00E75DA4">
            <w:pPr>
              <w:pStyle w:val="BodyRuller"/>
              <w:rPr>
                <w:rtl/>
              </w:rPr>
            </w:pPr>
          </w:p>
          <w:p w:rsidR="008C1D10" w:rsidRDefault="008C1D10" w:rsidP="00E75DA4">
            <w:pPr>
              <w:pStyle w:val="BodyRuller"/>
              <w:rPr>
                <w:rtl/>
              </w:rPr>
            </w:pPr>
            <w:r>
              <w:rPr>
                <w:rFonts w:hint="cs"/>
                <w:rtl/>
              </w:rPr>
              <w:t xml:space="preserve">עו"ד </w:t>
            </w:r>
            <w:r w:rsidR="0055539B">
              <w:rPr>
                <w:rFonts w:hint="cs"/>
                <w:rtl/>
              </w:rPr>
              <w:t>חגית שפיצר</w:t>
            </w:r>
          </w:p>
          <w:p w:rsidR="0055539B" w:rsidRDefault="0055539B" w:rsidP="00E75DA4">
            <w:pPr>
              <w:pStyle w:val="BodyRuller"/>
              <w:rPr>
                <w:rtl/>
              </w:rPr>
            </w:pPr>
          </w:p>
          <w:p w:rsidR="0055539B" w:rsidRDefault="0055539B" w:rsidP="00E75DA4">
            <w:pPr>
              <w:pStyle w:val="BodyRuller"/>
              <w:rPr>
                <w:rtl/>
              </w:rPr>
            </w:pPr>
          </w:p>
          <w:p w:rsidR="0055539B" w:rsidRDefault="0055539B" w:rsidP="00E75DA4">
            <w:pPr>
              <w:pStyle w:val="BodyRuller"/>
              <w:rPr>
                <w:rtl/>
              </w:rPr>
            </w:pPr>
          </w:p>
          <w:p w:rsidR="00E75DA4" w:rsidRDefault="0055539B" w:rsidP="0055539B">
            <w:pPr>
              <w:pStyle w:val="BodyRuller"/>
            </w:pPr>
            <w:r>
              <w:rPr>
                <w:rFonts w:hint="cs"/>
                <w:rtl/>
              </w:rPr>
              <w:t>עו"ד חיים זקס</w:t>
            </w:r>
          </w:p>
        </w:tc>
      </w:tr>
    </w:tbl>
    <w:p w:rsidR="00916FF8" w:rsidRDefault="00916FF8">
      <w:pPr>
        <w:tabs>
          <w:tab w:val="left" w:pos="2552"/>
        </w:tabs>
        <w:rPr>
          <w:rtl/>
        </w:rPr>
      </w:pPr>
    </w:p>
    <w:p w:rsidR="0055539B" w:rsidRDefault="0055539B">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844565">
            <w:pPr>
              <w:pStyle w:val="DocumentHead"/>
            </w:pPr>
            <w:bookmarkStart w:id="1" w:name="secretary"/>
            <w:bookmarkStart w:id="2" w:name="BeginProtocol"/>
            <w:bookmarkEnd w:id="1"/>
            <w:bookmarkEnd w:id="2"/>
            <w:r>
              <w:rPr>
                <w:rtl/>
              </w:rPr>
              <w:t>פסק-דין</w:t>
            </w:r>
          </w:p>
        </w:tc>
      </w:tr>
    </w:tbl>
    <w:p w:rsidR="00E67DB5" w:rsidRDefault="00E67DB5" w:rsidP="00E67DB5">
      <w:pPr>
        <w:pStyle w:val="Ruller4"/>
        <w:rPr>
          <w:rtl/>
        </w:rPr>
      </w:pPr>
    </w:p>
    <w:p w:rsidR="00E67DB5" w:rsidRDefault="00E67DB5" w:rsidP="00E67DB5">
      <w:pPr>
        <w:pStyle w:val="Ruller4"/>
        <w:rPr>
          <w:rtl/>
        </w:rPr>
      </w:pPr>
      <w:r>
        <w:rPr>
          <w:rFonts w:hint="cs"/>
          <w:rtl/>
        </w:rPr>
        <w:t>1.</w:t>
      </w:r>
      <w:r>
        <w:rPr>
          <w:rFonts w:hint="cs"/>
          <w:rtl/>
        </w:rPr>
        <w:tab/>
        <w:t xml:space="preserve">עניינם של שני הערעורים שבפנינו בפרשנותו וביישומו של סעיף 19(א)(6) לחוק מיסוי רווחים ממשאבי טבע, התשע"א-2001 (להלן ובהתאמה: </w:t>
      </w:r>
      <w:r w:rsidRPr="00E70DE6">
        <w:rPr>
          <w:rFonts w:ascii="Century" w:hAnsi="Century" w:cs="Miriam" w:hint="cs"/>
          <w:b/>
          <w:spacing w:val="0"/>
          <w:szCs w:val="24"/>
          <w:rtl/>
        </w:rPr>
        <w:t>הסעיף</w:t>
      </w:r>
      <w:r w:rsidRPr="00E70DE6">
        <w:rPr>
          <w:rFonts w:hint="cs"/>
          <w:rtl/>
        </w:rPr>
        <w:t xml:space="preserve"> </w:t>
      </w:r>
      <w:r>
        <w:rPr>
          <w:rFonts w:hint="cs"/>
          <w:rtl/>
        </w:rPr>
        <w:t>ו</w:t>
      </w:r>
      <w:r w:rsidRPr="00E70DE6">
        <w:rPr>
          <w:rFonts w:ascii="Century" w:hAnsi="Century" w:cs="Miriam" w:hint="cs"/>
          <w:b/>
          <w:spacing w:val="0"/>
          <w:szCs w:val="24"/>
          <w:rtl/>
        </w:rPr>
        <w:t>החוק</w:t>
      </w:r>
      <w:r>
        <w:rPr>
          <w:rFonts w:hint="cs"/>
          <w:rtl/>
        </w:rPr>
        <w:t>) שזו לשונו:</w:t>
      </w:r>
    </w:p>
    <w:p w:rsidR="00E67DB5" w:rsidRDefault="00E67DB5" w:rsidP="00E67DB5">
      <w:pPr>
        <w:pStyle w:val="Ruller4"/>
        <w:rPr>
          <w:rtl/>
        </w:rPr>
      </w:pPr>
    </w:p>
    <w:p w:rsidR="00E67DB5" w:rsidRPr="00B3413E" w:rsidRDefault="00E67DB5" w:rsidP="00E67DB5">
      <w:pPr>
        <w:pStyle w:val="Ruller5"/>
        <w:rPr>
          <w:sz w:val="28"/>
          <w:rtl/>
        </w:rPr>
      </w:pPr>
      <w:r w:rsidRPr="00B3413E">
        <w:rPr>
          <w:rStyle w:val="default"/>
          <w:rFonts w:ascii="Century" w:hAnsi="Century" w:cs="FrankRuehl" w:hint="cs"/>
          <w:sz w:val="28"/>
          <w:szCs w:val="28"/>
          <w:rtl/>
        </w:rPr>
        <w:t>"השותף הכללי ישלם בעת הגשת הדוח לפי הוראות פסקה (2) את המס הנובע ממנו, על חשבון המס שחייבים בו השותפים בשותפות הנפט בשנת המס שלגביה הוגש הדוח, לפי שיעור חלקם של השותפים שהם חבר בני אדם, בשותפות הנפט, ושיעור חלקם של השותפים שהם יחידים, באותה שותפות, בתום שנת המס שלגביה הוגש הדוח, ובלבד שלעניין זה יראו את הכנסתם החייבת של היחידים מהשותפות כאילו חל עליה שיעור המס המרבי לפי הוראות סעיף 121 לפקודה, למעט אם הוכח לפקיד השומה כי שיעור המס החל על אותו יחיד נמוך מהשיעור האמור; לעניין פסקה זו יחולו הוראות סעיף 187(א) לפקודה, בשינויים המחויבים</w:t>
      </w:r>
      <w:r w:rsidRPr="00B3413E">
        <w:rPr>
          <w:rStyle w:val="default"/>
          <w:rFonts w:cs="FrankRuehl" w:hint="cs"/>
          <w:sz w:val="28"/>
          <w:szCs w:val="28"/>
          <w:rtl/>
        </w:rPr>
        <w:t>;</w:t>
      </w:r>
      <w:r w:rsidRPr="00B3413E">
        <w:rPr>
          <w:rFonts w:hint="cs"/>
          <w:sz w:val="28"/>
          <w:rtl/>
        </w:rPr>
        <w:t>"</w:t>
      </w:r>
    </w:p>
    <w:p w:rsidR="00E67DB5" w:rsidRDefault="00E67DB5" w:rsidP="00A24C4D">
      <w:pPr>
        <w:pStyle w:val="Ruller4"/>
        <w:rPr>
          <w:rtl/>
        </w:rPr>
      </w:pPr>
      <w:bookmarkStart w:id="3" w:name="_GoBack"/>
      <w:bookmarkEnd w:id="3"/>
    </w:p>
    <w:p w:rsidR="00E67DB5" w:rsidRDefault="00E67DB5" w:rsidP="00E67DB5">
      <w:pPr>
        <w:pStyle w:val="Ruller4"/>
        <w:rPr>
          <w:rtl/>
        </w:rPr>
      </w:pPr>
      <w:r>
        <w:rPr>
          <w:rtl/>
        </w:rPr>
        <w:tab/>
      </w:r>
      <w:r>
        <w:rPr>
          <w:rFonts w:hint="cs"/>
          <w:rtl/>
        </w:rPr>
        <w:t>לאחר שעיינו בחומר שבפנינו ושמענו את טיעוני הצדדים, נחה דעתנו כי צדק בית משפט קמא בפסקי דינו, ואנו מאמצים אותם מכוח סעיף 460(ב) לתקנות סדר הדין האזרחי, התשמ"ד-1984.</w:t>
      </w:r>
    </w:p>
    <w:p w:rsidR="00E67DB5" w:rsidRDefault="00E67DB5" w:rsidP="00E67DB5">
      <w:pPr>
        <w:pStyle w:val="Ruller4"/>
        <w:rPr>
          <w:rtl/>
        </w:rPr>
      </w:pPr>
    </w:p>
    <w:p w:rsidR="00E67DB5" w:rsidRDefault="00E67DB5" w:rsidP="00E67DB5">
      <w:pPr>
        <w:pStyle w:val="Ruller4"/>
        <w:rPr>
          <w:rtl/>
        </w:rPr>
      </w:pPr>
      <w:r>
        <w:rPr>
          <w:rFonts w:hint="cs"/>
          <w:rtl/>
        </w:rPr>
        <w:t>2.</w:t>
      </w:r>
      <w:r>
        <w:rPr>
          <w:rFonts w:hint="cs"/>
          <w:rtl/>
        </w:rPr>
        <w:tab/>
        <w:t>למעלה מן הצורך נוסיף ונבהיר כלהלן:</w:t>
      </w:r>
    </w:p>
    <w:p w:rsidR="00E67DB5" w:rsidRDefault="00E67DB5" w:rsidP="00E67DB5">
      <w:pPr>
        <w:pStyle w:val="Ruller4"/>
        <w:rPr>
          <w:rtl/>
        </w:rPr>
      </w:pPr>
    </w:p>
    <w:p w:rsidR="00E67DB5" w:rsidRDefault="00E67DB5" w:rsidP="00E67DB5">
      <w:pPr>
        <w:pStyle w:val="Ruller4"/>
        <w:rPr>
          <w:rtl/>
        </w:rPr>
      </w:pPr>
      <w:r>
        <w:rPr>
          <w:rtl/>
        </w:rPr>
        <w:lastRenderedPageBreak/>
        <w:tab/>
      </w:r>
      <w:r>
        <w:rPr>
          <w:rFonts w:hint="cs"/>
          <w:rtl/>
        </w:rPr>
        <w:t xml:space="preserve">(-) בהיבט של היסטוריה חקיקתית, יש לקרוא את הסעיף על רקע הסכם </w:t>
      </w:r>
      <w:proofErr w:type="spellStart"/>
      <w:r>
        <w:rPr>
          <w:rFonts w:hint="cs"/>
          <w:rtl/>
        </w:rPr>
        <w:t>פשמ"ג</w:t>
      </w:r>
      <w:proofErr w:type="spellEnd"/>
      <w:r>
        <w:rPr>
          <w:rFonts w:hint="cs"/>
          <w:rtl/>
        </w:rPr>
        <w:t xml:space="preserve"> משנת 2004. </w:t>
      </w:r>
    </w:p>
    <w:p w:rsidR="00E67DB5" w:rsidRDefault="00E67DB5" w:rsidP="00E67DB5">
      <w:pPr>
        <w:pStyle w:val="Ruller4"/>
        <w:rPr>
          <w:rtl/>
        </w:rPr>
      </w:pPr>
    </w:p>
    <w:p w:rsidR="00E67DB5" w:rsidRDefault="00E67DB5" w:rsidP="00E67DB5">
      <w:pPr>
        <w:pStyle w:val="Ruller4"/>
        <w:rPr>
          <w:rtl/>
        </w:rPr>
      </w:pPr>
      <w:r>
        <w:rPr>
          <w:rtl/>
        </w:rPr>
        <w:tab/>
      </w:r>
      <w:r>
        <w:rPr>
          <w:rFonts w:hint="cs"/>
          <w:rtl/>
        </w:rPr>
        <w:t xml:space="preserve">(-) אנו דוחים את "שיטת הממוצע המשוקלל" המוצעת על ידי המערערות. </w:t>
      </w:r>
    </w:p>
    <w:p w:rsidR="00E67DB5" w:rsidRDefault="00E67DB5" w:rsidP="00E67DB5">
      <w:pPr>
        <w:pStyle w:val="Ruller4"/>
        <w:rPr>
          <w:rtl/>
        </w:rPr>
      </w:pPr>
    </w:p>
    <w:p w:rsidR="00E67DB5" w:rsidRDefault="00E67DB5" w:rsidP="00E67DB5">
      <w:pPr>
        <w:pStyle w:val="Ruller4"/>
        <w:rPr>
          <w:rtl/>
        </w:rPr>
      </w:pPr>
      <w:r>
        <w:rPr>
          <w:rtl/>
        </w:rPr>
        <w:tab/>
      </w:r>
      <w:r>
        <w:rPr>
          <w:rFonts w:hint="cs"/>
          <w:rtl/>
        </w:rPr>
        <w:t>(-) שלא כטענת המערערות, אין מד</w:t>
      </w:r>
      <w:r w:rsidR="005A16B5">
        <w:rPr>
          <w:rFonts w:hint="cs"/>
          <w:rtl/>
        </w:rPr>
        <w:t>ובר בחלוקה כמשמעותה בחוק החברות, ה</w:t>
      </w:r>
      <w:r w:rsidR="005A16B5" w:rsidRPr="005A16B5">
        <w:rPr>
          <w:rtl/>
        </w:rPr>
        <w:t>תשנ"ט-1999</w:t>
      </w:r>
      <w:r w:rsidR="005A16B5" w:rsidRPr="005A16B5">
        <w:rPr>
          <w:rFonts w:hint="cs"/>
          <w:rtl/>
        </w:rPr>
        <w:t xml:space="preserve"> </w:t>
      </w:r>
      <w:r>
        <w:rPr>
          <w:rFonts w:hint="cs"/>
          <w:rtl/>
        </w:rPr>
        <w:t>(אשר חלה על השותפות הציבורית מכוח סעיף 65נד לפקודת השותפויות</w:t>
      </w:r>
      <w:r w:rsidR="00990A34" w:rsidRPr="00990A34">
        <w:rPr>
          <w:rtl/>
        </w:rPr>
        <w:t xml:space="preserve"> [נוסח חדש], </w:t>
      </w:r>
      <w:r w:rsidR="00990A34">
        <w:rPr>
          <w:rFonts w:hint="cs"/>
          <w:rtl/>
        </w:rPr>
        <w:t>ה</w:t>
      </w:r>
      <w:r w:rsidR="00990A34" w:rsidRPr="00990A34">
        <w:rPr>
          <w:rtl/>
        </w:rPr>
        <w:t>תשל"ה-1975</w:t>
      </w:r>
      <w:r>
        <w:rPr>
          <w:rFonts w:hint="cs"/>
          <w:rtl/>
        </w:rPr>
        <w:t xml:space="preserve">), אלא באופן </w:t>
      </w:r>
      <w:r w:rsidRPr="001B4F30">
        <w:rPr>
          <w:rFonts w:ascii="Century" w:hAnsi="Century" w:cs="Miriam" w:hint="cs"/>
          <w:b/>
          <w:spacing w:val="0"/>
          <w:szCs w:val="24"/>
          <w:rtl/>
        </w:rPr>
        <w:t>גביית המס</w:t>
      </w:r>
      <w:r w:rsidRPr="001B4F30">
        <w:rPr>
          <w:rFonts w:hint="cs"/>
          <w:rtl/>
        </w:rPr>
        <w:t xml:space="preserve"> </w:t>
      </w:r>
      <w:r>
        <w:rPr>
          <w:rFonts w:hint="cs"/>
          <w:rtl/>
        </w:rPr>
        <w:t xml:space="preserve">ממחזיקי יחידות השתתפות בשותפות, כפי שנקבעה על ידי המחוקק בסעיף. איננו סבורים אפוא כי יש לראות בכך "סבסוד" של יחידים על ידי תאגידים, כנטען על ידי המערערות, אלא דרך של תשלום מס, מעין "ניכוי מס במקור" באופן דיפרנציאלי על פי שיעור המס המירבי שחל על יחיד או על חברה, לפי המחזיק. </w:t>
      </w:r>
    </w:p>
    <w:p w:rsidR="00E67DB5" w:rsidRDefault="00E67DB5" w:rsidP="00E67DB5">
      <w:pPr>
        <w:pStyle w:val="Ruller4"/>
        <w:rPr>
          <w:rtl/>
        </w:rPr>
      </w:pPr>
    </w:p>
    <w:p w:rsidR="00E67DB5" w:rsidRDefault="00E67DB5" w:rsidP="00481009">
      <w:pPr>
        <w:pStyle w:val="Ruller4"/>
        <w:rPr>
          <w:rtl/>
        </w:rPr>
      </w:pPr>
      <w:r>
        <w:rPr>
          <w:rtl/>
        </w:rPr>
        <w:tab/>
      </w:r>
      <w:r>
        <w:rPr>
          <w:rFonts w:hint="cs"/>
          <w:rtl/>
        </w:rPr>
        <w:t xml:space="preserve">(-) בית המשפט סבור, כי הסדר שבמסגרתו תישא השותפות במלוא שיעור המס של השותפים, יחידים כחברות, כמתחייב מהסעיף, ולצד זאת או בהמשך לכך, תבצע תשלומי איזון לשותפים שהם תאגידים </w:t>
      </w:r>
      <w:r w:rsidR="00481009">
        <w:rPr>
          <w:rtl/>
        </w:rPr>
        <w:t>–</w:t>
      </w:r>
      <w:r>
        <w:rPr>
          <w:rFonts w:hint="cs"/>
          <w:rtl/>
        </w:rPr>
        <w:t xml:space="preserve"> אינ</w:t>
      </w:r>
      <w:r w:rsidR="00481009">
        <w:rPr>
          <w:rFonts w:hint="cs"/>
          <w:rtl/>
        </w:rPr>
        <w:t>ו</w:t>
      </w:r>
      <w:r>
        <w:rPr>
          <w:rFonts w:hint="cs"/>
          <w:rtl/>
        </w:rPr>
        <w:t xml:space="preserve"> בבחינת "חלוקה" כהגדרתה בדין, אלא תוצאה המתחייבת מכך ששולמו מהרווחים תשלומים על חשבון המס. אף איננו רואים קושי בביצוע התשלום בשתי פעימות. </w:t>
      </w:r>
    </w:p>
    <w:p w:rsidR="00E67DB5" w:rsidRDefault="00E67DB5" w:rsidP="00E67DB5">
      <w:pPr>
        <w:pStyle w:val="Ruller4"/>
        <w:rPr>
          <w:rtl/>
        </w:rPr>
      </w:pPr>
    </w:p>
    <w:p w:rsidR="00E67DB5" w:rsidRDefault="00E67DB5" w:rsidP="00E67DB5">
      <w:pPr>
        <w:pStyle w:val="Ruller4"/>
        <w:rPr>
          <w:rtl/>
        </w:rPr>
      </w:pPr>
      <w:r>
        <w:rPr>
          <w:rtl/>
        </w:rPr>
        <w:tab/>
      </w:r>
      <w:r>
        <w:rPr>
          <w:rFonts w:hint="cs"/>
          <w:rtl/>
        </w:rPr>
        <w:t>עם זאת, מובהר בזה כי בית המשפט לא מתיימר להמליץ או לקבוע מסמרות לגבי הטכניקה של תשלומי האיזון, וככל שתתגלע מחלוקת בין הצדדים בנושא זה, פתוחה להם הדרך לבית המשפט.</w:t>
      </w:r>
    </w:p>
    <w:p w:rsidR="00E67DB5" w:rsidRDefault="00E67DB5" w:rsidP="00E67DB5">
      <w:pPr>
        <w:pStyle w:val="Ruller4"/>
        <w:rPr>
          <w:rtl/>
        </w:rPr>
      </w:pPr>
    </w:p>
    <w:p w:rsidR="00E67DB5" w:rsidRDefault="00E67DB5" w:rsidP="00E67DB5">
      <w:pPr>
        <w:pStyle w:val="Ruller4"/>
        <w:rPr>
          <w:rtl/>
        </w:rPr>
      </w:pPr>
      <w:r>
        <w:rPr>
          <w:rFonts w:hint="cs"/>
          <w:rtl/>
        </w:rPr>
        <w:t>3.</w:t>
      </w:r>
      <w:r>
        <w:rPr>
          <w:rFonts w:hint="cs"/>
          <w:rtl/>
        </w:rPr>
        <w:tab/>
        <w:t>השותף הכללי בע"א 10220/17 י</w:t>
      </w:r>
      <w:r w:rsidR="00481009">
        <w:rPr>
          <w:rFonts w:hint="cs"/>
          <w:rtl/>
        </w:rPr>
        <w:t>י</w:t>
      </w:r>
      <w:r>
        <w:rPr>
          <w:rFonts w:hint="cs"/>
          <w:rtl/>
        </w:rPr>
        <w:t>שא בשכ"ט המשיבים 2-1 (המפקח) בסך 100,000 ₪</w:t>
      </w:r>
      <w:r w:rsidR="00481009">
        <w:rPr>
          <w:rFonts w:hint="cs"/>
          <w:rtl/>
        </w:rPr>
        <w:t>,</w:t>
      </w:r>
      <w:r>
        <w:rPr>
          <w:rFonts w:hint="cs"/>
          <w:rtl/>
        </w:rPr>
        <w:t xml:space="preserve"> ו</w:t>
      </w:r>
      <w:r w:rsidR="00481009">
        <w:rPr>
          <w:rFonts w:hint="cs"/>
          <w:rtl/>
        </w:rPr>
        <w:t>ב</w:t>
      </w:r>
      <w:r>
        <w:rPr>
          <w:rFonts w:hint="cs"/>
          <w:rtl/>
        </w:rPr>
        <w:t>סך</w:t>
      </w:r>
      <w:r w:rsidR="00481009">
        <w:rPr>
          <w:rFonts w:hint="cs"/>
          <w:rtl/>
        </w:rPr>
        <w:t xml:space="preserve"> של</w:t>
      </w:r>
      <w:r>
        <w:rPr>
          <w:rFonts w:hint="cs"/>
          <w:rtl/>
        </w:rPr>
        <w:t xml:space="preserve"> 30,000 ₪ למשיבים 11-8 בגין ההתדיינות בבית המשפט המחוזי ובערכאה זו. </w:t>
      </w:r>
    </w:p>
    <w:p w:rsidR="00E67DB5" w:rsidRDefault="00E67DB5" w:rsidP="00E67DB5">
      <w:pPr>
        <w:pStyle w:val="Ruller4"/>
        <w:rPr>
          <w:rtl/>
        </w:rPr>
      </w:pPr>
    </w:p>
    <w:p w:rsidR="00E67DB5" w:rsidRDefault="00E67DB5" w:rsidP="00E67DB5">
      <w:pPr>
        <w:pStyle w:val="Ruller4"/>
        <w:rPr>
          <w:rtl/>
        </w:rPr>
      </w:pPr>
      <w:r>
        <w:rPr>
          <w:rtl/>
        </w:rPr>
        <w:tab/>
        <w:t xml:space="preserve">ניתן היום, </w:t>
      </w:r>
      <w:r>
        <w:rPr>
          <w:rFonts w:hint="eastAsia"/>
          <w:rtl/>
        </w:rPr>
        <w:t>‏כ</w:t>
      </w:r>
      <w:r>
        <w:rPr>
          <w:rtl/>
        </w:rPr>
        <w:t xml:space="preserve">"ה בתמוז </w:t>
      </w:r>
      <w:proofErr w:type="spellStart"/>
      <w:r>
        <w:rPr>
          <w:rtl/>
        </w:rPr>
        <w:t>התשע"ט</w:t>
      </w:r>
      <w:proofErr w:type="spellEnd"/>
      <w:r>
        <w:rPr>
          <w:rtl/>
        </w:rPr>
        <w:t xml:space="preserve"> (</w:t>
      </w:r>
      <w:r>
        <w:rPr>
          <w:rFonts w:hint="eastAsia"/>
          <w:rtl/>
        </w:rPr>
        <w:t>‏</w:t>
      </w:r>
      <w:r>
        <w:rPr>
          <w:rtl/>
        </w:rPr>
        <w:t>28.7.2019).</w:t>
      </w:r>
    </w:p>
    <w:p w:rsidR="00016EF1" w:rsidRDefault="00016EF1" w:rsidP="00142976">
      <w:pPr>
        <w:pStyle w:val="Ruller4"/>
        <w:rPr>
          <w:rFonts w:ascii="Century" w:hAnsi="Century"/>
          <w:rtl/>
        </w:rPr>
      </w:pPr>
    </w:p>
    <w:p w:rsidR="007D309D" w:rsidRPr="00142976" w:rsidRDefault="007D309D" w:rsidP="00142976">
      <w:pPr>
        <w:pStyle w:val="Ruller4"/>
        <w:rPr>
          <w:rFonts w:ascii="Century" w:hAnsi="Century"/>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844565" w:rsidP="00A51FAE">
            <w:pPr>
              <w:pStyle w:val="Ruller4"/>
              <w:rPr>
                <w:rtl/>
              </w:rPr>
            </w:pPr>
            <w:r>
              <w:rPr>
                <w:rtl/>
              </w:rPr>
              <w:t>ש ו פ ט</w:t>
            </w:r>
          </w:p>
        </w:tc>
        <w:tc>
          <w:tcPr>
            <w:tcW w:w="2843" w:type="dxa"/>
            <w:shd w:val="clear" w:color="auto" w:fill="auto"/>
          </w:tcPr>
          <w:p w:rsidR="001A0164" w:rsidRDefault="00844565" w:rsidP="00BA0B08">
            <w:pPr>
              <w:pStyle w:val="Ruller4"/>
              <w:jc w:val="center"/>
              <w:rPr>
                <w:rtl/>
              </w:rPr>
            </w:pPr>
            <w:r>
              <w:rPr>
                <w:rtl/>
              </w:rPr>
              <w:t>ש ו פ ט ת</w:t>
            </w:r>
          </w:p>
        </w:tc>
        <w:tc>
          <w:tcPr>
            <w:tcW w:w="2843" w:type="dxa"/>
            <w:shd w:val="clear" w:color="auto" w:fill="auto"/>
          </w:tcPr>
          <w:p w:rsidR="001A0164" w:rsidRDefault="00844565" w:rsidP="00BA0B08">
            <w:pPr>
              <w:pStyle w:val="Ruller4"/>
              <w:jc w:val="center"/>
              <w:rPr>
                <w:rtl/>
              </w:rPr>
            </w:pPr>
            <w:r>
              <w:rPr>
                <w:rtl/>
              </w:rPr>
              <w:t>ש ו פ ט</w:t>
            </w:r>
          </w:p>
        </w:tc>
      </w:tr>
    </w:tbl>
    <w:p w:rsidR="00044953" w:rsidRDefault="00044953" w:rsidP="00A51FAE">
      <w:pPr>
        <w:pStyle w:val="Ruller4"/>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844565">
        <w:rPr>
          <w:sz w:val="16"/>
        </w:rPr>
        <w:t xml:space="preserve">17102200_E17.docx   </w:t>
      </w:r>
      <w:r w:rsidR="00844565">
        <w:rPr>
          <w:sz w:val="16"/>
          <w:rtl/>
        </w:rPr>
        <w:t>סח</w:t>
      </w:r>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65" w:rsidRDefault="0084456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4D" w:rsidRPr="00F959DB" w:rsidRDefault="00045B4D" w:rsidP="00914156">
    <w:pPr>
      <w:pStyle w:val="a3"/>
      <w:bidi w:val="0"/>
      <w:jc w:val="right"/>
      <w:rPr>
        <w:sz w:val="16"/>
        <w:szCs w:val="16"/>
      </w:rPr>
    </w:pPr>
    <w:bookmarkStart w:id="4" w:name="footer_line"/>
    <w:bookmarkEnd w:id="4"/>
  </w:p>
  <w:p w:rsidR="00045B4D" w:rsidRDefault="00045B4D">
    <w:pPr>
      <w:pStyle w:val="a3"/>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A24C4D">
      <w:rPr>
        <w:rStyle w:val="a4"/>
        <w:noProof/>
        <w:rtl/>
      </w:rPr>
      <w:t>3</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34A67"/>
    <w:rsid w:val="00142976"/>
    <w:rsid w:val="001A0164"/>
    <w:rsid w:val="001B45DD"/>
    <w:rsid w:val="00200D6B"/>
    <w:rsid w:val="00265F6E"/>
    <w:rsid w:val="002876BF"/>
    <w:rsid w:val="002A4A7A"/>
    <w:rsid w:val="002A4BF3"/>
    <w:rsid w:val="002F7BB6"/>
    <w:rsid w:val="003354F3"/>
    <w:rsid w:val="003448B2"/>
    <w:rsid w:val="00361DB2"/>
    <w:rsid w:val="0037622E"/>
    <w:rsid w:val="00377102"/>
    <w:rsid w:val="0039709B"/>
    <w:rsid w:val="003D72DA"/>
    <w:rsid w:val="003F1F97"/>
    <w:rsid w:val="0041048F"/>
    <w:rsid w:val="00437D59"/>
    <w:rsid w:val="004610A4"/>
    <w:rsid w:val="00481009"/>
    <w:rsid w:val="004B29FF"/>
    <w:rsid w:val="004C7868"/>
    <w:rsid w:val="00503A3E"/>
    <w:rsid w:val="00527F02"/>
    <w:rsid w:val="0055539B"/>
    <w:rsid w:val="005803E2"/>
    <w:rsid w:val="0058440A"/>
    <w:rsid w:val="00591983"/>
    <w:rsid w:val="005A16B5"/>
    <w:rsid w:val="005C5569"/>
    <w:rsid w:val="00624A42"/>
    <w:rsid w:val="0065522F"/>
    <w:rsid w:val="006A30F7"/>
    <w:rsid w:val="006C42AD"/>
    <w:rsid w:val="00725345"/>
    <w:rsid w:val="00741CC0"/>
    <w:rsid w:val="007B512F"/>
    <w:rsid w:val="007D309D"/>
    <w:rsid w:val="007F7512"/>
    <w:rsid w:val="00810894"/>
    <w:rsid w:val="008143AB"/>
    <w:rsid w:val="0083345F"/>
    <w:rsid w:val="00836667"/>
    <w:rsid w:val="00844565"/>
    <w:rsid w:val="008C1D10"/>
    <w:rsid w:val="008C2F11"/>
    <w:rsid w:val="008D78B9"/>
    <w:rsid w:val="008E3F85"/>
    <w:rsid w:val="009051E8"/>
    <w:rsid w:val="00914156"/>
    <w:rsid w:val="00916FF8"/>
    <w:rsid w:val="00922093"/>
    <w:rsid w:val="00930C85"/>
    <w:rsid w:val="00990A34"/>
    <w:rsid w:val="009B38DA"/>
    <w:rsid w:val="009F2F53"/>
    <w:rsid w:val="009F4187"/>
    <w:rsid w:val="00A12E0F"/>
    <w:rsid w:val="00A24C4D"/>
    <w:rsid w:val="00A51FAE"/>
    <w:rsid w:val="00A80845"/>
    <w:rsid w:val="00AB69F7"/>
    <w:rsid w:val="00AD097B"/>
    <w:rsid w:val="00AD64B9"/>
    <w:rsid w:val="00AE022B"/>
    <w:rsid w:val="00AF4231"/>
    <w:rsid w:val="00AF5AFB"/>
    <w:rsid w:val="00B009CC"/>
    <w:rsid w:val="00B0782A"/>
    <w:rsid w:val="00B3413E"/>
    <w:rsid w:val="00B62B8C"/>
    <w:rsid w:val="00B63343"/>
    <w:rsid w:val="00B87FF7"/>
    <w:rsid w:val="00BA0B08"/>
    <w:rsid w:val="00BC0E82"/>
    <w:rsid w:val="00BD40F9"/>
    <w:rsid w:val="00C34220"/>
    <w:rsid w:val="00C41C86"/>
    <w:rsid w:val="00C63A6C"/>
    <w:rsid w:val="00CA13AF"/>
    <w:rsid w:val="00CA1444"/>
    <w:rsid w:val="00CB1590"/>
    <w:rsid w:val="00CB7600"/>
    <w:rsid w:val="00CC0E9D"/>
    <w:rsid w:val="00CC3639"/>
    <w:rsid w:val="00D00B1D"/>
    <w:rsid w:val="00D00CB7"/>
    <w:rsid w:val="00D25F16"/>
    <w:rsid w:val="00DA3A1A"/>
    <w:rsid w:val="00DD5FA8"/>
    <w:rsid w:val="00E21CA9"/>
    <w:rsid w:val="00E31063"/>
    <w:rsid w:val="00E36FE9"/>
    <w:rsid w:val="00E67DB5"/>
    <w:rsid w:val="00E73E98"/>
    <w:rsid w:val="00E75223"/>
    <w:rsid w:val="00E75DA4"/>
    <w:rsid w:val="00E90D72"/>
    <w:rsid w:val="00EA0BE1"/>
    <w:rsid w:val="00EC23AC"/>
    <w:rsid w:val="00EC2992"/>
    <w:rsid w:val="00ED46A4"/>
    <w:rsid w:val="00ED6FD9"/>
    <w:rsid w:val="00EE3810"/>
    <w:rsid w:val="00F63C3B"/>
    <w:rsid w:val="00F765DF"/>
    <w:rsid w:val="00F959DB"/>
    <w:rsid w:val="00FF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ED0C2C-4FB7-43EF-AA72-F7376ADE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
    <w:next w:val="Ruller4"/>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character" w:customStyle="1" w:styleId="default">
    <w:name w:val="default"/>
    <w:rsid w:val="00E67DB5"/>
    <w:rPr>
      <w:rFonts w:ascii="Times New Roman" w:hAnsi="Times New Roman" w:cs="Times New Roman"/>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3108</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פסק-דין בתיק ע"א  10220/17</vt:lpstr>
    </vt:vector>
  </TitlesOfParts>
  <Company/>
  <LinksUpToDate>false</LinksUpToDate>
  <CharactersWithSpaces>3719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2019-07-28T11:32:40Z</cp:lastPrinted>
  <dcterms:created xsi:type="dcterms:W3CDTF">2019-07-28T11:32:40Z</dcterms:created>
  <dcterms:modified xsi:type="dcterms:W3CDTF">2019-07-28T11:32:40Z</dcterms:modified>
</cp:coreProperties>
</file>