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FF8" w:rsidRPr="00377102" w:rsidRDefault="00916FF8">
      <w:pPr>
        <w:jc w:val="right"/>
        <w:rPr>
          <w:rFonts w:cs="Miriam" w:hint="cs"/>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1C2DB4"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1C2DB4">
            <w:pPr>
              <w:pStyle w:val="FileNumber"/>
              <w:rPr>
                <w:sz w:val="28"/>
                <w:szCs w:val="28"/>
              </w:rPr>
            </w:pPr>
            <w:bookmarkStart w:id="0" w:name="casename_body"/>
            <w:r>
              <w:rPr>
                <w:sz w:val="28"/>
                <w:szCs w:val="28"/>
                <w:rtl/>
              </w:rPr>
              <w:t>ע"א  1779/18</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1C2DB4">
            <w:pPr>
              <w:pStyle w:val="BodyRuller"/>
            </w:pPr>
            <w:r>
              <w:rPr>
                <w:rtl/>
              </w:rPr>
              <w:t>כבוד המשנה לנשיאה ח' מלצר</w:t>
            </w:r>
          </w:p>
        </w:tc>
      </w:tr>
      <w:tr w:rsidR="001C2DB4" w:rsidTr="00EC23AC">
        <w:trPr>
          <w:trHeight w:val="287"/>
        </w:trPr>
        <w:tc>
          <w:tcPr>
            <w:tcW w:w="3261" w:type="dxa"/>
          </w:tcPr>
          <w:p w:rsidR="001C2DB4" w:rsidRDefault="001C2DB4">
            <w:pPr>
              <w:pStyle w:val="BodyRuller"/>
              <w:rPr>
                <w:rtl/>
              </w:rPr>
            </w:pPr>
          </w:p>
        </w:tc>
        <w:tc>
          <w:tcPr>
            <w:tcW w:w="5239" w:type="dxa"/>
          </w:tcPr>
          <w:p w:rsidR="001C2DB4" w:rsidRDefault="001C2DB4">
            <w:pPr>
              <w:pStyle w:val="BodyRuller"/>
              <w:rPr>
                <w:rtl/>
              </w:rPr>
            </w:pPr>
            <w:r>
              <w:rPr>
                <w:rtl/>
              </w:rPr>
              <w:t>כבוד השופטת ע' ברון</w:t>
            </w:r>
          </w:p>
        </w:tc>
      </w:tr>
      <w:tr w:rsidR="001C2DB4" w:rsidTr="00EC23AC">
        <w:trPr>
          <w:trHeight w:val="287"/>
        </w:trPr>
        <w:tc>
          <w:tcPr>
            <w:tcW w:w="3261" w:type="dxa"/>
          </w:tcPr>
          <w:p w:rsidR="001C2DB4" w:rsidRDefault="001C2DB4">
            <w:pPr>
              <w:pStyle w:val="BodyRuller"/>
              <w:rPr>
                <w:rtl/>
              </w:rPr>
            </w:pPr>
          </w:p>
        </w:tc>
        <w:tc>
          <w:tcPr>
            <w:tcW w:w="5239" w:type="dxa"/>
          </w:tcPr>
          <w:p w:rsidR="001C2DB4" w:rsidRDefault="001C2DB4">
            <w:pPr>
              <w:pStyle w:val="BodyRuller"/>
              <w:rPr>
                <w:rtl/>
              </w:rPr>
            </w:pPr>
            <w:r>
              <w:rPr>
                <w:rtl/>
              </w:rPr>
              <w:t>כבוד השופט ע' גרוסקופף</w:t>
            </w:r>
          </w:p>
        </w:tc>
      </w:tr>
    </w:tbl>
    <w:p w:rsidR="00916FF8" w:rsidRDefault="00916FF8">
      <w:pPr>
        <w:pStyle w:val="Ruller3"/>
        <w:rPr>
          <w:rFonts w:cs="Miriam"/>
          <w:b/>
          <w:bCs/>
          <w:u w:val="single"/>
          <w:rtl/>
        </w:rPr>
      </w:pPr>
    </w:p>
    <w:tbl>
      <w:tblPr>
        <w:bidiVisual/>
        <w:tblW w:w="8364" w:type="dxa"/>
        <w:tblLayout w:type="fixed"/>
        <w:tblLook w:val="0000" w:firstRow="0" w:lastRow="0" w:firstColumn="0" w:lastColumn="0" w:noHBand="0" w:noVBand="0"/>
      </w:tblPr>
      <w:tblGrid>
        <w:gridCol w:w="3210"/>
        <w:gridCol w:w="5154"/>
      </w:tblGrid>
      <w:tr w:rsidR="00D00CB7" w:rsidTr="00DD6306">
        <w:trPr>
          <w:trHeight w:val="287"/>
        </w:trPr>
        <w:tc>
          <w:tcPr>
            <w:tcW w:w="3261" w:type="dxa"/>
          </w:tcPr>
          <w:p w:rsidR="00D00CB7" w:rsidRPr="00E75223" w:rsidRDefault="001C2DB4" w:rsidP="00DD6306">
            <w:pPr>
              <w:pStyle w:val="BodyRuller"/>
              <w:rPr>
                <w:rFonts w:ascii="David" w:hAnsi="David"/>
              </w:rPr>
            </w:pPr>
            <w:r>
              <w:rPr>
                <w:rFonts w:ascii="David" w:hAnsi="David"/>
                <w:rtl/>
              </w:rPr>
              <w:t>המערער:</w:t>
            </w:r>
          </w:p>
        </w:tc>
        <w:tc>
          <w:tcPr>
            <w:tcW w:w="5239" w:type="dxa"/>
          </w:tcPr>
          <w:p w:rsidR="00D00CB7" w:rsidRDefault="001C2DB4" w:rsidP="00DD6306">
            <w:pPr>
              <w:pStyle w:val="BodyRuller"/>
            </w:pPr>
            <w:r>
              <w:rPr>
                <w:rtl/>
              </w:rPr>
              <w:t>יהודה תלמי</w:t>
            </w:r>
          </w:p>
        </w:tc>
      </w:tr>
    </w:tbl>
    <w:p w:rsidR="00D00CB7" w:rsidRDefault="00D00CB7">
      <w:pPr>
        <w:pStyle w:val="Ruller3"/>
      </w:pP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p>
    <w:tbl>
      <w:tblPr>
        <w:bidiVisual/>
        <w:tblW w:w="8364" w:type="dxa"/>
        <w:tblLayout w:type="fixed"/>
        <w:tblLook w:val="0000" w:firstRow="0" w:lastRow="0" w:firstColumn="0" w:lastColumn="0" w:noHBand="0" w:noVBand="0"/>
      </w:tblPr>
      <w:tblGrid>
        <w:gridCol w:w="3210"/>
        <w:gridCol w:w="5154"/>
      </w:tblGrid>
      <w:tr w:rsidR="0083345F" w:rsidTr="00DD6306">
        <w:trPr>
          <w:trHeight w:val="287"/>
        </w:trPr>
        <w:tc>
          <w:tcPr>
            <w:tcW w:w="3261" w:type="dxa"/>
          </w:tcPr>
          <w:p w:rsidR="0083345F" w:rsidRPr="00E75223" w:rsidRDefault="001C2DB4" w:rsidP="00DD6306">
            <w:pPr>
              <w:pStyle w:val="BodyRuller"/>
              <w:rPr>
                <w:rFonts w:ascii="David" w:hAnsi="David"/>
              </w:rPr>
            </w:pPr>
            <w:r>
              <w:rPr>
                <w:rFonts w:ascii="David" w:hAnsi="David"/>
                <w:rtl/>
              </w:rPr>
              <w:t>המשיב:</w:t>
            </w:r>
          </w:p>
        </w:tc>
        <w:tc>
          <w:tcPr>
            <w:tcW w:w="5239" w:type="dxa"/>
          </w:tcPr>
          <w:p w:rsidR="0083345F" w:rsidRDefault="00D81A8C" w:rsidP="00DD6306">
            <w:pPr>
              <w:pStyle w:val="BodyRuller"/>
            </w:pPr>
            <w:r>
              <w:rPr>
                <w:rtl/>
              </w:rPr>
              <w:t>פקיד שומה</w:t>
            </w:r>
            <w:r w:rsidR="001C2DB4">
              <w:rPr>
                <w:rtl/>
              </w:rPr>
              <w:t xml:space="preserve"> כפר סבא</w:t>
            </w:r>
          </w:p>
        </w:tc>
      </w:tr>
    </w:tbl>
    <w:p w:rsidR="0083345F" w:rsidRDefault="0083345F">
      <w:pPr>
        <w:pStyle w:val="Ruller3"/>
      </w:pP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1C2DB4" w:rsidP="00175ED6">
            <w:pPr>
              <w:pStyle w:val="BodyRuller"/>
              <w:jc w:val="both"/>
              <w:rPr>
                <w:sz w:val="24"/>
                <w:szCs w:val="24"/>
              </w:rPr>
            </w:pPr>
            <w:r>
              <w:rPr>
                <w:sz w:val="24"/>
                <w:szCs w:val="24"/>
                <w:rtl/>
              </w:rPr>
              <w:t>ערעור על פסק דינו של בית המשפט המחוזי מרכז-לוד מיום 21.</w:t>
            </w:r>
            <w:r w:rsidR="00175ED6">
              <w:rPr>
                <w:rFonts w:hint="cs"/>
                <w:sz w:val="24"/>
                <w:szCs w:val="24"/>
                <w:rtl/>
              </w:rPr>
              <w:t>1</w:t>
            </w:r>
            <w:r w:rsidR="00175ED6">
              <w:rPr>
                <w:sz w:val="24"/>
                <w:szCs w:val="24"/>
                <w:rtl/>
              </w:rPr>
              <w:t>.2018 ב</w:t>
            </w:r>
            <w:r>
              <w:rPr>
                <w:sz w:val="24"/>
                <w:szCs w:val="24"/>
                <w:rtl/>
              </w:rPr>
              <w:t>ע</w:t>
            </w:r>
            <w:r w:rsidR="00175ED6">
              <w:rPr>
                <w:rFonts w:hint="cs"/>
                <w:sz w:val="24"/>
                <w:szCs w:val="24"/>
                <w:rtl/>
              </w:rPr>
              <w:t>"</w:t>
            </w:r>
            <w:r>
              <w:rPr>
                <w:sz w:val="24"/>
                <w:szCs w:val="24"/>
                <w:rtl/>
              </w:rPr>
              <w:t>מ 24557-02-15</w:t>
            </w:r>
            <w:r w:rsidR="00175ED6">
              <w:rPr>
                <w:rFonts w:hint="cs"/>
                <w:sz w:val="24"/>
                <w:szCs w:val="24"/>
                <w:rtl/>
              </w:rPr>
              <w:t xml:space="preserve"> שניתן על ידי כב' השופט שמואל </w:t>
            </w:r>
            <w:proofErr w:type="spellStart"/>
            <w:r w:rsidR="00175ED6">
              <w:rPr>
                <w:rFonts w:hint="cs"/>
                <w:sz w:val="24"/>
                <w:szCs w:val="24"/>
                <w:rtl/>
              </w:rPr>
              <w:t>בורנשטין</w:t>
            </w:r>
            <w:proofErr w:type="spellEnd"/>
          </w:p>
        </w:tc>
      </w:tr>
    </w:tbl>
    <w:p w:rsidR="00916FF8" w:rsidRDefault="00916FF8">
      <w:pPr>
        <w:pStyle w:val="Ruller3"/>
        <w:rPr>
          <w:rtl/>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3290"/>
        <w:gridCol w:w="1843"/>
      </w:tblGrid>
      <w:tr w:rsidR="008C2F11" w:rsidTr="00175ED6">
        <w:tc>
          <w:tcPr>
            <w:tcW w:w="3230" w:type="dxa"/>
            <w:tcBorders>
              <w:top w:val="nil"/>
              <w:left w:val="nil"/>
              <w:bottom w:val="nil"/>
              <w:right w:val="nil"/>
            </w:tcBorders>
          </w:tcPr>
          <w:p w:rsidR="008C2F11" w:rsidRPr="00265F6E" w:rsidRDefault="008C2F11" w:rsidP="00D81A8C">
            <w:pPr>
              <w:pStyle w:val="BodyRuller"/>
              <w:rPr>
                <w:sz w:val="24"/>
                <w:szCs w:val="24"/>
              </w:rPr>
            </w:pPr>
            <w:r w:rsidRPr="00265F6E">
              <w:rPr>
                <w:sz w:val="24"/>
                <w:szCs w:val="24"/>
                <w:rtl/>
              </w:rPr>
              <w:t>תאריך הישיב</w:t>
            </w:r>
            <w:r w:rsidR="00D81A8C">
              <w:rPr>
                <w:rFonts w:hint="cs"/>
                <w:sz w:val="24"/>
                <w:szCs w:val="24"/>
                <w:rtl/>
              </w:rPr>
              <w:t>ות</w:t>
            </w:r>
            <w:r w:rsidRPr="00265F6E">
              <w:rPr>
                <w:sz w:val="24"/>
                <w:szCs w:val="24"/>
                <w:rtl/>
              </w:rPr>
              <w:t>:</w:t>
            </w:r>
          </w:p>
        </w:tc>
        <w:tc>
          <w:tcPr>
            <w:tcW w:w="3290" w:type="dxa"/>
            <w:tcBorders>
              <w:top w:val="nil"/>
              <w:left w:val="nil"/>
              <w:bottom w:val="nil"/>
              <w:right w:val="nil"/>
            </w:tcBorders>
          </w:tcPr>
          <w:p w:rsidR="00175ED6" w:rsidRDefault="00175ED6" w:rsidP="00F4312E">
            <w:pPr>
              <w:pStyle w:val="BodyRuller"/>
              <w:rPr>
                <w:sz w:val="24"/>
                <w:szCs w:val="24"/>
                <w:rtl/>
              </w:rPr>
            </w:pPr>
            <w:r w:rsidRPr="00175ED6">
              <w:rPr>
                <w:sz w:val="24"/>
                <w:szCs w:val="24"/>
                <w:rtl/>
              </w:rPr>
              <w:t xml:space="preserve">כ"א באייר </w:t>
            </w:r>
            <w:proofErr w:type="spellStart"/>
            <w:r w:rsidRPr="00175ED6">
              <w:rPr>
                <w:sz w:val="24"/>
                <w:szCs w:val="24"/>
                <w:rtl/>
              </w:rPr>
              <w:t>התשע"ט</w:t>
            </w:r>
            <w:proofErr w:type="spellEnd"/>
            <w:r w:rsidRPr="00175ED6">
              <w:rPr>
                <w:sz w:val="24"/>
                <w:szCs w:val="24"/>
                <w:rtl/>
              </w:rPr>
              <w:t xml:space="preserve"> (26.</w:t>
            </w:r>
            <w:r w:rsidR="00F4312E">
              <w:rPr>
                <w:rFonts w:hint="cs"/>
                <w:sz w:val="24"/>
                <w:szCs w:val="24"/>
                <w:rtl/>
              </w:rPr>
              <w:t>5</w:t>
            </w:r>
            <w:r w:rsidRPr="00175ED6">
              <w:rPr>
                <w:sz w:val="24"/>
                <w:szCs w:val="24"/>
                <w:rtl/>
              </w:rPr>
              <w:t>.</w:t>
            </w:r>
            <w:r w:rsidR="00F4312E">
              <w:rPr>
                <w:rFonts w:hint="cs"/>
                <w:sz w:val="24"/>
                <w:szCs w:val="24"/>
                <w:rtl/>
              </w:rPr>
              <w:t>20</w:t>
            </w:r>
            <w:r w:rsidRPr="00175ED6">
              <w:rPr>
                <w:sz w:val="24"/>
                <w:szCs w:val="24"/>
                <w:rtl/>
              </w:rPr>
              <w:t>19)</w:t>
            </w:r>
            <w:r>
              <w:rPr>
                <w:rtl/>
              </w:rPr>
              <w:t xml:space="preserve"> </w:t>
            </w:r>
          </w:p>
          <w:p w:rsidR="008C2F11" w:rsidRDefault="00175ED6" w:rsidP="00F4312E">
            <w:pPr>
              <w:pStyle w:val="BodyRuller"/>
              <w:rPr>
                <w:rtl/>
              </w:rPr>
            </w:pPr>
            <w:r w:rsidRPr="00175ED6">
              <w:rPr>
                <w:sz w:val="24"/>
                <w:szCs w:val="24"/>
                <w:rtl/>
              </w:rPr>
              <w:t xml:space="preserve">כ"ד בשבט </w:t>
            </w:r>
            <w:proofErr w:type="spellStart"/>
            <w:r w:rsidRPr="00175ED6">
              <w:rPr>
                <w:sz w:val="24"/>
                <w:szCs w:val="24"/>
                <w:rtl/>
              </w:rPr>
              <w:t>התש"ף</w:t>
            </w:r>
            <w:proofErr w:type="spellEnd"/>
            <w:r w:rsidRPr="00175ED6">
              <w:rPr>
                <w:sz w:val="24"/>
                <w:szCs w:val="24"/>
                <w:rtl/>
              </w:rPr>
              <w:t xml:space="preserve"> (19.</w:t>
            </w:r>
            <w:r w:rsidR="00F4312E">
              <w:rPr>
                <w:rFonts w:hint="cs"/>
                <w:sz w:val="24"/>
                <w:szCs w:val="24"/>
                <w:rtl/>
              </w:rPr>
              <w:t>2</w:t>
            </w:r>
            <w:r w:rsidRPr="00175ED6">
              <w:rPr>
                <w:sz w:val="24"/>
                <w:szCs w:val="24"/>
                <w:rtl/>
              </w:rPr>
              <w:t>.</w:t>
            </w:r>
            <w:r w:rsidR="00F4312E">
              <w:rPr>
                <w:rFonts w:hint="cs"/>
                <w:sz w:val="24"/>
                <w:szCs w:val="24"/>
                <w:rtl/>
              </w:rPr>
              <w:t>20</w:t>
            </w:r>
            <w:r w:rsidRPr="00175ED6">
              <w:rPr>
                <w:sz w:val="24"/>
                <w:szCs w:val="24"/>
                <w:rtl/>
              </w:rPr>
              <w:t>20)</w:t>
            </w:r>
            <w:r w:rsidR="008C2F11">
              <w:t xml:space="preserve">       </w:t>
            </w:r>
          </w:p>
        </w:tc>
        <w:tc>
          <w:tcPr>
            <w:tcW w:w="1843" w:type="dxa"/>
            <w:tcBorders>
              <w:top w:val="nil"/>
              <w:left w:val="nil"/>
              <w:bottom w:val="nil"/>
              <w:right w:val="nil"/>
            </w:tcBorders>
          </w:tcPr>
          <w:p w:rsidR="008C2F11" w:rsidRDefault="008C2F11">
            <w:pPr>
              <w:pStyle w:val="BodyRuller"/>
              <w:rPr>
                <w:sz w:val="24"/>
                <w:szCs w:val="24"/>
                <w:rtl/>
              </w:rPr>
            </w:pPr>
          </w:p>
        </w:tc>
      </w:tr>
    </w:tbl>
    <w:p w:rsidR="00916FF8" w:rsidRDefault="00916FF8">
      <w:pPr>
        <w:pStyle w:val="Ruller3"/>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D00B1D">
        <w:tc>
          <w:tcPr>
            <w:tcW w:w="3257" w:type="dxa"/>
            <w:tcBorders>
              <w:top w:val="nil"/>
              <w:left w:val="nil"/>
              <w:bottom w:val="nil"/>
              <w:right w:val="nil"/>
            </w:tcBorders>
          </w:tcPr>
          <w:p w:rsidR="00036227" w:rsidRDefault="001C2DB4">
            <w:pPr>
              <w:pStyle w:val="BodyRuller"/>
            </w:pPr>
            <w:r>
              <w:rPr>
                <w:rtl/>
              </w:rPr>
              <w:t>בשם המערער:</w:t>
            </w:r>
          </w:p>
        </w:tc>
        <w:tc>
          <w:tcPr>
            <w:tcW w:w="5238" w:type="dxa"/>
            <w:tcBorders>
              <w:top w:val="nil"/>
              <w:left w:val="nil"/>
              <w:bottom w:val="nil"/>
              <w:right w:val="nil"/>
            </w:tcBorders>
          </w:tcPr>
          <w:p w:rsidR="00036227" w:rsidRDefault="001C2DB4" w:rsidP="00175ED6">
            <w:pPr>
              <w:pStyle w:val="BodyRuller"/>
            </w:pPr>
            <w:r>
              <w:rPr>
                <w:rtl/>
              </w:rPr>
              <w:t xml:space="preserve">עו"ד </w:t>
            </w:r>
            <w:proofErr w:type="spellStart"/>
            <w:r w:rsidR="00175ED6">
              <w:rPr>
                <w:rFonts w:hint="cs"/>
                <w:rtl/>
              </w:rPr>
              <w:t>טארק</w:t>
            </w:r>
            <w:proofErr w:type="spellEnd"/>
            <w:r w:rsidR="00175ED6">
              <w:rPr>
                <w:rFonts w:hint="cs"/>
                <w:rtl/>
              </w:rPr>
              <w:t xml:space="preserve"> </w:t>
            </w:r>
            <w:r w:rsidR="00175ED6">
              <w:rPr>
                <w:rtl/>
              </w:rPr>
              <w:t>בשיר</w:t>
            </w:r>
          </w:p>
        </w:tc>
      </w:tr>
    </w:tbl>
    <w:p w:rsidR="00916FF8" w:rsidRDefault="00916FF8">
      <w:pPr>
        <w:pStyle w:val="Ruller3"/>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5152"/>
      </w:tblGrid>
      <w:tr w:rsidR="00036227" w:rsidTr="00D00B1D">
        <w:tc>
          <w:tcPr>
            <w:tcW w:w="3257" w:type="dxa"/>
            <w:tcBorders>
              <w:top w:val="nil"/>
              <w:left w:val="nil"/>
              <w:bottom w:val="nil"/>
              <w:right w:val="nil"/>
            </w:tcBorders>
          </w:tcPr>
          <w:p w:rsidR="00036227" w:rsidRDefault="001C2DB4">
            <w:pPr>
              <w:pStyle w:val="BodyRuller"/>
            </w:pPr>
            <w:r>
              <w:rPr>
                <w:rtl/>
              </w:rPr>
              <w:t>בשם המשיב:</w:t>
            </w:r>
          </w:p>
        </w:tc>
        <w:tc>
          <w:tcPr>
            <w:tcW w:w="5238" w:type="dxa"/>
            <w:tcBorders>
              <w:top w:val="nil"/>
              <w:left w:val="nil"/>
              <w:bottom w:val="nil"/>
              <w:right w:val="nil"/>
            </w:tcBorders>
          </w:tcPr>
          <w:p w:rsidR="00036227" w:rsidRDefault="00175ED6" w:rsidP="00175ED6">
            <w:pPr>
              <w:pStyle w:val="BodyRuller"/>
            </w:pPr>
            <w:r w:rsidRPr="00175ED6">
              <w:rPr>
                <w:rtl/>
              </w:rPr>
              <w:t xml:space="preserve">עו"ד עמנואל </w:t>
            </w:r>
            <w:proofErr w:type="spellStart"/>
            <w:r w:rsidRPr="00175ED6">
              <w:rPr>
                <w:rtl/>
              </w:rPr>
              <w:t>לינדר</w:t>
            </w:r>
            <w:proofErr w:type="spellEnd"/>
            <w:r>
              <w:rPr>
                <w:rFonts w:hint="cs"/>
                <w:rtl/>
              </w:rPr>
              <w:t xml:space="preserve">; </w:t>
            </w:r>
            <w:r>
              <w:rPr>
                <w:rtl/>
              </w:rPr>
              <w:t xml:space="preserve">עו"ד </w:t>
            </w:r>
            <w:proofErr w:type="spellStart"/>
            <w:r>
              <w:rPr>
                <w:rtl/>
              </w:rPr>
              <w:t>רנא</w:t>
            </w:r>
            <w:proofErr w:type="spellEnd"/>
            <w:r>
              <w:rPr>
                <w:rtl/>
              </w:rPr>
              <w:t xml:space="preserve"> </w:t>
            </w:r>
            <w:proofErr w:type="spellStart"/>
            <w:r>
              <w:rPr>
                <w:rtl/>
              </w:rPr>
              <w:t>חלאילה</w:t>
            </w:r>
            <w:proofErr w:type="spellEnd"/>
          </w:p>
        </w:tc>
      </w:tr>
    </w:tbl>
    <w:p w:rsidR="00916FF8" w:rsidRDefault="00916FF8">
      <w:pPr>
        <w:tabs>
          <w:tab w:val="left" w:pos="2552"/>
        </w:tabs>
        <w:rPr>
          <w:rtl/>
        </w:rPr>
      </w:pPr>
    </w:p>
    <w:p w:rsidR="00024E9B" w:rsidRDefault="00024E9B">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1C2DB4">
            <w:pPr>
              <w:pStyle w:val="DocumentHead"/>
            </w:pPr>
            <w:bookmarkStart w:id="1" w:name="secretary"/>
            <w:bookmarkStart w:id="2" w:name="BeginProtocol"/>
            <w:bookmarkEnd w:id="1"/>
            <w:bookmarkEnd w:id="2"/>
            <w:r>
              <w:rPr>
                <w:rtl/>
              </w:rPr>
              <w:t>פסק-דין</w:t>
            </w:r>
          </w:p>
        </w:tc>
      </w:tr>
    </w:tbl>
    <w:p w:rsidR="0065522F" w:rsidRDefault="0065522F">
      <w:pPr>
        <w:pStyle w:val="BODYVERDICT"/>
      </w:pPr>
    </w:p>
    <w:p w:rsidR="00916FF8" w:rsidRPr="00503A3E" w:rsidRDefault="001C2DB4">
      <w:pPr>
        <w:pStyle w:val="BODYVERDICT"/>
        <w:rPr>
          <w:rFonts w:cs="Miriam"/>
          <w:sz w:val="24"/>
          <w:szCs w:val="24"/>
          <w:u w:val="single"/>
          <w:rtl/>
        </w:rPr>
      </w:pPr>
      <w:bookmarkStart w:id="3" w:name="Writer_Name"/>
      <w:bookmarkEnd w:id="3"/>
      <w:r>
        <w:rPr>
          <w:rFonts w:cs="Miriam"/>
          <w:sz w:val="24"/>
          <w:szCs w:val="24"/>
          <w:u w:val="single"/>
          <w:rtl/>
        </w:rPr>
        <w:t>השופט ע' גרוסקופף:</w:t>
      </w:r>
    </w:p>
    <w:p w:rsidR="00D81A8C" w:rsidRDefault="00D81A8C" w:rsidP="00D81A8C">
      <w:pPr>
        <w:pStyle w:val="Ruller41"/>
        <w:rPr>
          <w:b/>
          <w:bCs/>
          <w:u w:val="single"/>
          <w:rtl/>
        </w:rPr>
      </w:pPr>
      <w:bookmarkStart w:id="4" w:name="Start_Write"/>
      <w:bookmarkEnd w:id="4"/>
    </w:p>
    <w:p w:rsidR="00D81A8C" w:rsidRDefault="00D81A8C" w:rsidP="00D81A8C">
      <w:pPr>
        <w:pStyle w:val="Ruller41"/>
        <w:rPr>
          <w:rtl/>
        </w:rPr>
      </w:pPr>
      <w:r>
        <w:rPr>
          <w:rtl/>
        </w:rPr>
        <w:tab/>
      </w:r>
      <w:r w:rsidRPr="003F7A19">
        <w:rPr>
          <w:rFonts w:hint="cs"/>
          <w:rtl/>
        </w:rPr>
        <w:t xml:space="preserve">לפנינו ערעור על פסק דינו של בית המשפט המחוזי </w:t>
      </w:r>
      <w:r w:rsidRPr="00677CCA">
        <w:rPr>
          <w:rFonts w:hint="cs"/>
          <w:rtl/>
        </w:rPr>
        <w:t xml:space="preserve">מרכז בלוד (השופט </w:t>
      </w:r>
      <w:r>
        <w:rPr>
          <w:rFonts w:ascii="Century" w:hAnsi="Century" w:cs="Miriam" w:hint="cs"/>
          <w:b/>
          <w:spacing w:val="0"/>
          <w:szCs w:val="24"/>
          <w:rtl/>
        </w:rPr>
        <w:t xml:space="preserve">שמואל </w:t>
      </w:r>
      <w:proofErr w:type="spellStart"/>
      <w:r>
        <w:rPr>
          <w:rFonts w:ascii="Century" w:hAnsi="Century" w:cs="Miriam" w:hint="cs"/>
          <w:b/>
          <w:spacing w:val="0"/>
          <w:szCs w:val="24"/>
          <w:rtl/>
        </w:rPr>
        <w:t>בורנשטין</w:t>
      </w:r>
      <w:proofErr w:type="spellEnd"/>
      <w:r w:rsidRPr="00677CCA">
        <w:rPr>
          <w:rFonts w:hint="cs"/>
          <w:rtl/>
        </w:rPr>
        <w:t xml:space="preserve">) מיום </w:t>
      </w:r>
      <w:r>
        <w:rPr>
          <w:rFonts w:hint="cs"/>
          <w:rtl/>
        </w:rPr>
        <w:t>21.1.2018</w:t>
      </w:r>
      <w:r w:rsidRPr="00677CCA">
        <w:rPr>
          <w:rFonts w:hint="cs"/>
          <w:rtl/>
        </w:rPr>
        <w:t xml:space="preserve"> </w:t>
      </w:r>
      <w:r>
        <w:rPr>
          <w:rFonts w:hint="cs"/>
          <w:rtl/>
        </w:rPr>
        <w:t>ב</w:t>
      </w:r>
      <w:r w:rsidRPr="00677CCA">
        <w:rPr>
          <w:rFonts w:hint="cs"/>
          <w:rtl/>
        </w:rPr>
        <w:t xml:space="preserve">ע"מ </w:t>
      </w:r>
      <w:r>
        <w:rPr>
          <w:rFonts w:hint="cs"/>
          <w:rtl/>
        </w:rPr>
        <w:t xml:space="preserve">24557-02-15, </w:t>
      </w:r>
      <w:r w:rsidRPr="00677CCA">
        <w:rPr>
          <w:rFonts w:hint="cs"/>
          <w:rtl/>
        </w:rPr>
        <w:t>במסגרתו נדו</w:t>
      </w:r>
      <w:r>
        <w:rPr>
          <w:rFonts w:hint="cs"/>
          <w:rtl/>
        </w:rPr>
        <w:t>ן</w:t>
      </w:r>
      <w:r w:rsidRPr="00677CCA">
        <w:rPr>
          <w:rFonts w:hint="cs"/>
          <w:rtl/>
        </w:rPr>
        <w:t xml:space="preserve"> </w:t>
      </w:r>
      <w:r>
        <w:rPr>
          <w:rFonts w:hint="cs"/>
          <w:rtl/>
        </w:rPr>
        <w:t>ערעור</w:t>
      </w:r>
      <w:r w:rsidRPr="00677CCA">
        <w:rPr>
          <w:rFonts w:hint="cs"/>
          <w:rtl/>
        </w:rPr>
        <w:t xml:space="preserve"> מס הכנסה </w:t>
      </w:r>
      <w:r>
        <w:rPr>
          <w:rFonts w:hint="cs"/>
          <w:rtl/>
        </w:rPr>
        <w:t>שהגיש המערער על צווי שומה שהוצאו לו לשנות המס 2011-2007</w:t>
      </w:r>
      <w:r w:rsidRPr="00677CCA">
        <w:rPr>
          <w:rFonts w:hint="cs"/>
          <w:rtl/>
        </w:rPr>
        <w:t xml:space="preserve"> (להלן: </w:t>
      </w:r>
      <w:r w:rsidRPr="007F6789">
        <w:rPr>
          <w:rFonts w:ascii="Century" w:hAnsi="Century" w:cs="Miriam" w:hint="cs"/>
          <w:b/>
          <w:spacing w:val="0"/>
          <w:szCs w:val="24"/>
          <w:rtl/>
        </w:rPr>
        <w:t>"פסק הדין"</w:t>
      </w:r>
      <w:r w:rsidRPr="00677CCA">
        <w:rPr>
          <w:rFonts w:hint="cs"/>
          <w:rtl/>
        </w:rPr>
        <w:t xml:space="preserve">). </w:t>
      </w:r>
    </w:p>
    <w:p w:rsidR="00D81A8C" w:rsidRDefault="00D81A8C" w:rsidP="00D81A8C">
      <w:pPr>
        <w:pStyle w:val="Ruller41"/>
        <w:rPr>
          <w:rtl/>
        </w:rPr>
      </w:pPr>
    </w:p>
    <w:p w:rsidR="00D81A8C" w:rsidRDefault="00D81A8C" w:rsidP="00D81A8C">
      <w:pPr>
        <w:pStyle w:val="Ruller41"/>
        <w:rPr>
          <w:rtl/>
        </w:rPr>
      </w:pPr>
      <w:r>
        <w:rPr>
          <w:rtl/>
        </w:rPr>
        <w:tab/>
      </w:r>
      <w:r w:rsidRPr="00677CCA">
        <w:rPr>
          <w:rFonts w:hint="cs"/>
          <w:rtl/>
        </w:rPr>
        <w:t>במרכז</w:t>
      </w:r>
      <w:r>
        <w:rPr>
          <w:rFonts w:hint="cs"/>
          <w:rtl/>
        </w:rPr>
        <w:t>ו</w:t>
      </w:r>
      <w:r w:rsidRPr="00677CCA">
        <w:rPr>
          <w:rFonts w:hint="cs"/>
          <w:rtl/>
        </w:rPr>
        <w:t xml:space="preserve"> של הערעור עומדת שאלת </w:t>
      </w:r>
      <w:r>
        <w:rPr>
          <w:rFonts w:hint="cs"/>
          <w:rtl/>
        </w:rPr>
        <w:t xml:space="preserve">פרשנותו של סעיף 14(א) לפקודת מס הכנסה [נוסח חדש] (להלן: </w:t>
      </w:r>
      <w:r>
        <w:rPr>
          <w:rFonts w:ascii="Century" w:hAnsi="Century" w:cs="Miriam" w:hint="cs"/>
          <w:b/>
          <w:spacing w:val="0"/>
          <w:szCs w:val="24"/>
          <w:rtl/>
        </w:rPr>
        <w:t>"פקודת מס הכנסה"</w:t>
      </w:r>
      <w:r>
        <w:rPr>
          <w:rFonts w:ascii="Century" w:hAnsi="Century" w:hint="cs"/>
          <w:rtl/>
        </w:rPr>
        <w:t xml:space="preserve"> או </w:t>
      </w:r>
      <w:r w:rsidRPr="003A4EDF">
        <w:rPr>
          <w:rFonts w:ascii="Century" w:hAnsi="Century" w:cs="Miriam" w:hint="cs"/>
          <w:b/>
          <w:spacing w:val="0"/>
          <w:szCs w:val="24"/>
          <w:rtl/>
        </w:rPr>
        <w:t>"הפקודה"</w:t>
      </w:r>
      <w:r>
        <w:rPr>
          <w:rFonts w:hint="cs"/>
          <w:rtl/>
        </w:rPr>
        <w:t>) לאור תיקון מס' 168 לפקודה. עניינה של הוראת סעיף 14(א) לפקודה הוא בהטבת מס לה זכאים אוכלוסיית התושבים החוזרים הוותיקים, עמה נמנה המערער.</w:t>
      </w:r>
    </w:p>
    <w:p w:rsidR="00D81A8C" w:rsidRDefault="00D81A8C" w:rsidP="00D81A8C">
      <w:pPr>
        <w:pStyle w:val="Ruller41"/>
        <w:rPr>
          <w:rtl/>
        </w:rPr>
      </w:pPr>
    </w:p>
    <w:p w:rsidR="00D81A8C" w:rsidRPr="003A4EDF" w:rsidRDefault="00D81A8C" w:rsidP="00D81A8C">
      <w:pPr>
        <w:pStyle w:val="Ruller41"/>
        <w:rPr>
          <w:rFonts w:ascii="Century" w:hAnsi="Century" w:cs="Miriam"/>
          <w:b/>
          <w:spacing w:val="0"/>
          <w:szCs w:val="24"/>
          <w:rtl/>
        </w:rPr>
      </w:pPr>
      <w:r>
        <w:rPr>
          <w:rFonts w:ascii="Century" w:hAnsi="Century" w:cs="Miriam" w:hint="cs"/>
          <w:b/>
          <w:spacing w:val="0"/>
          <w:szCs w:val="24"/>
          <w:rtl/>
        </w:rPr>
        <w:t>התשתית הנורמטיבית הרלוונטית לעניין</w:t>
      </w:r>
    </w:p>
    <w:p w:rsidR="00D81A8C" w:rsidRDefault="00D81A8C" w:rsidP="00D81A8C">
      <w:pPr>
        <w:pStyle w:val="Ruller41"/>
        <w:rPr>
          <w:rFonts w:ascii="Century" w:hAnsi="Century" w:cs="Miriam"/>
          <w:b/>
          <w:spacing w:val="0"/>
          <w:szCs w:val="24"/>
          <w:rtl/>
        </w:rPr>
      </w:pPr>
    </w:p>
    <w:p w:rsidR="00D81A8C" w:rsidRDefault="00D81A8C" w:rsidP="00D81A8C">
      <w:pPr>
        <w:pStyle w:val="Ruller4"/>
        <w:rPr>
          <w:rtl/>
        </w:rPr>
      </w:pPr>
      <w:r w:rsidRPr="00C01ECB">
        <w:rPr>
          <w:rFonts w:hint="cs"/>
          <w:rtl/>
        </w:rPr>
        <w:t xml:space="preserve">בטרם </w:t>
      </w:r>
      <w:r>
        <w:rPr>
          <w:rFonts w:hint="cs"/>
          <w:rtl/>
        </w:rPr>
        <w:t>יוצגו</w:t>
      </w:r>
      <w:r w:rsidRPr="00C01ECB">
        <w:rPr>
          <w:rFonts w:hint="cs"/>
          <w:rtl/>
        </w:rPr>
        <w:t xml:space="preserve"> העובדות שביסוד הערעור שלפנינו, </w:t>
      </w:r>
      <w:r>
        <w:rPr>
          <w:rFonts w:hint="cs"/>
          <w:rtl/>
        </w:rPr>
        <w:t>יובא</w:t>
      </w:r>
      <w:r w:rsidRPr="00C01ECB">
        <w:rPr>
          <w:rFonts w:hint="cs"/>
          <w:rtl/>
        </w:rPr>
        <w:t xml:space="preserve"> הרקע החקיקתי הרלוונטי לעניין. </w:t>
      </w:r>
      <w:r>
        <w:rPr>
          <w:rFonts w:hint="cs"/>
          <w:rtl/>
        </w:rPr>
        <w:t xml:space="preserve">סעיף 14 לפקודת מס הכנסה, הנמצא בפרק הפטורים בפקודה, מעניק פטור מחבות מס על הכנסה המתקבלת מחו"ל לתושב ישראלי אשר העתיק את מגוריו לישראל, בין אם התיישב בישראל לראשונה (עולה חדש) ובין אם הוא שב לישראל לאחר ששהה בחו"ל יותר מעשור ברציפות (תושב חוזר ותיק). תחילה, הפטור היה כפוף לסמכות שברשות של שר האוצר. בשנת 2003 תוקן סעיף 14 לפקודה, במסגרת תיקון מס' 132, והפטור הוענק על פי דין לנישום שעמד בתנאי הזכאות, אלא אם הלה ביקש אחרת (חוק לתיקון פקודת מס הכנסה (מס' 132), התשס"ב-2002, ס"ח 530, 537-536 (להלן: </w:t>
      </w:r>
      <w:r w:rsidRPr="00523D19">
        <w:rPr>
          <w:rFonts w:ascii="Century" w:hAnsi="Century" w:cs="Miriam" w:hint="cs"/>
          <w:b/>
          <w:spacing w:val="0"/>
          <w:sz w:val="22"/>
          <w:szCs w:val="24"/>
          <w:rtl/>
        </w:rPr>
        <w:t>"תיקון 132"</w:t>
      </w:r>
      <w:r>
        <w:rPr>
          <w:rFonts w:hint="cs"/>
          <w:rtl/>
        </w:rPr>
        <w:t xml:space="preserve">). כן ראו דברי ההסבר להצעת חוק לתיקון פקודת מס הכנסה (תיקון מס' 132), התשס"ב-2002, </w:t>
      </w:r>
      <w:proofErr w:type="spellStart"/>
      <w:r>
        <w:rPr>
          <w:rFonts w:hint="cs"/>
          <w:rtl/>
        </w:rPr>
        <w:t>ה"ח</w:t>
      </w:r>
      <w:proofErr w:type="spellEnd"/>
      <w:r>
        <w:rPr>
          <w:rFonts w:hint="cs"/>
          <w:rtl/>
        </w:rPr>
        <w:t xml:space="preserve"> 770, 778 (להלן: </w:t>
      </w:r>
      <w:r w:rsidRPr="00BF38AF">
        <w:rPr>
          <w:rFonts w:ascii="Century" w:hAnsi="Century" w:cs="Miriam" w:hint="cs"/>
          <w:b/>
          <w:spacing w:val="0"/>
          <w:sz w:val="22"/>
          <w:szCs w:val="24"/>
          <w:rtl/>
        </w:rPr>
        <w:t>"דברי ההסבר לתיקון 132"</w:t>
      </w:r>
      <w:r>
        <w:rPr>
          <w:rFonts w:hint="cs"/>
          <w:rtl/>
        </w:rPr>
        <w:t xml:space="preserve">)). בהמשך, ביום 16.9.2008 נחקק תיקון מס' 168 לפקודת מס הכנסה, אשר עיגן את הרפורמה להקלות במס לעולים חדשים ותושבים חוזרים שנועדה לעודד עלייה לישראל, ובמסגרתו הורחבה הטבת המס הניתנת לעולה חדש ולתושב חוזר ותיק על פי סעיף 14(א) לפקודה, הן בהיבט היקף ההכנסות עליהן חל הפטור והן בהיבט משך תקופת הפטור (חוק לתיקון פקודת מס הכנסה (מס' 168 והוראת שעה), התשס"ח-2008, ס"ח 902 (להלן: </w:t>
      </w:r>
      <w:r w:rsidRPr="00271A4F">
        <w:rPr>
          <w:rFonts w:ascii="Century" w:hAnsi="Century" w:cs="Miriam" w:hint="cs"/>
          <w:b/>
          <w:spacing w:val="0"/>
          <w:sz w:val="22"/>
          <w:szCs w:val="24"/>
          <w:rtl/>
        </w:rPr>
        <w:t>"תיקון 168"</w:t>
      </w:r>
      <w:r>
        <w:rPr>
          <w:rFonts w:hint="cs"/>
          <w:rtl/>
        </w:rPr>
        <w:t xml:space="preserve">)). </w:t>
      </w:r>
    </w:p>
    <w:p w:rsidR="00D81A8C" w:rsidRPr="00612C04" w:rsidRDefault="00D81A8C" w:rsidP="00D81A8C">
      <w:pPr>
        <w:pStyle w:val="Ruller41"/>
      </w:pPr>
    </w:p>
    <w:p w:rsidR="00D81A8C" w:rsidRDefault="00D81A8C" w:rsidP="00D81A8C">
      <w:pPr>
        <w:pStyle w:val="Ruller4"/>
        <w:rPr>
          <w:rtl/>
        </w:rPr>
      </w:pPr>
      <w:r>
        <w:rPr>
          <w:rFonts w:hint="cs"/>
          <w:rtl/>
        </w:rPr>
        <w:t xml:space="preserve">מטרותיו של תיקון סעיף 14(א) לפקודה היו </w:t>
      </w:r>
      <w:r w:rsidRPr="00612C04">
        <w:rPr>
          <w:rFonts w:ascii="Century" w:hAnsi="Century" w:cs="Miriam" w:hint="cs"/>
          <w:b/>
          <w:spacing w:val="0"/>
          <w:sz w:val="22"/>
          <w:szCs w:val="24"/>
          <w:rtl/>
        </w:rPr>
        <w:t>"לתת תמריצים לאוכלוסיית העולים והתושבים החוזרים הוותיקים לעלות לישראל, במטרה להחזיר הון אנושי איכותי לישראל אשר ישקיע בפיתוח תכניות ארוכות טווח שיתרמו לפיתוח המשק, וכן במטרה למנוע תכנוני מס מיותרים ולהפחית את החיכוך עם רשויות המס"</w:t>
      </w:r>
      <w:r>
        <w:rPr>
          <w:rFonts w:hint="cs"/>
          <w:rtl/>
        </w:rPr>
        <w:t xml:space="preserve"> (דברי ההסבר להצעת חוק לתיקון פקודת מס הכנסה (מס' 167 והוראת שעה), התשס"ח-2007, </w:t>
      </w:r>
      <w:proofErr w:type="spellStart"/>
      <w:r>
        <w:rPr>
          <w:rFonts w:hint="cs"/>
          <w:rtl/>
        </w:rPr>
        <w:t>ה"ח</w:t>
      </w:r>
      <w:proofErr w:type="spellEnd"/>
      <w:r>
        <w:rPr>
          <w:rFonts w:hint="cs"/>
          <w:rtl/>
        </w:rPr>
        <w:t xml:space="preserve"> הממשלה 644, 646 (להלן: </w:t>
      </w:r>
      <w:r w:rsidRPr="00612C04">
        <w:rPr>
          <w:rFonts w:ascii="Century" w:hAnsi="Century" w:cs="Miriam" w:hint="cs"/>
          <w:b/>
          <w:spacing w:val="0"/>
          <w:sz w:val="22"/>
          <w:szCs w:val="24"/>
          <w:rtl/>
        </w:rPr>
        <w:t>"דברי ההסבר לתיקון 168"</w:t>
      </w:r>
      <w:r>
        <w:rPr>
          <w:rFonts w:hint="cs"/>
          <w:rtl/>
        </w:rPr>
        <w:t xml:space="preserve">)). </w:t>
      </w:r>
      <w:r w:rsidRPr="00C135CD">
        <w:rPr>
          <w:rFonts w:hint="cs"/>
          <w:rtl/>
        </w:rPr>
        <w:t>ויובהר</w:t>
      </w:r>
      <w:r>
        <w:rPr>
          <w:rFonts w:hint="cs"/>
          <w:rtl/>
        </w:rPr>
        <w:t>,</w:t>
      </w:r>
      <w:r w:rsidRPr="00C135CD">
        <w:rPr>
          <w:rFonts w:hint="cs"/>
          <w:rtl/>
        </w:rPr>
        <w:t xml:space="preserve"> מטרתו של תיקון 168 היא שעצם המעבר לישראל לא ירע את מצבו של הנישום מבחינת חבות המס המוטלת עליו. </w:t>
      </w:r>
      <w:r>
        <w:rPr>
          <w:rFonts w:hint="cs"/>
          <w:rtl/>
        </w:rPr>
        <w:t xml:space="preserve">במילים אחרות, </w:t>
      </w:r>
      <w:r w:rsidRPr="00C135CD">
        <w:rPr>
          <w:rFonts w:hint="eastAsia"/>
          <w:rtl/>
        </w:rPr>
        <w:t>מדובר</w:t>
      </w:r>
      <w:r w:rsidRPr="00C135CD">
        <w:rPr>
          <w:rtl/>
        </w:rPr>
        <w:t xml:space="preserve"> </w:t>
      </w:r>
      <w:r w:rsidRPr="00C135CD">
        <w:rPr>
          <w:rFonts w:hint="eastAsia"/>
          <w:rtl/>
        </w:rPr>
        <w:t>ב</w:t>
      </w:r>
      <w:r>
        <w:rPr>
          <w:rFonts w:hint="cs"/>
          <w:rtl/>
        </w:rPr>
        <w:t xml:space="preserve">פטור שתכליתו </w:t>
      </w:r>
      <w:r w:rsidRPr="00C135CD">
        <w:rPr>
          <w:rFonts w:hint="eastAsia"/>
          <w:rtl/>
        </w:rPr>
        <w:t>לנטרל</w:t>
      </w:r>
      <w:r w:rsidRPr="00C135CD">
        <w:rPr>
          <w:rtl/>
        </w:rPr>
        <w:t xml:space="preserve"> </w:t>
      </w:r>
      <w:r w:rsidRPr="00C135CD">
        <w:rPr>
          <w:rFonts w:hint="eastAsia"/>
          <w:rtl/>
        </w:rPr>
        <w:t>את</w:t>
      </w:r>
      <w:r w:rsidRPr="00C135CD">
        <w:rPr>
          <w:rtl/>
        </w:rPr>
        <w:t xml:space="preserve"> </w:t>
      </w:r>
      <w:r w:rsidRPr="00C135CD">
        <w:rPr>
          <w:rFonts w:hint="eastAsia"/>
          <w:rtl/>
        </w:rPr>
        <w:t>תמריץ</w:t>
      </w:r>
      <w:r w:rsidRPr="00C135CD">
        <w:rPr>
          <w:rtl/>
        </w:rPr>
        <w:t xml:space="preserve"> </w:t>
      </w:r>
      <w:r w:rsidRPr="00C135CD">
        <w:rPr>
          <w:rFonts w:hint="eastAsia"/>
          <w:rtl/>
        </w:rPr>
        <w:t>המס</w:t>
      </w:r>
      <w:r w:rsidRPr="00C135CD">
        <w:rPr>
          <w:rtl/>
        </w:rPr>
        <w:t xml:space="preserve"> </w:t>
      </w:r>
      <w:r w:rsidRPr="00C135CD">
        <w:rPr>
          <w:rFonts w:hint="eastAsia"/>
          <w:rtl/>
        </w:rPr>
        <w:t>השלילי</w:t>
      </w:r>
      <w:r w:rsidRPr="00C135CD">
        <w:rPr>
          <w:rtl/>
        </w:rPr>
        <w:t xml:space="preserve"> </w:t>
      </w:r>
      <w:r>
        <w:rPr>
          <w:rFonts w:hint="cs"/>
          <w:rtl/>
        </w:rPr>
        <w:t>של ה</w:t>
      </w:r>
      <w:r w:rsidRPr="00C135CD">
        <w:rPr>
          <w:rFonts w:hint="cs"/>
          <w:rtl/>
        </w:rPr>
        <w:t>מעבר לישראל ב</w:t>
      </w:r>
      <w:r>
        <w:rPr>
          <w:rFonts w:hint="cs"/>
          <w:rtl/>
        </w:rPr>
        <w:t>של</w:t>
      </w:r>
      <w:r w:rsidRPr="00C135CD">
        <w:rPr>
          <w:rFonts w:hint="cs"/>
          <w:rtl/>
        </w:rPr>
        <w:t xml:space="preserve"> העובדה ש</w:t>
      </w:r>
      <w:r>
        <w:rPr>
          <w:rFonts w:hint="cs"/>
          <w:rtl/>
        </w:rPr>
        <w:t xml:space="preserve">שינוי מקום התושבות של הנישום עשוי להטיל עליו חבות פרסונלית </w:t>
      </w:r>
      <w:r w:rsidRPr="00C135CD">
        <w:rPr>
          <w:rFonts w:hint="cs"/>
          <w:rtl/>
        </w:rPr>
        <w:t xml:space="preserve">במס </w:t>
      </w:r>
      <w:r>
        <w:rPr>
          <w:rFonts w:hint="cs"/>
          <w:rtl/>
        </w:rPr>
        <w:t xml:space="preserve">הכנסה ישראלי </w:t>
      </w:r>
      <w:r w:rsidRPr="00C135CD">
        <w:rPr>
          <w:rFonts w:hint="cs"/>
          <w:rtl/>
        </w:rPr>
        <w:t xml:space="preserve">בגין הכנסות </w:t>
      </w:r>
      <w:r>
        <w:rPr>
          <w:rFonts w:hint="cs"/>
          <w:rtl/>
        </w:rPr>
        <w:t xml:space="preserve">המופקות </w:t>
      </w:r>
      <w:r w:rsidRPr="00C135CD">
        <w:rPr>
          <w:rFonts w:hint="cs"/>
          <w:rtl/>
        </w:rPr>
        <w:t>או נצמחו</w:t>
      </w:r>
      <w:r>
        <w:rPr>
          <w:rFonts w:hint="cs"/>
          <w:rtl/>
        </w:rPr>
        <w:t>ת</w:t>
      </w:r>
      <w:r w:rsidRPr="00C135CD">
        <w:rPr>
          <w:rFonts w:hint="cs"/>
          <w:rtl/>
        </w:rPr>
        <w:t xml:space="preserve"> מחוץ לישראל (ראו: פרוטוקול דיון ועדת פרוטוקול דיון </w:t>
      </w:r>
      <w:r w:rsidRPr="00C135CD">
        <w:rPr>
          <w:rFonts w:hint="eastAsia"/>
          <w:rtl/>
        </w:rPr>
        <w:t>ועדת</w:t>
      </w:r>
      <w:r w:rsidRPr="00C135CD">
        <w:rPr>
          <w:rtl/>
        </w:rPr>
        <w:t xml:space="preserve"> </w:t>
      </w:r>
      <w:r w:rsidRPr="00C135CD">
        <w:rPr>
          <w:rFonts w:hint="eastAsia"/>
          <w:rtl/>
        </w:rPr>
        <w:t>העלייה</w:t>
      </w:r>
      <w:r w:rsidRPr="00C135CD">
        <w:rPr>
          <w:rtl/>
        </w:rPr>
        <w:t xml:space="preserve">, </w:t>
      </w:r>
      <w:r w:rsidRPr="00C135CD">
        <w:rPr>
          <w:rFonts w:hint="eastAsia"/>
          <w:rtl/>
        </w:rPr>
        <w:t>הקליטה</w:t>
      </w:r>
      <w:r w:rsidRPr="00C135CD">
        <w:rPr>
          <w:rtl/>
        </w:rPr>
        <w:t xml:space="preserve"> </w:t>
      </w:r>
      <w:r w:rsidRPr="00C135CD">
        <w:rPr>
          <w:rFonts w:hint="eastAsia"/>
          <w:rtl/>
        </w:rPr>
        <w:t>והתפוצות</w:t>
      </w:r>
      <w:r w:rsidRPr="00C135CD">
        <w:rPr>
          <w:rFonts w:hint="cs"/>
          <w:rtl/>
        </w:rPr>
        <w:t xml:space="preserve"> 29.7.2008, עמ' 5, 12 ו-23; פרוטוקול דיון ועדת העלייה, הקליטה והתפוצות 12.8.2018, עמ' 22).</w:t>
      </w:r>
      <w:r>
        <w:rPr>
          <w:rFonts w:hint="cs"/>
          <w:rtl/>
        </w:rPr>
        <w:t xml:space="preserve"> לעניין זה נחזור בהמשך הדברים.</w:t>
      </w:r>
    </w:p>
    <w:p w:rsidR="00D81A8C" w:rsidRDefault="00D81A8C" w:rsidP="00D81A8C">
      <w:pPr>
        <w:pStyle w:val="Ruller41"/>
        <w:rPr>
          <w:rtl/>
        </w:rPr>
      </w:pPr>
    </w:p>
    <w:p w:rsidR="00D81A8C" w:rsidRPr="00134961" w:rsidRDefault="00D81A8C" w:rsidP="00D81A8C">
      <w:pPr>
        <w:pStyle w:val="Ruller4"/>
        <w:numPr>
          <w:ilvl w:val="0"/>
          <w:numId w:val="0"/>
        </w:numPr>
      </w:pPr>
      <w:r>
        <w:rPr>
          <w:rFonts w:ascii="Century" w:hAnsi="Century" w:cs="Miriam"/>
          <w:b/>
          <w:spacing w:val="0"/>
          <w:szCs w:val="24"/>
          <w:rtl/>
        </w:rPr>
        <w:lastRenderedPageBreak/>
        <w:tab/>
      </w:r>
      <w:r w:rsidRPr="00675C46">
        <w:rPr>
          <w:rFonts w:ascii="Century" w:hAnsi="Century" w:cs="Miriam" w:hint="cs"/>
          <w:b/>
          <w:spacing w:val="0"/>
          <w:szCs w:val="24"/>
          <w:rtl/>
        </w:rPr>
        <w:t>הערה</w:t>
      </w:r>
      <w:r>
        <w:rPr>
          <w:rFonts w:hint="cs"/>
          <w:rtl/>
        </w:rPr>
        <w:t xml:space="preserve">: נגד תיקון 168 הועלו טענות קשות כי הוא הופך את ישראל למקלט מס, ואף הועלה </w:t>
      </w:r>
      <w:r>
        <w:rPr>
          <w:rtl/>
        </w:rPr>
        <w:t>חשש שבעקבותיו יוחדרו לישראל כספים שמקורם בפשע</w:t>
      </w:r>
      <w:r>
        <w:rPr>
          <w:rFonts w:hint="cs"/>
          <w:rtl/>
        </w:rPr>
        <w:t xml:space="preserve">, וזאת במיוחד בשל הפטור הגורף הניתן בו לנישומים העומדים בתנאי הזכאות מחובת הדיווח </w:t>
      </w:r>
      <w:r w:rsidRPr="00134961">
        <w:rPr>
          <w:rtl/>
        </w:rPr>
        <w:t xml:space="preserve">על הכנסות </w:t>
      </w:r>
      <w:r w:rsidRPr="00134961">
        <w:rPr>
          <w:rFonts w:hint="cs"/>
          <w:rtl/>
        </w:rPr>
        <w:t xml:space="preserve">שהופקו או נצמחו מחוץ </w:t>
      </w:r>
      <w:r w:rsidRPr="00134961">
        <w:rPr>
          <w:rtl/>
        </w:rPr>
        <w:t>לישראל ופטור מהגשת הצהרת הון על נכסים והו</w:t>
      </w:r>
      <w:r w:rsidRPr="00134961">
        <w:rPr>
          <w:rFonts w:hint="cs"/>
          <w:rtl/>
        </w:rPr>
        <w:t>ן המוחזקים</w:t>
      </w:r>
      <w:r w:rsidRPr="00134961">
        <w:rPr>
          <w:rtl/>
        </w:rPr>
        <w:t xml:space="preserve"> מחוץ לישראל</w:t>
      </w:r>
      <w:r>
        <w:rPr>
          <w:rFonts w:hint="cs"/>
          <w:rtl/>
        </w:rPr>
        <w:t xml:space="preserve"> (ראו מבקר המדינה </w:t>
      </w:r>
      <w:r w:rsidRPr="00B72E3C">
        <w:rPr>
          <w:rFonts w:ascii="Century" w:hAnsi="Century" w:cs="Miriam" w:hint="cs"/>
          <w:b/>
          <w:spacing w:val="0"/>
          <w:szCs w:val="24"/>
          <w:rtl/>
        </w:rPr>
        <w:t xml:space="preserve">דוח </w:t>
      </w:r>
      <w:r w:rsidRPr="007B63C1">
        <w:rPr>
          <w:rFonts w:ascii="Century" w:hAnsi="Century" w:cs="Miriam" w:hint="cs"/>
          <w:b/>
          <w:spacing w:val="0"/>
          <w:sz w:val="22"/>
          <w:szCs w:val="24"/>
          <w:rtl/>
        </w:rPr>
        <w:t>שנתי 65א לשנת 2014</w:t>
      </w:r>
      <w:r w:rsidRPr="007B63C1">
        <w:rPr>
          <w:rFonts w:hint="cs"/>
          <w:rtl/>
        </w:rPr>
        <w:t xml:space="preserve"> </w:t>
      </w:r>
      <w:r>
        <w:rPr>
          <w:rFonts w:hint="cs"/>
          <w:rtl/>
        </w:rPr>
        <w:t>58-51 (2014)). דיון בחששות אלו חורג מהמקרה שלפנינו, בו אין חולק כי המבקש עומד בתנאי הזכאות</w:t>
      </w:r>
      <w:r w:rsidR="00F4312E">
        <w:rPr>
          <w:rFonts w:hint="cs"/>
          <w:rtl/>
        </w:rPr>
        <w:t xml:space="preserve"> הראשוניים</w:t>
      </w:r>
      <w:r>
        <w:rPr>
          <w:rFonts w:hint="cs"/>
          <w:rtl/>
        </w:rPr>
        <w:t xml:space="preserve">, וכי הוא נמנה על אוכלוסיית היעד שאת חזרתה לישראל נועד הפטור לעודד. </w:t>
      </w:r>
    </w:p>
    <w:p w:rsidR="00D81A8C" w:rsidRDefault="00D81A8C" w:rsidP="00D81A8C">
      <w:pPr>
        <w:pStyle w:val="Ruller41"/>
        <w:rPr>
          <w:rtl/>
        </w:rPr>
      </w:pPr>
    </w:p>
    <w:p w:rsidR="00D81A8C" w:rsidRDefault="00D81A8C" w:rsidP="00D81A8C">
      <w:pPr>
        <w:pStyle w:val="Ruller4"/>
        <w:rPr>
          <w:rtl/>
        </w:rPr>
      </w:pPr>
      <w:r>
        <w:rPr>
          <w:rFonts w:hint="cs"/>
          <w:rtl/>
        </w:rPr>
        <w:t xml:space="preserve">הוראת סעיף 14(א) לפקודה על פי נוסחה כיום קובעת כדלהלן: </w:t>
      </w:r>
    </w:p>
    <w:p w:rsidR="00D81A8C" w:rsidRPr="00FE394F" w:rsidRDefault="00D81A8C" w:rsidP="00D81A8C">
      <w:pPr>
        <w:pStyle w:val="Ruller41"/>
        <w:rPr>
          <w:rtl/>
        </w:rPr>
      </w:pPr>
    </w:p>
    <w:p w:rsidR="00D81A8C" w:rsidRPr="00CB360D" w:rsidRDefault="00D81A8C" w:rsidP="00D81A8C">
      <w:pPr>
        <w:pStyle w:val="Ruller5"/>
        <w:rPr>
          <w:rtl/>
        </w:rPr>
      </w:pPr>
      <w:bookmarkStart w:id="5" w:name="Seif22"/>
      <w:bookmarkEnd w:id="5"/>
      <w:r w:rsidRPr="00CB360D">
        <w:rPr>
          <w:rStyle w:val="big-number"/>
          <w:rFonts w:ascii="Century" w:hAnsi="Century"/>
          <w:rtl/>
        </w:rPr>
        <w:t xml:space="preserve">14.   </w:t>
      </w:r>
      <w:r w:rsidRPr="00CB360D">
        <w:rPr>
          <w:rStyle w:val="default"/>
          <w:rFonts w:ascii="Century" w:hAnsi="Century"/>
          <w:rtl/>
        </w:rPr>
        <w:t>(א)  יחיד שהיה לתושב ישראל לראשונה ותושב חוזר ותיק יהיו פטורים ממס במשך עשר שנים מהמועד שהיו לתושבי ישראל כאמור, על הכנסותיהם מכל המקורות המנויים בסעיפים 2, 2א ו-3, שהופקו או שנצמחו מחוץ לישראל או שמקורן בנכסים מחוץ לישראל, אלא אם כן ביקשו אחרת לעניין ההכנסות, כולן או חלקן; בסעיף זה –</w:t>
      </w:r>
    </w:p>
    <w:p w:rsidR="00D81A8C" w:rsidRPr="00CB360D" w:rsidRDefault="00D81A8C" w:rsidP="00D81A8C">
      <w:pPr>
        <w:pStyle w:val="Ruller5"/>
        <w:rPr>
          <w:rtl/>
        </w:rPr>
      </w:pPr>
      <w:r w:rsidRPr="00CB360D">
        <w:rPr>
          <w:rStyle w:val="default"/>
          <w:rFonts w:ascii="Century" w:hAnsi="Century"/>
          <w:rtl/>
        </w:rPr>
        <w:t xml:space="preserve">          "נכס" – למעט נכס שהגיע לידי היחיד בפטור ממס לפי סעיף 97(א)(5) החל ביום י"א בטבת </w:t>
      </w:r>
      <w:proofErr w:type="spellStart"/>
      <w:r w:rsidRPr="00CB360D">
        <w:rPr>
          <w:rStyle w:val="default"/>
          <w:rFonts w:ascii="Century" w:hAnsi="Century"/>
          <w:rtl/>
        </w:rPr>
        <w:t>התשס"ז</w:t>
      </w:r>
      <w:proofErr w:type="spellEnd"/>
      <w:r w:rsidRPr="00CB360D">
        <w:rPr>
          <w:rStyle w:val="default"/>
          <w:rFonts w:ascii="Century" w:hAnsi="Century"/>
          <w:rtl/>
        </w:rPr>
        <w:t xml:space="preserve"> (1 בינואר 2007);</w:t>
      </w:r>
    </w:p>
    <w:p w:rsidR="00D81A8C" w:rsidRPr="00CB360D" w:rsidRDefault="00D81A8C" w:rsidP="00D81A8C">
      <w:pPr>
        <w:pStyle w:val="Ruller5"/>
        <w:rPr>
          <w:rtl/>
        </w:rPr>
      </w:pPr>
      <w:r w:rsidRPr="00CB360D">
        <w:rPr>
          <w:rStyle w:val="default"/>
          <w:rFonts w:ascii="Century" w:hAnsi="Century"/>
          <w:rtl/>
        </w:rPr>
        <w:t>          "תושב חוזר ותיק" – יחיד ששב והיה לתושב ישראל לאחר שהיה תושב חוץ במשך עשר שנים רצופות לפחות.</w:t>
      </w:r>
    </w:p>
    <w:p w:rsidR="00D81A8C" w:rsidRDefault="00D81A8C" w:rsidP="00D81A8C">
      <w:pPr>
        <w:pStyle w:val="Ruller41"/>
        <w:rPr>
          <w:rtl/>
        </w:rPr>
      </w:pPr>
    </w:p>
    <w:p w:rsidR="00D81A8C" w:rsidRDefault="00D81A8C" w:rsidP="00D81A8C">
      <w:pPr>
        <w:pStyle w:val="Ruller41"/>
        <w:rPr>
          <w:rtl/>
        </w:rPr>
      </w:pPr>
      <w:r>
        <w:rPr>
          <w:rFonts w:ascii="Century" w:hAnsi="Century" w:cs="Miriam"/>
          <w:b/>
          <w:spacing w:val="0"/>
          <w:szCs w:val="24"/>
          <w:rtl/>
        </w:rPr>
        <w:tab/>
      </w:r>
      <w:r w:rsidRPr="00523D19">
        <w:rPr>
          <w:rFonts w:ascii="Century" w:hAnsi="Century" w:cs="Miriam" w:hint="cs"/>
          <w:b/>
          <w:spacing w:val="0"/>
          <w:szCs w:val="24"/>
          <w:rtl/>
        </w:rPr>
        <w:t>הערה</w:t>
      </w:r>
      <w:r>
        <w:rPr>
          <w:rFonts w:hint="cs"/>
          <w:rtl/>
        </w:rPr>
        <w:t>: סעיף 14 לפקודה עוסק בפטור ממס על הכנסה '</w:t>
      </w:r>
      <w:proofErr w:type="spellStart"/>
      <w:r>
        <w:rPr>
          <w:rFonts w:hint="cs"/>
          <w:rtl/>
        </w:rPr>
        <w:t>פירותית</w:t>
      </w:r>
      <w:proofErr w:type="spellEnd"/>
      <w:r>
        <w:rPr>
          <w:rFonts w:hint="cs"/>
          <w:rtl/>
        </w:rPr>
        <w:t xml:space="preserve">'. הוראה מקבילה ביחס לפטור ממס על רווח הון (הכנסה 'הונית') עוגנה בסעיף 97(ב) לפקודה. </w:t>
      </w:r>
    </w:p>
    <w:p w:rsidR="00D81A8C" w:rsidRPr="00542DB5" w:rsidRDefault="00D81A8C" w:rsidP="00D81A8C">
      <w:pPr>
        <w:pStyle w:val="Ruller41"/>
        <w:rPr>
          <w:rtl/>
        </w:rPr>
      </w:pPr>
    </w:p>
    <w:p w:rsidR="00D81A8C" w:rsidRDefault="00D81A8C" w:rsidP="00D81A8C">
      <w:pPr>
        <w:pStyle w:val="Ruller4"/>
        <w:rPr>
          <w:rtl/>
        </w:rPr>
      </w:pPr>
      <w:r>
        <w:rPr>
          <w:rFonts w:hint="cs"/>
          <w:rtl/>
        </w:rPr>
        <w:t xml:space="preserve">הזכאות לפטור שניתן מחבות מס הכנסה לתושב חוזר ותיק או לעולה חדש, מתגבשת בהתקיים אחת משתי חלופות: האחת, ההכנסה הופקה או נצמחה מחוץ לישראל (להלן: </w:t>
      </w:r>
      <w:r w:rsidRPr="007225B9">
        <w:rPr>
          <w:rFonts w:ascii="Century" w:hAnsi="Century" w:cs="Miriam" w:hint="cs"/>
          <w:b/>
          <w:spacing w:val="0"/>
          <w:sz w:val="22"/>
          <w:szCs w:val="24"/>
          <w:rtl/>
        </w:rPr>
        <w:t>"מקום הפקת ההכנסה"</w:t>
      </w:r>
      <w:r>
        <w:rPr>
          <w:rFonts w:hint="cs"/>
          <w:rtl/>
        </w:rPr>
        <w:t xml:space="preserve">); השנייה, מקור ההכנסה הוא מנכס הנמצא מחוץ לישראל (להלן: </w:t>
      </w:r>
      <w:r w:rsidRPr="007225B9">
        <w:rPr>
          <w:rFonts w:ascii="Century" w:hAnsi="Century" w:cs="Miriam" w:hint="cs"/>
          <w:b/>
          <w:spacing w:val="0"/>
          <w:sz w:val="22"/>
          <w:szCs w:val="24"/>
          <w:rtl/>
        </w:rPr>
        <w:t>"מקום ה</w:t>
      </w:r>
      <w:r>
        <w:rPr>
          <w:rFonts w:ascii="Century" w:hAnsi="Century" w:cs="Miriam" w:hint="cs"/>
          <w:b/>
          <w:spacing w:val="0"/>
          <w:sz w:val="22"/>
          <w:szCs w:val="24"/>
          <w:rtl/>
        </w:rPr>
        <w:t>נכס</w:t>
      </w:r>
      <w:r w:rsidRPr="007225B9">
        <w:rPr>
          <w:rFonts w:ascii="Century" w:hAnsi="Century" w:cs="Miriam" w:hint="cs"/>
          <w:b/>
          <w:spacing w:val="0"/>
          <w:sz w:val="22"/>
          <w:szCs w:val="24"/>
          <w:rtl/>
        </w:rPr>
        <w:t xml:space="preserve"> המניב"</w:t>
      </w:r>
      <w:r>
        <w:rPr>
          <w:rFonts w:hint="cs"/>
          <w:rtl/>
        </w:rPr>
        <w:t xml:space="preserve">). </w:t>
      </w:r>
    </w:p>
    <w:p w:rsidR="00D81A8C" w:rsidRDefault="00D81A8C" w:rsidP="00D81A8C">
      <w:pPr>
        <w:pStyle w:val="Ruller41"/>
        <w:rPr>
          <w:rtl/>
        </w:rPr>
      </w:pPr>
    </w:p>
    <w:p w:rsidR="00D81A8C" w:rsidRDefault="00D81A8C" w:rsidP="00D81A8C">
      <w:pPr>
        <w:pStyle w:val="Ruller4"/>
        <w:rPr>
          <w:rtl/>
        </w:rPr>
      </w:pPr>
      <w:r>
        <w:rPr>
          <w:rFonts w:hint="cs"/>
          <w:rtl/>
        </w:rPr>
        <w:t xml:space="preserve">במקרה של הכנסה מעורבת, דהיינו שמקצתה הופקה בישראל ומקצתה בחו"ל, הזכאות לפטור תינתן רק ביחס לאותו חלק בהכנסה שהופק מחוץ לישראל ואילו חלק ההכנסה שהופק בישראל לא יהא פטור ממס. דרך החישוב שהוצעה על ידי רשות המיסים היא באמצעות פיצול ההכנסות שנבעו מפעילות מעורבת </w:t>
      </w:r>
      <w:r w:rsidRPr="00FD7C88">
        <w:rPr>
          <w:rFonts w:ascii="Century" w:hAnsi="Century" w:cs="Miriam" w:hint="cs"/>
          <w:b/>
          <w:spacing w:val="0"/>
          <w:sz w:val="22"/>
          <w:szCs w:val="24"/>
          <w:rtl/>
        </w:rPr>
        <w:t>"לפי יחס מספר ימי עסקים בהם שהה היחיד במהלך השנה מחוץ לישראל ביחס לכלל ימי העסקים בשנה"</w:t>
      </w:r>
      <w:r>
        <w:rPr>
          <w:rFonts w:hint="cs"/>
          <w:rtl/>
        </w:rPr>
        <w:t xml:space="preserve">. ואולם, לנישום האפשרות להציג בפני פקיד השומה דרך חישוב אחרת. כן הציבה רשות המיסים סייג </w:t>
      </w:r>
      <w:r>
        <w:rPr>
          <w:rFonts w:hint="cs"/>
          <w:rtl/>
        </w:rPr>
        <w:lastRenderedPageBreak/>
        <w:t xml:space="preserve">המתייחס </w:t>
      </w:r>
      <w:r w:rsidRPr="00B914B4">
        <w:rPr>
          <w:rFonts w:ascii="Century" w:hAnsi="Century" w:hint="cs"/>
          <w:sz w:val="22"/>
          <w:rtl/>
        </w:rPr>
        <w:t>למצב בו</w:t>
      </w:r>
      <w:r w:rsidRPr="00B914B4">
        <w:rPr>
          <w:rFonts w:ascii="Century" w:hAnsi="Century" w:cs="Miriam" w:hint="cs"/>
          <w:b/>
          <w:spacing w:val="0"/>
          <w:sz w:val="22"/>
          <w:szCs w:val="24"/>
          <w:rtl/>
        </w:rPr>
        <w:t xml:space="preserve"> </w:t>
      </w:r>
      <w:r w:rsidRPr="00B914B4">
        <w:rPr>
          <w:rFonts w:ascii="Century" w:hAnsi="Century" w:hint="cs"/>
          <w:sz w:val="22"/>
          <w:rtl/>
        </w:rPr>
        <w:t>"</w:t>
      </w:r>
      <w:r w:rsidRPr="00C12C94">
        <w:rPr>
          <w:rFonts w:ascii="Century" w:hAnsi="Century" w:cs="Miriam" w:hint="cs"/>
          <w:b/>
          <w:spacing w:val="0"/>
          <w:sz w:val="22"/>
          <w:szCs w:val="24"/>
          <w:rtl/>
        </w:rPr>
        <w:t>טיב פעילותו של היחיד מחוץ לישראל טפל ביחס לפעילותו בישראל</w:t>
      </w:r>
      <w:r>
        <w:rPr>
          <w:rFonts w:hint="cs"/>
          <w:rtl/>
        </w:rPr>
        <w:t xml:space="preserve">", שאז ההכנסה נחשבת </w:t>
      </w:r>
      <w:proofErr w:type="spellStart"/>
      <w:r>
        <w:rPr>
          <w:rFonts w:hint="cs"/>
          <w:rtl/>
        </w:rPr>
        <w:t>ככזו</w:t>
      </w:r>
      <w:proofErr w:type="spellEnd"/>
      <w:r>
        <w:rPr>
          <w:rFonts w:hint="cs"/>
          <w:rtl/>
        </w:rPr>
        <w:t xml:space="preserve"> שהופקה במלואה בישראל (ראו: סעיף 4.1.5.ד לחוזר מס הכנסה מס' 1/2011 "הקלות במס לעולים חדשים ולתושבים חוזרים בעקבות תיקון 168 </w:t>
      </w:r>
      <w:r>
        <w:rPr>
          <w:rtl/>
        </w:rPr>
        <w:t>–</w:t>
      </w:r>
      <w:r>
        <w:rPr>
          <w:rFonts w:hint="cs"/>
          <w:rtl/>
        </w:rPr>
        <w:t xml:space="preserve"> חלק א'" (18.1.2011). להלן: </w:t>
      </w:r>
      <w:r w:rsidRPr="00592E9D">
        <w:rPr>
          <w:rFonts w:ascii="Century" w:hAnsi="Century" w:cs="Miriam" w:hint="cs"/>
          <w:b/>
          <w:spacing w:val="0"/>
          <w:sz w:val="22"/>
          <w:szCs w:val="24"/>
          <w:rtl/>
        </w:rPr>
        <w:t>"החוזר"</w:t>
      </w:r>
      <w:r>
        <w:rPr>
          <w:rFonts w:hint="cs"/>
          <w:rtl/>
        </w:rPr>
        <w:t xml:space="preserve"> או </w:t>
      </w:r>
      <w:r w:rsidRPr="00592E9D">
        <w:rPr>
          <w:rFonts w:ascii="Century" w:hAnsi="Century" w:cs="Miriam" w:hint="cs"/>
          <w:b/>
          <w:spacing w:val="0"/>
          <w:sz w:val="22"/>
          <w:szCs w:val="24"/>
          <w:rtl/>
        </w:rPr>
        <w:t>"חוזר מס הכנסה"</w:t>
      </w:r>
      <w:r>
        <w:rPr>
          <w:rFonts w:hint="cs"/>
          <w:rtl/>
        </w:rPr>
        <w:t xml:space="preserve">). </w:t>
      </w:r>
    </w:p>
    <w:p w:rsidR="00D81A8C" w:rsidRDefault="00D81A8C" w:rsidP="00D81A8C">
      <w:pPr>
        <w:pStyle w:val="Ruller41"/>
        <w:rPr>
          <w:rtl/>
        </w:rPr>
      </w:pPr>
    </w:p>
    <w:p w:rsidR="00D81A8C" w:rsidRPr="00E01309" w:rsidRDefault="00D81A8C" w:rsidP="00D81A8C">
      <w:pPr>
        <w:pStyle w:val="Ruller4"/>
        <w:rPr>
          <w:rtl/>
        </w:rPr>
      </w:pPr>
      <w:r>
        <w:rPr>
          <w:rFonts w:hint="cs"/>
          <w:rtl/>
        </w:rPr>
        <w:t>לשלמות התמונה יצוין, כי הוראות תיקון 168 הוחלו באופן רטרואקטיבי החל מיום 1.1.2007 (סעיף 15 לתיקון 168), ועל כן עניינו של המערער, כפי שיוצג להלן, בא בגדר הוראות סעיף 14(א) לפקודה שלאחר התיקון.</w:t>
      </w:r>
    </w:p>
    <w:p w:rsidR="00D81A8C" w:rsidRDefault="00D81A8C" w:rsidP="00D81A8C">
      <w:pPr>
        <w:pStyle w:val="Ruller41"/>
        <w:rPr>
          <w:rFonts w:ascii="Century" w:hAnsi="Century" w:cs="Miriam"/>
          <w:b/>
          <w:spacing w:val="0"/>
          <w:szCs w:val="24"/>
          <w:rtl/>
        </w:rPr>
      </w:pPr>
    </w:p>
    <w:p w:rsidR="00D81A8C" w:rsidRPr="003A4EDF" w:rsidRDefault="00D81A8C" w:rsidP="00D81A8C">
      <w:pPr>
        <w:pStyle w:val="Ruller41"/>
        <w:rPr>
          <w:rFonts w:ascii="Century" w:hAnsi="Century" w:cs="Miriam"/>
          <w:b/>
          <w:spacing w:val="0"/>
          <w:szCs w:val="24"/>
          <w:rtl/>
        </w:rPr>
      </w:pPr>
      <w:r w:rsidRPr="003A4EDF">
        <w:rPr>
          <w:rFonts w:ascii="Century" w:hAnsi="Century" w:cs="Miriam" w:hint="cs"/>
          <w:b/>
          <w:spacing w:val="0"/>
          <w:szCs w:val="24"/>
          <w:rtl/>
        </w:rPr>
        <w:t>רקע והשתלשלות העניינים</w:t>
      </w:r>
    </w:p>
    <w:p w:rsidR="00D81A8C" w:rsidRDefault="00D81A8C" w:rsidP="00D81A8C">
      <w:pPr>
        <w:pStyle w:val="Ruller41"/>
        <w:rPr>
          <w:rtl/>
        </w:rPr>
      </w:pPr>
    </w:p>
    <w:p w:rsidR="00D81A8C" w:rsidRDefault="00D81A8C" w:rsidP="00B86B52">
      <w:pPr>
        <w:pStyle w:val="Ruller4"/>
        <w:rPr>
          <w:rtl/>
        </w:rPr>
      </w:pPr>
      <w:r>
        <w:rPr>
          <w:rFonts w:hint="cs"/>
          <w:rtl/>
        </w:rPr>
        <w:t>המערער נולד בישראל בשנת 1953. בשנת 1987 עבר להתגורר בחו"ל, עד אשר חזר ארצה בשנת 2007. במרבית שנות</w:t>
      </w:r>
      <w:r w:rsidR="00B86B52">
        <w:rPr>
          <w:rFonts w:hint="cs"/>
          <w:rtl/>
        </w:rPr>
        <w:t xml:space="preserve"> שהותו </w:t>
      </w:r>
      <w:r>
        <w:rPr>
          <w:rFonts w:hint="cs"/>
          <w:rtl/>
        </w:rPr>
        <w:t>בחו"ל התגורר המערער באנגליה.</w:t>
      </w:r>
    </w:p>
    <w:p w:rsidR="00D81A8C" w:rsidRPr="00BA66CC" w:rsidRDefault="00D81A8C" w:rsidP="00D81A8C">
      <w:pPr>
        <w:pStyle w:val="Ruller41"/>
      </w:pPr>
    </w:p>
    <w:p w:rsidR="00D81A8C" w:rsidRDefault="00D81A8C" w:rsidP="00D81A8C">
      <w:pPr>
        <w:pStyle w:val="Ruller4"/>
        <w:rPr>
          <w:rtl/>
        </w:rPr>
      </w:pPr>
      <w:r>
        <w:rPr>
          <w:rFonts w:hint="cs"/>
          <w:rtl/>
        </w:rPr>
        <w:t xml:space="preserve">בשנת 1994 החל המערער לעבוד בתאגיד </w:t>
      </w:r>
      <w:r w:rsidRPr="002D07BB">
        <w:rPr>
          <w:rFonts w:asciiTheme="majorBidi" w:hAnsiTheme="majorBidi" w:cstheme="majorBidi"/>
        </w:rPr>
        <w:t>EMC Corporation Inc.</w:t>
      </w:r>
      <w:r>
        <w:rPr>
          <w:rFonts w:hint="cs"/>
          <w:rtl/>
        </w:rPr>
        <w:t xml:space="preserve">, אשר בסיסו בארה"ב (כיום </w:t>
      </w:r>
      <w:r>
        <w:rPr>
          <w:rtl/>
        </w:rPr>
        <w:t>–</w:t>
      </w:r>
      <w:r>
        <w:rPr>
          <w:rFonts w:hint="cs"/>
          <w:rtl/>
        </w:rPr>
        <w:t xml:space="preserve"> </w:t>
      </w:r>
      <w:r w:rsidRPr="00E039F6">
        <w:rPr>
          <w:rFonts w:hint="cs"/>
          <w:rtl/>
        </w:rPr>
        <w:t xml:space="preserve">חברת </w:t>
      </w:r>
      <w:r w:rsidRPr="00E039F6">
        <w:rPr>
          <w:rFonts w:asciiTheme="majorBidi" w:hAnsiTheme="majorBidi" w:cstheme="majorBidi"/>
        </w:rPr>
        <w:t>Dell Technologies Inc.</w:t>
      </w:r>
      <w:r w:rsidRPr="00E039F6">
        <w:rPr>
          <w:rFonts w:hint="cs"/>
          <w:rtl/>
        </w:rPr>
        <w:t>, או בשמה</w:t>
      </w:r>
      <w:r>
        <w:rPr>
          <w:rFonts w:hint="cs"/>
          <w:rtl/>
        </w:rPr>
        <w:t xml:space="preserve"> התפעולי </w:t>
      </w:r>
      <w:r>
        <w:t>Dell-EMC</w:t>
      </w:r>
      <w:r>
        <w:rPr>
          <w:rFonts w:hint="cs"/>
          <w:rtl/>
        </w:rPr>
        <w:t xml:space="preserve">, לאחר שמוזג התאגיד בשנת 2016 לתוך החברה) (להלן: </w:t>
      </w:r>
      <w:r w:rsidRPr="00B814CA">
        <w:rPr>
          <w:rFonts w:ascii="Century" w:hAnsi="Century" w:cs="Miriam" w:hint="cs"/>
          <w:b/>
          <w:spacing w:val="0"/>
          <w:sz w:val="22"/>
          <w:szCs w:val="24"/>
          <w:rtl/>
        </w:rPr>
        <w:t>"חברת האם"</w:t>
      </w:r>
      <w:r>
        <w:rPr>
          <w:rFonts w:hint="cs"/>
          <w:rtl/>
        </w:rPr>
        <w:t xml:space="preserve">), בתפקיד מנהל מחלקת הגזברות בארה"ב. ביוני 1995 התקשר המערער בחוזה עבודה עם חברת בת של התאגיד </w:t>
      </w:r>
      <w:r>
        <w:rPr>
          <w:rtl/>
        </w:rPr>
        <w:t>–</w:t>
      </w:r>
      <w:r>
        <w:rPr>
          <w:rFonts w:hint="cs"/>
          <w:rtl/>
        </w:rPr>
        <w:t xml:space="preserve"> </w:t>
      </w:r>
      <w:r w:rsidRPr="00E150D6">
        <w:rPr>
          <w:rFonts w:asciiTheme="majorBidi" w:hAnsiTheme="majorBidi" w:cstheme="majorBidi"/>
        </w:rPr>
        <w:t>EMC Computer Systems (UK) Ltd.</w:t>
      </w:r>
      <w:r>
        <w:rPr>
          <w:rFonts w:hint="cs"/>
          <w:rtl/>
        </w:rPr>
        <w:t xml:space="preserve"> (להלן: </w:t>
      </w:r>
      <w:r w:rsidRPr="00E150D6">
        <w:rPr>
          <w:rFonts w:ascii="Century" w:hAnsi="Century" w:cs="Miriam" w:hint="cs"/>
          <w:b/>
          <w:spacing w:val="0"/>
          <w:sz w:val="22"/>
          <w:szCs w:val="24"/>
          <w:rtl/>
        </w:rPr>
        <w:t>"החברה"</w:t>
      </w:r>
      <w:r>
        <w:rPr>
          <w:rFonts w:hint="cs"/>
          <w:rtl/>
        </w:rPr>
        <w:t xml:space="preserve"> או </w:t>
      </w:r>
      <w:r w:rsidRPr="00E150D6">
        <w:rPr>
          <w:rFonts w:ascii="Century" w:hAnsi="Century" w:cs="Miriam" w:hint="cs"/>
          <w:b/>
          <w:spacing w:val="0"/>
          <w:sz w:val="22"/>
          <w:szCs w:val="24"/>
          <w:rtl/>
        </w:rPr>
        <w:t>"</w:t>
      </w:r>
      <w:r>
        <w:rPr>
          <w:rFonts w:ascii="Century" w:hAnsi="Century" w:cs="Miriam" w:hint="cs"/>
          <w:b/>
          <w:spacing w:val="0"/>
          <w:sz w:val="22"/>
          <w:szCs w:val="24"/>
          <w:rtl/>
        </w:rPr>
        <w:t>חברת הבת</w:t>
      </w:r>
      <w:r w:rsidRPr="00E150D6">
        <w:rPr>
          <w:rFonts w:ascii="Century" w:hAnsi="Century" w:cs="Miriam" w:hint="cs"/>
          <w:b/>
          <w:spacing w:val="0"/>
          <w:sz w:val="22"/>
          <w:szCs w:val="24"/>
          <w:rtl/>
        </w:rPr>
        <w:t>"</w:t>
      </w:r>
      <w:r>
        <w:rPr>
          <w:rFonts w:hint="cs"/>
          <w:rtl/>
        </w:rPr>
        <w:t xml:space="preserve">) </w:t>
      </w:r>
      <w:r>
        <w:rPr>
          <w:rtl/>
        </w:rPr>
        <w:t>–</w:t>
      </w:r>
      <w:r>
        <w:rPr>
          <w:rFonts w:hint="cs"/>
          <w:rtl/>
        </w:rPr>
        <w:t xml:space="preserve"> אשר בסיסה באנגליה, והחל לשמש בתפקיד </w:t>
      </w:r>
      <w:r w:rsidRPr="00E150D6">
        <w:rPr>
          <w:rFonts w:asciiTheme="majorBidi" w:hAnsiTheme="majorBidi" w:cstheme="majorBidi"/>
        </w:rPr>
        <w:t>European Leasing Operation</w:t>
      </w:r>
      <w:r w:rsidR="00F411AD">
        <w:rPr>
          <w:rFonts w:asciiTheme="majorBidi" w:hAnsiTheme="majorBidi" w:cstheme="majorBidi"/>
        </w:rPr>
        <w:t>s</w:t>
      </w:r>
      <w:r>
        <w:rPr>
          <w:rFonts w:hint="cs"/>
          <w:rtl/>
        </w:rPr>
        <w:t>, במסגרתו הוא היה אחראי על עסקי הליסינג של החברה.</w:t>
      </w:r>
      <w:r w:rsidR="00B86B52">
        <w:rPr>
          <w:rFonts w:hint="cs"/>
          <w:rtl/>
        </w:rPr>
        <w:t xml:space="preserve"> יצוין כי</w:t>
      </w:r>
      <w:r>
        <w:rPr>
          <w:rFonts w:hint="cs"/>
          <w:rtl/>
        </w:rPr>
        <w:t xml:space="preserve"> חברת האם וחברת הבת, וכן חברות בת נוספות של חברת האם הפרוסות ברחבי העולם, לרבות בישראל, מתמחות באספקת מוצרים, שירותים ופתרונות בתחום אחסון, גיבוי, ניהול והגנת מידע.</w:t>
      </w:r>
    </w:p>
    <w:p w:rsidR="00D81A8C" w:rsidRDefault="00D81A8C" w:rsidP="00D81A8C">
      <w:pPr>
        <w:pStyle w:val="Ruller4"/>
        <w:numPr>
          <w:ilvl w:val="0"/>
          <w:numId w:val="0"/>
        </w:numPr>
      </w:pPr>
    </w:p>
    <w:p w:rsidR="00D81A8C" w:rsidRDefault="00D81A8C" w:rsidP="00D81A8C">
      <w:pPr>
        <w:pStyle w:val="Ruller4"/>
        <w:rPr>
          <w:rtl/>
        </w:rPr>
      </w:pPr>
      <w:r>
        <w:rPr>
          <w:rFonts w:hint="cs"/>
          <w:rtl/>
        </w:rPr>
        <w:t xml:space="preserve">על פי הצהרת המערער, עד לשנת 2004 הוא עסק בפיתוח מוצרים ונכסים עבור החברה, ובכלל זאת שיטות מימון, מודלים שיווקיים ושיטה לשימוש חוזר במוצרים. ביולי 2004 עבר המערער לתפקיד אחר </w:t>
      </w:r>
      <w:r>
        <w:rPr>
          <w:rtl/>
        </w:rPr>
        <w:t>–</w:t>
      </w:r>
      <w:r>
        <w:rPr>
          <w:rFonts w:hint="cs"/>
          <w:rtl/>
        </w:rPr>
        <w:t xml:space="preserve"> </w:t>
      </w:r>
      <w:r w:rsidRPr="0068561A">
        <w:rPr>
          <w:rFonts w:asciiTheme="majorBidi" w:hAnsiTheme="majorBidi" w:cstheme="majorBidi"/>
        </w:rPr>
        <w:t>Sales Area Finance Manager</w:t>
      </w:r>
      <w:r>
        <w:rPr>
          <w:rFonts w:hint="cs"/>
          <w:rtl/>
        </w:rPr>
        <w:t xml:space="preserve"> (להלן: </w:t>
      </w:r>
      <w:r w:rsidRPr="0068561A">
        <w:rPr>
          <w:rFonts w:ascii="Century" w:hAnsi="Century" w:cs="Miriam" w:hint="cs"/>
          <w:b/>
          <w:spacing w:val="0"/>
          <w:sz w:val="22"/>
          <w:szCs w:val="24"/>
          <w:rtl/>
        </w:rPr>
        <w:t>"מנהל מכירות אזורי"</w:t>
      </w:r>
      <w:r>
        <w:rPr>
          <w:rFonts w:hint="cs"/>
          <w:rtl/>
        </w:rPr>
        <w:t xml:space="preserve">) ונחתם עמו חוזה העסקה חדש (להלן: </w:t>
      </w:r>
      <w:r w:rsidRPr="00A236B6">
        <w:rPr>
          <w:rFonts w:ascii="Century" w:hAnsi="Century" w:cs="Miriam" w:hint="cs"/>
          <w:b/>
          <w:spacing w:val="0"/>
          <w:sz w:val="22"/>
          <w:szCs w:val="24"/>
          <w:rtl/>
        </w:rPr>
        <w:t>"חוזה ההעסקה"</w:t>
      </w:r>
      <w:r>
        <w:rPr>
          <w:rFonts w:hint="cs"/>
          <w:rtl/>
        </w:rPr>
        <w:t>). במסגרת תפקידו כמנהל מכירות אזורי, פעל בשם החברה ב-9 מדינות: ישראל, הודו, בנגלדש, סרי-לנקה, דרום אפריקה, טורקיה, יוון, קפריסין ומלטה.</w:t>
      </w:r>
    </w:p>
    <w:p w:rsidR="00D81A8C" w:rsidRPr="00902704" w:rsidRDefault="00D81A8C" w:rsidP="00D81A8C">
      <w:pPr>
        <w:pStyle w:val="Ruller41"/>
        <w:rPr>
          <w:rtl/>
        </w:rPr>
      </w:pPr>
    </w:p>
    <w:p w:rsidR="00D81A8C" w:rsidRPr="0012296A" w:rsidRDefault="00D81A8C" w:rsidP="00B86B52">
      <w:pPr>
        <w:pStyle w:val="Ruller4"/>
      </w:pPr>
      <w:r>
        <w:rPr>
          <w:rFonts w:hint="cs"/>
          <w:rtl/>
        </w:rPr>
        <w:t xml:space="preserve">בשנת 2007 העתיק כאמור המערער את מגוריו </w:t>
      </w:r>
      <w:r w:rsidR="00B86B52">
        <w:rPr>
          <w:rFonts w:hint="cs"/>
          <w:rtl/>
        </w:rPr>
        <w:t xml:space="preserve">בחזרה </w:t>
      </w:r>
      <w:r>
        <w:rPr>
          <w:rFonts w:hint="cs"/>
          <w:rtl/>
        </w:rPr>
        <w:t xml:space="preserve">לישראל, כאשר אין חולק כי הוא נכנס </w:t>
      </w:r>
      <w:r w:rsidR="00B86B52">
        <w:rPr>
          <w:rFonts w:hint="cs"/>
          <w:rtl/>
        </w:rPr>
        <w:t>ל</w:t>
      </w:r>
      <w:r>
        <w:rPr>
          <w:rFonts w:hint="cs"/>
          <w:rtl/>
        </w:rPr>
        <w:t xml:space="preserve">גדר תושב חוזר ותיק, כהגדרת הפקודה. יוער כי במסגרת ההליך קמא היו </w:t>
      </w:r>
      <w:r w:rsidR="00B86B52">
        <w:rPr>
          <w:rFonts w:hint="cs"/>
          <w:rtl/>
        </w:rPr>
        <w:lastRenderedPageBreak/>
        <w:t xml:space="preserve">הצדדים </w:t>
      </w:r>
      <w:r>
        <w:rPr>
          <w:rFonts w:hint="cs"/>
          <w:rtl/>
        </w:rPr>
        <w:t xml:space="preserve">חלוקים בדבר מועד חזרתו של המערער: האם בינואר 2007, כטענת המשיב, או ביולי 2007, כטענת המערער. בית המשפט קמא קיבל </w:t>
      </w:r>
      <w:r w:rsidR="00B86B52">
        <w:rPr>
          <w:rFonts w:hint="cs"/>
          <w:rtl/>
        </w:rPr>
        <w:t xml:space="preserve">בעניין זה </w:t>
      </w:r>
      <w:r>
        <w:rPr>
          <w:rFonts w:hint="cs"/>
          <w:rtl/>
        </w:rPr>
        <w:t>את טענת המערער, ובשלב הזה המשיב אינו מערער על קביעה זו. מאז חזרתו, המשיך המערער בתפקידו כמנהל מכירות אזורי של 5 מתוך 9 המדינות שהיו באחריותו (ישראל, טורקיה, יוון, קפריסין ומלטה), כאשר במרבית ימי השנה שהה בישראל וביצע את עבודתו מישראל, ו</w:t>
      </w:r>
      <w:r w:rsidR="00B86B52">
        <w:rPr>
          <w:rFonts w:hint="cs"/>
          <w:rtl/>
        </w:rPr>
        <w:t>ב</w:t>
      </w:r>
      <w:r>
        <w:rPr>
          <w:rFonts w:hint="cs"/>
          <w:rtl/>
        </w:rPr>
        <w:t xml:space="preserve">מקצת הימים שהה בחו״ל. </w:t>
      </w:r>
    </w:p>
    <w:p w:rsidR="00D81A8C" w:rsidRPr="00B86B52" w:rsidRDefault="00D81A8C" w:rsidP="00D81A8C">
      <w:pPr>
        <w:pStyle w:val="Ruller41"/>
      </w:pPr>
    </w:p>
    <w:p w:rsidR="00D81A8C" w:rsidRDefault="00D81A8C" w:rsidP="00D81A8C">
      <w:pPr>
        <w:pStyle w:val="Ruller4"/>
        <w:rPr>
          <w:rtl/>
        </w:rPr>
      </w:pPr>
      <w:r>
        <w:rPr>
          <w:rFonts w:hint="cs"/>
          <w:rtl/>
        </w:rPr>
        <w:t xml:space="preserve">המערער הגיש למשיב, פקיד שומה כפר סבא (להלן: </w:t>
      </w:r>
      <w:r w:rsidRPr="00B30B02">
        <w:rPr>
          <w:rFonts w:ascii="Century" w:hAnsi="Century" w:cs="Miriam" w:hint="cs"/>
          <w:b/>
          <w:spacing w:val="0"/>
          <w:sz w:val="22"/>
          <w:szCs w:val="24"/>
          <w:rtl/>
        </w:rPr>
        <w:t>"המשיב"</w:t>
      </w:r>
      <w:r>
        <w:rPr>
          <w:rFonts w:hint="cs"/>
          <w:rtl/>
        </w:rPr>
        <w:t xml:space="preserve"> או </w:t>
      </w:r>
      <w:r w:rsidRPr="00B30B02">
        <w:rPr>
          <w:rFonts w:ascii="Century" w:hAnsi="Century" w:cs="Miriam" w:hint="cs"/>
          <w:b/>
          <w:spacing w:val="0"/>
          <w:sz w:val="22"/>
          <w:szCs w:val="24"/>
          <w:rtl/>
        </w:rPr>
        <w:t>"פקיד השומה"</w:t>
      </w:r>
      <w:r>
        <w:rPr>
          <w:rFonts w:hint="cs"/>
          <w:rtl/>
        </w:rPr>
        <w:t xml:space="preserve">), דוחות מס הכנסה ביחס לשנים 2011-2007 (להלן: </w:t>
      </w:r>
      <w:r w:rsidRPr="006D6941">
        <w:rPr>
          <w:rFonts w:ascii="Century" w:hAnsi="Century" w:cs="Miriam" w:hint="cs"/>
          <w:b/>
          <w:spacing w:val="0"/>
          <w:sz w:val="22"/>
          <w:szCs w:val="24"/>
          <w:rtl/>
        </w:rPr>
        <w:t>"השומה העצמית"</w:t>
      </w:r>
      <w:r>
        <w:rPr>
          <w:rFonts w:hint="cs"/>
          <w:rtl/>
        </w:rPr>
        <w:t>). במסגרת השומה העצמית, ביקש המערער להחיל את סעיף 14(א) לפקודה, והצהיר כי רק 36.68% מתוך הכנסותיו מהחברה הופקו בישראל ולפיכך חייבות במס, כאשר יתרת ההכנסות פטורות ממס משום שהופקו מחוץ לישראל.</w:t>
      </w:r>
    </w:p>
    <w:p w:rsidR="00D81A8C" w:rsidRDefault="00D81A8C" w:rsidP="00D81A8C">
      <w:pPr>
        <w:pStyle w:val="Ruller41"/>
        <w:rPr>
          <w:rtl/>
        </w:rPr>
      </w:pPr>
    </w:p>
    <w:p w:rsidR="00D81A8C" w:rsidRDefault="00D81A8C" w:rsidP="00B86B52">
      <w:pPr>
        <w:pStyle w:val="Ruller4"/>
        <w:rPr>
          <w:rtl/>
        </w:rPr>
      </w:pPr>
      <w:r>
        <w:rPr>
          <w:rFonts w:hint="cs"/>
          <w:rtl/>
        </w:rPr>
        <w:t xml:space="preserve">בהמשך לכך, התקיים דין ודברים בין נציגי המשיב לבין מייצגי המערער. לבירור המחלוקת, ערכה נציגת המשיב ביקור באחת מחברות הבת של חברת האם, אשר מקום מושבה בישראל (להלן: </w:t>
      </w:r>
      <w:r w:rsidRPr="00601561">
        <w:rPr>
          <w:rFonts w:ascii="Century" w:hAnsi="Century" w:cs="Miriam" w:hint="cs"/>
          <w:b/>
          <w:spacing w:val="0"/>
          <w:sz w:val="22"/>
          <w:szCs w:val="24"/>
          <w:rtl/>
        </w:rPr>
        <w:t>"החברה הישראלית"</w:t>
      </w:r>
      <w:r>
        <w:rPr>
          <w:rFonts w:hint="cs"/>
          <w:rtl/>
        </w:rPr>
        <w:t>), לרבות פגישה שהתקיימה עם חשבת החברה הישראלית</w:t>
      </w:r>
      <w:r w:rsidR="00B86B52">
        <w:rPr>
          <w:rFonts w:hint="cs"/>
          <w:rtl/>
        </w:rPr>
        <w:t xml:space="preserve">. החשבת </w:t>
      </w:r>
      <w:r>
        <w:rPr>
          <w:rFonts w:hint="cs"/>
          <w:rtl/>
        </w:rPr>
        <w:t>העידה כי המערער עובד במשרדי החברה הישראלית</w:t>
      </w:r>
      <w:r w:rsidR="00B86B52">
        <w:rPr>
          <w:rFonts w:hint="cs"/>
          <w:rtl/>
        </w:rPr>
        <w:t>,</w:t>
      </w:r>
      <w:r>
        <w:rPr>
          <w:rFonts w:hint="cs"/>
          <w:rtl/>
        </w:rPr>
        <w:t xml:space="preserve"> וכי כל לקוחות החברה הישראלית הם ישראלים. בעקבות זאת, ביום 13.1.2015 הוציא המשיב למערער צווי שומה, בגדרם נקבע כי עיקר עבודתו של המערער בוצע בישראל ובעבור שירותים שניתנו ללקוחות בישראל. חרף זאת, ולפנים משורת הדין כדברי המשיב, הוכרו חלק מהכנסותיו של המערער ככאלה שהופקו בחו"ל ועל כן פטורות ממס (להלן: </w:t>
      </w:r>
      <w:r w:rsidRPr="00011FA7">
        <w:rPr>
          <w:rFonts w:ascii="Century" w:hAnsi="Century" w:cs="Miriam" w:hint="cs"/>
          <w:b/>
          <w:spacing w:val="0"/>
          <w:sz w:val="22"/>
          <w:szCs w:val="24"/>
          <w:rtl/>
        </w:rPr>
        <w:t>"צו</w:t>
      </w:r>
      <w:r>
        <w:rPr>
          <w:rFonts w:ascii="Century" w:hAnsi="Century" w:cs="Miriam" w:hint="cs"/>
          <w:b/>
          <w:spacing w:val="0"/>
          <w:sz w:val="22"/>
          <w:szCs w:val="24"/>
          <w:rtl/>
        </w:rPr>
        <w:t>וי</w:t>
      </w:r>
      <w:r w:rsidRPr="00011FA7">
        <w:rPr>
          <w:rFonts w:ascii="Century" w:hAnsi="Century" w:cs="Miriam" w:hint="cs"/>
          <w:b/>
          <w:spacing w:val="0"/>
          <w:sz w:val="22"/>
          <w:szCs w:val="24"/>
          <w:rtl/>
        </w:rPr>
        <w:t xml:space="preserve"> </w:t>
      </w:r>
      <w:r w:rsidRPr="00AC4A87">
        <w:rPr>
          <w:rFonts w:ascii="Century" w:hAnsi="Century" w:cs="Miriam" w:hint="cs"/>
          <w:b/>
          <w:spacing w:val="0"/>
          <w:sz w:val="22"/>
          <w:szCs w:val="24"/>
          <w:rtl/>
        </w:rPr>
        <w:t>השומה"</w:t>
      </w:r>
      <w:r w:rsidRPr="00AC4A87">
        <w:rPr>
          <w:rFonts w:hint="cs"/>
          <w:rtl/>
        </w:rPr>
        <w:t xml:space="preserve">). </w:t>
      </w:r>
      <w:r>
        <w:rPr>
          <w:rFonts w:hint="cs"/>
          <w:rtl/>
        </w:rPr>
        <w:t>ייחוס זה נעשה</w:t>
      </w:r>
      <w:r w:rsidRPr="00AC4A87">
        <w:rPr>
          <w:rFonts w:hint="cs"/>
          <w:rtl/>
        </w:rPr>
        <w:t xml:space="preserve"> על פי </w:t>
      </w:r>
      <w:r>
        <w:rPr>
          <w:rFonts w:hint="cs"/>
          <w:rtl/>
        </w:rPr>
        <w:t>דרך החישוב</w:t>
      </w:r>
      <w:r w:rsidRPr="00AC4A87">
        <w:rPr>
          <w:rFonts w:hint="cs"/>
          <w:rtl/>
        </w:rPr>
        <w:t xml:space="preserve"> </w:t>
      </w:r>
      <w:r>
        <w:rPr>
          <w:rFonts w:hint="cs"/>
          <w:rtl/>
        </w:rPr>
        <w:t>המוצעת</w:t>
      </w:r>
      <w:r w:rsidRPr="00AC4A87">
        <w:rPr>
          <w:rFonts w:hint="cs"/>
          <w:rtl/>
        </w:rPr>
        <w:t xml:space="preserve"> בחוזר מס הכנסה, דהיינו בהתאם ליחס בין מספר ימי העסקים ששהה המערער בחו"ל מתוך כלל ימי העסקים בשנת המס הרלוונטית, כדלהלן:</w:t>
      </w:r>
    </w:p>
    <w:p w:rsidR="00D81A8C" w:rsidRPr="007D3B0B" w:rsidRDefault="00D81A8C" w:rsidP="00D81A8C">
      <w:pPr>
        <w:pStyle w:val="Ruller41"/>
        <w:rPr>
          <w:rtl/>
        </w:rPr>
      </w:pPr>
    </w:p>
    <w:tbl>
      <w:tblPr>
        <w:bidiVisual/>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2126"/>
        <w:gridCol w:w="2126"/>
      </w:tblGrid>
      <w:tr w:rsidR="00D81A8C" w:rsidTr="00233EAF">
        <w:trPr>
          <w:trHeight w:val="340"/>
        </w:trPr>
        <w:tc>
          <w:tcPr>
            <w:tcW w:w="1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1A8C" w:rsidRPr="00024E9B" w:rsidRDefault="00D81A8C" w:rsidP="00233EAF">
            <w:pPr>
              <w:jc w:val="both"/>
              <w:rPr>
                <w:rFonts w:ascii="Century" w:hAnsi="Century" w:cs="FrankRuehl"/>
                <w:b/>
                <w:bCs/>
                <w:spacing w:val="10"/>
                <w:sz w:val="22"/>
                <w:szCs w:val="28"/>
                <w:rtl/>
              </w:rPr>
            </w:pPr>
            <w:r w:rsidRPr="00024E9B">
              <w:rPr>
                <w:rFonts w:ascii="Century" w:hAnsi="Century" w:cs="FrankRuehl"/>
                <w:b/>
                <w:bCs/>
                <w:spacing w:val="10"/>
                <w:sz w:val="22"/>
                <w:szCs w:val="28"/>
                <w:rtl/>
              </w:rPr>
              <w:t>שנת המס</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81A8C" w:rsidRPr="00024E9B" w:rsidRDefault="00D81A8C" w:rsidP="00233EAF">
            <w:pPr>
              <w:jc w:val="both"/>
              <w:rPr>
                <w:rFonts w:ascii="Century" w:hAnsi="Century" w:cs="FrankRuehl"/>
                <w:b/>
                <w:bCs/>
                <w:spacing w:val="10"/>
                <w:sz w:val="22"/>
                <w:szCs w:val="28"/>
                <w:rtl/>
              </w:rPr>
            </w:pPr>
            <w:r w:rsidRPr="00024E9B">
              <w:rPr>
                <w:rFonts w:ascii="Century" w:hAnsi="Century" w:cs="FrankRuehl" w:hint="cs"/>
                <w:b/>
                <w:bCs/>
                <w:spacing w:val="10"/>
                <w:sz w:val="22"/>
                <w:szCs w:val="28"/>
                <w:rtl/>
              </w:rPr>
              <w:t>אחוז ההכנסה ה</w:t>
            </w:r>
            <w:r w:rsidRPr="00024E9B">
              <w:rPr>
                <w:rFonts w:ascii="Century" w:hAnsi="Century" w:cs="FrankRuehl"/>
                <w:b/>
                <w:bCs/>
                <w:spacing w:val="10"/>
                <w:sz w:val="22"/>
                <w:szCs w:val="28"/>
                <w:rtl/>
              </w:rPr>
              <w:t>משויך לישראל</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81A8C" w:rsidRPr="00024E9B" w:rsidRDefault="00D81A8C" w:rsidP="00233EAF">
            <w:pPr>
              <w:jc w:val="both"/>
              <w:rPr>
                <w:rFonts w:ascii="Century" w:hAnsi="Century" w:cs="FrankRuehl"/>
                <w:b/>
                <w:bCs/>
                <w:spacing w:val="10"/>
                <w:sz w:val="22"/>
                <w:szCs w:val="28"/>
                <w:rtl/>
              </w:rPr>
            </w:pPr>
            <w:r w:rsidRPr="00024E9B">
              <w:rPr>
                <w:rFonts w:ascii="Century" w:hAnsi="Century" w:cs="FrankRuehl" w:hint="cs"/>
                <w:b/>
                <w:bCs/>
                <w:spacing w:val="10"/>
                <w:sz w:val="22"/>
                <w:szCs w:val="28"/>
                <w:rtl/>
              </w:rPr>
              <w:t>אחוז ההכנסה המשויך לחו"ל</w:t>
            </w:r>
          </w:p>
        </w:tc>
      </w:tr>
      <w:tr w:rsidR="00D81A8C" w:rsidTr="00233EAF">
        <w:trPr>
          <w:trHeight w:val="516"/>
        </w:trPr>
        <w:tc>
          <w:tcPr>
            <w:tcW w:w="1420" w:type="dxa"/>
            <w:tcBorders>
              <w:top w:val="single" w:sz="4" w:space="0" w:color="auto"/>
              <w:left w:val="single" w:sz="4" w:space="0" w:color="auto"/>
              <w:bottom w:val="single" w:sz="4" w:space="0" w:color="auto"/>
              <w:right w:val="single" w:sz="4" w:space="0" w:color="auto"/>
            </w:tcBorders>
            <w:shd w:val="clear" w:color="auto" w:fill="auto"/>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2007</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spacing w:val="10"/>
                <w:sz w:val="22"/>
                <w:szCs w:val="28"/>
                <w:rtl/>
              </w:rPr>
              <w:t>64%</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36%</w:t>
            </w:r>
          </w:p>
        </w:tc>
      </w:tr>
      <w:tr w:rsidR="00D81A8C" w:rsidTr="00233EAF">
        <w:trPr>
          <w:trHeight w:val="516"/>
        </w:trPr>
        <w:tc>
          <w:tcPr>
            <w:tcW w:w="1420" w:type="dxa"/>
            <w:tcBorders>
              <w:top w:val="single" w:sz="4" w:space="0" w:color="auto"/>
              <w:left w:val="single" w:sz="4" w:space="0" w:color="auto"/>
              <w:bottom w:val="single" w:sz="4" w:space="0" w:color="auto"/>
              <w:right w:val="single" w:sz="4" w:space="0" w:color="auto"/>
            </w:tcBorders>
            <w:shd w:val="clear" w:color="auto" w:fill="auto"/>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2008</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spacing w:val="10"/>
                <w:sz w:val="22"/>
                <w:szCs w:val="28"/>
                <w:rtl/>
              </w:rPr>
              <w:t>77%</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23%</w:t>
            </w:r>
          </w:p>
        </w:tc>
      </w:tr>
      <w:tr w:rsidR="00D81A8C" w:rsidTr="00233EAF">
        <w:trPr>
          <w:trHeight w:val="516"/>
        </w:trPr>
        <w:tc>
          <w:tcPr>
            <w:tcW w:w="1420" w:type="dxa"/>
            <w:tcBorders>
              <w:top w:val="single" w:sz="4" w:space="0" w:color="auto"/>
              <w:left w:val="single" w:sz="4" w:space="0" w:color="auto"/>
              <w:bottom w:val="single" w:sz="4" w:space="0" w:color="auto"/>
              <w:right w:val="single" w:sz="4" w:space="0" w:color="auto"/>
            </w:tcBorders>
            <w:shd w:val="clear" w:color="auto" w:fill="auto"/>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2009</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spacing w:val="10"/>
                <w:sz w:val="22"/>
                <w:szCs w:val="28"/>
                <w:rtl/>
              </w:rPr>
              <w:t>82%</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18%</w:t>
            </w:r>
          </w:p>
        </w:tc>
      </w:tr>
      <w:tr w:rsidR="00D81A8C" w:rsidTr="00233EAF">
        <w:trPr>
          <w:trHeight w:val="516"/>
        </w:trPr>
        <w:tc>
          <w:tcPr>
            <w:tcW w:w="1420" w:type="dxa"/>
            <w:tcBorders>
              <w:top w:val="single" w:sz="4" w:space="0" w:color="auto"/>
              <w:left w:val="single" w:sz="4" w:space="0" w:color="auto"/>
              <w:bottom w:val="single" w:sz="4" w:space="0" w:color="auto"/>
              <w:right w:val="single" w:sz="4" w:space="0" w:color="auto"/>
            </w:tcBorders>
            <w:shd w:val="clear" w:color="auto" w:fill="auto"/>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2010</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spacing w:val="10"/>
                <w:sz w:val="22"/>
                <w:szCs w:val="28"/>
                <w:rtl/>
              </w:rPr>
              <w:t>91%</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9%</w:t>
            </w:r>
          </w:p>
        </w:tc>
      </w:tr>
      <w:tr w:rsidR="00D81A8C" w:rsidTr="00233EAF">
        <w:trPr>
          <w:trHeight w:val="516"/>
        </w:trPr>
        <w:tc>
          <w:tcPr>
            <w:tcW w:w="1420" w:type="dxa"/>
            <w:tcBorders>
              <w:top w:val="single" w:sz="4" w:space="0" w:color="auto"/>
              <w:left w:val="single" w:sz="4" w:space="0" w:color="auto"/>
              <w:bottom w:val="single" w:sz="4" w:space="0" w:color="auto"/>
              <w:right w:val="single" w:sz="4" w:space="0" w:color="auto"/>
            </w:tcBorders>
            <w:shd w:val="clear" w:color="auto" w:fill="auto"/>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2011</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spacing w:val="10"/>
                <w:sz w:val="22"/>
                <w:szCs w:val="28"/>
                <w:rtl/>
              </w:rPr>
              <w:t>78%</w:t>
            </w:r>
          </w:p>
        </w:tc>
        <w:tc>
          <w:tcPr>
            <w:tcW w:w="2126" w:type="dxa"/>
            <w:tcBorders>
              <w:top w:val="single" w:sz="4" w:space="0" w:color="auto"/>
              <w:left w:val="single" w:sz="4" w:space="0" w:color="auto"/>
              <w:bottom w:val="single" w:sz="4" w:space="0" w:color="auto"/>
              <w:right w:val="single" w:sz="4" w:space="0" w:color="auto"/>
            </w:tcBorders>
          </w:tcPr>
          <w:p w:rsidR="00D81A8C" w:rsidRPr="00024E9B" w:rsidRDefault="00D81A8C" w:rsidP="00233EAF">
            <w:pPr>
              <w:jc w:val="both"/>
              <w:rPr>
                <w:rFonts w:ascii="Century" w:hAnsi="Century" w:cs="FrankRuehl"/>
                <w:spacing w:val="10"/>
                <w:sz w:val="22"/>
                <w:szCs w:val="28"/>
                <w:rtl/>
              </w:rPr>
            </w:pPr>
            <w:r w:rsidRPr="00024E9B">
              <w:rPr>
                <w:rFonts w:ascii="Century" w:hAnsi="Century" w:cs="FrankRuehl" w:hint="cs"/>
                <w:spacing w:val="10"/>
                <w:sz w:val="22"/>
                <w:szCs w:val="28"/>
                <w:rtl/>
              </w:rPr>
              <w:t>22%</w:t>
            </w:r>
          </w:p>
        </w:tc>
      </w:tr>
    </w:tbl>
    <w:p w:rsidR="00D81A8C" w:rsidRDefault="00D81A8C" w:rsidP="00D81A8C">
      <w:pPr>
        <w:pStyle w:val="Ruller4"/>
        <w:numPr>
          <w:ilvl w:val="0"/>
          <w:numId w:val="0"/>
        </w:numPr>
      </w:pPr>
      <w:bookmarkStart w:id="6" w:name="_Hlk500232905"/>
    </w:p>
    <w:p w:rsidR="00D81A8C" w:rsidRPr="00E9592D" w:rsidRDefault="00D81A8C" w:rsidP="00E97BC6">
      <w:pPr>
        <w:pStyle w:val="Ruller4"/>
        <w:overflowPunct/>
        <w:autoSpaceDE/>
        <w:autoSpaceDN/>
        <w:adjustRightInd/>
        <w:spacing w:beforeLines="80" w:before="192" w:after="80"/>
        <w:textAlignment w:val="auto"/>
        <w:rPr>
          <w:rFonts w:ascii="Century" w:hAnsi="Century"/>
          <w:sz w:val="20"/>
        </w:rPr>
      </w:pPr>
      <w:r>
        <w:rPr>
          <w:rFonts w:hint="cs"/>
          <w:rtl/>
        </w:rPr>
        <w:lastRenderedPageBreak/>
        <w:t>המערער לא השלים עם צווי השומה והגיש ערעור מס לבית המשפט קמא. במסגרת הערעור טען כי עניינו נכנס בגדר סעיף 14(א) לפקודה, בין אם דרך חלופת מקום הפקת ההכנסה (לאור תפקידו הגלובלי כמנהל מכירות אזורי) ובין אם דרך חלופת מקום הנכס המניב (משום שההכנסות שקיבל מהחברה הן נגזרת של המוצרים והשיטות שפיתח במהלך שהותו באנגליה, ו</w:t>
      </w:r>
      <w:r w:rsidR="001C1413">
        <w:rPr>
          <w:rFonts w:hint="cs"/>
          <w:rtl/>
        </w:rPr>
        <w:t>לחלופין</w:t>
      </w:r>
      <w:r>
        <w:rPr>
          <w:rFonts w:hint="cs"/>
          <w:rtl/>
        </w:rPr>
        <w:t xml:space="preserve"> של חוזה ההעסקה </w:t>
      </w:r>
      <w:r>
        <w:rPr>
          <w:rtl/>
        </w:rPr>
        <w:t>–</w:t>
      </w:r>
      <w:r>
        <w:rPr>
          <w:rFonts w:hint="cs"/>
          <w:rtl/>
        </w:rPr>
        <w:t xml:space="preserve"> המהווים כולם "נכסים מחוץ לישראל"), ועל כן יש להעמיד את הכנסתו החייבת מהחברה על סכום 0, כך שאיננו חייב במס כלל עבור הכנסות אלו, ולהשיב לו כל סכום מס ששולם בישראל בקשר להכנסות מהחברה. </w:t>
      </w:r>
      <w:r w:rsidR="001C1413">
        <w:rPr>
          <w:rFonts w:ascii="Century" w:hAnsi="Century" w:hint="cs"/>
          <w:sz w:val="20"/>
          <w:rtl/>
        </w:rPr>
        <w:t>לחלופין</w:t>
      </w:r>
      <w:r>
        <w:rPr>
          <w:rFonts w:ascii="Century" w:hAnsi="Century" w:hint="cs"/>
          <w:sz w:val="20"/>
          <w:rtl/>
        </w:rPr>
        <w:t xml:space="preserve">, ביקש המערער להעמיד את הכנסתו החייבת מהחברה על הסכום </w:t>
      </w:r>
      <w:r w:rsidRPr="00E9592D">
        <w:rPr>
          <w:rFonts w:ascii="Century" w:hAnsi="Century" w:hint="cs"/>
          <w:sz w:val="20"/>
          <w:rtl/>
        </w:rPr>
        <w:t xml:space="preserve">שהוצהר בשומה העצמית, דהיינו ייחוס 36.68% מסך הכנסותיו לישראל. לחלופי </w:t>
      </w:r>
      <w:proofErr w:type="spellStart"/>
      <w:r w:rsidRPr="00E9592D">
        <w:rPr>
          <w:rFonts w:ascii="Century" w:hAnsi="Century" w:hint="cs"/>
          <w:sz w:val="20"/>
          <w:rtl/>
        </w:rPr>
        <w:t>חלופין</w:t>
      </w:r>
      <w:proofErr w:type="spellEnd"/>
      <w:r w:rsidRPr="00E9592D">
        <w:rPr>
          <w:rFonts w:ascii="Century" w:hAnsi="Century" w:hint="cs"/>
          <w:sz w:val="20"/>
          <w:rtl/>
        </w:rPr>
        <w:t>, עתר המערער לנקוט בדרך חישוב אחרת לייחוס ההכנסות, על דרך של הוספת "מכפיל" משמעותי לימי שהייתו בחו"ל, וזאת כפי שנעשה לטענתו במקרים אחרים</w:t>
      </w:r>
      <w:r>
        <w:rPr>
          <w:rFonts w:ascii="Century" w:hAnsi="Century" w:hint="cs"/>
          <w:sz w:val="20"/>
          <w:rtl/>
        </w:rPr>
        <w:t xml:space="preserve"> (להלן: </w:t>
      </w:r>
      <w:r w:rsidRPr="001D4B39">
        <w:rPr>
          <w:rFonts w:ascii="Century" w:hAnsi="Century" w:cs="Miriam" w:hint="cs"/>
          <w:b/>
          <w:spacing w:val="0"/>
          <w:sz w:val="22"/>
          <w:szCs w:val="24"/>
          <w:rtl/>
        </w:rPr>
        <w:t>"הסעד החלופי השני"</w:t>
      </w:r>
      <w:r>
        <w:rPr>
          <w:rFonts w:ascii="Century" w:hAnsi="Century" w:hint="cs"/>
          <w:sz w:val="20"/>
          <w:rtl/>
        </w:rPr>
        <w:t>)</w:t>
      </w:r>
      <w:r w:rsidRPr="00E9592D">
        <w:rPr>
          <w:rFonts w:ascii="Century" w:hAnsi="Century" w:hint="cs"/>
          <w:sz w:val="20"/>
          <w:rtl/>
        </w:rPr>
        <w:t>.</w:t>
      </w:r>
    </w:p>
    <w:bookmarkEnd w:id="6"/>
    <w:p w:rsidR="00D81A8C" w:rsidRDefault="00D81A8C" w:rsidP="00D81A8C">
      <w:pPr>
        <w:pStyle w:val="Ruller41"/>
        <w:rPr>
          <w:rtl/>
        </w:rPr>
      </w:pPr>
    </w:p>
    <w:p w:rsidR="00D81A8C" w:rsidRDefault="00D81A8C" w:rsidP="00D81A8C">
      <w:pPr>
        <w:pStyle w:val="Ruller4"/>
        <w:rPr>
          <w:rtl/>
        </w:rPr>
      </w:pPr>
      <w:r>
        <w:rPr>
          <w:rFonts w:hint="cs"/>
          <w:rtl/>
        </w:rPr>
        <w:t>למען שלמות התמונה, יצוין כי בהתאם להסכמות הצדדים, שקיבלו תוקף של פסק דין ביום 19.12.2017, על צו השומה שהוצא למערער לשנת 2012 יחולו קביעות בית המשפט קמא בפסק דינו.</w:t>
      </w:r>
    </w:p>
    <w:p w:rsidR="00D81A8C" w:rsidRDefault="00D81A8C" w:rsidP="00D81A8C">
      <w:pPr>
        <w:pStyle w:val="Ruller41"/>
        <w:rPr>
          <w:rtl/>
        </w:rPr>
      </w:pPr>
    </w:p>
    <w:p w:rsidR="00D81A8C" w:rsidRPr="003A4EDF" w:rsidRDefault="00D81A8C" w:rsidP="00D81A8C">
      <w:pPr>
        <w:pStyle w:val="Ruller41"/>
        <w:rPr>
          <w:rFonts w:ascii="Century" w:hAnsi="Century" w:cs="Miriam"/>
          <w:b/>
          <w:spacing w:val="0"/>
          <w:szCs w:val="24"/>
          <w:rtl/>
        </w:rPr>
      </w:pPr>
      <w:r>
        <w:rPr>
          <w:rFonts w:ascii="Century" w:hAnsi="Century" w:cs="Miriam" w:hint="cs"/>
          <w:b/>
          <w:spacing w:val="0"/>
          <w:szCs w:val="24"/>
          <w:rtl/>
        </w:rPr>
        <w:t>פסק הדין של בית המשפט קמא</w:t>
      </w:r>
    </w:p>
    <w:p w:rsidR="00D81A8C" w:rsidRPr="00E13785" w:rsidRDefault="00D81A8C" w:rsidP="00D81A8C">
      <w:pPr>
        <w:pStyle w:val="Ruller41"/>
      </w:pPr>
    </w:p>
    <w:p w:rsidR="00D81A8C" w:rsidRPr="00CD6DF7" w:rsidRDefault="00D81A8C" w:rsidP="00D81A8C">
      <w:pPr>
        <w:pStyle w:val="Ruller4"/>
        <w:rPr>
          <w:rtl/>
        </w:rPr>
      </w:pPr>
      <w:r>
        <w:rPr>
          <w:rFonts w:hint="cs"/>
          <w:rtl/>
        </w:rPr>
        <w:t xml:space="preserve">ביום 21.1.2018 ניתן פסק דינו של בית המשפט קמא, במסגרתו נדחה עיקר ערעורו של המערער. בית המשפט קמא דחה את טענות המערער ביחס להתקיימות שתי החלופות שבהוראת סעיף 14(א) לפקודה, כמפורט להלן. </w:t>
      </w:r>
    </w:p>
    <w:p w:rsidR="00D81A8C" w:rsidRPr="00CD6DF7" w:rsidRDefault="00D81A8C" w:rsidP="00D81A8C">
      <w:pPr>
        <w:pStyle w:val="Ruller41"/>
      </w:pPr>
    </w:p>
    <w:p w:rsidR="00D81A8C" w:rsidRDefault="00D81A8C" w:rsidP="00D81A8C">
      <w:pPr>
        <w:pStyle w:val="Ruller4"/>
        <w:rPr>
          <w:rtl/>
        </w:rPr>
      </w:pPr>
      <w:r>
        <w:rPr>
          <w:rFonts w:hint="cs"/>
          <w:rtl/>
        </w:rPr>
        <w:t xml:space="preserve">לעניין חלופת מקום הנכס המניב, פסק בית המשפט קמא כי יש לפרש את הוראת סעיף 14(א) לפקודה, ובפרט את ההוראה המתייחסת להכנסות </w:t>
      </w:r>
      <w:r w:rsidRPr="00FE4355">
        <w:rPr>
          <w:rFonts w:ascii="Century" w:hAnsi="Century" w:cs="Miriam" w:hint="cs"/>
          <w:b/>
          <w:spacing w:val="0"/>
          <w:sz w:val="22"/>
          <w:szCs w:val="24"/>
          <w:rtl/>
        </w:rPr>
        <w:t>"שמקורן בנכסים מחוץ לישראל"</w:t>
      </w:r>
      <w:r>
        <w:rPr>
          <w:rFonts w:hint="cs"/>
          <w:rtl/>
        </w:rPr>
        <w:t>, באופן רחב</w:t>
      </w:r>
      <w:r w:rsidRPr="006A67B2">
        <w:rPr>
          <w:rFonts w:hint="cs"/>
          <w:rtl/>
        </w:rPr>
        <w:t xml:space="preserve">. </w:t>
      </w:r>
      <w:r>
        <w:rPr>
          <w:rFonts w:hint="cs"/>
          <w:rtl/>
        </w:rPr>
        <w:t>לאור זאת, קבע בית המשפט קמא</w:t>
      </w:r>
      <w:r w:rsidRPr="006A67B2">
        <w:rPr>
          <w:rFonts w:hint="cs"/>
          <w:rtl/>
        </w:rPr>
        <w:t xml:space="preserve"> כי ניתן להכיר בשיטות עבודה, שיטות מכירה, מוצרים פיננס</w:t>
      </w:r>
      <w:r>
        <w:rPr>
          <w:rFonts w:hint="cs"/>
          <w:rtl/>
        </w:rPr>
        <w:t xml:space="preserve">יים, מנגנונים שונים וכיוצא באלה, שפותחו על ידי תושב חוזר בזמן מגוריו בחו"ל, </w:t>
      </w:r>
      <w:r w:rsidRPr="006A67B2">
        <w:rPr>
          <w:rFonts w:hint="cs"/>
          <w:rtl/>
        </w:rPr>
        <w:t xml:space="preserve">כ"נכס" לצורך סעיף 14(א) לפקודה. </w:t>
      </w:r>
      <w:r>
        <w:rPr>
          <w:rFonts w:hint="cs"/>
          <w:rtl/>
        </w:rPr>
        <w:t xml:space="preserve">עוד נקבע כי לצורך הכרה באותם נכסים כחוסים תחת הפטור שבסעיף 14(א) לפקודה, על הנישום להוכיח התקיימותם של שני תנאים מצטברים: הנכסים שפותחו בחו"ל הם בבעלות התושב החוזר, או שיש לו זיקה ממשית אליהם אפילו שאינם בבעלותו; נכסים אלה הם המקור להפקת ההכנסה. </w:t>
      </w:r>
    </w:p>
    <w:p w:rsidR="00D81A8C" w:rsidRDefault="00D81A8C" w:rsidP="00D81A8C">
      <w:pPr>
        <w:pStyle w:val="Ruller41"/>
        <w:rPr>
          <w:rtl/>
        </w:rPr>
      </w:pPr>
    </w:p>
    <w:p w:rsidR="00D81A8C" w:rsidRDefault="00D81A8C" w:rsidP="00D81A8C">
      <w:pPr>
        <w:pStyle w:val="Ruller4"/>
        <w:numPr>
          <w:ilvl w:val="0"/>
          <w:numId w:val="0"/>
        </w:numPr>
        <w:rPr>
          <w:rtl/>
        </w:rPr>
      </w:pPr>
      <w:r>
        <w:rPr>
          <w:rtl/>
        </w:rPr>
        <w:lastRenderedPageBreak/>
        <w:tab/>
      </w:r>
      <w:r>
        <w:rPr>
          <w:rFonts w:hint="cs"/>
          <w:rtl/>
        </w:rPr>
        <w:t>בעניינו של המערער נפסק כי אף לפי הפרשנות הרחבה של המונח "נכס", הלה לא הצליח להוכיח כי יש בידיו "נכס" שמקורו בחו"ל אשר נמצא בבעלותו או שיש לו זיקה ממשית אליו, ואשר בגינו נצמחה לו הכנסה שהיא נפרדת מהמשכורת הרגילה שמשולמת לו בגין עבודתו. נקבע כי המערער לא הוכיח כי ההכנסה ששולמה לו הייתה בקשר לנכסים שטען שפיתח בעבור החברה. כן ציין בית המשפט קמא כי חוזי ההעסקה אינם בגדר "נכס", ואף עיון בהם לא מלמד על קיומן של זכויות בנכסים כלשהם. בנוסף, בית המשפט קמא זקף לחובתו של המערער את העובדה שמנהלו הישיר לא התייצב לעדות</w:t>
      </w:r>
      <w:r w:rsidR="00B86B52">
        <w:rPr>
          <w:rFonts w:hint="cs"/>
          <w:rtl/>
        </w:rPr>
        <w:t>,</w:t>
      </w:r>
      <w:r>
        <w:rPr>
          <w:rFonts w:hint="cs"/>
          <w:rtl/>
        </w:rPr>
        <w:t xml:space="preserve"> ושהמערער אף לא ביקש להעיד נציג מהחברה שהתנהל מולו בכל הנוגע להתקשרותו בחוזה ההעסקה משנת 2004.</w:t>
      </w:r>
    </w:p>
    <w:p w:rsidR="00D81A8C" w:rsidRDefault="00D81A8C" w:rsidP="00D81A8C">
      <w:pPr>
        <w:pStyle w:val="Ruller41"/>
        <w:rPr>
          <w:rtl/>
        </w:rPr>
      </w:pPr>
    </w:p>
    <w:p w:rsidR="00D81A8C" w:rsidRDefault="00D81A8C" w:rsidP="00D81A8C">
      <w:pPr>
        <w:pStyle w:val="Ruller4"/>
        <w:rPr>
          <w:rtl/>
        </w:rPr>
      </w:pPr>
      <w:r>
        <w:rPr>
          <w:rFonts w:hint="cs"/>
          <w:rtl/>
        </w:rPr>
        <w:t xml:space="preserve">אשר לחלופת מקום הפקת ההכנסה, נקבע כי על פי טענותיו של המערער בעניין זה, התמורה שקיבל מהחברה מקורה בשילוב בין "נכס", שלא הוכח קיומו, לבין עבודה אקטיבית שבוצעה על ידו. על כן, קבע </w:t>
      </w:r>
      <w:r w:rsidR="00B86B52">
        <w:rPr>
          <w:rFonts w:hint="cs"/>
          <w:rtl/>
        </w:rPr>
        <w:t xml:space="preserve">בית המשפט קמא </w:t>
      </w:r>
      <w:r>
        <w:rPr>
          <w:rFonts w:hint="cs"/>
          <w:rtl/>
        </w:rPr>
        <w:t xml:space="preserve">כי נדרש לבחון איזה חלק מהכנסות המערער נובע מעבודה אקטיבית אשר בוצעה בישראל ואיזה חלק בוצע מחוצה לישראל. בית המשפט קמא אימץ את עמדתו של המשיב, ואת החלוקה שנערכה על ידו, משמצא כי התשתית הראייתית עליה נסמכת החלטתו של המשיב הייתה מספיקה בנסיבות העניין, וכי התחשיב שבוצע על ידו מבוסס על חוזר מס הכנסה. לעומת זאת, קבע בית המשפט קמא כי יש לדחות את טיעוניי המערער בעניין זה מהטעמים הבאים: אין לקבל את עמדתו של המערער כי סכום ההכנסה החייבת עומד על 0, משום שהדבר מהווה סטייה משומתו העצמית שהגיש לפקיד השומה; לא ניתן גם לקבל את החלוקה של ההכנסות שהציע במסגרת שומתו העצמית מאחר שבמהלך ההליך אמר המערער באופן מפורש כי הדיווח שניתן היה </w:t>
      </w:r>
      <w:r w:rsidRPr="00F063EC">
        <w:rPr>
          <w:rFonts w:ascii="Century" w:hAnsi="Century" w:cs="Miriam" w:hint="cs"/>
          <w:b/>
          <w:spacing w:val="0"/>
          <w:sz w:val="22"/>
          <w:szCs w:val="24"/>
          <w:rtl/>
        </w:rPr>
        <w:t>"שרירותי ומלאכותי"</w:t>
      </w:r>
      <w:r>
        <w:rPr>
          <w:rFonts w:hint="cs"/>
          <w:rtl/>
        </w:rPr>
        <w:t>; מלבד שומתו העצמית, לא הובאו על ידי המערער ראיות אחרות בדבר האופן שבו יש לפצל את ההכנסה, ואף לא הוצג על ידו כל תחשיב חלופי; עוד נקבע כי אין לקבל את טענת המערער לסעד החלופי השני מחמת הרחבת חזית אסורה, משהטענה לא הועלתה במסגרת דיוני השומה ואף לא בנימוקי הערעור.</w:t>
      </w:r>
    </w:p>
    <w:p w:rsidR="00D81A8C" w:rsidRDefault="00D81A8C" w:rsidP="00D81A8C">
      <w:pPr>
        <w:pStyle w:val="Ruller4"/>
        <w:numPr>
          <w:ilvl w:val="0"/>
          <w:numId w:val="0"/>
        </w:numPr>
        <w:rPr>
          <w:rFonts w:ascii="Arial TUR" w:hAnsi="Arial TUR"/>
          <w:sz w:val="22"/>
          <w:rtl/>
        </w:rPr>
      </w:pPr>
    </w:p>
    <w:p w:rsidR="00D81A8C" w:rsidRDefault="00D81A8C" w:rsidP="00D81A8C">
      <w:pPr>
        <w:pStyle w:val="Ruller41"/>
        <w:rPr>
          <w:rtl/>
        </w:rPr>
      </w:pPr>
      <w:r>
        <w:rPr>
          <w:rtl/>
        </w:rPr>
        <w:tab/>
      </w:r>
      <w:r>
        <w:rPr>
          <w:rFonts w:hint="cs"/>
          <w:rtl/>
        </w:rPr>
        <w:t xml:space="preserve">בהינתן האמור, נקבע כי יש לקבל את התחשיב שערך המשיב בכל הנוגע לשנות המס 2011-2007, וכן לשנת המס 2012 בהתאם להסכמת הצדדים. לצד זאת, בית המשפט קמא עמד על כך שנפלו מספר שגיאות בתחשיב המשיב, אך לאור אמירתו של המשיב כי הוא אינו מתנגד לתיקונן, וככל שהמערער יציג בפני המשיב נתונים מתאימים, נקבע כי המשיב יתקן את התחשיב בהתאם. </w:t>
      </w:r>
    </w:p>
    <w:p w:rsidR="00D81A8C" w:rsidRDefault="00D81A8C" w:rsidP="00D81A8C">
      <w:pPr>
        <w:pStyle w:val="Ruller41"/>
        <w:rPr>
          <w:rtl/>
        </w:rPr>
      </w:pPr>
    </w:p>
    <w:p w:rsidR="00D81A8C" w:rsidRPr="00A127E2" w:rsidRDefault="00D81A8C" w:rsidP="00D81A8C">
      <w:pPr>
        <w:pStyle w:val="Ruller4"/>
        <w:rPr>
          <w:rtl/>
        </w:rPr>
      </w:pPr>
      <w:r>
        <w:rPr>
          <w:rFonts w:hint="cs"/>
          <w:rtl/>
        </w:rPr>
        <w:lastRenderedPageBreak/>
        <w:t xml:space="preserve">בצד האמור, בית המשפט קמא קיבל את טענתו של המערער לפיה מועד חזרתו לארץ אירע ביולי 2007 ולא בינואר 2007, כטענת פקיד השומה. זאת, בהסתמך על דיווחיו של המערער לפקיד השומה, בנסיבות האישיות של המערער בשעתו, במכתב מטעם החברה שהציג המערער, ובשל טיבו ומהותו </w:t>
      </w:r>
      <w:r w:rsidR="00CB788A">
        <w:rPr>
          <w:rFonts w:hint="cs"/>
          <w:rtl/>
        </w:rPr>
        <w:t xml:space="preserve">של תהליך העתקת מגורים לארץ אחרת, </w:t>
      </w:r>
      <w:r>
        <w:rPr>
          <w:rFonts w:hint="cs"/>
          <w:rtl/>
        </w:rPr>
        <w:t>אשר נעשה בהדרגתיות ולאורך פרק זמן שאיננו קצר.</w:t>
      </w:r>
    </w:p>
    <w:p w:rsidR="00D81A8C" w:rsidRDefault="00D81A8C" w:rsidP="00D81A8C">
      <w:pPr>
        <w:pStyle w:val="Ruller41"/>
        <w:rPr>
          <w:rtl/>
        </w:rPr>
      </w:pPr>
    </w:p>
    <w:p w:rsidR="00D81A8C" w:rsidRDefault="00D81A8C" w:rsidP="00D81A8C">
      <w:pPr>
        <w:pStyle w:val="Ruller4"/>
        <w:rPr>
          <w:rtl/>
        </w:rPr>
      </w:pPr>
      <w:r>
        <w:rPr>
          <w:rFonts w:hint="cs"/>
          <w:rtl/>
        </w:rPr>
        <w:t>לבסוף, נדחתה טענתו של המערער להסתמכות על הטבת המס, הן משום שהמערער לא הביא כל ביסוס לטענתו כי הטבת המס היוותה שיקול מרכזי בהחלטתו להעתיק את מגוריו לארץ, והן משום שהמערער שב לארץ עוד בטרם חוקק תיקון 168 ועל אף שהונחו הכוונות לחוקקו, החקיקה טרם הבשילה וכלל לא הייתה ודאית, והמערער לא הציג כל מסמך או גורם עליו הסתמך לכאורה. מכל מקום, נקבע כי הסתמכות על התיקון לחוק, כשלעצמה, אין בה כדי להוביל למתן הטבת המס והמערער נדרש לעמוד בתנאים שנקבעו בסעיף 14(א) לפקודה.</w:t>
      </w:r>
    </w:p>
    <w:p w:rsidR="00D81A8C" w:rsidRDefault="00D81A8C" w:rsidP="00D81A8C">
      <w:pPr>
        <w:pStyle w:val="Ruller41"/>
        <w:rPr>
          <w:rtl/>
        </w:rPr>
      </w:pPr>
    </w:p>
    <w:p w:rsidR="00D81A8C" w:rsidRPr="00B55FA2" w:rsidRDefault="00D81A8C" w:rsidP="00D81A8C">
      <w:pPr>
        <w:pStyle w:val="Ruller41"/>
        <w:rPr>
          <w:rFonts w:ascii="Century" w:hAnsi="Century" w:cs="Miriam"/>
          <w:b/>
          <w:spacing w:val="0"/>
          <w:szCs w:val="24"/>
          <w:rtl/>
        </w:rPr>
      </w:pPr>
      <w:r w:rsidRPr="00B55FA2">
        <w:rPr>
          <w:rFonts w:ascii="Century" w:hAnsi="Century" w:cs="Miriam" w:hint="cs"/>
          <w:b/>
          <w:spacing w:val="0"/>
          <w:szCs w:val="24"/>
          <w:rtl/>
        </w:rPr>
        <w:t>טענות המערער</w:t>
      </w:r>
    </w:p>
    <w:p w:rsidR="00D81A8C" w:rsidRDefault="00D81A8C" w:rsidP="00D81A8C">
      <w:pPr>
        <w:pStyle w:val="Ruller41"/>
        <w:rPr>
          <w:rtl/>
        </w:rPr>
      </w:pPr>
    </w:p>
    <w:p w:rsidR="00D81A8C" w:rsidRDefault="00D81A8C" w:rsidP="00E97BC6">
      <w:pPr>
        <w:pStyle w:val="Ruller4"/>
        <w:rPr>
          <w:rtl/>
        </w:rPr>
      </w:pPr>
      <w:r>
        <w:rPr>
          <w:rFonts w:hint="cs"/>
          <w:rtl/>
        </w:rPr>
        <w:t>במסגרת הערעור, מבקש המערער כי נבטל את פסק דינו של בית המשפט קמא ונורה כי כלל הכנסותיו של המערער בשנות המס הרלוונטיות פטורות מתשלום מס הכנסה, ו</w:t>
      </w:r>
      <w:r w:rsidR="001C1413">
        <w:rPr>
          <w:rFonts w:hint="cs"/>
          <w:rtl/>
        </w:rPr>
        <w:t>לחלופין</w:t>
      </w:r>
      <w:r>
        <w:rPr>
          <w:rFonts w:hint="cs"/>
          <w:rtl/>
        </w:rPr>
        <w:t xml:space="preserve"> שנקבע כי המערער יישא בתשלום מס על פי השומה העצמית שערך. בטיעוניו, מתמקד המערער בהתקיימות חלופת מקום הנכס המניב, ואיננו מערער על קביעותיו של בית המשפט קמא ביחס להתקיימות החלופה השנייה </w:t>
      </w:r>
      <w:r>
        <w:rPr>
          <w:rtl/>
        </w:rPr>
        <w:t>–</w:t>
      </w:r>
      <w:r>
        <w:rPr>
          <w:rFonts w:hint="cs"/>
          <w:rtl/>
        </w:rPr>
        <w:t xml:space="preserve"> מקום הפקת ההכנסה. </w:t>
      </w:r>
    </w:p>
    <w:p w:rsidR="00D81A8C" w:rsidRPr="006D6941" w:rsidRDefault="00D81A8C" w:rsidP="00D81A8C">
      <w:pPr>
        <w:pStyle w:val="Ruller41"/>
        <w:rPr>
          <w:rtl/>
        </w:rPr>
      </w:pPr>
    </w:p>
    <w:p w:rsidR="00D81A8C" w:rsidRDefault="00D81A8C" w:rsidP="00D81A8C">
      <w:pPr>
        <w:pStyle w:val="Ruller4"/>
        <w:rPr>
          <w:rtl/>
        </w:rPr>
      </w:pPr>
      <w:r>
        <w:rPr>
          <w:rFonts w:hint="cs"/>
          <w:rtl/>
        </w:rPr>
        <w:t xml:space="preserve">תחילה, מבקש המערער להוסיף בגדר הערעור טיעון משפטי נוסף, שלא הועלה לפני בית המשפט קמא, המבוסס לשיטתו על התשתית העובדתית שנקבעה בפסק הדין. לטענת המערער, יש לראות בחברה כ"נכס" על פי פרשנות סעיף 14(א) לפקודה. מכאן, על פי חלופת מקום הנכס המניב, הואיל והכנסתו שולמה על ידי החברה, שפעילותה ובסיסה באנגליה, ואשר העסיקה אותו גם לפני שובו לישראל, יש לראות בהכנסה </w:t>
      </w:r>
      <w:proofErr w:type="spellStart"/>
      <w:r>
        <w:rPr>
          <w:rFonts w:hint="cs"/>
          <w:rtl/>
        </w:rPr>
        <w:t>ככזו</w:t>
      </w:r>
      <w:proofErr w:type="spellEnd"/>
      <w:r>
        <w:rPr>
          <w:rFonts w:hint="cs"/>
          <w:rtl/>
        </w:rPr>
        <w:t xml:space="preserve"> אשר נובעת מנכס בחו"ל, אשר למערער יש זיקה ממשית אליו, אפילו אם העבודה בוצעה בישראל </w:t>
      </w:r>
      <w:r>
        <w:rPr>
          <w:rtl/>
        </w:rPr>
        <w:t>–</w:t>
      </w:r>
      <w:r>
        <w:rPr>
          <w:rFonts w:hint="cs"/>
          <w:rtl/>
        </w:rPr>
        <w:t xml:space="preserve"> ועל כן פטורה ממס.</w:t>
      </w:r>
    </w:p>
    <w:p w:rsidR="00D81A8C" w:rsidRDefault="00D81A8C" w:rsidP="00D81A8C">
      <w:pPr>
        <w:pStyle w:val="Ruller4"/>
        <w:numPr>
          <w:ilvl w:val="0"/>
          <w:numId w:val="0"/>
        </w:numPr>
      </w:pPr>
    </w:p>
    <w:p w:rsidR="00D81A8C" w:rsidRDefault="00D81A8C" w:rsidP="00CB788A">
      <w:pPr>
        <w:pStyle w:val="Ruller4"/>
        <w:rPr>
          <w:rtl/>
        </w:rPr>
      </w:pPr>
      <w:r>
        <w:rPr>
          <w:rFonts w:hint="cs"/>
          <w:rtl/>
        </w:rPr>
        <w:t xml:space="preserve">לאחר מכן, טוען המערער לשגיאות שנפלו בפסק הדין של בית המשפט קמא: </w:t>
      </w:r>
      <w:r w:rsidRPr="00273E84">
        <w:rPr>
          <w:rFonts w:ascii="Century" w:hAnsi="Century" w:cs="Miriam" w:hint="cs"/>
          <w:b/>
          <w:spacing w:val="0"/>
          <w:sz w:val="22"/>
          <w:szCs w:val="24"/>
          <w:rtl/>
        </w:rPr>
        <w:t>ראשית</w:t>
      </w:r>
      <w:r>
        <w:rPr>
          <w:rFonts w:hint="cs"/>
          <w:rtl/>
        </w:rPr>
        <w:t xml:space="preserve">, גורס המערער כי בית המשפט קמא </w:t>
      </w:r>
      <w:r w:rsidR="00CB788A">
        <w:rPr>
          <w:rFonts w:hint="cs"/>
          <w:rtl/>
        </w:rPr>
        <w:t xml:space="preserve">שגה </w:t>
      </w:r>
      <w:r>
        <w:rPr>
          <w:rFonts w:hint="cs"/>
          <w:rtl/>
        </w:rPr>
        <w:t xml:space="preserve">שעה שקבע כי חוזי ההעסקה שלו עם החברה אינם בגדר "נכס" לפי סעיף 14(א) לפקודה. לשיטת המערער, המונח "נכס" כולל </w:t>
      </w:r>
      <w:r>
        <w:rPr>
          <w:rFonts w:hint="cs"/>
          <w:rtl/>
        </w:rPr>
        <w:lastRenderedPageBreak/>
        <w:t xml:space="preserve">בתוכו גם הסכמי עבודה. מסקנה זו עולה, לדידו, הן מפרשנות לשונית של המונח, הן מפסיקות בית משפט זה הרואות בהסכמי עבודה כ"נכס", הן מתכליתו של תיקון 168 וסעיף 14(א) לפקודה בפרט, והן לפי גישתו של בית המשפט קמא על פיה יש לפרש את סעיף 14(א) לפקודה באופן רחב. המערער מוסיף ומדגיש כי אי הכרה בהסכמי עבודה כ"נכס" מחטיאה </w:t>
      </w:r>
      <w:r w:rsidR="00CB788A">
        <w:rPr>
          <w:rFonts w:hint="cs"/>
          <w:rtl/>
        </w:rPr>
        <w:t>את ה</w:t>
      </w:r>
      <w:r>
        <w:rPr>
          <w:rFonts w:hint="cs"/>
          <w:rtl/>
        </w:rPr>
        <w:t xml:space="preserve">תכליות שביקש המחוקק לקדם, פוגעת בוודאות הנישומים ואף יוצרת בקיעים רבים שידרשו מהמחוקק השלמות מרובות. </w:t>
      </w:r>
    </w:p>
    <w:p w:rsidR="00D81A8C" w:rsidRDefault="00D81A8C" w:rsidP="00D81A8C">
      <w:pPr>
        <w:pStyle w:val="Ruller41"/>
        <w:rPr>
          <w:rtl/>
        </w:rPr>
      </w:pPr>
    </w:p>
    <w:p w:rsidR="00D81A8C" w:rsidRPr="00E16A6D" w:rsidRDefault="00D81A8C" w:rsidP="00F4312E">
      <w:pPr>
        <w:pStyle w:val="Ruller4"/>
        <w:rPr>
          <w:rtl/>
        </w:rPr>
      </w:pPr>
      <w:r w:rsidRPr="00374B46">
        <w:rPr>
          <w:rFonts w:ascii="Century" w:hAnsi="Century" w:cs="Miriam" w:hint="cs"/>
          <w:b/>
          <w:spacing w:val="0"/>
          <w:sz w:val="22"/>
          <w:szCs w:val="24"/>
          <w:rtl/>
        </w:rPr>
        <w:t>שנית</w:t>
      </w:r>
      <w:r>
        <w:rPr>
          <w:rFonts w:hint="cs"/>
          <w:rtl/>
        </w:rPr>
        <w:t xml:space="preserve">, לטענת המערער שגה בית המשפט קמא עת קבע כי הכנסותיו אינן נובעות מאותו צרור נכסים שהוכר על ידו. מחד גיסא, הכיר בית המשפט קמא כי המערער פיתח "צרור נכסים", וכן כי החברה נאותה לשלם למערער שכר בעד אותם נכסים, ומאידך גיסא, ובאופן מנוגד לעובדות ולפרשנות הרחבה שהעניק לסעיף 14(א) לפקודה, הגיע למסקנה כי המערער לא הוכיח שהשכר ששולם לו הוא בקשר לאותם נכסים. המערער מדגיש כי כל עבודתו קשורה באותם נכסים שפיתח ומשכך כל הכנסתו מקורה בנכסים אלה, ובמנותק ממקום ביצוע עבודתו. בהקשר זה, מוסיף וטוען המערער כי בית המשפט קמא </w:t>
      </w:r>
      <w:r w:rsidR="00F4312E">
        <w:rPr>
          <w:rFonts w:hint="cs"/>
          <w:rtl/>
        </w:rPr>
        <w:t xml:space="preserve">טשטש </w:t>
      </w:r>
      <w:r>
        <w:rPr>
          <w:rFonts w:hint="cs"/>
          <w:rtl/>
        </w:rPr>
        <w:t>הלכה למעשה את ההבחנה בין חלופת מקום הפקת ההכנסה לבין חלופת מקום הנכס המניב, בעוד שמדובר בשני מבחנים עצמאים ונפרדים זה מזה. עוד טוען המערער כי קביעות בית המשפט יוצרות חובות חדשות, שאינן מעוגנות בהוראת סעיף 14(א) לפקודה, כגון החובה להראות גידול בשכרו לאחר שובו ארצה, או הנטל להשוות את שכרו עם שכרם של עובדים אחרים בחברה, או הוכחת הפיצול בהיקף ההכנסות המיוחסות לישראל ואלו המיוחסות לחו״ל.</w:t>
      </w:r>
    </w:p>
    <w:p w:rsidR="00D81A8C" w:rsidRDefault="00D81A8C" w:rsidP="00D81A8C">
      <w:pPr>
        <w:pStyle w:val="Ruller41"/>
        <w:rPr>
          <w:rtl/>
        </w:rPr>
      </w:pPr>
    </w:p>
    <w:p w:rsidR="00D81A8C" w:rsidRDefault="00D81A8C" w:rsidP="00E97BC6">
      <w:pPr>
        <w:pStyle w:val="Ruller4"/>
        <w:rPr>
          <w:rtl/>
        </w:rPr>
      </w:pPr>
      <w:r>
        <w:rPr>
          <w:rFonts w:ascii="Century" w:hAnsi="Century" w:cs="Miriam" w:hint="cs"/>
          <w:b/>
          <w:spacing w:val="0"/>
          <w:sz w:val="22"/>
          <w:szCs w:val="24"/>
          <w:rtl/>
        </w:rPr>
        <w:t>שלישית</w:t>
      </w:r>
      <w:r>
        <w:rPr>
          <w:rFonts w:hint="cs"/>
          <w:rtl/>
        </w:rPr>
        <w:t>, טוען המערער כי בית המשפט קמא ביסס את הכרעתו בדבר אי התקיימות חלופת מקום הנכס המניב על טענות שכלל לא הועלו על ידי פקיד השומה, ו</w:t>
      </w:r>
      <w:r w:rsidR="001C1413">
        <w:rPr>
          <w:rFonts w:hint="cs"/>
          <w:rtl/>
        </w:rPr>
        <w:t>לחלופין</w:t>
      </w:r>
      <w:r>
        <w:rPr>
          <w:rFonts w:hint="cs"/>
          <w:rtl/>
        </w:rPr>
        <w:t xml:space="preserve"> נטענו על ידו רק בשלב הסיכומים, תוך הרחבת חזית אסורה. בפרט, טוען המערער כי לאורך ההליך התמקד פקיד השומה בחלופת מקום הפקת ההכנסה בלבד, ולא בחלופת מקום הנכס המניב, ועל כן לא היה מקום לדחות את התקיימות החלופה האחרונה.</w:t>
      </w:r>
    </w:p>
    <w:p w:rsidR="00D81A8C" w:rsidRDefault="00D81A8C" w:rsidP="00D81A8C">
      <w:pPr>
        <w:pStyle w:val="Ruller41"/>
        <w:rPr>
          <w:rtl/>
        </w:rPr>
      </w:pPr>
    </w:p>
    <w:p w:rsidR="00D81A8C" w:rsidRPr="000E7776" w:rsidRDefault="00D81A8C" w:rsidP="00D81A8C">
      <w:pPr>
        <w:pStyle w:val="Ruller4"/>
        <w:rPr>
          <w:rtl/>
        </w:rPr>
      </w:pPr>
      <w:r w:rsidRPr="00425435">
        <w:rPr>
          <w:rFonts w:ascii="Century" w:hAnsi="Century" w:cs="Miriam" w:hint="cs"/>
          <w:b/>
          <w:spacing w:val="0"/>
          <w:sz w:val="22"/>
          <w:szCs w:val="24"/>
          <w:rtl/>
        </w:rPr>
        <w:t>לבסוף</w:t>
      </w:r>
      <w:r>
        <w:rPr>
          <w:rFonts w:hint="cs"/>
          <w:rtl/>
        </w:rPr>
        <w:t xml:space="preserve">, טוען המערער כי צווי השומה התבססו על הביקור שערכה נציגת פקיד השומה במשרדי החברה הישראלית, ובפרט על דברי חשבת החברה הישראלית </w:t>
      </w:r>
      <w:r>
        <w:rPr>
          <w:rtl/>
        </w:rPr>
        <w:t>–</w:t>
      </w:r>
      <w:r>
        <w:rPr>
          <w:rFonts w:hint="cs"/>
          <w:rtl/>
        </w:rPr>
        <w:t xml:space="preserve"> אשר לשיטתו מהווה עדות לא רלוונטית, ולמצער חסרה באופן משמעותי. משכך, סבור המערער כי היה על בית המשפט קמא לפסול את צווי השומה משום שהתבססו על מידע חסר ולקוי. </w:t>
      </w:r>
    </w:p>
    <w:p w:rsidR="00D81A8C" w:rsidRDefault="00D81A8C" w:rsidP="00D81A8C">
      <w:pPr>
        <w:pStyle w:val="Ruller41"/>
        <w:rPr>
          <w:rtl/>
        </w:rPr>
      </w:pPr>
    </w:p>
    <w:p w:rsidR="00D81A8C" w:rsidRPr="00B55FA2" w:rsidRDefault="00D81A8C" w:rsidP="00D81A8C">
      <w:pPr>
        <w:pStyle w:val="Ruller41"/>
        <w:rPr>
          <w:rFonts w:ascii="Century" w:hAnsi="Century" w:cs="Miriam"/>
          <w:b/>
          <w:spacing w:val="0"/>
          <w:szCs w:val="24"/>
          <w:rtl/>
        </w:rPr>
      </w:pPr>
      <w:r w:rsidRPr="00B55FA2">
        <w:rPr>
          <w:rFonts w:ascii="Century" w:hAnsi="Century" w:cs="Miriam" w:hint="cs"/>
          <w:b/>
          <w:spacing w:val="0"/>
          <w:szCs w:val="24"/>
          <w:rtl/>
        </w:rPr>
        <w:lastRenderedPageBreak/>
        <w:t>טענות פקיד השומה</w:t>
      </w:r>
    </w:p>
    <w:p w:rsidR="00D81A8C" w:rsidRDefault="00D81A8C" w:rsidP="00D81A8C">
      <w:pPr>
        <w:pStyle w:val="Ruller41"/>
        <w:rPr>
          <w:rFonts w:ascii="Century" w:hAnsi="Century" w:cs="Miriam"/>
          <w:b/>
          <w:spacing w:val="0"/>
          <w:szCs w:val="24"/>
          <w:rtl/>
        </w:rPr>
      </w:pPr>
    </w:p>
    <w:p w:rsidR="00D81A8C" w:rsidRDefault="00D81A8C" w:rsidP="00D81A8C">
      <w:pPr>
        <w:pStyle w:val="Ruller4"/>
        <w:rPr>
          <w:rtl/>
        </w:rPr>
      </w:pPr>
      <w:r>
        <w:rPr>
          <w:rFonts w:hint="cs"/>
          <w:rtl/>
        </w:rPr>
        <w:t xml:space="preserve">פקיד השומה גורס כי קביעות בית המשפט קמא בדין יסודן. לדבריו, חלופת מקום הנכס המניב איננה רלוונטית בנסיבות העניין, הן משום שהמערער לא הוכיח קיומם של נכסים כאמור והן משום שחלופה זו איננה רלוונטית כאשר מדובר בהכנסות מעבודה. אשר לחלופת מקום הפקת ההכנסה, מדגיש פקיד השומה כי על פי סעיף 4א(א)(4) לפקודה, כאשר מדובר בהכנסה מעבודה יראו את ״מקום ביצוע העבודה״ כמקום שבו נצמחה ההכנסה. בענייננו, מקור הכנסותיו של המערער הוא מעבודה שבוצעה בישראל, בהיותו תושב ישראלי, ועל כן אינן נכנסות בגדר סעיף 14(א) לפקודה. </w:t>
      </w:r>
    </w:p>
    <w:p w:rsidR="00D81A8C" w:rsidRPr="00E24978" w:rsidRDefault="00D81A8C" w:rsidP="00D81A8C">
      <w:pPr>
        <w:pStyle w:val="Ruller41"/>
      </w:pPr>
    </w:p>
    <w:p w:rsidR="00D81A8C" w:rsidRDefault="00D81A8C" w:rsidP="00D81A8C">
      <w:pPr>
        <w:pStyle w:val="Ruller4"/>
      </w:pPr>
      <w:r>
        <w:rPr>
          <w:rFonts w:hint="cs"/>
          <w:rtl/>
        </w:rPr>
        <w:t>פקיד השומה טוען כי אין לקבל את ניסיונו של המערער להציג את מקור הכנסתו בנכס מחוץ לישראל שעה שהלה כלל לא הוכיח קיומו של נכס כלשהו מחוץ לישראל אשר משמש כמקור להכנסתו. אשר לטענות המערער כי חוזי ההעסקה והשיטות שטען לפיתוחן הם בגדר "נכס", טוען פקיד השומה כי אלה נדחו על ידי בית המשפט קמא משום שלא הוכחו על ידי המערער, ואין זו דרכה של ערכאת הערעור להתערב בממצאים עובדתיים.</w:t>
      </w:r>
      <w:r w:rsidRPr="00C71AEB">
        <w:rPr>
          <w:rtl/>
        </w:rPr>
        <w:t xml:space="preserve"> </w:t>
      </w:r>
      <w:r w:rsidRPr="00C71AEB">
        <w:rPr>
          <w:rFonts w:hint="eastAsia"/>
          <w:rtl/>
        </w:rPr>
        <w:t>בהקשר</w:t>
      </w:r>
      <w:r w:rsidRPr="00C71AEB">
        <w:rPr>
          <w:rtl/>
        </w:rPr>
        <w:t xml:space="preserve"> </w:t>
      </w:r>
      <w:r w:rsidRPr="00C71AEB">
        <w:rPr>
          <w:rFonts w:hint="eastAsia"/>
          <w:rtl/>
        </w:rPr>
        <w:t>זה</w:t>
      </w:r>
      <w:r w:rsidRPr="00C71AEB">
        <w:rPr>
          <w:rtl/>
        </w:rPr>
        <w:t xml:space="preserve">, </w:t>
      </w:r>
      <w:r w:rsidRPr="00C71AEB">
        <w:rPr>
          <w:rFonts w:hint="eastAsia"/>
          <w:rtl/>
        </w:rPr>
        <w:t>מדגיש</w:t>
      </w:r>
      <w:r w:rsidRPr="00C71AEB">
        <w:rPr>
          <w:rtl/>
        </w:rPr>
        <w:t xml:space="preserve"> </w:t>
      </w:r>
      <w:r w:rsidRPr="00C71AEB">
        <w:rPr>
          <w:rFonts w:hint="eastAsia"/>
          <w:rtl/>
        </w:rPr>
        <w:t>פקיד</w:t>
      </w:r>
      <w:r w:rsidRPr="00C71AEB">
        <w:rPr>
          <w:rtl/>
        </w:rPr>
        <w:t xml:space="preserve"> </w:t>
      </w:r>
      <w:r w:rsidRPr="00C71AEB">
        <w:rPr>
          <w:rFonts w:hint="eastAsia"/>
          <w:rtl/>
        </w:rPr>
        <w:t>השומה</w:t>
      </w:r>
      <w:r w:rsidRPr="00C71AEB">
        <w:rPr>
          <w:rtl/>
        </w:rPr>
        <w:t xml:space="preserve"> </w:t>
      </w:r>
      <w:r w:rsidRPr="00C71AEB">
        <w:rPr>
          <w:rFonts w:hint="eastAsia"/>
          <w:rtl/>
        </w:rPr>
        <w:t>כי</w:t>
      </w:r>
      <w:r w:rsidRPr="00C71AEB">
        <w:rPr>
          <w:rtl/>
        </w:rPr>
        <w:t xml:space="preserve"> </w:t>
      </w:r>
      <w:r w:rsidRPr="00C71AEB">
        <w:rPr>
          <w:rFonts w:hint="eastAsia"/>
          <w:rtl/>
        </w:rPr>
        <w:t>הפרשנות</w:t>
      </w:r>
      <w:r w:rsidRPr="00C71AEB">
        <w:rPr>
          <w:rtl/>
        </w:rPr>
        <w:t xml:space="preserve"> </w:t>
      </w:r>
      <w:r w:rsidRPr="00C71AEB">
        <w:rPr>
          <w:rFonts w:hint="eastAsia"/>
          <w:rtl/>
        </w:rPr>
        <w:t>המרחיבה</w:t>
      </w:r>
      <w:r w:rsidRPr="00C71AEB">
        <w:rPr>
          <w:rtl/>
        </w:rPr>
        <w:t xml:space="preserve"> </w:t>
      </w:r>
      <w:r w:rsidRPr="00C71AEB">
        <w:rPr>
          <w:rFonts w:hint="eastAsia"/>
          <w:rtl/>
        </w:rPr>
        <w:t>שנתן</w:t>
      </w:r>
      <w:r w:rsidRPr="00C71AEB">
        <w:rPr>
          <w:rtl/>
        </w:rPr>
        <w:t xml:space="preserve"> </w:t>
      </w:r>
      <w:r w:rsidRPr="00C71AEB">
        <w:rPr>
          <w:rFonts w:hint="eastAsia"/>
          <w:rtl/>
        </w:rPr>
        <w:t>בית</w:t>
      </w:r>
      <w:r w:rsidRPr="00C71AEB">
        <w:rPr>
          <w:rtl/>
        </w:rPr>
        <w:t xml:space="preserve"> </w:t>
      </w:r>
      <w:r w:rsidRPr="00C71AEB">
        <w:rPr>
          <w:rFonts w:hint="eastAsia"/>
          <w:rtl/>
        </w:rPr>
        <w:t>המשפט</w:t>
      </w:r>
      <w:r w:rsidRPr="00C71AEB">
        <w:rPr>
          <w:rtl/>
        </w:rPr>
        <w:t xml:space="preserve"> </w:t>
      </w:r>
      <w:r w:rsidRPr="00C71AEB">
        <w:rPr>
          <w:rFonts w:hint="eastAsia"/>
          <w:rtl/>
        </w:rPr>
        <w:t>קמא</w:t>
      </w:r>
      <w:r w:rsidRPr="00C71AEB">
        <w:rPr>
          <w:rtl/>
        </w:rPr>
        <w:t xml:space="preserve"> </w:t>
      </w:r>
      <w:r>
        <w:rPr>
          <w:rFonts w:hint="cs"/>
          <w:rtl/>
        </w:rPr>
        <w:t>למונח "נכס"</w:t>
      </w:r>
      <w:r w:rsidRPr="00C71AEB">
        <w:rPr>
          <w:rtl/>
        </w:rPr>
        <w:t xml:space="preserve"> </w:t>
      </w:r>
      <w:r w:rsidRPr="00C71AEB">
        <w:rPr>
          <w:rFonts w:hint="eastAsia"/>
          <w:rtl/>
        </w:rPr>
        <w:t>איננה</w:t>
      </w:r>
      <w:r w:rsidRPr="00C71AEB">
        <w:rPr>
          <w:rtl/>
        </w:rPr>
        <w:t xml:space="preserve"> </w:t>
      </w:r>
      <w:r w:rsidRPr="00C71AEB">
        <w:rPr>
          <w:rFonts w:hint="eastAsia"/>
          <w:rtl/>
        </w:rPr>
        <w:t>נקייה</w:t>
      </w:r>
      <w:r w:rsidRPr="00C71AEB">
        <w:rPr>
          <w:rtl/>
        </w:rPr>
        <w:t xml:space="preserve"> </w:t>
      </w:r>
      <w:r w:rsidRPr="00C71AEB">
        <w:rPr>
          <w:rFonts w:hint="eastAsia"/>
          <w:rtl/>
        </w:rPr>
        <w:t>מספקות</w:t>
      </w:r>
      <w:r w:rsidRPr="00C71AEB">
        <w:rPr>
          <w:rtl/>
        </w:rPr>
        <w:t xml:space="preserve">, </w:t>
      </w:r>
      <w:r w:rsidRPr="00C71AEB">
        <w:rPr>
          <w:rFonts w:hint="eastAsia"/>
          <w:rtl/>
        </w:rPr>
        <w:t>ובפרט</w:t>
      </w:r>
      <w:r w:rsidRPr="00C71AEB">
        <w:rPr>
          <w:rtl/>
        </w:rPr>
        <w:t xml:space="preserve"> </w:t>
      </w:r>
      <w:r w:rsidRPr="00C71AEB">
        <w:rPr>
          <w:rFonts w:hint="eastAsia"/>
          <w:rtl/>
        </w:rPr>
        <w:t>טוען</w:t>
      </w:r>
      <w:r w:rsidRPr="00C71AEB">
        <w:rPr>
          <w:rtl/>
        </w:rPr>
        <w:t xml:space="preserve"> </w:t>
      </w:r>
      <w:r w:rsidRPr="00C71AEB">
        <w:rPr>
          <w:rFonts w:hint="eastAsia"/>
          <w:rtl/>
        </w:rPr>
        <w:t>כי</w:t>
      </w:r>
      <w:r w:rsidRPr="00C71AEB">
        <w:rPr>
          <w:rtl/>
        </w:rPr>
        <w:t xml:space="preserve"> </w:t>
      </w:r>
      <w:r w:rsidRPr="00C71AEB">
        <w:rPr>
          <w:rFonts w:hint="eastAsia"/>
          <w:rtl/>
        </w:rPr>
        <w:t>בניגוד</w:t>
      </w:r>
      <w:r w:rsidRPr="00C71AEB">
        <w:rPr>
          <w:rtl/>
        </w:rPr>
        <w:t xml:space="preserve"> </w:t>
      </w:r>
      <w:r w:rsidRPr="00C71AEB">
        <w:rPr>
          <w:rFonts w:hint="eastAsia"/>
          <w:rtl/>
        </w:rPr>
        <w:t>לעמדת</w:t>
      </w:r>
      <w:r w:rsidRPr="00C71AEB">
        <w:rPr>
          <w:rtl/>
        </w:rPr>
        <w:t xml:space="preserve"> </w:t>
      </w:r>
      <w:r w:rsidRPr="00C71AEB">
        <w:rPr>
          <w:rFonts w:hint="eastAsia"/>
          <w:rtl/>
        </w:rPr>
        <w:t>בית</w:t>
      </w:r>
      <w:r w:rsidRPr="00C71AEB">
        <w:rPr>
          <w:rtl/>
        </w:rPr>
        <w:t xml:space="preserve"> </w:t>
      </w:r>
      <w:r w:rsidRPr="00C71AEB">
        <w:rPr>
          <w:rFonts w:hint="eastAsia"/>
          <w:rtl/>
        </w:rPr>
        <w:t>המשפט</w:t>
      </w:r>
      <w:r w:rsidRPr="00C71AEB">
        <w:rPr>
          <w:rtl/>
        </w:rPr>
        <w:t xml:space="preserve"> </w:t>
      </w:r>
      <w:r w:rsidRPr="00C71AEB">
        <w:rPr>
          <w:rFonts w:hint="eastAsia"/>
          <w:rtl/>
        </w:rPr>
        <w:t>קמא</w:t>
      </w:r>
      <w:r w:rsidRPr="00C71AEB">
        <w:rPr>
          <w:rtl/>
        </w:rPr>
        <w:t xml:space="preserve">, </w:t>
      </w:r>
      <w:r w:rsidRPr="00C71AEB">
        <w:rPr>
          <w:rFonts w:hint="eastAsia"/>
          <w:rtl/>
        </w:rPr>
        <w:t>לשיטתו</w:t>
      </w:r>
      <w:r w:rsidRPr="00C71AEB">
        <w:rPr>
          <w:rtl/>
        </w:rPr>
        <w:t xml:space="preserve"> </w:t>
      </w:r>
      <w:r w:rsidRPr="00C71AEB">
        <w:rPr>
          <w:rFonts w:hint="eastAsia"/>
          <w:rtl/>
        </w:rPr>
        <w:t>עובד</w:t>
      </w:r>
      <w:r w:rsidRPr="00C71AEB">
        <w:rPr>
          <w:rtl/>
        </w:rPr>
        <w:t xml:space="preserve"> </w:t>
      </w:r>
      <w:r w:rsidRPr="00C71AEB">
        <w:rPr>
          <w:rFonts w:hint="eastAsia"/>
          <w:rtl/>
        </w:rPr>
        <w:t>שבמסגרת</w:t>
      </w:r>
      <w:r w:rsidRPr="00C71AEB">
        <w:rPr>
          <w:rtl/>
        </w:rPr>
        <w:t xml:space="preserve"> </w:t>
      </w:r>
      <w:r w:rsidRPr="00C71AEB">
        <w:rPr>
          <w:rFonts w:hint="eastAsia"/>
          <w:rtl/>
        </w:rPr>
        <w:t>עבודתו</w:t>
      </w:r>
      <w:r w:rsidRPr="00C71AEB">
        <w:rPr>
          <w:rtl/>
        </w:rPr>
        <w:t xml:space="preserve"> </w:t>
      </w:r>
      <w:r w:rsidRPr="00C71AEB">
        <w:rPr>
          <w:rFonts w:hint="eastAsia"/>
          <w:rtl/>
        </w:rPr>
        <w:t>הרגילה</w:t>
      </w:r>
      <w:r w:rsidRPr="00C71AEB">
        <w:rPr>
          <w:rtl/>
        </w:rPr>
        <w:t xml:space="preserve"> </w:t>
      </w:r>
      <w:r w:rsidRPr="00C71AEB">
        <w:rPr>
          <w:rFonts w:hint="eastAsia"/>
          <w:rtl/>
        </w:rPr>
        <w:t>מפתח</w:t>
      </w:r>
      <w:r w:rsidRPr="00C71AEB">
        <w:rPr>
          <w:rtl/>
        </w:rPr>
        <w:t xml:space="preserve"> </w:t>
      </w:r>
      <w:r w:rsidRPr="00C71AEB">
        <w:rPr>
          <w:rFonts w:hint="eastAsia"/>
          <w:rtl/>
        </w:rPr>
        <w:t>עבור</w:t>
      </w:r>
      <w:r w:rsidRPr="00C71AEB">
        <w:rPr>
          <w:rtl/>
        </w:rPr>
        <w:t xml:space="preserve"> </w:t>
      </w:r>
      <w:r w:rsidRPr="00C71AEB">
        <w:rPr>
          <w:rFonts w:hint="eastAsia"/>
          <w:rtl/>
        </w:rPr>
        <w:t>מעסיקו</w:t>
      </w:r>
      <w:r w:rsidRPr="00C71AEB">
        <w:rPr>
          <w:rtl/>
        </w:rPr>
        <w:t xml:space="preserve"> </w:t>
      </w:r>
      <w:r w:rsidRPr="00C71AEB">
        <w:rPr>
          <w:rFonts w:hint="eastAsia"/>
          <w:rtl/>
        </w:rPr>
        <w:t>נכסים</w:t>
      </w:r>
      <w:r w:rsidRPr="00C71AEB">
        <w:rPr>
          <w:rtl/>
        </w:rPr>
        <w:t xml:space="preserve"> </w:t>
      </w:r>
      <w:r w:rsidRPr="00C71AEB">
        <w:rPr>
          <w:rFonts w:hint="eastAsia"/>
          <w:rtl/>
        </w:rPr>
        <w:t>כלשה</w:t>
      </w:r>
      <w:r>
        <w:rPr>
          <w:rFonts w:hint="cs"/>
          <w:rtl/>
        </w:rPr>
        <w:t>ם</w:t>
      </w:r>
      <w:r w:rsidRPr="00C71AEB">
        <w:rPr>
          <w:rtl/>
        </w:rPr>
        <w:t xml:space="preserve">, </w:t>
      </w:r>
      <w:r w:rsidRPr="00C71AEB">
        <w:rPr>
          <w:rFonts w:hint="eastAsia"/>
          <w:rtl/>
        </w:rPr>
        <w:t>הרי</w:t>
      </w:r>
      <w:r w:rsidRPr="00C71AEB">
        <w:rPr>
          <w:rtl/>
        </w:rPr>
        <w:t xml:space="preserve"> </w:t>
      </w:r>
      <w:r w:rsidRPr="00C71AEB">
        <w:rPr>
          <w:rFonts w:hint="eastAsia"/>
          <w:rtl/>
        </w:rPr>
        <w:t>שמדובר</w:t>
      </w:r>
      <w:r w:rsidRPr="00C71AEB">
        <w:rPr>
          <w:rtl/>
        </w:rPr>
        <w:t xml:space="preserve"> </w:t>
      </w:r>
      <w:r w:rsidRPr="00C71AEB">
        <w:rPr>
          <w:rFonts w:hint="eastAsia"/>
          <w:rtl/>
        </w:rPr>
        <w:t>בנכסים</w:t>
      </w:r>
      <w:r w:rsidRPr="00C71AEB">
        <w:rPr>
          <w:rtl/>
        </w:rPr>
        <w:t xml:space="preserve"> </w:t>
      </w:r>
      <w:r w:rsidRPr="00C71AEB">
        <w:rPr>
          <w:rFonts w:hint="eastAsia"/>
          <w:rtl/>
        </w:rPr>
        <w:t>המהווים</w:t>
      </w:r>
      <w:r w:rsidRPr="00C71AEB">
        <w:rPr>
          <w:rtl/>
        </w:rPr>
        <w:t xml:space="preserve"> </w:t>
      </w:r>
      <w:r>
        <w:rPr>
          <w:rFonts w:hint="cs"/>
          <w:rtl/>
        </w:rPr>
        <w:t xml:space="preserve">את </w:t>
      </w:r>
      <w:r>
        <w:rPr>
          <w:rFonts w:hint="eastAsia"/>
          <w:rtl/>
        </w:rPr>
        <w:t>קניי</w:t>
      </w:r>
      <w:r w:rsidRPr="00C71AEB">
        <w:rPr>
          <w:rFonts w:hint="eastAsia"/>
          <w:rtl/>
        </w:rPr>
        <w:t>נו</w:t>
      </w:r>
      <w:r w:rsidRPr="00C71AEB">
        <w:rPr>
          <w:rtl/>
        </w:rPr>
        <w:t xml:space="preserve"> </w:t>
      </w:r>
      <w:r w:rsidRPr="00C71AEB">
        <w:rPr>
          <w:rFonts w:hint="eastAsia"/>
          <w:rtl/>
        </w:rPr>
        <w:t>של</w:t>
      </w:r>
      <w:r w:rsidRPr="00C71AEB">
        <w:rPr>
          <w:rtl/>
        </w:rPr>
        <w:t xml:space="preserve"> </w:t>
      </w:r>
      <w:r w:rsidRPr="00C71AEB">
        <w:rPr>
          <w:rFonts w:hint="eastAsia"/>
          <w:rtl/>
        </w:rPr>
        <w:t>המעסיק</w:t>
      </w:r>
      <w:r w:rsidRPr="00C71AEB">
        <w:rPr>
          <w:rtl/>
        </w:rPr>
        <w:t xml:space="preserve"> (</w:t>
      </w:r>
      <w:r w:rsidRPr="00C71AEB">
        <w:rPr>
          <w:rFonts w:hint="eastAsia"/>
          <w:rtl/>
        </w:rPr>
        <w:t>ולא</w:t>
      </w:r>
      <w:r w:rsidRPr="00C71AEB">
        <w:rPr>
          <w:rtl/>
        </w:rPr>
        <w:t xml:space="preserve"> </w:t>
      </w:r>
      <w:r w:rsidRPr="00C71AEB">
        <w:rPr>
          <w:rFonts w:hint="eastAsia"/>
          <w:rtl/>
        </w:rPr>
        <w:t>של</w:t>
      </w:r>
      <w:r w:rsidRPr="00C71AEB">
        <w:rPr>
          <w:rtl/>
        </w:rPr>
        <w:t xml:space="preserve"> </w:t>
      </w:r>
      <w:r w:rsidRPr="00C71AEB">
        <w:rPr>
          <w:rFonts w:hint="eastAsia"/>
          <w:rtl/>
        </w:rPr>
        <w:t>העובד</w:t>
      </w:r>
      <w:r w:rsidRPr="00C71AEB">
        <w:rPr>
          <w:rtl/>
        </w:rPr>
        <w:t xml:space="preserve">) </w:t>
      </w:r>
      <w:r w:rsidRPr="00C71AEB">
        <w:rPr>
          <w:rFonts w:hint="eastAsia"/>
          <w:rtl/>
        </w:rPr>
        <w:t>וההכנסה</w:t>
      </w:r>
      <w:r w:rsidRPr="00C71AEB">
        <w:rPr>
          <w:rtl/>
        </w:rPr>
        <w:t xml:space="preserve"> </w:t>
      </w:r>
      <w:r w:rsidRPr="00C71AEB">
        <w:rPr>
          <w:rFonts w:hint="eastAsia"/>
          <w:rtl/>
        </w:rPr>
        <w:t>שמשולמת</w:t>
      </w:r>
      <w:r w:rsidRPr="00C71AEB">
        <w:rPr>
          <w:rtl/>
        </w:rPr>
        <w:t xml:space="preserve"> </w:t>
      </w:r>
      <w:r w:rsidRPr="00C71AEB">
        <w:rPr>
          <w:rFonts w:hint="eastAsia"/>
          <w:rtl/>
        </w:rPr>
        <w:t>לעובד</w:t>
      </w:r>
      <w:r w:rsidRPr="00C71AEB">
        <w:rPr>
          <w:rtl/>
        </w:rPr>
        <w:t xml:space="preserve"> </w:t>
      </w:r>
      <w:r w:rsidRPr="00C71AEB">
        <w:rPr>
          <w:rFonts w:hint="eastAsia"/>
          <w:rtl/>
        </w:rPr>
        <w:t>כגמול</w:t>
      </w:r>
      <w:r w:rsidRPr="00C71AEB">
        <w:rPr>
          <w:rtl/>
        </w:rPr>
        <w:t xml:space="preserve"> </w:t>
      </w:r>
      <w:r w:rsidRPr="00C71AEB">
        <w:rPr>
          <w:rFonts w:hint="eastAsia"/>
          <w:rtl/>
        </w:rPr>
        <w:t>לעבודתו</w:t>
      </w:r>
      <w:r w:rsidRPr="00C71AEB">
        <w:rPr>
          <w:rtl/>
        </w:rPr>
        <w:t xml:space="preserve"> </w:t>
      </w:r>
      <w:r w:rsidRPr="00C71AEB">
        <w:rPr>
          <w:rFonts w:hint="eastAsia"/>
          <w:rtl/>
        </w:rPr>
        <w:t>היא</w:t>
      </w:r>
      <w:r w:rsidRPr="00C71AEB">
        <w:rPr>
          <w:rtl/>
        </w:rPr>
        <w:t xml:space="preserve"> </w:t>
      </w:r>
      <w:r w:rsidRPr="00C71AEB">
        <w:rPr>
          <w:rFonts w:hint="eastAsia"/>
          <w:rtl/>
        </w:rPr>
        <w:t>הכנסת</w:t>
      </w:r>
      <w:r w:rsidRPr="00C71AEB">
        <w:rPr>
          <w:rtl/>
        </w:rPr>
        <w:t xml:space="preserve"> </w:t>
      </w:r>
      <w:r w:rsidRPr="00C71AEB">
        <w:rPr>
          <w:rFonts w:hint="eastAsia"/>
          <w:rtl/>
        </w:rPr>
        <w:t>עבודה</w:t>
      </w:r>
      <w:r w:rsidRPr="00C71AEB">
        <w:rPr>
          <w:rtl/>
        </w:rPr>
        <w:t xml:space="preserve"> </w:t>
      </w:r>
      <w:r w:rsidRPr="00C71AEB">
        <w:rPr>
          <w:rFonts w:hint="eastAsia"/>
          <w:rtl/>
        </w:rPr>
        <w:t>לכל</w:t>
      </w:r>
      <w:r w:rsidRPr="00C71AEB">
        <w:rPr>
          <w:rtl/>
        </w:rPr>
        <w:t xml:space="preserve"> </w:t>
      </w:r>
      <w:r w:rsidRPr="00C71AEB">
        <w:rPr>
          <w:rFonts w:hint="eastAsia"/>
          <w:rtl/>
        </w:rPr>
        <w:t>דבר</w:t>
      </w:r>
      <w:r w:rsidRPr="00C71AEB">
        <w:rPr>
          <w:rtl/>
        </w:rPr>
        <w:t xml:space="preserve"> </w:t>
      </w:r>
      <w:r w:rsidRPr="00C71AEB">
        <w:rPr>
          <w:rFonts w:hint="eastAsia"/>
          <w:rtl/>
        </w:rPr>
        <w:t>ועניין</w:t>
      </w:r>
      <w:r w:rsidRPr="00C71AEB">
        <w:rPr>
          <w:rtl/>
        </w:rPr>
        <w:t>.</w:t>
      </w:r>
    </w:p>
    <w:p w:rsidR="00D81A8C" w:rsidRDefault="00D81A8C" w:rsidP="00D81A8C">
      <w:pPr>
        <w:pStyle w:val="Ruller4"/>
        <w:numPr>
          <w:ilvl w:val="0"/>
          <w:numId w:val="0"/>
        </w:numPr>
      </w:pPr>
    </w:p>
    <w:p w:rsidR="00D81A8C" w:rsidRDefault="00D81A8C" w:rsidP="00D81A8C">
      <w:pPr>
        <w:pStyle w:val="Ruller4"/>
        <w:numPr>
          <w:ilvl w:val="0"/>
          <w:numId w:val="0"/>
        </w:numPr>
        <w:rPr>
          <w:rtl/>
        </w:rPr>
      </w:pPr>
      <w:r>
        <w:rPr>
          <w:rtl/>
        </w:rPr>
        <w:tab/>
      </w:r>
      <w:r>
        <w:rPr>
          <w:rFonts w:hint="cs"/>
          <w:rtl/>
        </w:rPr>
        <w:t xml:space="preserve">ביחס לטענה כי יש להכיר בחברה הזרה </w:t>
      </w:r>
      <w:proofErr w:type="spellStart"/>
      <w:r>
        <w:rPr>
          <w:rFonts w:hint="cs"/>
          <w:rtl/>
        </w:rPr>
        <w:t>כ״נכס</w:t>
      </w:r>
      <w:proofErr w:type="spellEnd"/>
      <w:r>
        <w:rPr>
          <w:rFonts w:hint="cs"/>
          <w:rtl/>
        </w:rPr>
        <w:t>״, טוען פקיד השומה כי טענה זו לא נטענה בהליך קמא ועל כן מהווה הרחבת חזית אסורה. יתרה מכך, פקיד השומה גורס כי טענה זו מרוקנת מתוכן את החלופה בדבר מקום הפקת ההכנסה.</w:t>
      </w:r>
    </w:p>
    <w:p w:rsidR="00D81A8C" w:rsidRPr="00C71AEB" w:rsidRDefault="00D81A8C" w:rsidP="00D81A8C">
      <w:pPr>
        <w:pStyle w:val="Ruller41"/>
        <w:rPr>
          <w:rtl/>
        </w:rPr>
      </w:pPr>
    </w:p>
    <w:p w:rsidR="00D81A8C" w:rsidRDefault="00D81A8C" w:rsidP="00F4312E">
      <w:pPr>
        <w:pStyle w:val="Ruller4"/>
        <w:rPr>
          <w:rtl/>
        </w:rPr>
      </w:pPr>
      <w:r>
        <w:rPr>
          <w:rFonts w:hint="cs"/>
          <w:rtl/>
        </w:rPr>
        <w:t xml:space="preserve">זאת ועוד, פקיד השומה </w:t>
      </w:r>
      <w:r w:rsidR="00F4312E">
        <w:rPr>
          <w:rFonts w:hint="cs"/>
          <w:rtl/>
        </w:rPr>
        <w:t xml:space="preserve">טוען </w:t>
      </w:r>
      <w:r>
        <w:rPr>
          <w:rFonts w:hint="cs"/>
          <w:rtl/>
        </w:rPr>
        <w:t xml:space="preserve">כי פרשנות המערער למונח ״נכס״ אינה מתיישבת עם עקרונות היסוד עליהם מבוססת פקודת מס הכנסה, ובפרט תורת המקור, ובכך גם מפרה את ההרמוניה החקיקתית. בניסיון המערער להיכנס בשערי הפטור שבסעיף 14(א) לפקודה, מציע הלה פרשנות אשר הופכת את תורת המקור על פיה תוך כדי המצאת נכסים שאינם מקור הכנסה ובהתבסס על קשר ערטילאי בין נכס המקור הנטען לבין ההכנסה. כך, נטען, כי חוזה העבודה כשלעצמו איננו מהווה נכס, אלא לכל היותר הוא יכול לעגן בתוכו זכויות בנכס. בענייננו, חוזי ההעסקה של המערער אינם מהווים נכס כשלעצמם ואף לא הוכח כי הם מעגנים זכויות נכסיות כלשהן. באופן דומה, נטען כי אין לראות בחברה או בנכסים שנטען שפותחו כ"נכס מקור", אלא הונו האנושי של המערער, </w:t>
      </w:r>
      <w:r>
        <w:rPr>
          <w:rFonts w:hint="cs"/>
          <w:rtl/>
        </w:rPr>
        <w:lastRenderedPageBreak/>
        <w:t xml:space="preserve">באמצעותו הוא הפיק את הכנסותיו, הוא "המקור", ונכס זה לעולם יימצא במקום ביצוע העבודה. </w:t>
      </w:r>
    </w:p>
    <w:p w:rsidR="00D81A8C" w:rsidRPr="005F5D43" w:rsidRDefault="00D81A8C" w:rsidP="00D81A8C">
      <w:pPr>
        <w:pStyle w:val="Ruller41"/>
      </w:pPr>
    </w:p>
    <w:p w:rsidR="00D81A8C" w:rsidRDefault="00D81A8C" w:rsidP="00E97BC6">
      <w:pPr>
        <w:pStyle w:val="Ruller4"/>
        <w:rPr>
          <w:rtl/>
        </w:rPr>
      </w:pPr>
      <w:r>
        <w:rPr>
          <w:rFonts w:hint="cs"/>
          <w:rtl/>
        </w:rPr>
        <w:t xml:space="preserve">לא זו אף זו, פקיד השומה </w:t>
      </w:r>
      <w:r w:rsidR="00F4312E">
        <w:rPr>
          <w:rFonts w:hint="cs"/>
          <w:rtl/>
        </w:rPr>
        <w:t xml:space="preserve">גורס </w:t>
      </w:r>
      <w:r>
        <w:rPr>
          <w:rFonts w:hint="cs"/>
          <w:rtl/>
        </w:rPr>
        <w:t xml:space="preserve">כי פרשנות המערער אינה עולה בקנה אחד עם לשון סעיף 14(א) לפקודה, תכליתו וההיסטוריה החקיקתית שלו. פקיד השומה טוען כי פרשנות המערער מרוקנת מתוכן את חלופת מקום </w:t>
      </w:r>
      <w:r w:rsidRPr="00DC3D35">
        <w:rPr>
          <w:rFonts w:hint="cs"/>
          <w:rtl/>
        </w:rPr>
        <w:t>הפקת ההכנסה, בכך שהיא מאפשרת לעקוף חלופה זו באמצעות המצאת ״נכס״ שמקורו בחו״ל</w:t>
      </w:r>
      <w:r w:rsidR="00CB788A">
        <w:rPr>
          <w:rFonts w:hint="cs"/>
          <w:rtl/>
        </w:rPr>
        <w:t>,</w:t>
      </w:r>
      <w:r w:rsidRPr="00DC3D35">
        <w:rPr>
          <w:rFonts w:hint="cs"/>
          <w:rtl/>
        </w:rPr>
        <w:t xml:space="preserve"> </w:t>
      </w:r>
      <w:r>
        <w:rPr>
          <w:rFonts w:hint="cs"/>
          <w:rtl/>
        </w:rPr>
        <w:t xml:space="preserve">ואשר </w:t>
      </w:r>
      <w:r w:rsidRPr="00DC3D35">
        <w:rPr>
          <w:rFonts w:hint="cs"/>
          <w:rtl/>
        </w:rPr>
        <w:t>יש לו זיקה כזו או אחרת לישראל. לדברי פקיד השומה</w:t>
      </w:r>
      <w:r>
        <w:rPr>
          <w:rFonts w:hint="cs"/>
          <w:rtl/>
        </w:rPr>
        <w:t>, כאשר מדובר בהכנסת עבודה, חלופת מקום הפקת ההכנסה היא החלופה הרלוונטית. לעומת זאת, חלופת מקום הנכס המניב היא שריד של נוסחו הקודם של סעיף 14 לפקודה</w:t>
      </w:r>
      <w:r w:rsidR="00CB788A">
        <w:rPr>
          <w:rFonts w:hint="cs"/>
          <w:rtl/>
        </w:rPr>
        <w:t>,</w:t>
      </w:r>
      <w:r>
        <w:rPr>
          <w:rFonts w:hint="cs"/>
          <w:rtl/>
        </w:rPr>
        <w:t xml:space="preserve"> והיא חלה רק על הכנסות פסיביות (ולא הכנסות מעבודה או משלח יד), ו</w:t>
      </w:r>
      <w:r w:rsidR="001C1413">
        <w:rPr>
          <w:rFonts w:hint="cs"/>
          <w:rtl/>
        </w:rPr>
        <w:t>לחלופין</w:t>
      </w:r>
      <w:r>
        <w:rPr>
          <w:rFonts w:hint="cs"/>
          <w:rtl/>
        </w:rPr>
        <w:t xml:space="preserve"> על סוגי הכנסות שלא קיים לגביהן כלל לקביעת מקום הפקתן בסעיף 4א לפקודה. בנוסף, לשיטת פקיד השומה הטבת המס נועדה לחול במקרים בהם ההכנסה </w:t>
      </w:r>
      <w:r w:rsidR="00403916">
        <w:rPr>
          <w:rFonts w:hint="cs"/>
          <w:rtl/>
        </w:rPr>
        <w:t>חייבת במס ב</w:t>
      </w:r>
      <w:r>
        <w:rPr>
          <w:rFonts w:hint="cs"/>
          <w:rtl/>
        </w:rPr>
        <w:t>מדינה האחרת שבה הופקה, ובכך למנוע הכבדה של נטל המס שיוטל על הנישום בישראל בשל הזיקה הפרסונלית. לעומת זאת, בענייננו, המערער אינו חייב במס</w:t>
      </w:r>
      <w:r w:rsidRPr="00DC3D35">
        <w:rPr>
          <w:rFonts w:hint="cs"/>
          <w:rtl/>
        </w:rPr>
        <w:t xml:space="preserve"> </w:t>
      </w:r>
      <w:r>
        <w:rPr>
          <w:rFonts w:hint="cs"/>
          <w:rtl/>
        </w:rPr>
        <w:t>בגין הכנסתו באנגליה או בכל מדינה אחרת, ומכאן אנו למדים כי ישראל היא גם מדינת המקור וגם מדינת התושבות.</w:t>
      </w:r>
    </w:p>
    <w:p w:rsidR="00D81A8C" w:rsidRDefault="00D81A8C" w:rsidP="00D81A8C">
      <w:pPr>
        <w:pStyle w:val="Ruller41"/>
        <w:rPr>
          <w:rtl/>
        </w:rPr>
      </w:pPr>
    </w:p>
    <w:p w:rsidR="00D81A8C" w:rsidRPr="0098375B" w:rsidRDefault="00D81A8C" w:rsidP="00D81A8C">
      <w:pPr>
        <w:pStyle w:val="Ruller4"/>
        <w:rPr>
          <w:rtl/>
        </w:rPr>
      </w:pPr>
      <w:r>
        <w:rPr>
          <w:rFonts w:hint="cs"/>
          <w:rtl/>
        </w:rPr>
        <w:t>לבסוף, פקיד השומה מעלה גם את הטענות הבאות: כי אין לאפשר למערער לסטות מדיווחיו בזמן אמת בעת עריכת השומה העצמית, ולפיכך יש לדחות את טענתו כי כלל הכנסותיו אינן חייבות במס; כי אין לקבל את התחשיב של המערער בשומה העצמית שערך משום שהוא בעצמו שלל תחשיב זה במסגרת ההליך קמא; כי יש לדחות את טענת המערער לפיה צווי השומה מבוססים על עדות שאינה רלוונטית, ואילו רצה המערער להפריך את אמירותיה של חשבת החברה הישראלית היה עליו לזמנה לעדות לפני בית המשפט; וכי יש לדחות את טענות המערער בדבר פגמים דיוניים שנפלו לכאורה בהכרעת בית המשפט קמא.</w:t>
      </w:r>
    </w:p>
    <w:p w:rsidR="00D81A8C" w:rsidRDefault="00D81A8C" w:rsidP="00D81A8C">
      <w:pPr>
        <w:pStyle w:val="Ruller41"/>
        <w:rPr>
          <w:rFonts w:ascii="Century" w:hAnsi="Century" w:cs="Miriam"/>
          <w:b/>
          <w:spacing w:val="0"/>
          <w:szCs w:val="24"/>
          <w:rtl/>
        </w:rPr>
      </w:pPr>
    </w:p>
    <w:p w:rsidR="00D81A8C" w:rsidRPr="00B55FA2" w:rsidRDefault="00D81A8C" w:rsidP="00D81A8C">
      <w:pPr>
        <w:pStyle w:val="Ruller41"/>
        <w:rPr>
          <w:rFonts w:ascii="Century" w:hAnsi="Century" w:cs="Miriam"/>
          <w:b/>
          <w:spacing w:val="0"/>
          <w:szCs w:val="24"/>
          <w:rtl/>
        </w:rPr>
      </w:pPr>
      <w:r>
        <w:rPr>
          <w:rFonts w:ascii="Century" w:hAnsi="Century" w:cs="Miriam" w:hint="cs"/>
          <w:b/>
          <w:spacing w:val="0"/>
          <w:szCs w:val="24"/>
          <w:rtl/>
        </w:rPr>
        <w:t>תגובת המערער לטענות פקיד השומה</w:t>
      </w:r>
    </w:p>
    <w:p w:rsidR="00D81A8C" w:rsidRDefault="00D81A8C" w:rsidP="00D81A8C">
      <w:pPr>
        <w:pStyle w:val="Ruller41"/>
        <w:rPr>
          <w:rFonts w:ascii="Century" w:hAnsi="Century" w:cs="Miriam"/>
          <w:b/>
          <w:spacing w:val="0"/>
          <w:szCs w:val="24"/>
          <w:rtl/>
        </w:rPr>
      </w:pPr>
    </w:p>
    <w:p w:rsidR="00D81A8C" w:rsidRDefault="00D81A8C" w:rsidP="00D81A8C">
      <w:pPr>
        <w:pStyle w:val="Ruller4"/>
        <w:rPr>
          <w:rtl/>
        </w:rPr>
      </w:pPr>
      <w:r>
        <w:rPr>
          <w:rFonts w:hint="cs"/>
          <w:rtl/>
        </w:rPr>
        <w:t>המערער שב ומדגיש כי בית המשפט קמא התעלם מחלופת מקום הנכס המניב, העומדת בפני עצמה, ועל פיה יש לראות בהכנסות המערער כקשורות לאותם נכסים בחו״ל, כך שאין לפצל את השכר למרכיבים, והכנסותיו יהיו פטורות ממס במלואן. יתרה מכך, טוען המערער כי הטלת חובה על הנישום להוכיח את פיצול ההכנסות בין היקף ההכנסות המיוחסות לעבודה בישראל לעומת הכנסות המיוחסות לנכס המצוי בחו״ל היא משימה קשה מאד עד בלתי אפשרית, ופוגעת בוודאות ובפשטות הנדרשת מחקיקת המס.</w:t>
      </w:r>
    </w:p>
    <w:p w:rsidR="00D81A8C" w:rsidRDefault="00D81A8C" w:rsidP="00D81A8C">
      <w:pPr>
        <w:pStyle w:val="Ruller41"/>
        <w:rPr>
          <w:rtl/>
        </w:rPr>
      </w:pPr>
    </w:p>
    <w:p w:rsidR="00D81A8C" w:rsidRDefault="00D81A8C" w:rsidP="00D81A8C">
      <w:pPr>
        <w:pStyle w:val="Ruller4"/>
        <w:rPr>
          <w:rtl/>
        </w:rPr>
      </w:pPr>
      <w:r>
        <w:rPr>
          <w:rFonts w:hint="cs"/>
          <w:rtl/>
        </w:rPr>
        <w:t xml:space="preserve">כן טוען המערער כי מקור ההכנסות מעבודה הוא הסכם העבודה, ולא ההון האנושי כטענת פקיד השומה, ואין מחלוקת כי נכס זה </w:t>
      </w:r>
      <w:r>
        <w:rPr>
          <w:rtl/>
        </w:rPr>
        <w:t>–</w:t>
      </w:r>
      <w:r>
        <w:rPr>
          <w:rFonts w:hint="cs"/>
          <w:rtl/>
        </w:rPr>
        <w:t xml:space="preserve"> הסכם העבודה </w:t>
      </w:r>
      <w:r>
        <w:rPr>
          <w:rtl/>
        </w:rPr>
        <w:t>–</w:t>
      </w:r>
      <w:r>
        <w:rPr>
          <w:rFonts w:hint="cs"/>
          <w:rtl/>
        </w:rPr>
        <w:t xml:space="preserve"> נמצא בחו״ל. עוד מדגיש המערער כי הסכם העבודה הוא ״נכס״ לצורך סעיף 14(א) לפקודה, הן משום שהמונח ״נכס״ הוגדר בפסיקה בצורה רחבה, הן לאור הפרשנות </w:t>
      </w:r>
      <w:r w:rsidR="00CB788A">
        <w:rPr>
          <w:rFonts w:hint="cs"/>
          <w:rtl/>
        </w:rPr>
        <w:t xml:space="preserve">הרחבה </w:t>
      </w:r>
      <w:r>
        <w:rPr>
          <w:rFonts w:hint="cs"/>
          <w:rtl/>
        </w:rPr>
        <w:t xml:space="preserve">שיש </w:t>
      </w:r>
      <w:proofErr w:type="spellStart"/>
      <w:r>
        <w:rPr>
          <w:rFonts w:hint="cs"/>
          <w:rtl/>
        </w:rPr>
        <w:t>ליתן</w:t>
      </w:r>
      <w:proofErr w:type="spellEnd"/>
      <w:r>
        <w:rPr>
          <w:rFonts w:hint="cs"/>
          <w:rtl/>
        </w:rPr>
        <w:t xml:space="preserve"> בהקשר של סעיף 14(א) לפקודה כפי שעולה מפסק הדין של בית המשפט קמא, והן משום שקבלת עמדת פקיד השומה תביא להפליה פסולה בין נישומים כך שרק בעלי הנכסים והחברות בחו״ל יהיו זכאים לפטור בעוד האנשים העובדים לא. כן מדגיש המערער כי בניגוד לטענת פקיד השומה, הסכם העבודה יוצר זכויות כלפי המעסיק ולא רק משקף אותן.</w:t>
      </w:r>
    </w:p>
    <w:p w:rsidR="00D81A8C" w:rsidRPr="00BA1D7B" w:rsidRDefault="00D81A8C" w:rsidP="00D81A8C">
      <w:pPr>
        <w:pStyle w:val="Ruller41"/>
      </w:pPr>
    </w:p>
    <w:p w:rsidR="00D81A8C" w:rsidRPr="009478A7" w:rsidRDefault="00D81A8C" w:rsidP="00D81A8C">
      <w:pPr>
        <w:pStyle w:val="Ruller4"/>
        <w:rPr>
          <w:rtl/>
        </w:rPr>
      </w:pPr>
      <w:r>
        <w:rPr>
          <w:rFonts w:hint="cs"/>
          <w:rtl/>
        </w:rPr>
        <w:t xml:space="preserve">כמו כן, דוחה המערער את יתר טענות פקיד השומה, ובכלל זאת הטענה כי אין להכיר בחברה הזרה </w:t>
      </w:r>
      <w:proofErr w:type="spellStart"/>
      <w:r>
        <w:rPr>
          <w:rFonts w:hint="cs"/>
          <w:rtl/>
        </w:rPr>
        <w:t>כ״נכס</w:t>
      </w:r>
      <w:proofErr w:type="spellEnd"/>
      <w:r>
        <w:rPr>
          <w:rFonts w:hint="cs"/>
          <w:rtl/>
        </w:rPr>
        <w:t>״ לצורך סעיף 14(א) לפקודה; המרכזיות שנתן פקיד השומה לחלופת מקום הפקת ההכנסה לצורך קבלת הטבת המס; ומתן הפרשנות המצמצמת לתחולתה של חלופת מקום הנכס המניב. בשולי הדברים, מציין המערער כי דיווחיו במסגרת השומה העצמית אינם סותרים את קיומה של חלופת מקום הנכס המניב, וממילא נסיבות העניין מצדיקות להתיר לו לסטות מהשומה העצמית שערך משום שמדובר בתיקון חוק חדש יחסית שלא נדון בפסיקה בעבר.</w:t>
      </w:r>
    </w:p>
    <w:p w:rsidR="00D81A8C" w:rsidRDefault="00D81A8C" w:rsidP="00D81A8C">
      <w:pPr>
        <w:pStyle w:val="Ruller41"/>
        <w:rPr>
          <w:rFonts w:ascii="Century" w:hAnsi="Century" w:cs="Miriam"/>
          <w:b/>
          <w:spacing w:val="0"/>
          <w:szCs w:val="24"/>
          <w:rtl/>
        </w:rPr>
      </w:pPr>
    </w:p>
    <w:p w:rsidR="00D81A8C" w:rsidRPr="00B55FA2" w:rsidRDefault="00D81A8C" w:rsidP="00D81A8C">
      <w:pPr>
        <w:pStyle w:val="Ruller41"/>
        <w:rPr>
          <w:rFonts w:ascii="Century" w:hAnsi="Century" w:cs="Miriam"/>
          <w:b/>
          <w:spacing w:val="0"/>
          <w:szCs w:val="24"/>
          <w:rtl/>
        </w:rPr>
      </w:pPr>
      <w:r>
        <w:rPr>
          <w:rFonts w:ascii="Century" w:hAnsi="Century" w:cs="Miriam" w:hint="cs"/>
          <w:b/>
          <w:spacing w:val="0"/>
          <w:szCs w:val="24"/>
          <w:rtl/>
        </w:rPr>
        <w:t>דיון והכרעה</w:t>
      </w:r>
    </w:p>
    <w:p w:rsidR="00D81A8C" w:rsidRDefault="00D81A8C" w:rsidP="00D81A8C">
      <w:pPr>
        <w:pStyle w:val="Ruller41"/>
        <w:rPr>
          <w:rtl/>
        </w:rPr>
      </w:pPr>
    </w:p>
    <w:p w:rsidR="00D81A8C" w:rsidRDefault="00D81A8C" w:rsidP="00D81A8C">
      <w:pPr>
        <w:pStyle w:val="Ruller4"/>
        <w:rPr>
          <w:rtl/>
        </w:rPr>
      </w:pPr>
      <w:r>
        <w:rPr>
          <w:rFonts w:hint="cs"/>
          <w:rtl/>
        </w:rPr>
        <w:t xml:space="preserve">כפי שהוצג בתחילת הדברים, </w:t>
      </w:r>
      <w:r w:rsidRPr="00C2250F">
        <w:rPr>
          <w:rFonts w:hint="cs"/>
          <w:rtl/>
        </w:rPr>
        <w:t>במרכזו של הערעור</w:t>
      </w:r>
      <w:r>
        <w:rPr>
          <w:rFonts w:hint="cs"/>
          <w:rtl/>
        </w:rPr>
        <w:t xml:space="preserve"> שלפנינו</w:t>
      </w:r>
      <w:r w:rsidRPr="00C2250F">
        <w:rPr>
          <w:rFonts w:hint="cs"/>
          <w:rtl/>
        </w:rPr>
        <w:t xml:space="preserve"> עומדת שאלת פרשנותו של סעיף 14(א) לפקודת מס הכנסה</w:t>
      </w:r>
      <w:r>
        <w:rPr>
          <w:rFonts w:hint="cs"/>
          <w:rtl/>
        </w:rPr>
        <w:t>, ובפרט החלופות השונות הקבועות בו, והיחס ביניהן</w:t>
      </w:r>
      <w:r w:rsidRPr="00C2250F">
        <w:rPr>
          <w:rFonts w:hint="cs"/>
          <w:rtl/>
        </w:rPr>
        <w:t>.</w:t>
      </w:r>
      <w:r>
        <w:rPr>
          <w:rFonts w:hint="cs"/>
          <w:rtl/>
        </w:rPr>
        <w:t xml:space="preserve"> מבחינה לשונית, קובע הסעיף האמור שתי חלופות למתן הפטור: מקום הפקת ההכנסה ("[הכנסות] </w:t>
      </w:r>
      <w:r w:rsidRPr="0057589B">
        <w:rPr>
          <w:rFonts w:ascii="Century" w:hAnsi="Century" w:cs="Miriam" w:hint="cs"/>
          <w:b/>
          <w:spacing w:val="0"/>
          <w:sz w:val="22"/>
          <w:szCs w:val="24"/>
          <w:rtl/>
        </w:rPr>
        <w:t>שהופקו או שנצמחו מחוץ לישראל</w:t>
      </w:r>
      <w:r>
        <w:rPr>
          <w:rFonts w:hint="cs"/>
          <w:rtl/>
        </w:rPr>
        <w:t xml:space="preserve">") ומקום הנכס המניב ("[הכנסות] </w:t>
      </w:r>
      <w:r w:rsidRPr="0057589B">
        <w:rPr>
          <w:rFonts w:ascii="Century" w:hAnsi="Century" w:cs="Miriam" w:hint="cs"/>
          <w:b/>
          <w:spacing w:val="0"/>
          <w:sz w:val="22"/>
          <w:szCs w:val="24"/>
          <w:rtl/>
        </w:rPr>
        <w:t>שמקורן בנכסים מחוץ לישראל</w:t>
      </w:r>
      <w:r>
        <w:rPr>
          <w:rFonts w:hint="cs"/>
          <w:rtl/>
        </w:rPr>
        <w:t xml:space="preserve">"). פרשנותה של החלופה הראשונה איננה מעוררת קושי, שכן המחוקק הסדיר בסעיף 4א לפקודת מס הכנסה מהו מקום הפקת ההכנסה, ועל כן ניתן על פי הכללים הקבועים בהוראה זו לקבוע מהן "[ההכנסות] </w:t>
      </w:r>
      <w:r w:rsidRPr="0057589B">
        <w:rPr>
          <w:rFonts w:ascii="Century" w:hAnsi="Century" w:cs="Miriam" w:hint="cs"/>
          <w:b/>
          <w:spacing w:val="0"/>
          <w:sz w:val="22"/>
          <w:szCs w:val="24"/>
          <w:rtl/>
        </w:rPr>
        <w:t>שהופקו או נצמחו מחוץ לישראל</w:t>
      </w:r>
      <w:r>
        <w:rPr>
          <w:rFonts w:hint="cs"/>
          <w:rtl/>
        </w:rPr>
        <w:t xml:space="preserve">". לעומת זאת, פרשנותה של החלופה השנייה מעוררת קושי </w:t>
      </w:r>
      <w:r>
        <w:rPr>
          <w:rtl/>
        </w:rPr>
        <w:t>–</w:t>
      </w:r>
      <w:r>
        <w:rPr>
          <w:rFonts w:hint="cs"/>
          <w:rtl/>
        </w:rPr>
        <w:t xml:space="preserve"> לשיטת המערער, יש לתת לה פרשנות מרחיבה, הכוללת כל סוג של זיקה לנכס, ובכלל זה זיקתו לחברה בה הוא מועסק וחוזה העבודה המסדיר את העסקתו בה; לשיטת פקיד השומה, יש לתת לה פרשנות מצרה, המתייחסת להכנסות פסיביות מנכס בלבד. </w:t>
      </w:r>
    </w:p>
    <w:p w:rsidR="00D81A8C" w:rsidRPr="004766F4" w:rsidRDefault="00D81A8C" w:rsidP="00D81A8C">
      <w:pPr>
        <w:pStyle w:val="Ruller41"/>
      </w:pPr>
    </w:p>
    <w:p w:rsidR="00D81A8C" w:rsidRDefault="00D81A8C" w:rsidP="00D81A8C">
      <w:pPr>
        <w:pStyle w:val="Ruller4"/>
        <w:rPr>
          <w:rtl/>
        </w:rPr>
      </w:pPr>
      <w:r>
        <w:rPr>
          <w:rFonts w:hint="cs"/>
          <w:rtl/>
        </w:rPr>
        <w:lastRenderedPageBreak/>
        <w:t xml:space="preserve">להלן נבקש להכריע במחלוקת פרשנית זו, וללמוד מההכרעה העקרונית על האופן בו יש להכריע במקרה שלפנינו. בטרם נעשה כן, נקדים מבוא קצר ביחס לדרך בה בית משפט זה מפרש את דיני המס. </w:t>
      </w:r>
    </w:p>
    <w:p w:rsidR="00D81A8C" w:rsidRPr="004766F4" w:rsidRDefault="00D81A8C" w:rsidP="00D81A8C">
      <w:pPr>
        <w:pStyle w:val="Ruller41"/>
      </w:pPr>
    </w:p>
    <w:p w:rsidR="00D81A8C" w:rsidRPr="00572B4D" w:rsidRDefault="00D81A8C" w:rsidP="00D81A8C">
      <w:pPr>
        <w:pStyle w:val="Ruller41"/>
        <w:rPr>
          <w:rFonts w:ascii="Century" w:hAnsi="Century" w:cs="Miriam"/>
          <w:b/>
          <w:spacing w:val="0"/>
          <w:szCs w:val="24"/>
          <w:rtl/>
        </w:rPr>
      </w:pPr>
      <w:r w:rsidRPr="00572B4D">
        <w:rPr>
          <w:rFonts w:ascii="Century" w:hAnsi="Century" w:cs="Miriam" w:hint="cs"/>
          <w:b/>
          <w:spacing w:val="0"/>
          <w:szCs w:val="24"/>
          <w:rtl/>
        </w:rPr>
        <w:t>פרשנות דיני המ</w:t>
      </w:r>
      <w:r>
        <w:rPr>
          <w:rFonts w:ascii="Century" w:hAnsi="Century" w:cs="Miriam" w:hint="cs"/>
          <w:b/>
          <w:spacing w:val="0"/>
          <w:szCs w:val="24"/>
          <w:rtl/>
        </w:rPr>
        <w:t>י</w:t>
      </w:r>
      <w:r w:rsidRPr="00572B4D">
        <w:rPr>
          <w:rFonts w:ascii="Century" w:hAnsi="Century" w:cs="Miriam" w:hint="cs"/>
          <w:b/>
          <w:spacing w:val="0"/>
          <w:szCs w:val="24"/>
          <w:rtl/>
        </w:rPr>
        <w:t>ס</w:t>
      </w:r>
      <w:r>
        <w:rPr>
          <w:rFonts w:ascii="Century" w:hAnsi="Century" w:cs="Miriam" w:hint="cs"/>
          <w:b/>
          <w:spacing w:val="0"/>
          <w:szCs w:val="24"/>
          <w:rtl/>
        </w:rPr>
        <w:t>ים</w:t>
      </w:r>
      <w:r w:rsidRPr="00572B4D">
        <w:rPr>
          <w:rFonts w:ascii="Century" w:hAnsi="Century" w:cs="Miriam" w:hint="cs"/>
          <w:b/>
          <w:spacing w:val="0"/>
          <w:szCs w:val="24"/>
          <w:rtl/>
        </w:rPr>
        <w:t xml:space="preserve"> </w:t>
      </w:r>
      <w:r w:rsidRPr="00572B4D">
        <w:rPr>
          <w:rFonts w:ascii="Century" w:hAnsi="Century" w:cs="Miriam"/>
          <w:b/>
          <w:spacing w:val="0"/>
          <w:szCs w:val="24"/>
          <w:rtl/>
        </w:rPr>
        <w:t>–</w:t>
      </w:r>
      <w:r w:rsidRPr="00572B4D">
        <w:rPr>
          <w:rFonts w:ascii="Century" w:hAnsi="Century" w:cs="Miriam" w:hint="cs"/>
          <w:b/>
          <w:spacing w:val="0"/>
          <w:szCs w:val="24"/>
          <w:rtl/>
        </w:rPr>
        <w:t xml:space="preserve"> כללי</w:t>
      </w:r>
    </w:p>
    <w:p w:rsidR="00D81A8C" w:rsidRDefault="00D81A8C" w:rsidP="00D81A8C">
      <w:pPr>
        <w:pStyle w:val="Ruller41"/>
        <w:rPr>
          <w:rtl/>
        </w:rPr>
      </w:pPr>
    </w:p>
    <w:p w:rsidR="00D81A8C" w:rsidRDefault="00D81A8C" w:rsidP="00D81A8C">
      <w:pPr>
        <w:pStyle w:val="Ruller4"/>
        <w:rPr>
          <w:rtl/>
        </w:rPr>
      </w:pPr>
      <w:r>
        <w:rPr>
          <w:rFonts w:hint="cs"/>
          <w:rtl/>
        </w:rPr>
        <w:t xml:space="preserve">כידוע, דיני המס כפופים לכללי הפרשנות הרגילים, המאמצים את תורת הפרשנות התכליתית </w:t>
      </w:r>
      <w:r w:rsidRPr="00BC25C1">
        <w:rPr>
          <w:rtl/>
        </w:rPr>
        <w:t>(</w:t>
      </w:r>
      <w:r w:rsidRPr="00BC25C1">
        <w:rPr>
          <w:rFonts w:hint="eastAsia"/>
          <w:rtl/>
        </w:rPr>
        <w:t>ע</w:t>
      </w:r>
      <w:r w:rsidRPr="00BC25C1">
        <w:rPr>
          <w:rFonts w:hint="cs"/>
          <w:rtl/>
        </w:rPr>
        <w:t>"</w:t>
      </w:r>
      <w:r w:rsidRPr="00BC25C1">
        <w:rPr>
          <w:rFonts w:hint="eastAsia"/>
          <w:rtl/>
        </w:rPr>
        <w:t>א</w:t>
      </w:r>
      <w:r w:rsidRPr="00EB46BC">
        <w:rPr>
          <w:rtl/>
        </w:rPr>
        <w:t xml:space="preserve"> 534/79 </w:t>
      </w:r>
      <w:r w:rsidRPr="00EB46BC">
        <w:rPr>
          <w:rFonts w:ascii="Century" w:hAnsi="Century" w:cs="Miriam" w:hint="eastAsia"/>
          <w:b/>
          <w:spacing w:val="0"/>
          <w:sz w:val="22"/>
          <w:szCs w:val="24"/>
          <w:rtl/>
        </w:rPr>
        <w:t>אברהם</w:t>
      </w:r>
      <w:r w:rsidRPr="00EB46BC">
        <w:rPr>
          <w:rFonts w:ascii="Century" w:hAnsi="Century" w:cs="Miriam"/>
          <w:b/>
          <w:spacing w:val="0"/>
          <w:sz w:val="22"/>
          <w:szCs w:val="24"/>
          <w:rtl/>
        </w:rPr>
        <w:t xml:space="preserve"> </w:t>
      </w:r>
      <w:r w:rsidRPr="00EB46BC">
        <w:rPr>
          <w:rFonts w:ascii="Century" w:hAnsi="Century" w:cs="Miriam" w:hint="eastAsia"/>
          <w:b/>
          <w:spacing w:val="0"/>
          <w:sz w:val="22"/>
          <w:szCs w:val="24"/>
          <w:rtl/>
        </w:rPr>
        <w:t>אפרת</w:t>
      </w:r>
      <w:r w:rsidRPr="00EB46BC">
        <w:rPr>
          <w:rFonts w:ascii="Century" w:hAnsi="Century" w:cs="Miriam" w:hint="cs"/>
          <w:b/>
          <w:spacing w:val="0"/>
          <w:sz w:val="22"/>
          <w:szCs w:val="24"/>
          <w:rtl/>
        </w:rPr>
        <w:t xml:space="preserve"> </w:t>
      </w:r>
      <w:r w:rsidRPr="00EB46BC">
        <w:rPr>
          <w:rFonts w:ascii="Century" w:hAnsi="Century" w:cs="Miriam" w:hint="eastAsia"/>
          <w:b/>
          <w:spacing w:val="0"/>
          <w:sz w:val="22"/>
          <w:szCs w:val="24"/>
          <w:rtl/>
        </w:rPr>
        <w:t>נ</w:t>
      </w:r>
      <w:r w:rsidRPr="00EB46BC">
        <w:rPr>
          <w:rFonts w:ascii="Century" w:hAnsi="Century" w:cs="Miriam"/>
          <w:b/>
          <w:spacing w:val="0"/>
          <w:sz w:val="22"/>
          <w:szCs w:val="24"/>
          <w:rtl/>
        </w:rPr>
        <w:t xml:space="preserve">' </w:t>
      </w:r>
      <w:r w:rsidRPr="00EB46BC">
        <w:rPr>
          <w:rFonts w:ascii="Century" w:hAnsi="Century" w:cs="Miriam" w:hint="eastAsia"/>
          <w:b/>
          <w:spacing w:val="0"/>
          <w:sz w:val="22"/>
          <w:szCs w:val="24"/>
          <w:rtl/>
        </w:rPr>
        <w:t>מדינת</w:t>
      </w:r>
      <w:r w:rsidRPr="00EB46BC">
        <w:rPr>
          <w:rFonts w:ascii="Century" w:hAnsi="Century" w:cs="Miriam"/>
          <w:b/>
          <w:spacing w:val="0"/>
          <w:sz w:val="22"/>
          <w:szCs w:val="24"/>
          <w:rtl/>
        </w:rPr>
        <w:t xml:space="preserve"> </w:t>
      </w:r>
      <w:r w:rsidRPr="00EB46BC">
        <w:rPr>
          <w:rFonts w:ascii="Century" w:hAnsi="Century" w:cs="Miriam" w:hint="eastAsia"/>
          <w:b/>
          <w:spacing w:val="0"/>
          <w:sz w:val="22"/>
          <w:szCs w:val="24"/>
          <w:rtl/>
        </w:rPr>
        <w:t>ישראל</w:t>
      </w:r>
      <w:r w:rsidRPr="00EB46BC">
        <w:rPr>
          <w:rtl/>
        </w:rPr>
        <w:t>,</w:t>
      </w:r>
      <w:r>
        <w:rPr>
          <w:rFonts w:hint="cs"/>
          <w:rtl/>
        </w:rPr>
        <w:t xml:space="preserve"> פ"ד</w:t>
      </w:r>
      <w:r w:rsidRPr="00EB46BC">
        <w:rPr>
          <w:rtl/>
        </w:rPr>
        <w:t xml:space="preserve"> </w:t>
      </w:r>
      <w:r w:rsidRPr="00EB46BC">
        <w:rPr>
          <w:rFonts w:hint="eastAsia"/>
          <w:rtl/>
        </w:rPr>
        <w:t>לה</w:t>
      </w:r>
      <w:r>
        <w:rPr>
          <w:rtl/>
        </w:rPr>
        <w:t>(4) 729</w:t>
      </w:r>
      <w:r>
        <w:rPr>
          <w:rFonts w:hint="cs"/>
          <w:rtl/>
        </w:rPr>
        <w:t xml:space="preserve">, 735 (1985); </w:t>
      </w:r>
      <w:r w:rsidRPr="00BC25C1">
        <w:rPr>
          <w:rFonts w:hint="eastAsia"/>
          <w:rtl/>
        </w:rPr>
        <w:t>ע</w:t>
      </w:r>
      <w:r>
        <w:rPr>
          <w:rFonts w:hint="cs"/>
          <w:rtl/>
        </w:rPr>
        <w:t>"</w:t>
      </w:r>
      <w:r w:rsidRPr="00BC25C1">
        <w:rPr>
          <w:rFonts w:hint="eastAsia"/>
          <w:rtl/>
        </w:rPr>
        <w:t>א</w:t>
      </w:r>
      <w:r w:rsidRPr="00BC25C1">
        <w:rPr>
          <w:rtl/>
        </w:rPr>
        <w:t xml:space="preserve"> 5264/91 </w:t>
      </w:r>
      <w:r w:rsidRPr="00BC25C1">
        <w:rPr>
          <w:rFonts w:ascii="Century" w:hAnsi="Century" w:cs="Miriam" w:hint="eastAsia"/>
          <w:b/>
          <w:spacing w:val="0"/>
          <w:sz w:val="22"/>
          <w:szCs w:val="24"/>
          <w:rtl/>
        </w:rPr>
        <w:t>פקיד</w:t>
      </w:r>
      <w:r w:rsidRPr="00BC25C1">
        <w:rPr>
          <w:rFonts w:ascii="Century" w:hAnsi="Century" w:cs="Miriam"/>
          <w:b/>
          <w:spacing w:val="0"/>
          <w:sz w:val="22"/>
          <w:szCs w:val="24"/>
          <w:rtl/>
        </w:rPr>
        <w:t xml:space="preserve"> </w:t>
      </w:r>
      <w:r w:rsidRPr="00BC25C1">
        <w:rPr>
          <w:rFonts w:ascii="Century" w:hAnsi="Century" w:cs="Miriam" w:hint="eastAsia"/>
          <w:b/>
          <w:spacing w:val="0"/>
          <w:sz w:val="22"/>
          <w:szCs w:val="24"/>
          <w:rtl/>
        </w:rPr>
        <w:t>השומה</w:t>
      </w:r>
      <w:r w:rsidRPr="00BC25C1">
        <w:rPr>
          <w:rFonts w:ascii="Century" w:hAnsi="Century" w:cs="Miriam"/>
          <w:b/>
          <w:spacing w:val="0"/>
          <w:sz w:val="22"/>
          <w:szCs w:val="24"/>
          <w:rtl/>
        </w:rPr>
        <w:t xml:space="preserve"> </w:t>
      </w:r>
      <w:r w:rsidRPr="00BC25C1">
        <w:rPr>
          <w:rFonts w:ascii="Century" w:hAnsi="Century" w:cs="Miriam" w:hint="eastAsia"/>
          <w:b/>
          <w:spacing w:val="0"/>
          <w:sz w:val="22"/>
          <w:szCs w:val="24"/>
          <w:rtl/>
        </w:rPr>
        <w:t>למפעלים</w:t>
      </w:r>
      <w:r w:rsidRPr="00BC25C1">
        <w:rPr>
          <w:rFonts w:ascii="Century" w:hAnsi="Century" w:cs="Miriam"/>
          <w:b/>
          <w:spacing w:val="0"/>
          <w:sz w:val="22"/>
          <w:szCs w:val="24"/>
          <w:rtl/>
        </w:rPr>
        <w:t xml:space="preserve"> </w:t>
      </w:r>
      <w:r w:rsidRPr="00BC25C1">
        <w:rPr>
          <w:rFonts w:ascii="Century" w:hAnsi="Century" w:cs="Miriam" w:hint="eastAsia"/>
          <w:b/>
          <w:spacing w:val="0"/>
          <w:sz w:val="22"/>
          <w:szCs w:val="24"/>
          <w:rtl/>
        </w:rPr>
        <w:t>גדולים</w:t>
      </w:r>
      <w:r w:rsidRPr="00BC25C1">
        <w:rPr>
          <w:rFonts w:ascii="Century" w:hAnsi="Century" w:cs="Miriam" w:hint="cs"/>
          <w:b/>
          <w:spacing w:val="0"/>
          <w:sz w:val="22"/>
          <w:szCs w:val="24"/>
          <w:rtl/>
        </w:rPr>
        <w:t xml:space="preserve"> </w:t>
      </w:r>
      <w:r w:rsidRPr="00BC25C1">
        <w:rPr>
          <w:rFonts w:ascii="Century" w:hAnsi="Century" w:cs="Miriam" w:hint="eastAsia"/>
          <w:b/>
          <w:spacing w:val="0"/>
          <w:sz w:val="22"/>
          <w:szCs w:val="24"/>
          <w:rtl/>
        </w:rPr>
        <w:t>נ</w:t>
      </w:r>
      <w:r w:rsidRPr="00BC25C1">
        <w:rPr>
          <w:rFonts w:ascii="Century" w:hAnsi="Century" w:cs="Miriam"/>
          <w:b/>
          <w:spacing w:val="0"/>
          <w:sz w:val="22"/>
          <w:szCs w:val="24"/>
          <w:rtl/>
        </w:rPr>
        <w:t xml:space="preserve">' </w:t>
      </w:r>
      <w:r w:rsidRPr="00BC25C1">
        <w:rPr>
          <w:rFonts w:ascii="Century" w:hAnsi="Century" w:cs="Miriam" w:hint="eastAsia"/>
          <w:b/>
          <w:spacing w:val="0"/>
          <w:sz w:val="22"/>
          <w:szCs w:val="24"/>
          <w:rtl/>
        </w:rPr>
        <w:t>עיט</w:t>
      </w:r>
      <w:r w:rsidRPr="00BC25C1">
        <w:rPr>
          <w:rFonts w:ascii="Century" w:hAnsi="Century" w:cs="Miriam"/>
          <w:b/>
          <w:spacing w:val="0"/>
          <w:sz w:val="22"/>
          <w:szCs w:val="24"/>
          <w:rtl/>
        </w:rPr>
        <w:t xml:space="preserve"> </w:t>
      </w:r>
      <w:r w:rsidRPr="00BC25C1">
        <w:rPr>
          <w:rFonts w:ascii="Century" w:hAnsi="Century" w:cs="Miriam" w:hint="eastAsia"/>
          <w:b/>
          <w:spacing w:val="0"/>
          <w:sz w:val="22"/>
          <w:szCs w:val="24"/>
          <w:rtl/>
        </w:rPr>
        <w:t>ציוד</w:t>
      </w:r>
      <w:r w:rsidRPr="00BC25C1">
        <w:rPr>
          <w:rFonts w:ascii="Century" w:hAnsi="Century" w:cs="Miriam"/>
          <w:b/>
          <w:spacing w:val="0"/>
          <w:sz w:val="22"/>
          <w:szCs w:val="24"/>
          <w:rtl/>
        </w:rPr>
        <w:t xml:space="preserve"> </w:t>
      </w:r>
      <w:r w:rsidRPr="00BC25C1">
        <w:rPr>
          <w:rFonts w:ascii="Century" w:hAnsi="Century" w:cs="Miriam" w:hint="eastAsia"/>
          <w:b/>
          <w:spacing w:val="0"/>
          <w:sz w:val="22"/>
          <w:szCs w:val="24"/>
          <w:rtl/>
        </w:rPr>
        <w:t>ליבוא</w:t>
      </w:r>
      <w:r w:rsidRPr="00BC25C1">
        <w:rPr>
          <w:rFonts w:ascii="Century" w:hAnsi="Century" w:cs="Miriam"/>
          <w:b/>
          <w:spacing w:val="0"/>
          <w:sz w:val="22"/>
          <w:szCs w:val="24"/>
          <w:rtl/>
        </w:rPr>
        <w:t xml:space="preserve"> </w:t>
      </w:r>
      <w:r w:rsidRPr="00BC25C1">
        <w:rPr>
          <w:rFonts w:ascii="Century" w:hAnsi="Century" w:cs="Miriam" w:hint="eastAsia"/>
          <w:b/>
          <w:spacing w:val="0"/>
          <w:sz w:val="22"/>
          <w:szCs w:val="24"/>
          <w:rtl/>
        </w:rPr>
        <w:t>בע</w:t>
      </w:r>
      <w:r w:rsidRPr="00BC25C1">
        <w:rPr>
          <w:rFonts w:ascii="Century" w:hAnsi="Century" w:cs="Miriam"/>
          <w:b/>
          <w:spacing w:val="0"/>
          <w:sz w:val="22"/>
          <w:szCs w:val="24"/>
          <w:rtl/>
        </w:rPr>
        <w:t>"</w:t>
      </w:r>
      <w:r w:rsidRPr="00BC25C1">
        <w:rPr>
          <w:rFonts w:ascii="Century" w:hAnsi="Century" w:cs="Miriam" w:hint="eastAsia"/>
          <w:b/>
          <w:spacing w:val="0"/>
          <w:sz w:val="22"/>
          <w:szCs w:val="24"/>
          <w:rtl/>
        </w:rPr>
        <w:t>מ</w:t>
      </w:r>
      <w:r w:rsidRPr="00BC25C1">
        <w:rPr>
          <w:rtl/>
        </w:rPr>
        <w:t>,</w:t>
      </w:r>
      <w:r>
        <w:rPr>
          <w:rFonts w:hint="cs"/>
          <w:rtl/>
        </w:rPr>
        <w:t xml:space="preserve"> פ"ד</w:t>
      </w:r>
      <w:r w:rsidRPr="00BC25C1">
        <w:rPr>
          <w:rtl/>
        </w:rPr>
        <w:t xml:space="preserve"> </w:t>
      </w:r>
      <w:r w:rsidRPr="00BC25C1">
        <w:rPr>
          <w:rFonts w:hint="eastAsia"/>
          <w:rtl/>
        </w:rPr>
        <w:t>מט</w:t>
      </w:r>
      <w:r w:rsidRPr="00BC25C1">
        <w:rPr>
          <w:rtl/>
        </w:rPr>
        <w:t>(3) 209</w:t>
      </w:r>
      <w:r>
        <w:rPr>
          <w:rFonts w:hint="cs"/>
          <w:rtl/>
        </w:rPr>
        <w:t>, 214 (1995);</w:t>
      </w:r>
      <w:r w:rsidRPr="00BC25C1">
        <w:rPr>
          <w:rtl/>
        </w:rPr>
        <w:t xml:space="preserve"> </w:t>
      </w:r>
      <w:r w:rsidRPr="00302E8C">
        <w:rPr>
          <w:rFonts w:hint="eastAsia"/>
          <w:rtl/>
        </w:rPr>
        <w:t>ע</w:t>
      </w:r>
      <w:r>
        <w:rPr>
          <w:rFonts w:hint="cs"/>
          <w:rtl/>
        </w:rPr>
        <w:t>"</w:t>
      </w:r>
      <w:r w:rsidRPr="00302E8C">
        <w:rPr>
          <w:rFonts w:hint="eastAsia"/>
          <w:rtl/>
        </w:rPr>
        <w:t>א</w:t>
      </w:r>
      <w:r w:rsidRPr="00302E8C">
        <w:rPr>
          <w:rtl/>
        </w:rPr>
        <w:t xml:space="preserve"> 401/93 </w:t>
      </w:r>
      <w:r w:rsidRPr="00302E8C">
        <w:rPr>
          <w:rFonts w:ascii="Century" w:hAnsi="Century" w:cs="Miriam" w:hint="eastAsia"/>
          <w:b/>
          <w:spacing w:val="0"/>
          <w:sz w:val="22"/>
          <w:szCs w:val="24"/>
          <w:rtl/>
        </w:rPr>
        <w:t>גולדברג</w:t>
      </w:r>
      <w:r w:rsidRPr="00302E8C">
        <w:rPr>
          <w:rFonts w:ascii="Century" w:hAnsi="Century" w:cs="Miriam" w:hint="cs"/>
          <w:b/>
          <w:spacing w:val="0"/>
          <w:sz w:val="22"/>
          <w:szCs w:val="24"/>
          <w:rtl/>
        </w:rPr>
        <w:t xml:space="preserve"> </w:t>
      </w:r>
      <w:r w:rsidRPr="00302E8C">
        <w:rPr>
          <w:rFonts w:ascii="Century" w:hAnsi="Century" w:cs="Miriam" w:hint="eastAsia"/>
          <w:b/>
          <w:spacing w:val="0"/>
          <w:sz w:val="22"/>
          <w:szCs w:val="24"/>
          <w:rtl/>
        </w:rPr>
        <w:t>נ</w:t>
      </w:r>
      <w:r w:rsidRPr="00302E8C">
        <w:rPr>
          <w:rFonts w:ascii="Century" w:hAnsi="Century" w:cs="Miriam"/>
          <w:b/>
          <w:spacing w:val="0"/>
          <w:sz w:val="22"/>
          <w:szCs w:val="24"/>
          <w:rtl/>
        </w:rPr>
        <w:t xml:space="preserve">' </w:t>
      </w:r>
      <w:r w:rsidRPr="00302E8C">
        <w:rPr>
          <w:rFonts w:ascii="Century" w:hAnsi="Century" w:cs="Miriam" w:hint="eastAsia"/>
          <w:b/>
          <w:spacing w:val="0"/>
          <w:sz w:val="22"/>
          <w:szCs w:val="24"/>
          <w:rtl/>
        </w:rPr>
        <w:t>פקיד</w:t>
      </w:r>
      <w:r w:rsidRPr="00302E8C">
        <w:rPr>
          <w:rFonts w:ascii="Century" w:hAnsi="Century" w:cs="Miriam"/>
          <w:b/>
          <w:spacing w:val="0"/>
          <w:sz w:val="22"/>
          <w:szCs w:val="24"/>
          <w:rtl/>
        </w:rPr>
        <w:t xml:space="preserve"> </w:t>
      </w:r>
      <w:r w:rsidRPr="00302E8C">
        <w:rPr>
          <w:rFonts w:ascii="Century" w:hAnsi="Century" w:cs="Miriam" w:hint="eastAsia"/>
          <w:b/>
          <w:spacing w:val="0"/>
          <w:sz w:val="22"/>
          <w:szCs w:val="24"/>
          <w:rtl/>
        </w:rPr>
        <w:t>שומה</w:t>
      </w:r>
      <w:r w:rsidRPr="00302E8C">
        <w:rPr>
          <w:rFonts w:ascii="Century" w:hAnsi="Century" w:cs="Miriam"/>
          <w:b/>
          <w:spacing w:val="0"/>
          <w:sz w:val="22"/>
          <w:szCs w:val="24"/>
          <w:rtl/>
        </w:rPr>
        <w:t xml:space="preserve"> </w:t>
      </w:r>
      <w:r w:rsidRPr="00302E8C">
        <w:rPr>
          <w:rFonts w:ascii="Century" w:hAnsi="Century" w:cs="Miriam" w:hint="eastAsia"/>
          <w:b/>
          <w:spacing w:val="0"/>
          <w:sz w:val="22"/>
          <w:szCs w:val="24"/>
          <w:rtl/>
        </w:rPr>
        <w:t>תל</w:t>
      </w:r>
      <w:r w:rsidRPr="00302E8C">
        <w:rPr>
          <w:rFonts w:ascii="Century" w:hAnsi="Century" w:cs="Miriam"/>
          <w:b/>
          <w:spacing w:val="0"/>
          <w:sz w:val="22"/>
          <w:szCs w:val="24"/>
          <w:rtl/>
        </w:rPr>
        <w:t>-</w:t>
      </w:r>
      <w:r w:rsidRPr="00302E8C">
        <w:rPr>
          <w:rFonts w:ascii="Century" w:hAnsi="Century" w:cs="Miriam" w:hint="eastAsia"/>
          <w:b/>
          <w:spacing w:val="0"/>
          <w:sz w:val="22"/>
          <w:szCs w:val="24"/>
          <w:rtl/>
        </w:rPr>
        <w:t>אביב</w:t>
      </w:r>
      <w:r w:rsidRPr="00302E8C">
        <w:rPr>
          <w:rtl/>
        </w:rPr>
        <w:t>,</w:t>
      </w:r>
      <w:r>
        <w:rPr>
          <w:rFonts w:hint="cs"/>
          <w:rtl/>
        </w:rPr>
        <w:t xml:space="preserve"> פ"ד</w:t>
      </w:r>
      <w:r w:rsidRPr="00302E8C">
        <w:rPr>
          <w:rtl/>
        </w:rPr>
        <w:t xml:space="preserve"> </w:t>
      </w:r>
      <w:r w:rsidRPr="00302E8C">
        <w:rPr>
          <w:rFonts w:hint="eastAsia"/>
          <w:rtl/>
        </w:rPr>
        <w:t>נא</w:t>
      </w:r>
      <w:r w:rsidRPr="00302E8C">
        <w:rPr>
          <w:rtl/>
        </w:rPr>
        <w:t>(1) 278</w:t>
      </w:r>
      <w:r>
        <w:rPr>
          <w:rFonts w:hint="cs"/>
          <w:rtl/>
        </w:rPr>
        <w:t xml:space="preserve">, 283 (1997)). עמד על כך השופט (כתוארו אז) </w:t>
      </w:r>
      <w:r w:rsidRPr="002F5955">
        <w:rPr>
          <w:rFonts w:ascii="Century" w:hAnsi="Century" w:cs="Miriam" w:hint="cs"/>
          <w:b/>
          <w:spacing w:val="0"/>
          <w:sz w:val="22"/>
          <w:szCs w:val="24"/>
          <w:rtl/>
        </w:rPr>
        <w:t>אהרן ברק</w:t>
      </w:r>
      <w:r>
        <w:rPr>
          <w:rFonts w:hint="cs"/>
          <w:rtl/>
        </w:rPr>
        <w:t xml:space="preserve">: </w:t>
      </w:r>
    </w:p>
    <w:p w:rsidR="00D81A8C" w:rsidRPr="00CC5E5A" w:rsidRDefault="00D81A8C" w:rsidP="00D81A8C">
      <w:pPr>
        <w:pStyle w:val="Ruller41"/>
        <w:rPr>
          <w:rtl/>
        </w:rPr>
      </w:pPr>
    </w:p>
    <w:p w:rsidR="00D81A8C" w:rsidRDefault="00D81A8C" w:rsidP="00D81A8C">
      <w:pPr>
        <w:pStyle w:val="Ruller5"/>
        <w:rPr>
          <w:rFonts w:ascii="Century" w:hAnsi="Century"/>
          <w:rtl/>
        </w:rPr>
      </w:pPr>
      <w:r w:rsidRPr="00772BC0">
        <w:rPr>
          <w:rFonts w:ascii="Century" w:hAnsi="Century"/>
          <w:rtl/>
        </w:rPr>
        <w:t xml:space="preserve">כללים אלה, המשמשים לפירוש חוקים בדרך כלל, משמשים גם לפירושם של חוקי מסים. אין להם לחוקי המסים כללי פרשנות משלהם </w:t>
      </w:r>
      <w:r>
        <w:rPr>
          <w:rFonts w:ascii="Century" w:hAnsi="Century" w:hint="cs"/>
          <w:rtl/>
        </w:rPr>
        <w:t>[..</w:t>
      </w:r>
      <w:r w:rsidRPr="00772BC0">
        <w:rPr>
          <w:rFonts w:ascii="Century" w:hAnsi="Century"/>
          <w:rtl/>
        </w:rPr>
        <w:t>.</w:t>
      </w:r>
      <w:r>
        <w:rPr>
          <w:rFonts w:ascii="Century" w:hAnsi="Century" w:hint="cs"/>
          <w:rtl/>
        </w:rPr>
        <w:t>]</w:t>
      </w:r>
      <w:r w:rsidRPr="00772BC0">
        <w:rPr>
          <w:rFonts w:ascii="Century" w:hAnsi="Century"/>
          <w:rtl/>
        </w:rPr>
        <w:t xml:space="preserve"> כמו כל חוק אחר, גם לעניין חוק מס נקודת המוצא היא לשון החוק, והשאלה היא, אם לאפשרויות השונות יש עיגון, ולו מינימאלי, בלשון ההוראה. מבין האפשרויות הלשוניות השונות יש לבחור אותה אפשרות, המגשימה את מטרתה של חקיקת המס. לעתים מטרת החקיקה היא הטלת מס, ולעתים מטרתה היא פטור ממס. בזו כבזו על הפרשן </w:t>
      </w:r>
      <w:proofErr w:type="spellStart"/>
      <w:r w:rsidRPr="00772BC0">
        <w:rPr>
          <w:rFonts w:ascii="Century" w:hAnsi="Century"/>
          <w:rtl/>
        </w:rPr>
        <w:t>ליתן</w:t>
      </w:r>
      <w:proofErr w:type="spellEnd"/>
      <w:r w:rsidRPr="00772BC0">
        <w:rPr>
          <w:rFonts w:ascii="Century" w:hAnsi="Century"/>
          <w:rtl/>
        </w:rPr>
        <w:t xml:space="preserve"> אותו פירוש, המביא להגשמת תכלית החקיקה</w:t>
      </w:r>
      <w:r>
        <w:rPr>
          <w:rFonts w:ascii="Century" w:hAnsi="Century" w:hint="cs"/>
          <w:rtl/>
        </w:rPr>
        <w:t xml:space="preserve"> (</w:t>
      </w:r>
      <w:r w:rsidRPr="00CC5E5A">
        <w:rPr>
          <w:rFonts w:ascii="Century" w:hAnsi="Century" w:hint="eastAsia"/>
          <w:rtl/>
        </w:rPr>
        <w:t>ע</w:t>
      </w:r>
      <w:r>
        <w:rPr>
          <w:rFonts w:ascii="Century" w:hAnsi="Century" w:hint="cs"/>
          <w:rtl/>
        </w:rPr>
        <w:t>"</w:t>
      </w:r>
      <w:r w:rsidRPr="00CC5E5A">
        <w:rPr>
          <w:rFonts w:ascii="Century" w:hAnsi="Century" w:hint="eastAsia"/>
          <w:rtl/>
        </w:rPr>
        <w:t>א</w:t>
      </w:r>
      <w:r w:rsidRPr="00CC5E5A">
        <w:rPr>
          <w:rFonts w:ascii="Century" w:hAnsi="Century"/>
          <w:rtl/>
        </w:rPr>
        <w:t xml:space="preserve"> 165/82 </w:t>
      </w:r>
      <w:r w:rsidRPr="00630F72">
        <w:rPr>
          <w:rFonts w:ascii="Century" w:hAnsi="Century" w:cs="Miriam" w:hint="eastAsia"/>
          <w:b/>
          <w:spacing w:val="0"/>
          <w:szCs w:val="24"/>
          <w:rtl/>
        </w:rPr>
        <w:t>קיבוץ</w:t>
      </w:r>
      <w:r w:rsidRPr="00630F72">
        <w:rPr>
          <w:rFonts w:ascii="Century" w:hAnsi="Century" w:cs="Miriam"/>
          <w:b/>
          <w:spacing w:val="0"/>
          <w:szCs w:val="24"/>
          <w:rtl/>
        </w:rPr>
        <w:t xml:space="preserve"> </w:t>
      </w:r>
      <w:r w:rsidRPr="00630F72">
        <w:rPr>
          <w:rFonts w:ascii="Century" w:hAnsi="Century" w:cs="Miriam" w:hint="eastAsia"/>
          <w:b/>
          <w:spacing w:val="0"/>
          <w:szCs w:val="24"/>
          <w:rtl/>
        </w:rPr>
        <w:t>חצור</w:t>
      </w:r>
      <w:r w:rsidRPr="00630F72">
        <w:rPr>
          <w:rFonts w:ascii="Century" w:hAnsi="Century" w:cs="Miriam" w:hint="cs"/>
          <w:b/>
          <w:spacing w:val="0"/>
          <w:szCs w:val="24"/>
          <w:rtl/>
        </w:rPr>
        <w:t xml:space="preserve"> </w:t>
      </w:r>
      <w:r w:rsidRPr="00630F72">
        <w:rPr>
          <w:rFonts w:ascii="Century" w:hAnsi="Century" w:cs="Miriam" w:hint="eastAsia"/>
          <w:b/>
          <w:spacing w:val="0"/>
          <w:szCs w:val="24"/>
          <w:rtl/>
        </w:rPr>
        <w:t>נ</w:t>
      </w:r>
      <w:r w:rsidRPr="00630F72">
        <w:rPr>
          <w:rFonts w:ascii="Century" w:hAnsi="Century" w:cs="Miriam"/>
          <w:b/>
          <w:spacing w:val="0"/>
          <w:szCs w:val="24"/>
          <w:rtl/>
        </w:rPr>
        <w:t xml:space="preserve">' </w:t>
      </w:r>
      <w:r w:rsidRPr="00630F72">
        <w:rPr>
          <w:rFonts w:ascii="Century" w:hAnsi="Century" w:cs="Miriam" w:hint="eastAsia"/>
          <w:b/>
          <w:spacing w:val="0"/>
          <w:szCs w:val="24"/>
          <w:rtl/>
        </w:rPr>
        <w:t>פקיד</w:t>
      </w:r>
      <w:r w:rsidRPr="00630F72">
        <w:rPr>
          <w:rFonts w:ascii="Century" w:hAnsi="Century" w:cs="Miriam"/>
          <w:b/>
          <w:spacing w:val="0"/>
          <w:szCs w:val="24"/>
          <w:rtl/>
        </w:rPr>
        <w:t xml:space="preserve"> </w:t>
      </w:r>
      <w:r w:rsidRPr="00630F72">
        <w:rPr>
          <w:rFonts w:ascii="Century" w:hAnsi="Century" w:cs="Miriam" w:hint="eastAsia"/>
          <w:b/>
          <w:spacing w:val="0"/>
          <w:szCs w:val="24"/>
          <w:rtl/>
        </w:rPr>
        <w:t>שומה</w:t>
      </w:r>
      <w:r w:rsidRPr="00630F72">
        <w:rPr>
          <w:rFonts w:ascii="Century" w:hAnsi="Century" w:cs="Miriam"/>
          <w:b/>
          <w:spacing w:val="0"/>
          <w:szCs w:val="24"/>
          <w:rtl/>
        </w:rPr>
        <w:t xml:space="preserve"> </w:t>
      </w:r>
      <w:r w:rsidRPr="00630F72">
        <w:rPr>
          <w:rFonts w:ascii="Century" w:hAnsi="Century" w:cs="Miriam" w:hint="eastAsia"/>
          <w:b/>
          <w:spacing w:val="0"/>
          <w:szCs w:val="24"/>
          <w:rtl/>
        </w:rPr>
        <w:t>רחובות</w:t>
      </w:r>
      <w:r w:rsidRPr="00CC5E5A">
        <w:rPr>
          <w:rFonts w:ascii="Century" w:hAnsi="Century"/>
          <w:rtl/>
        </w:rPr>
        <w:t>,</w:t>
      </w:r>
      <w:r>
        <w:rPr>
          <w:rFonts w:ascii="Century" w:hAnsi="Century" w:hint="cs"/>
          <w:rtl/>
        </w:rPr>
        <w:t xml:space="preserve"> פ"ד</w:t>
      </w:r>
      <w:r w:rsidRPr="00CC5E5A">
        <w:rPr>
          <w:rFonts w:ascii="Century" w:hAnsi="Century"/>
          <w:rtl/>
        </w:rPr>
        <w:t xml:space="preserve"> </w:t>
      </w:r>
      <w:r w:rsidRPr="00CC5E5A">
        <w:rPr>
          <w:rFonts w:ascii="Century" w:hAnsi="Century" w:hint="eastAsia"/>
          <w:rtl/>
        </w:rPr>
        <w:t>לט</w:t>
      </w:r>
      <w:r>
        <w:rPr>
          <w:rFonts w:ascii="Century" w:hAnsi="Century"/>
          <w:rtl/>
        </w:rPr>
        <w:t xml:space="preserve">(2) </w:t>
      </w:r>
      <w:r w:rsidRPr="00CC5E5A">
        <w:rPr>
          <w:rFonts w:ascii="Century" w:hAnsi="Century"/>
          <w:rtl/>
        </w:rPr>
        <w:t>70</w:t>
      </w:r>
      <w:r>
        <w:rPr>
          <w:rFonts w:ascii="Century" w:hAnsi="Century" w:hint="cs"/>
          <w:rtl/>
        </w:rPr>
        <w:t xml:space="preserve">, 75 (1985) (להלן: </w:t>
      </w:r>
      <w:r w:rsidRPr="00CC5E5A">
        <w:rPr>
          <w:rFonts w:ascii="Century" w:hAnsi="Century" w:cs="Miriam" w:hint="cs"/>
          <w:b/>
          <w:spacing w:val="0"/>
          <w:szCs w:val="24"/>
          <w:rtl/>
        </w:rPr>
        <w:t>"עניין חצור"</w:t>
      </w:r>
      <w:r>
        <w:rPr>
          <w:rFonts w:ascii="Century" w:hAnsi="Century" w:hint="cs"/>
          <w:rtl/>
        </w:rPr>
        <w:t>)).</w:t>
      </w:r>
    </w:p>
    <w:p w:rsidR="00D81A8C" w:rsidRDefault="00D81A8C" w:rsidP="00D81A8C">
      <w:pPr>
        <w:pStyle w:val="Ruller5"/>
        <w:rPr>
          <w:rFonts w:ascii="Century" w:hAnsi="Century"/>
          <w:rtl/>
        </w:rPr>
      </w:pPr>
    </w:p>
    <w:p w:rsidR="00D81A8C" w:rsidRPr="00CC5E5A" w:rsidRDefault="00D81A8C" w:rsidP="00D81A8C">
      <w:pPr>
        <w:pStyle w:val="Ruller5"/>
        <w:rPr>
          <w:rFonts w:ascii="Century" w:hAnsi="Century"/>
          <w:rtl/>
        </w:rPr>
      </w:pPr>
    </w:p>
    <w:p w:rsidR="00533E69" w:rsidRDefault="00D81A8C" w:rsidP="00D81A8C">
      <w:pPr>
        <w:pStyle w:val="Ruller4"/>
      </w:pPr>
      <w:r>
        <w:rPr>
          <w:rFonts w:hint="cs"/>
          <w:rtl/>
        </w:rPr>
        <w:t xml:space="preserve">נקודת המוצא, </w:t>
      </w:r>
      <w:proofErr w:type="spellStart"/>
      <w:r>
        <w:rPr>
          <w:rFonts w:hint="cs"/>
          <w:rtl/>
        </w:rPr>
        <w:t>איפוא</w:t>
      </w:r>
      <w:proofErr w:type="spellEnd"/>
      <w:r>
        <w:rPr>
          <w:rFonts w:hint="cs"/>
          <w:rtl/>
        </w:rPr>
        <w:t xml:space="preserve">, היא לשון החוק, כאשר מבין המשמעויות הלשוניות השונות יש לבחור בפרשנות אשר מגשימה את התכלית המונחת בבסיסו של החוק </w:t>
      </w:r>
      <w:r>
        <w:rPr>
          <w:rtl/>
        </w:rPr>
        <w:t>–</w:t>
      </w:r>
      <w:r>
        <w:rPr>
          <w:rFonts w:hint="cs"/>
          <w:rtl/>
        </w:rPr>
        <w:t xml:space="preserve"> ובענייננו פקודת מס </w:t>
      </w:r>
      <w:r w:rsidRPr="00C72C91">
        <w:rPr>
          <w:rFonts w:hint="cs"/>
          <w:rtl/>
        </w:rPr>
        <w:t xml:space="preserve">הכנסה (ראו גם: </w:t>
      </w:r>
      <w:r w:rsidRPr="00C72C91">
        <w:rPr>
          <w:rFonts w:hint="eastAsia"/>
          <w:rtl/>
        </w:rPr>
        <w:t>ע</w:t>
      </w:r>
      <w:r w:rsidRPr="00C72C91">
        <w:rPr>
          <w:rFonts w:hint="cs"/>
          <w:rtl/>
        </w:rPr>
        <w:t>"</w:t>
      </w:r>
      <w:r w:rsidRPr="00C72C91">
        <w:rPr>
          <w:rFonts w:hint="eastAsia"/>
          <w:rtl/>
        </w:rPr>
        <w:t>א</w:t>
      </w:r>
      <w:r w:rsidRPr="00C72C91">
        <w:rPr>
          <w:rtl/>
        </w:rPr>
        <w:t xml:space="preserve"> 41</w:t>
      </w:r>
      <w:r w:rsidRPr="00CF63D9">
        <w:rPr>
          <w:rtl/>
        </w:rPr>
        <w:t xml:space="preserve">/96 </w:t>
      </w:r>
      <w:proofErr w:type="spellStart"/>
      <w:r w:rsidRPr="00CF63D9">
        <w:rPr>
          <w:rFonts w:ascii="Century" w:hAnsi="Century" w:cs="Miriam" w:hint="eastAsia"/>
          <w:b/>
          <w:spacing w:val="0"/>
          <w:sz w:val="22"/>
          <w:szCs w:val="24"/>
          <w:rtl/>
        </w:rPr>
        <w:t>קסוטו</w:t>
      </w:r>
      <w:proofErr w:type="spellEnd"/>
      <w:r w:rsidRPr="00CF63D9">
        <w:rPr>
          <w:rFonts w:ascii="Century" w:hAnsi="Century" w:cs="Miriam"/>
          <w:b/>
          <w:spacing w:val="0"/>
          <w:sz w:val="22"/>
          <w:szCs w:val="24"/>
          <w:rtl/>
        </w:rPr>
        <w:t xml:space="preserve"> </w:t>
      </w:r>
      <w:r w:rsidRPr="00CF63D9">
        <w:rPr>
          <w:rFonts w:ascii="Century" w:hAnsi="Century" w:cs="Miriam" w:hint="eastAsia"/>
          <w:b/>
          <w:spacing w:val="0"/>
          <w:sz w:val="22"/>
          <w:szCs w:val="24"/>
          <w:rtl/>
        </w:rPr>
        <w:t>סוכנויות</w:t>
      </w:r>
      <w:r w:rsidRPr="00CF63D9">
        <w:rPr>
          <w:rFonts w:ascii="Century" w:hAnsi="Century" w:cs="Miriam"/>
          <w:b/>
          <w:spacing w:val="0"/>
          <w:sz w:val="22"/>
          <w:szCs w:val="24"/>
          <w:rtl/>
        </w:rPr>
        <w:t xml:space="preserve"> </w:t>
      </w:r>
      <w:r w:rsidRPr="00CF63D9">
        <w:rPr>
          <w:rFonts w:ascii="Century" w:hAnsi="Century" w:cs="Miriam" w:hint="eastAsia"/>
          <w:b/>
          <w:spacing w:val="0"/>
          <w:sz w:val="22"/>
          <w:szCs w:val="24"/>
          <w:rtl/>
        </w:rPr>
        <w:t>ביטוח</w:t>
      </w:r>
      <w:r w:rsidRPr="00CF63D9">
        <w:rPr>
          <w:rFonts w:ascii="Century" w:hAnsi="Century" w:cs="Miriam"/>
          <w:b/>
          <w:spacing w:val="0"/>
          <w:sz w:val="22"/>
          <w:szCs w:val="24"/>
          <w:rtl/>
        </w:rPr>
        <w:t xml:space="preserve"> </w:t>
      </w:r>
      <w:r w:rsidRPr="00CF63D9">
        <w:rPr>
          <w:rFonts w:ascii="Century" w:hAnsi="Century" w:cs="Miriam" w:hint="eastAsia"/>
          <w:b/>
          <w:spacing w:val="0"/>
          <w:sz w:val="22"/>
          <w:szCs w:val="24"/>
          <w:rtl/>
        </w:rPr>
        <w:t>בע</w:t>
      </w:r>
      <w:r w:rsidRPr="00CF63D9">
        <w:rPr>
          <w:rFonts w:ascii="Century" w:hAnsi="Century" w:cs="Miriam"/>
          <w:b/>
          <w:spacing w:val="0"/>
          <w:sz w:val="22"/>
          <w:szCs w:val="24"/>
          <w:rtl/>
        </w:rPr>
        <w:t>"</w:t>
      </w:r>
      <w:r w:rsidRPr="00CF63D9">
        <w:rPr>
          <w:rFonts w:ascii="Century" w:hAnsi="Century" w:cs="Miriam" w:hint="eastAsia"/>
          <w:b/>
          <w:spacing w:val="0"/>
          <w:sz w:val="22"/>
          <w:szCs w:val="24"/>
          <w:rtl/>
        </w:rPr>
        <w:t>מ</w:t>
      </w:r>
      <w:r w:rsidRPr="00CF63D9">
        <w:rPr>
          <w:rFonts w:ascii="Century" w:hAnsi="Century" w:cs="Miriam" w:hint="cs"/>
          <w:b/>
          <w:spacing w:val="0"/>
          <w:sz w:val="22"/>
          <w:szCs w:val="24"/>
          <w:rtl/>
        </w:rPr>
        <w:t xml:space="preserve"> </w:t>
      </w:r>
      <w:r w:rsidRPr="00CF63D9">
        <w:rPr>
          <w:rFonts w:ascii="Century" w:hAnsi="Century" w:cs="Miriam" w:hint="eastAsia"/>
          <w:b/>
          <w:spacing w:val="0"/>
          <w:sz w:val="22"/>
          <w:szCs w:val="24"/>
          <w:rtl/>
        </w:rPr>
        <w:t>נ</w:t>
      </w:r>
      <w:r w:rsidRPr="00CF63D9">
        <w:rPr>
          <w:rFonts w:ascii="Century" w:hAnsi="Century" w:cs="Miriam"/>
          <w:b/>
          <w:spacing w:val="0"/>
          <w:sz w:val="22"/>
          <w:szCs w:val="24"/>
          <w:rtl/>
        </w:rPr>
        <w:t xml:space="preserve">' </w:t>
      </w:r>
      <w:r w:rsidRPr="00CF63D9">
        <w:rPr>
          <w:rFonts w:ascii="Century" w:hAnsi="Century" w:cs="Miriam" w:hint="eastAsia"/>
          <w:b/>
          <w:spacing w:val="0"/>
          <w:sz w:val="22"/>
          <w:szCs w:val="24"/>
          <w:rtl/>
        </w:rPr>
        <w:t>מנהל</w:t>
      </w:r>
      <w:r w:rsidRPr="00CF63D9">
        <w:rPr>
          <w:rFonts w:ascii="Century" w:hAnsi="Century" w:cs="Miriam"/>
          <w:b/>
          <w:spacing w:val="0"/>
          <w:sz w:val="22"/>
          <w:szCs w:val="24"/>
          <w:rtl/>
        </w:rPr>
        <w:t xml:space="preserve"> </w:t>
      </w:r>
      <w:r w:rsidRPr="00CF63D9">
        <w:rPr>
          <w:rFonts w:ascii="Century" w:hAnsi="Century" w:cs="Miriam" w:hint="eastAsia"/>
          <w:b/>
          <w:spacing w:val="0"/>
          <w:sz w:val="22"/>
          <w:szCs w:val="24"/>
          <w:rtl/>
        </w:rPr>
        <w:t>מס</w:t>
      </w:r>
      <w:r w:rsidRPr="00CF63D9">
        <w:rPr>
          <w:rFonts w:ascii="Century" w:hAnsi="Century" w:cs="Miriam"/>
          <w:b/>
          <w:spacing w:val="0"/>
          <w:sz w:val="22"/>
          <w:szCs w:val="24"/>
          <w:rtl/>
        </w:rPr>
        <w:t xml:space="preserve"> </w:t>
      </w:r>
      <w:r w:rsidRPr="00CF63D9">
        <w:rPr>
          <w:rFonts w:ascii="Century" w:hAnsi="Century" w:cs="Miriam" w:hint="eastAsia"/>
          <w:b/>
          <w:spacing w:val="0"/>
          <w:sz w:val="22"/>
          <w:szCs w:val="24"/>
          <w:rtl/>
        </w:rPr>
        <w:t>ערך</w:t>
      </w:r>
      <w:r w:rsidRPr="00CF63D9">
        <w:rPr>
          <w:rFonts w:ascii="Century" w:hAnsi="Century" w:cs="Miriam"/>
          <w:b/>
          <w:spacing w:val="0"/>
          <w:sz w:val="22"/>
          <w:szCs w:val="24"/>
          <w:rtl/>
        </w:rPr>
        <w:t xml:space="preserve"> </w:t>
      </w:r>
      <w:r w:rsidRPr="00CF63D9">
        <w:rPr>
          <w:rFonts w:ascii="Century" w:hAnsi="Century" w:cs="Miriam" w:hint="eastAsia"/>
          <w:b/>
          <w:spacing w:val="0"/>
          <w:sz w:val="22"/>
          <w:szCs w:val="24"/>
          <w:rtl/>
        </w:rPr>
        <w:t>מוסף</w:t>
      </w:r>
      <w:r w:rsidRPr="00CF63D9">
        <w:rPr>
          <w:rtl/>
        </w:rPr>
        <w:t>,</w:t>
      </w:r>
      <w:r>
        <w:rPr>
          <w:rFonts w:hint="cs"/>
          <w:rtl/>
        </w:rPr>
        <w:t xml:space="preserve"> פ"ד</w:t>
      </w:r>
      <w:r w:rsidRPr="00CF63D9">
        <w:rPr>
          <w:rtl/>
        </w:rPr>
        <w:t xml:space="preserve"> </w:t>
      </w:r>
      <w:proofErr w:type="spellStart"/>
      <w:r w:rsidRPr="00CF63D9">
        <w:rPr>
          <w:rFonts w:hint="eastAsia"/>
          <w:rtl/>
        </w:rPr>
        <w:t>נג</w:t>
      </w:r>
      <w:proofErr w:type="spellEnd"/>
      <w:r>
        <w:rPr>
          <w:rtl/>
        </w:rPr>
        <w:t>(1) 862</w:t>
      </w:r>
      <w:r>
        <w:rPr>
          <w:rFonts w:hint="cs"/>
          <w:rtl/>
        </w:rPr>
        <w:t xml:space="preserve">, 872 (1999); </w:t>
      </w:r>
      <w:r>
        <w:rPr>
          <w:rFonts w:ascii="Arimo" w:hAnsi="Arimo"/>
          <w:rtl/>
        </w:rPr>
        <w:t>ע</w:t>
      </w:r>
      <w:r>
        <w:rPr>
          <w:rFonts w:ascii="Arimo" w:hAnsi="Arimo" w:hint="cs"/>
          <w:rtl/>
        </w:rPr>
        <w:t>"</w:t>
      </w:r>
      <w:r>
        <w:rPr>
          <w:rFonts w:ascii="Arimo" w:hAnsi="Arimo"/>
          <w:rtl/>
        </w:rPr>
        <w:t xml:space="preserve">א 900/01 </w:t>
      </w:r>
      <w:r w:rsidRPr="00C72C91">
        <w:rPr>
          <w:rFonts w:ascii="Century" w:hAnsi="Century" w:cs="Miriam"/>
          <w:b/>
          <w:spacing w:val="0"/>
          <w:sz w:val="22"/>
          <w:szCs w:val="24"/>
          <w:rtl/>
        </w:rPr>
        <w:t>קלס נ' פקיד שומה תל-אביב 4</w:t>
      </w:r>
      <w:r>
        <w:rPr>
          <w:rFonts w:ascii="Arimo" w:hAnsi="Arimo"/>
          <w:rtl/>
        </w:rPr>
        <w:t xml:space="preserve">, </w:t>
      </w:r>
      <w:r>
        <w:rPr>
          <w:rFonts w:ascii="Arimo" w:hAnsi="Arimo" w:hint="cs"/>
          <w:rtl/>
        </w:rPr>
        <w:t xml:space="preserve">פ"ד </w:t>
      </w:r>
      <w:proofErr w:type="spellStart"/>
      <w:r>
        <w:rPr>
          <w:rFonts w:ascii="Arimo" w:hAnsi="Arimo"/>
          <w:rtl/>
        </w:rPr>
        <w:t>נז</w:t>
      </w:r>
      <w:proofErr w:type="spellEnd"/>
      <w:r>
        <w:rPr>
          <w:rFonts w:ascii="Arimo" w:hAnsi="Arimo"/>
          <w:rtl/>
        </w:rPr>
        <w:t>(3) 750</w:t>
      </w:r>
      <w:r>
        <w:rPr>
          <w:rFonts w:ascii="Arimo" w:hAnsi="Arimo" w:hint="cs"/>
          <w:rtl/>
        </w:rPr>
        <w:t>, 759 (2003)</w:t>
      </w:r>
      <w:r>
        <w:rPr>
          <w:rFonts w:hint="cs"/>
          <w:rtl/>
        </w:rPr>
        <w:t xml:space="preserve">; </w:t>
      </w:r>
      <w:r w:rsidRPr="006F6BB8">
        <w:rPr>
          <w:rFonts w:hint="eastAsia"/>
          <w:rtl/>
        </w:rPr>
        <w:t>ע</w:t>
      </w:r>
      <w:r w:rsidRPr="006F6BB8">
        <w:rPr>
          <w:rtl/>
        </w:rPr>
        <w:t>"</w:t>
      </w:r>
      <w:r w:rsidRPr="006F6BB8">
        <w:rPr>
          <w:rFonts w:hint="eastAsia"/>
          <w:rtl/>
        </w:rPr>
        <w:t>א</w:t>
      </w:r>
      <w:r w:rsidRPr="006F6BB8">
        <w:rPr>
          <w:rtl/>
        </w:rPr>
        <w:t xml:space="preserve"> 8570/06 </w:t>
      </w:r>
      <w:r w:rsidRPr="006F6BB8">
        <w:rPr>
          <w:rFonts w:ascii="Century" w:hAnsi="Century" w:cs="Miriam" w:hint="eastAsia"/>
          <w:b/>
          <w:spacing w:val="0"/>
          <w:sz w:val="22"/>
          <w:szCs w:val="24"/>
          <w:rtl/>
        </w:rPr>
        <w:t>פקיד</w:t>
      </w:r>
      <w:r w:rsidRPr="006F6BB8">
        <w:rPr>
          <w:rFonts w:ascii="Century" w:hAnsi="Century" w:cs="Miriam"/>
          <w:b/>
          <w:spacing w:val="0"/>
          <w:sz w:val="22"/>
          <w:szCs w:val="24"/>
          <w:rtl/>
        </w:rPr>
        <w:t xml:space="preserve"> </w:t>
      </w:r>
      <w:r w:rsidRPr="006F6BB8">
        <w:rPr>
          <w:rFonts w:ascii="Century" w:hAnsi="Century" w:cs="Miriam" w:hint="eastAsia"/>
          <w:b/>
          <w:spacing w:val="0"/>
          <w:sz w:val="22"/>
          <w:szCs w:val="24"/>
          <w:rtl/>
        </w:rPr>
        <w:t>שומה</w:t>
      </w:r>
      <w:r w:rsidRPr="006F6BB8">
        <w:rPr>
          <w:rFonts w:ascii="Century" w:hAnsi="Century" w:cs="Miriam"/>
          <w:b/>
          <w:spacing w:val="0"/>
          <w:sz w:val="22"/>
          <w:szCs w:val="24"/>
          <w:rtl/>
        </w:rPr>
        <w:t xml:space="preserve"> </w:t>
      </w:r>
      <w:r w:rsidRPr="006F6BB8">
        <w:rPr>
          <w:rFonts w:ascii="Century" w:hAnsi="Century" w:cs="Miriam" w:hint="eastAsia"/>
          <w:b/>
          <w:spacing w:val="0"/>
          <w:sz w:val="22"/>
          <w:szCs w:val="24"/>
          <w:rtl/>
        </w:rPr>
        <w:t>תל</w:t>
      </w:r>
      <w:r w:rsidRPr="006F6BB8">
        <w:rPr>
          <w:rFonts w:ascii="Century" w:hAnsi="Century" w:cs="Miriam"/>
          <w:b/>
          <w:spacing w:val="0"/>
          <w:sz w:val="22"/>
          <w:szCs w:val="24"/>
          <w:rtl/>
        </w:rPr>
        <w:t xml:space="preserve"> </w:t>
      </w:r>
      <w:r w:rsidRPr="006F6BB8">
        <w:rPr>
          <w:rFonts w:ascii="Century" w:hAnsi="Century" w:cs="Miriam" w:hint="eastAsia"/>
          <w:b/>
          <w:spacing w:val="0"/>
          <w:sz w:val="22"/>
          <w:szCs w:val="24"/>
          <w:rtl/>
        </w:rPr>
        <w:t>אביב</w:t>
      </w:r>
      <w:r w:rsidRPr="006F6BB8">
        <w:rPr>
          <w:rFonts w:ascii="Century" w:hAnsi="Century" w:cs="Miriam"/>
          <w:b/>
          <w:spacing w:val="0"/>
          <w:sz w:val="22"/>
          <w:szCs w:val="24"/>
          <w:rtl/>
        </w:rPr>
        <w:t xml:space="preserve"> 5 </w:t>
      </w:r>
      <w:r w:rsidRPr="006F6BB8">
        <w:rPr>
          <w:rFonts w:ascii="Century" w:hAnsi="Century" w:cs="Miriam" w:hint="eastAsia"/>
          <w:b/>
          <w:spacing w:val="0"/>
          <w:sz w:val="22"/>
          <w:szCs w:val="24"/>
          <w:rtl/>
        </w:rPr>
        <w:t>ואח</w:t>
      </w:r>
      <w:r w:rsidRPr="006F6BB8">
        <w:rPr>
          <w:rFonts w:ascii="Century" w:hAnsi="Century" w:cs="Miriam"/>
          <w:b/>
          <w:spacing w:val="0"/>
          <w:sz w:val="22"/>
          <w:szCs w:val="24"/>
          <w:rtl/>
        </w:rPr>
        <w:t xml:space="preserve">' </w:t>
      </w:r>
      <w:r w:rsidRPr="006F6BB8">
        <w:rPr>
          <w:rFonts w:ascii="Century" w:hAnsi="Century" w:cs="Miriam" w:hint="eastAsia"/>
          <w:b/>
          <w:spacing w:val="0"/>
          <w:sz w:val="22"/>
          <w:szCs w:val="24"/>
          <w:rtl/>
        </w:rPr>
        <w:t>נ</w:t>
      </w:r>
      <w:r w:rsidRPr="006F6BB8">
        <w:rPr>
          <w:rFonts w:ascii="Century" w:hAnsi="Century" w:cs="Miriam"/>
          <w:b/>
          <w:spacing w:val="0"/>
          <w:sz w:val="22"/>
          <w:szCs w:val="24"/>
          <w:rtl/>
        </w:rPr>
        <w:t xml:space="preserve">' </w:t>
      </w:r>
      <w:proofErr w:type="spellStart"/>
      <w:r w:rsidRPr="006F6BB8">
        <w:rPr>
          <w:rFonts w:ascii="Century" w:hAnsi="Century" w:cs="Miriam" w:hint="eastAsia"/>
          <w:b/>
          <w:spacing w:val="0"/>
          <w:sz w:val="22"/>
          <w:szCs w:val="24"/>
          <w:rtl/>
        </w:rPr>
        <w:t>בז</w:t>
      </w:r>
      <w:r w:rsidRPr="006F6BB8">
        <w:rPr>
          <w:rFonts w:ascii="Century" w:hAnsi="Century" w:cs="Miriam"/>
          <w:b/>
          <w:spacing w:val="0"/>
          <w:sz w:val="22"/>
          <w:szCs w:val="24"/>
          <w:rtl/>
        </w:rPr>
        <w:t>'</w:t>
      </w:r>
      <w:r w:rsidRPr="006F6BB8">
        <w:rPr>
          <w:rFonts w:ascii="Century" w:hAnsi="Century" w:cs="Miriam" w:hint="eastAsia"/>
          <w:b/>
          <w:spacing w:val="0"/>
          <w:sz w:val="22"/>
          <w:szCs w:val="24"/>
          <w:rtl/>
        </w:rPr>
        <w:t>ה</w:t>
      </w:r>
      <w:proofErr w:type="spellEnd"/>
      <w:r>
        <w:rPr>
          <w:rFonts w:hint="cs"/>
          <w:rtl/>
        </w:rPr>
        <w:t>, פסקה ל'</w:t>
      </w:r>
      <w:r w:rsidRPr="006F6BB8">
        <w:rPr>
          <w:rtl/>
        </w:rPr>
        <w:t xml:space="preserve"> (12.</w:t>
      </w:r>
      <w:r>
        <w:rPr>
          <w:rFonts w:hint="cs"/>
          <w:rtl/>
        </w:rPr>
        <w:t>3</w:t>
      </w:r>
      <w:r w:rsidRPr="006F6BB8">
        <w:rPr>
          <w:rtl/>
        </w:rPr>
        <w:t>.2009)</w:t>
      </w:r>
      <w:r>
        <w:rPr>
          <w:rFonts w:hint="cs"/>
          <w:rtl/>
        </w:rPr>
        <w:t>). תכלית החוק היא הערכים והאינטרסים שהחוק נועד להגשים (</w:t>
      </w:r>
      <w:r w:rsidRPr="00636ED6">
        <w:rPr>
          <w:rFonts w:hint="eastAsia"/>
          <w:rtl/>
        </w:rPr>
        <w:t>ע</w:t>
      </w:r>
      <w:r w:rsidRPr="00636ED6">
        <w:rPr>
          <w:rtl/>
        </w:rPr>
        <w:t>"</w:t>
      </w:r>
      <w:r w:rsidRPr="00636ED6">
        <w:rPr>
          <w:rFonts w:hint="eastAsia"/>
          <w:rtl/>
        </w:rPr>
        <w:t>א</w:t>
      </w:r>
      <w:r w:rsidRPr="00636ED6">
        <w:rPr>
          <w:rtl/>
        </w:rPr>
        <w:t xml:space="preserve"> 3185/03 </w:t>
      </w:r>
      <w:r w:rsidRPr="00636ED6">
        <w:rPr>
          <w:rFonts w:ascii="Century" w:hAnsi="Century" w:cs="Miriam" w:hint="eastAsia"/>
          <w:b/>
          <w:spacing w:val="0"/>
          <w:sz w:val="22"/>
          <w:szCs w:val="24"/>
          <w:rtl/>
        </w:rPr>
        <w:t>מנהל</w:t>
      </w:r>
      <w:r w:rsidRPr="00636ED6">
        <w:rPr>
          <w:rFonts w:ascii="Century" w:hAnsi="Century" w:cs="Miriam"/>
          <w:b/>
          <w:spacing w:val="0"/>
          <w:sz w:val="22"/>
          <w:szCs w:val="24"/>
          <w:rtl/>
        </w:rPr>
        <w:t xml:space="preserve"> </w:t>
      </w:r>
      <w:r w:rsidRPr="00636ED6">
        <w:rPr>
          <w:rFonts w:ascii="Century" w:hAnsi="Century" w:cs="Miriam" w:hint="eastAsia"/>
          <w:b/>
          <w:spacing w:val="0"/>
          <w:sz w:val="22"/>
          <w:szCs w:val="24"/>
          <w:rtl/>
        </w:rPr>
        <w:t>מס</w:t>
      </w:r>
      <w:r w:rsidRPr="00636ED6">
        <w:rPr>
          <w:rFonts w:ascii="Century" w:hAnsi="Century" w:cs="Miriam"/>
          <w:b/>
          <w:spacing w:val="0"/>
          <w:sz w:val="22"/>
          <w:szCs w:val="24"/>
          <w:rtl/>
        </w:rPr>
        <w:t xml:space="preserve"> </w:t>
      </w:r>
      <w:r w:rsidRPr="00636ED6">
        <w:rPr>
          <w:rFonts w:ascii="Century" w:hAnsi="Century" w:cs="Miriam" w:hint="eastAsia"/>
          <w:b/>
          <w:spacing w:val="0"/>
          <w:sz w:val="22"/>
          <w:szCs w:val="24"/>
          <w:rtl/>
        </w:rPr>
        <w:t>שבח</w:t>
      </w:r>
      <w:r w:rsidRPr="00636ED6">
        <w:rPr>
          <w:rFonts w:ascii="Century" w:hAnsi="Century" w:cs="Miriam"/>
          <w:b/>
          <w:spacing w:val="0"/>
          <w:sz w:val="22"/>
          <w:szCs w:val="24"/>
          <w:rtl/>
        </w:rPr>
        <w:t xml:space="preserve"> </w:t>
      </w:r>
      <w:r w:rsidRPr="00636ED6">
        <w:rPr>
          <w:rFonts w:ascii="Century" w:hAnsi="Century" w:cs="Miriam" w:hint="eastAsia"/>
          <w:b/>
          <w:spacing w:val="0"/>
          <w:sz w:val="22"/>
          <w:szCs w:val="24"/>
          <w:rtl/>
        </w:rPr>
        <w:t>מקרקעין</w:t>
      </w:r>
      <w:r w:rsidRPr="00636ED6">
        <w:rPr>
          <w:rFonts w:ascii="Century" w:hAnsi="Century" w:cs="Miriam"/>
          <w:b/>
          <w:spacing w:val="0"/>
          <w:sz w:val="22"/>
          <w:szCs w:val="24"/>
          <w:rtl/>
        </w:rPr>
        <w:t xml:space="preserve">, </w:t>
      </w:r>
      <w:r w:rsidRPr="00636ED6">
        <w:rPr>
          <w:rFonts w:ascii="Century" w:hAnsi="Century" w:cs="Miriam" w:hint="eastAsia"/>
          <w:b/>
          <w:spacing w:val="0"/>
          <w:sz w:val="22"/>
          <w:szCs w:val="24"/>
          <w:rtl/>
        </w:rPr>
        <w:t>מרכז</w:t>
      </w:r>
      <w:r w:rsidRPr="00636ED6">
        <w:rPr>
          <w:rFonts w:ascii="Century" w:hAnsi="Century" w:cs="Miriam"/>
          <w:b/>
          <w:spacing w:val="0"/>
          <w:sz w:val="22"/>
          <w:szCs w:val="24"/>
          <w:rtl/>
        </w:rPr>
        <w:t xml:space="preserve"> </w:t>
      </w:r>
      <w:r w:rsidRPr="00636ED6">
        <w:rPr>
          <w:rFonts w:ascii="Century" w:hAnsi="Century" w:cs="Miriam" w:hint="eastAsia"/>
          <w:b/>
          <w:spacing w:val="0"/>
          <w:sz w:val="22"/>
          <w:szCs w:val="24"/>
          <w:rtl/>
        </w:rPr>
        <w:t>נ</w:t>
      </w:r>
      <w:r w:rsidRPr="00636ED6">
        <w:rPr>
          <w:rFonts w:ascii="Century" w:hAnsi="Century" w:cs="Miriam"/>
          <w:b/>
          <w:spacing w:val="0"/>
          <w:sz w:val="22"/>
          <w:szCs w:val="24"/>
          <w:rtl/>
        </w:rPr>
        <w:t xml:space="preserve">' </w:t>
      </w:r>
      <w:proofErr w:type="spellStart"/>
      <w:r w:rsidRPr="00636ED6">
        <w:rPr>
          <w:rFonts w:ascii="Century" w:hAnsi="Century" w:cs="Miriam" w:hint="eastAsia"/>
          <w:b/>
          <w:spacing w:val="0"/>
          <w:sz w:val="22"/>
          <w:szCs w:val="24"/>
          <w:rtl/>
        </w:rPr>
        <w:t>פלם</w:t>
      </w:r>
      <w:proofErr w:type="spellEnd"/>
      <w:r w:rsidRPr="00636ED6">
        <w:rPr>
          <w:rtl/>
        </w:rPr>
        <w:t xml:space="preserve">, </w:t>
      </w:r>
      <w:r>
        <w:rPr>
          <w:rFonts w:hint="cs"/>
          <w:rtl/>
        </w:rPr>
        <w:t xml:space="preserve">פ"ד </w:t>
      </w:r>
      <w:r w:rsidRPr="00636ED6">
        <w:rPr>
          <w:rFonts w:hint="eastAsia"/>
          <w:rtl/>
        </w:rPr>
        <w:t>נט</w:t>
      </w:r>
      <w:r w:rsidRPr="00636ED6">
        <w:rPr>
          <w:rtl/>
        </w:rPr>
        <w:t>(1) 123</w:t>
      </w:r>
      <w:r>
        <w:rPr>
          <w:rFonts w:hint="cs"/>
          <w:rtl/>
        </w:rPr>
        <w:t>, 131</w:t>
      </w:r>
      <w:r w:rsidRPr="00636ED6">
        <w:rPr>
          <w:rtl/>
        </w:rPr>
        <w:t xml:space="preserve"> (2004)</w:t>
      </w:r>
      <w:r>
        <w:rPr>
          <w:rFonts w:hint="cs"/>
          <w:rtl/>
        </w:rPr>
        <w:t xml:space="preserve">). על תכלית זו אנו למדים, בין השאר, מלשון החוק, ממיקומה והקשרה של ההוראה בחוק, מההיסטוריה החקיקתית, מעקרונות היסוד של השיטה ומכל מקור אמין אחר (עניין </w:t>
      </w:r>
      <w:r w:rsidRPr="006F0FBF">
        <w:rPr>
          <w:rFonts w:ascii="Century" w:hAnsi="Century" w:cs="Miriam" w:hint="cs"/>
          <w:b/>
          <w:spacing w:val="0"/>
          <w:sz w:val="22"/>
          <w:szCs w:val="24"/>
          <w:rtl/>
        </w:rPr>
        <w:t>חצור</w:t>
      </w:r>
      <w:r>
        <w:rPr>
          <w:rFonts w:hint="cs"/>
          <w:rtl/>
        </w:rPr>
        <w:t xml:space="preserve">, בעמ' 78-76; </w:t>
      </w:r>
      <w:r>
        <w:rPr>
          <w:rFonts w:ascii="Arimo" w:hAnsi="Arimo"/>
          <w:rtl/>
        </w:rPr>
        <w:t>ע</w:t>
      </w:r>
      <w:r>
        <w:rPr>
          <w:rFonts w:ascii="Arimo" w:hAnsi="Arimo" w:hint="cs"/>
          <w:rtl/>
        </w:rPr>
        <w:t>"</w:t>
      </w:r>
      <w:r>
        <w:rPr>
          <w:rFonts w:ascii="Arimo" w:hAnsi="Arimo"/>
          <w:rtl/>
        </w:rPr>
        <w:t xml:space="preserve">א 93/88 </w:t>
      </w:r>
      <w:r w:rsidRPr="00F75AFC">
        <w:rPr>
          <w:rFonts w:ascii="Century" w:hAnsi="Century" w:cs="Miriam"/>
          <w:b/>
          <w:spacing w:val="0"/>
          <w:sz w:val="22"/>
          <w:szCs w:val="24"/>
          <w:rtl/>
        </w:rPr>
        <w:t xml:space="preserve">מעבדות </w:t>
      </w:r>
      <w:proofErr w:type="spellStart"/>
      <w:r w:rsidRPr="00F75AFC">
        <w:rPr>
          <w:rFonts w:ascii="Century" w:hAnsi="Century" w:cs="Miriam"/>
          <w:b/>
          <w:spacing w:val="0"/>
          <w:sz w:val="22"/>
          <w:szCs w:val="24"/>
          <w:rtl/>
        </w:rPr>
        <w:t>טרבינול</w:t>
      </w:r>
      <w:proofErr w:type="spellEnd"/>
      <w:r w:rsidRPr="00F75AFC">
        <w:rPr>
          <w:rFonts w:ascii="Century" w:hAnsi="Century" w:cs="Miriam"/>
          <w:b/>
          <w:spacing w:val="0"/>
          <w:sz w:val="22"/>
          <w:szCs w:val="24"/>
          <w:rtl/>
        </w:rPr>
        <w:t xml:space="preserve"> (ישראל) בע"מ נ' פקיד שומה למפעלים גדולים</w:t>
      </w:r>
      <w:r>
        <w:rPr>
          <w:rFonts w:ascii="Arimo" w:hAnsi="Arimo"/>
          <w:rtl/>
        </w:rPr>
        <w:t>,</w:t>
      </w:r>
      <w:r>
        <w:rPr>
          <w:rFonts w:ascii="Arimo" w:hAnsi="Arimo" w:hint="cs"/>
          <w:rtl/>
        </w:rPr>
        <w:t xml:space="preserve"> פ"ד</w:t>
      </w:r>
      <w:r>
        <w:rPr>
          <w:rFonts w:ascii="Arimo" w:hAnsi="Arimo"/>
          <w:rtl/>
        </w:rPr>
        <w:t xml:space="preserve"> מו(2) 385</w:t>
      </w:r>
      <w:r>
        <w:rPr>
          <w:rFonts w:ascii="Arimo" w:hAnsi="Arimo" w:hint="cs"/>
          <w:rtl/>
        </w:rPr>
        <w:t xml:space="preserve">, 396 (1992); </w:t>
      </w:r>
      <w:r w:rsidRPr="00314B4A">
        <w:rPr>
          <w:rFonts w:hint="eastAsia"/>
          <w:rtl/>
        </w:rPr>
        <w:t>ע</w:t>
      </w:r>
      <w:r w:rsidRPr="00314B4A">
        <w:rPr>
          <w:rtl/>
        </w:rPr>
        <w:t>"</w:t>
      </w:r>
      <w:r w:rsidRPr="00314B4A">
        <w:rPr>
          <w:rFonts w:hint="eastAsia"/>
          <w:rtl/>
        </w:rPr>
        <w:t>א</w:t>
      </w:r>
      <w:r w:rsidRPr="00314B4A">
        <w:rPr>
          <w:rtl/>
        </w:rPr>
        <w:t xml:space="preserve"> 9412/03 </w:t>
      </w:r>
      <w:r w:rsidRPr="00314B4A">
        <w:rPr>
          <w:rFonts w:ascii="Century" w:hAnsi="Century" w:cs="Miriam" w:hint="eastAsia"/>
          <w:b/>
          <w:spacing w:val="0"/>
          <w:sz w:val="22"/>
          <w:szCs w:val="24"/>
          <w:rtl/>
        </w:rPr>
        <w:t>חזן</w:t>
      </w:r>
      <w:r w:rsidRPr="00314B4A">
        <w:rPr>
          <w:rFonts w:ascii="Century" w:hAnsi="Century" w:cs="Miriam"/>
          <w:b/>
          <w:spacing w:val="0"/>
          <w:sz w:val="22"/>
          <w:szCs w:val="24"/>
          <w:rtl/>
        </w:rPr>
        <w:t xml:space="preserve"> </w:t>
      </w:r>
      <w:r w:rsidRPr="00314B4A">
        <w:rPr>
          <w:rFonts w:ascii="Century" w:hAnsi="Century" w:cs="Miriam" w:hint="eastAsia"/>
          <w:b/>
          <w:spacing w:val="0"/>
          <w:sz w:val="22"/>
          <w:szCs w:val="24"/>
          <w:rtl/>
        </w:rPr>
        <w:t>נ</w:t>
      </w:r>
      <w:r w:rsidRPr="00314B4A">
        <w:rPr>
          <w:rFonts w:ascii="Century" w:hAnsi="Century" w:cs="Miriam"/>
          <w:b/>
          <w:spacing w:val="0"/>
          <w:sz w:val="22"/>
          <w:szCs w:val="24"/>
          <w:rtl/>
        </w:rPr>
        <w:t xml:space="preserve">' </w:t>
      </w:r>
      <w:r w:rsidRPr="00314B4A">
        <w:rPr>
          <w:rFonts w:ascii="Century" w:hAnsi="Century" w:cs="Miriam" w:hint="eastAsia"/>
          <w:b/>
          <w:spacing w:val="0"/>
          <w:sz w:val="22"/>
          <w:szCs w:val="24"/>
          <w:rtl/>
        </w:rPr>
        <w:t>פקיד</w:t>
      </w:r>
      <w:r w:rsidRPr="00314B4A">
        <w:rPr>
          <w:rFonts w:ascii="Century" w:hAnsi="Century" w:cs="Miriam"/>
          <w:b/>
          <w:spacing w:val="0"/>
          <w:sz w:val="22"/>
          <w:szCs w:val="24"/>
          <w:rtl/>
        </w:rPr>
        <w:t xml:space="preserve"> </w:t>
      </w:r>
      <w:r w:rsidRPr="00314B4A">
        <w:rPr>
          <w:rFonts w:ascii="Century" w:hAnsi="Century" w:cs="Miriam" w:hint="eastAsia"/>
          <w:b/>
          <w:spacing w:val="0"/>
          <w:sz w:val="22"/>
          <w:szCs w:val="24"/>
          <w:rtl/>
        </w:rPr>
        <w:t>שומה</w:t>
      </w:r>
      <w:r w:rsidRPr="00314B4A">
        <w:rPr>
          <w:rFonts w:ascii="Century" w:hAnsi="Century" w:cs="Miriam"/>
          <w:b/>
          <w:spacing w:val="0"/>
          <w:sz w:val="22"/>
          <w:szCs w:val="24"/>
          <w:rtl/>
        </w:rPr>
        <w:t xml:space="preserve">, </w:t>
      </w:r>
      <w:r w:rsidRPr="00314B4A">
        <w:rPr>
          <w:rFonts w:ascii="Century" w:hAnsi="Century" w:cs="Miriam" w:hint="eastAsia"/>
          <w:b/>
          <w:spacing w:val="0"/>
          <w:sz w:val="22"/>
          <w:szCs w:val="24"/>
          <w:rtl/>
        </w:rPr>
        <w:t>נתניה</w:t>
      </w:r>
      <w:r w:rsidRPr="00314B4A">
        <w:rPr>
          <w:rtl/>
        </w:rPr>
        <w:t>,</w:t>
      </w:r>
      <w:r>
        <w:rPr>
          <w:rFonts w:hint="cs"/>
          <w:rtl/>
        </w:rPr>
        <w:t xml:space="preserve"> פ"ד</w:t>
      </w:r>
      <w:r w:rsidRPr="00314B4A">
        <w:rPr>
          <w:rtl/>
        </w:rPr>
        <w:t xml:space="preserve"> </w:t>
      </w:r>
      <w:r w:rsidRPr="00314B4A">
        <w:rPr>
          <w:rFonts w:hint="eastAsia"/>
          <w:rtl/>
        </w:rPr>
        <w:t>נט</w:t>
      </w:r>
      <w:r>
        <w:rPr>
          <w:rtl/>
        </w:rPr>
        <w:t>(5) 538</w:t>
      </w:r>
      <w:r>
        <w:rPr>
          <w:rFonts w:hint="cs"/>
          <w:rtl/>
        </w:rPr>
        <w:t xml:space="preserve">, </w:t>
      </w:r>
      <w:r>
        <w:rPr>
          <w:rFonts w:hint="cs"/>
          <w:rtl/>
        </w:rPr>
        <w:lastRenderedPageBreak/>
        <w:t xml:space="preserve">553 </w:t>
      </w:r>
      <w:r w:rsidRPr="00314B4A">
        <w:rPr>
          <w:rtl/>
        </w:rPr>
        <w:t>(2005)</w:t>
      </w:r>
      <w:r w:rsidR="00533E69">
        <w:rPr>
          <w:rFonts w:hint="cs"/>
          <w:rtl/>
        </w:rPr>
        <w:t xml:space="preserve">. השוו גם לדעת הרוב בע"א 3012/18 </w:t>
      </w:r>
      <w:r w:rsidR="00533E69" w:rsidRPr="00533E69">
        <w:rPr>
          <w:rFonts w:ascii="Century" w:hAnsi="Century" w:cs="Miriam"/>
          <w:b/>
          <w:spacing w:val="0"/>
          <w:sz w:val="22"/>
          <w:szCs w:val="24"/>
          <w:rtl/>
        </w:rPr>
        <w:t xml:space="preserve">מנהל מיסוי מקרקעין חיפה נ' </w:t>
      </w:r>
      <w:proofErr w:type="spellStart"/>
      <w:r w:rsidR="00533E69" w:rsidRPr="00533E69">
        <w:rPr>
          <w:rFonts w:ascii="Century" w:hAnsi="Century" w:cs="Miriam"/>
          <w:b/>
          <w:spacing w:val="0"/>
          <w:sz w:val="22"/>
          <w:szCs w:val="24"/>
          <w:rtl/>
        </w:rPr>
        <w:t>טוונטי</w:t>
      </w:r>
      <w:proofErr w:type="spellEnd"/>
      <w:r w:rsidR="00533E69" w:rsidRPr="00533E69">
        <w:rPr>
          <w:rFonts w:ascii="Century" w:hAnsi="Century" w:cs="Miriam"/>
          <w:b/>
          <w:spacing w:val="0"/>
          <w:sz w:val="22"/>
          <w:szCs w:val="24"/>
          <w:rtl/>
        </w:rPr>
        <w:t xml:space="preserve"> </w:t>
      </w:r>
      <w:proofErr w:type="spellStart"/>
      <w:r w:rsidR="00533E69" w:rsidRPr="00533E69">
        <w:rPr>
          <w:rFonts w:ascii="Century" w:hAnsi="Century" w:cs="Miriam"/>
          <w:b/>
          <w:spacing w:val="0"/>
          <w:sz w:val="22"/>
          <w:szCs w:val="24"/>
          <w:rtl/>
        </w:rPr>
        <w:t>האנדרד</w:t>
      </w:r>
      <w:proofErr w:type="spellEnd"/>
      <w:r w:rsidR="00533E69" w:rsidRPr="00533E69">
        <w:rPr>
          <w:rFonts w:ascii="Century" w:hAnsi="Century" w:cs="Miriam"/>
          <w:b/>
          <w:spacing w:val="0"/>
          <w:sz w:val="22"/>
          <w:szCs w:val="24"/>
          <w:rtl/>
        </w:rPr>
        <w:t xml:space="preserve"> נהריה בע"מ </w:t>
      </w:r>
      <w:r w:rsidR="00533E69" w:rsidRPr="00533E69">
        <w:rPr>
          <w:rtl/>
        </w:rPr>
        <w:t>(</w:t>
      </w:r>
      <w:r w:rsidR="00533E69">
        <w:rPr>
          <w:rFonts w:hint="cs"/>
          <w:rtl/>
        </w:rPr>
        <w:t>4</w:t>
      </w:r>
      <w:r w:rsidR="00533E69" w:rsidRPr="00533E69">
        <w:rPr>
          <w:rtl/>
        </w:rPr>
        <w:t>.</w:t>
      </w:r>
      <w:r w:rsidR="00533E69">
        <w:rPr>
          <w:rFonts w:hint="cs"/>
          <w:rtl/>
        </w:rPr>
        <w:t>7</w:t>
      </w:r>
      <w:r w:rsidR="00533E69" w:rsidRPr="00533E69">
        <w:rPr>
          <w:rtl/>
        </w:rPr>
        <w:t>.2019)</w:t>
      </w:r>
      <w:r w:rsidR="00533E69">
        <w:rPr>
          <w:rFonts w:hint="cs"/>
          <w:rtl/>
        </w:rPr>
        <w:t>).</w:t>
      </w:r>
    </w:p>
    <w:p w:rsidR="00D81A8C" w:rsidRDefault="00D81A8C" w:rsidP="00D81A8C">
      <w:pPr>
        <w:pStyle w:val="Ruller41"/>
        <w:rPr>
          <w:rtl/>
        </w:rPr>
      </w:pPr>
    </w:p>
    <w:p w:rsidR="00D81A8C" w:rsidRPr="00E93DE1" w:rsidRDefault="00D81A8C" w:rsidP="00D81A8C">
      <w:pPr>
        <w:pStyle w:val="Ruller4"/>
        <w:rPr>
          <w:rFonts w:ascii="FrankRuehl" w:hAnsi="FrankRuehl"/>
          <w:rtl/>
        </w:rPr>
      </w:pPr>
      <w:r>
        <w:rPr>
          <w:rFonts w:hint="cs"/>
          <w:rtl/>
        </w:rPr>
        <w:t xml:space="preserve">זאת ועוד, בהליך הפרשני של חוקי המס, </w:t>
      </w:r>
      <w:r w:rsidRPr="001A1EAD">
        <w:rPr>
          <w:rFonts w:ascii="Century" w:hAnsi="Century" w:cs="Miriam" w:hint="cs"/>
          <w:b/>
          <w:spacing w:val="0"/>
          <w:sz w:val="22"/>
          <w:szCs w:val="24"/>
          <w:rtl/>
        </w:rPr>
        <w:t>"</w:t>
      </w:r>
      <w:r w:rsidRPr="001A1EAD">
        <w:rPr>
          <w:rFonts w:ascii="Century" w:hAnsi="Century" w:cs="Miriam"/>
          <w:b/>
          <w:spacing w:val="0"/>
          <w:sz w:val="22"/>
          <w:szCs w:val="24"/>
          <w:rtl/>
        </w:rPr>
        <w:t>יש להביא בחשבון גם את העקרונות העומדים בבסיס שיטת המס הנהוגה; את ההיגיון הכלכלי והתכלית הפיסקאלית של החוק; את המדיניות הכלכלית והחברתית שביקש המחוקק לקדם באמצעות ההוראות העומדות לפירוש</w:t>
      </w:r>
      <w:r w:rsidRPr="001A1EAD">
        <w:rPr>
          <w:rFonts w:ascii="Century" w:hAnsi="Century" w:cs="Miriam" w:hint="cs"/>
          <w:b/>
          <w:spacing w:val="0"/>
          <w:sz w:val="22"/>
          <w:szCs w:val="24"/>
          <w:rtl/>
        </w:rPr>
        <w:t>"</w:t>
      </w:r>
      <w:r w:rsidRPr="00DA77E7">
        <w:rPr>
          <w:rFonts w:ascii="FrankRuehl" w:hAnsi="FrankRuehl" w:hint="cs"/>
          <w:rtl/>
        </w:rPr>
        <w:t xml:space="preserve"> </w:t>
      </w:r>
      <w:r>
        <w:rPr>
          <w:rFonts w:hint="cs"/>
          <w:rtl/>
        </w:rPr>
        <w:t>(</w:t>
      </w:r>
      <w:r w:rsidRPr="00DA77E7">
        <w:rPr>
          <w:rFonts w:hint="eastAsia"/>
          <w:rtl/>
        </w:rPr>
        <w:t>ע</w:t>
      </w:r>
      <w:r w:rsidRPr="00DA77E7">
        <w:rPr>
          <w:rtl/>
        </w:rPr>
        <w:t>"</w:t>
      </w:r>
      <w:r w:rsidRPr="00DA77E7">
        <w:rPr>
          <w:rFonts w:hint="eastAsia"/>
          <w:rtl/>
        </w:rPr>
        <w:t>א</w:t>
      </w:r>
      <w:r w:rsidRPr="00DA77E7">
        <w:rPr>
          <w:rtl/>
        </w:rPr>
        <w:t xml:space="preserve"> 7034/99 </w:t>
      </w:r>
      <w:r w:rsidRPr="0081777D">
        <w:rPr>
          <w:rFonts w:ascii="Century" w:hAnsi="Century" w:cs="Miriam" w:hint="eastAsia"/>
          <w:b/>
          <w:spacing w:val="0"/>
          <w:sz w:val="22"/>
          <w:szCs w:val="24"/>
          <w:rtl/>
        </w:rPr>
        <w:t>פקיד</w:t>
      </w:r>
      <w:r w:rsidRPr="0081777D">
        <w:rPr>
          <w:rFonts w:ascii="Century" w:hAnsi="Century" w:cs="Miriam"/>
          <w:b/>
          <w:spacing w:val="0"/>
          <w:sz w:val="22"/>
          <w:szCs w:val="24"/>
          <w:rtl/>
        </w:rPr>
        <w:t xml:space="preserve"> </w:t>
      </w:r>
      <w:r w:rsidRPr="0081777D">
        <w:rPr>
          <w:rFonts w:ascii="Century" w:hAnsi="Century" w:cs="Miriam" w:hint="eastAsia"/>
          <w:b/>
          <w:spacing w:val="0"/>
          <w:sz w:val="22"/>
          <w:szCs w:val="24"/>
          <w:rtl/>
        </w:rPr>
        <w:t>שומה</w:t>
      </w:r>
      <w:r w:rsidRPr="0081777D">
        <w:rPr>
          <w:rFonts w:ascii="Century" w:hAnsi="Century" w:cs="Miriam"/>
          <w:b/>
          <w:spacing w:val="0"/>
          <w:sz w:val="22"/>
          <w:szCs w:val="24"/>
          <w:rtl/>
        </w:rPr>
        <w:t xml:space="preserve"> </w:t>
      </w:r>
      <w:r w:rsidRPr="0081777D">
        <w:rPr>
          <w:rFonts w:ascii="Century" w:hAnsi="Century" w:cs="Miriam" w:hint="eastAsia"/>
          <w:b/>
          <w:spacing w:val="0"/>
          <w:sz w:val="22"/>
          <w:szCs w:val="24"/>
          <w:rtl/>
        </w:rPr>
        <w:t>כפר</w:t>
      </w:r>
      <w:r w:rsidRPr="0081777D">
        <w:rPr>
          <w:rFonts w:ascii="Century" w:hAnsi="Century" w:cs="Miriam"/>
          <w:b/>
          <w:spacing w:val="0"/>
          <w:sz w:val="22"/>
          <w:szCs w:val="24"/>
          <w:rtl/>
        </w:rPr>
        <w:t xml:space="preserve"> </w:t>
      </w:r>
      <w:r w:rsidRPr="0081777D">
        <w:rPr>
          <w:rFonts w:ascii="Century" w:hAnsi="Century" w:cs="Miriam" w:hint="eastAsia"/>
          <w:b/>
          <w:spacing w:val="0"/>
          <w:sz w:val="22"/>
          <w:szCs w:val="24"/>
          <w:rtl/>
        </w:rPr>
        <w:t>סבא</w:t>
      </w:r>
      <w:r w:rsidRPr="0081777D">
        <w:rPr>
          <w:rFonts w:ascii="Century" w:hAnsi="Century" w:cs="Miriam"/>
          <w:b/>
          <w:spacing w:val="0"/>
          <w:sz w:val="22"/>
          <w:szCs w:val="24"/>
          <w:rtl/>
        </w:rPr>
        <w:t xml:space="preserve"> </w:t>
      </w:r>
      <w:r w:rsidRPr="0081777D">
        <w:rPr>
          <w:rFonts w:ascii="Century" w:hAnsi="Century" w:cs="Miriam" w:hint="eastAsia"/>
          <w:b/>
          <w:spacing w:val="0"/>
          <w:sz w:val="22"/>
          <w:szCs w:val="24"/>
          <w:rtl/>
        </w:rPr>
        <w:t>נ</w:t>
      </w:r>
      <w:r w:rsidRPr="0081777D">
        <w:rPr>
          <w:rFonts w:ascii="Century" w:hAnsi="Century" w:cs="Miriam"/>
          <w:b/>
          <w:spacing w:val="0"/>
          <w:sz w:val="22"/>
          <w:szCs w:val="24"/>
          <w:rtl/>
        </w:rPr>
        <w:t xml:space="preserve">' </w:t>
      </w:r>
      <w:r w:rsidRPr="0081777D">
        <w:rPr>
          <w:rFonts w:ascii="Century" w:hAnsi="Century" w:cs="Miriam" w:hint="eastAsia"/>
          <w:b/>
          <w:spacing w:val="0"/>
          <w:sz w:val="22"/>
          <w:szCs w:val="24"/>
          <w:rtl/>
        </w:rPr>
        <w:t>דר</w:t>
      </w:r>
      <w:r w:rsidRPr="00DA77E7">
        <w:rPr>
          <w:rtl/>
        </w:rPr>
        <w:t xml:space="preserve">, </w:t>
      </w:r>
      <w:r w:rsidRPr="00DA77E7">
        <w:rPr>
          <w:rFonts w:hint="eastAsia"/>
          <w:rtl/>
        </w:rPr>
        <w:t>פ</w:t>
      </w:r>
      <w:r w:rsidRPr="00DA77E7">
        <w:rPr>
          <w:rtl/>
        </w:rPr>
        <w:t>"</w:t>
      </w:r>
      <w:r w:rsidRPr="00DA77E7">
        <w:rPr>
          <w:rFonts w:hint="eastAsia"/>
          <w:rtl/>
        </w:rPr>
        <w:t>ד</w:t>
      </w:r>
      <w:r w:rsidRPr="00DA77E7">
        <w:rPr>
          <w:rtl/>
        </w:rPr>
        <w:t xml:space="preserve"> </w:t>
      </w:r>
      <w:r w:rsidRPr="00DA77E7">
        <w:rPr>
          <w:rFonts w:hint="eastAsia"/>
          <w:rtl/>
        </w:rPr>
        <w:t>נח</w:t>
      </w:r>
      <w:r>
        <w:rPr>
          <w:rtl/>
        </w:rPr>
        <w:t>(4) 913</w:t>
      </w:r>
      <w:r>
        <w:rPr>
          <w:rFonts w:hint="cs"/>
          <w:rtl/>
        </w:rPr>
        <w:t xml:space="preserve">, 925 </w:t>
      </w:r>
      <w:r>
        <w:rPr>
          <w:rtl/>
        </w:rPr>
        <w:t>(2004)</w:t>
      </w:r>
      <w:r>
        <w:rPr>
          <w:rFonts w:hint="cs"/>
          <w:rtl/>
        </w:rPr>
        <w:t xml:space="preserve">. ראו גם: </w:t>
      </w:r>
      <w:r w:rsidRPr="008E350B">
        <w:rPr>
          <w:rFonts w:hint="eastAsia"/>
          <w:rtl/>
        </w:rPr>
        <w:t>ע</w:t>
      </w:r>
      <w:r w:rsidRPr="008E350B">
        <w:rPr>
          <w:rtl/>
        </w:rPr>
        <w:t>"</w:t>
      </w:r>
      <w:r w:rsidRPr="008E350B">
        <w:rPr>
          <w:rFonts w:hint="eastAsia"/>
          <w:rtl/>
        </w:rPr>
        <w:t>א</w:t>
      </w:r>
      <w:r w:rsidRPr="008E350B">
        <w:rPr>
          <w:rtl/>
        </w:rPr>
        <w:t xml:space="preserve"> 1240/00 </w:t>
      </w:r>
      <w:r w:rsidRPr="0081777D">
        <w:rPr>
          <w:rFonts w:ascii="Century" w:hAnsi="Century" w:cs="Miriam" w:hint="eastAsia"/>
          <w:b/>
          <w:spacing w:val="0"/>
          <w:sz w:val="22"/>
          <w:szCs w:val="24"/>
          <w:rtl/>
        </w:rPr>
        <w:t>פקיד</w:t>
      </w:r>
      <w:r w:rsidRPr="0081777D">
        <w:rPr>
          <w:rFonts w:ascii="Century" w:hAnsi="Century" w:cs="Miriam"/>
          <w:b/>
          <w:spacing w:val="0"/>
          <w:sz w:val="22"/>
          <w:szCs w:val="24"/>
          <w:rtl/>
        </w:rPr>
        <w:t xml:space="preserve"> </w:t>
      </w:r>
      <w:r w:rsidRPr="0081777D">
        <w:rPr>
          <w:rFonts w:ascii="Century" w:hAnsi="Century" w:cs="Miriam" w:hint="eastAsia"/>
          <w:b/>
          <w:spacing w:val="0"/>
          <w:sz w:val="22"/>
          <w:szCs w:val="24"/>
          <w:rtl/>
        </w:rPr>
        <w:t>שומה</w:t>
      </w:r>
      <w:r w:rsidRPr="0081777D">
        <w:rPr>
          <w:rFonts w:ascii="Century" w:hAnsi="Century" w:cs="Miriam"/>
          <w:b/>
          <w:spacing w:val="0"/>
          <w:sz w:val="22"/>
          <w:szCs w:val="24"/>
          <w:rtl/>
        </w:rPr>
        <w:t xml:space="preserve"> </w:t>
      </w:r>
      <w:r w:rsidRPr="0081777D">
        <w:rPr>
          <w:rFonts w:ascii="Century" w:hAnsi="Century" w:cs="Miriam" w:hint="eastAsia"/>
          <w:b/>
          <w:spacing w:val="0"/>
          <w:sz w:val="22"/>
          <w:szCs w:val="24"/>
          <w:rtl/>
        </w:rPr>
        <w:t>תל</w:t>
      </w:r>
      <w:r w:rsidRPr="0081777D">
        <w:rPr>
          <w:rFonts w:ascii="Century" w:hAnsi="Century" w:cs="Miriam"/>
          <w:b/>
          <w:spacing w:val="0"/>
          <w:sz w:val="22"/>
          <w:szCs w:val="24"/>
          <w:rtl/>
        </w:rPr>
        <w:t>-</w:t>
      </w:r>
      <w:r w:rsidRPr="0081777D">
        <w:rPr>
          <w:rFonts w:ascii="Century" w:hAnsi="Century" w:cs="Miriam" w:hint="eastAsia"/>
          <w:b/>
          <w:spacing w:val="0"/>
          <w:sz w:val="22"/>
          <w:szCs w:val="24"/>
          <w:rtl/>
        </w:rPr>
        <w:t>אביב</w:t>
      </w:r>
      <w:r w:rsidRPr="0081777D">
        <w:rPr>
          <w:rFonts w:ascii="Century" w:hAnsi="Century" w:cs="Miriam"/>
          <w:b/>
          <w:spacing w:val="0"/>
          <w:sz w:val="22"/>
          <w:szCs w:val="24"/>
          <w:rtl/>
        </w:rPr>
        <w:t xml:space="preserve"> 1 </w:t>
      </w:r>
      <w:r w:rsidRPr="0081777D">
        <w:rPr>
          <w:rFonts w:ascii="Century" w:hAnsi="Century" w:cs="Miriam" w:hint="eastAsia"/>
          <w:b/>
          <w:spacing w:val="0"/>
          <w:sz w:val="22"/>
          <w:szCs w:val="24"/>
          <w:rtl/>
        </w:rPr>
        <w:t>נ</w:t>
      </w:r>
      <w:r w:rsidRPr="0081777D">
        <w:rPr>
          <w:rFonts w:ascii="Century" w:hAnsi="Century" w:cs="Miriam"/>
          <w:b/>
          <w:spacing w:val="0"/>
          <w:sz w:val="22"/>
          <w:szCs w:val="24"/>
          <w:rtl/>
        </w:rPr>
        <w:t xml:space="preserve">' </w:t>
      </w:r>
      <w:r w:rsidRPr="0081777D">
        <w:rPr>
          <w:rFonts w:ascii="Century" w:hAnsi="Century" w:cs="Miriam" w:hint="eastAsia"/>
          <w:b/>
          <w:spacing w:val="0"/>
          <w:sz w:val="22"/>
          <w:szCs w:val="24"/>
          <w:rtl/>
        </w:rPr>
        <w:t>סיוון</w:t>
      </w:r>
      <w:r w:rsidRPr="008E350B">
        <w:rPr>
          <w:rtl/>
        </w:rPr>
        <w:t>,</w:t>
      </w:r>
      <w:r>
        <w:rPr>
          <w:rFonts w:hint="cs"/>
          <w:rtl/>
        </w:rPr>
        <w:t xml:space="preserve"> פ"ד</w:t>
      </w:r>
      <w:r w:rsidRPr="008E350B">
        <w:rPr>
          <w:rtl/>
        </w:rPr>
        <w:t xml:space="preserve"> </w:t>
      </w:r>
      <w:r w:rsidRPr="008E350B">
        <w:rPr>
          <w:rFonts w:hint="eastAsia"/>
          <w:rtl/>
        </w:rPr>
        <w:t>נט</w:t>
      </w:r>
      <w:r>
        <w:rPr>
          <w:rtl/>
        </w:rPr>
        <w:t xml:space="preserve">(4) </w:t>
      </w:r>
      <w:r w:rsidRPr="00D80B14">
        <w:rPr>
          <w:rtl/>
        </w:rPr>
        <w:t>588</w:t>
      </w:r>
      <w:r w:rsidRPr="00D80B14">
        <w:rPr>
          <w:rFonts w:hint="cs"/>
          <w:rtl/>
        </w:rPr>
        <w:t xml:space="preserve">, 610-609 </w:t>
      </w:r>
      <w:r w:rsidRPr="00D80B14">
        <w:rPr>
          <w:rtl/>
        </w:rPr>
        <w:t>(2005</w:t>
      </w:r>
      <w:r w:rsidRPr="008E350B">
        <w:rPr>
          <w:rtl/>
        </w:rPr>
        <w:t>)</w:t>
      </w:r>
      <w:r>
        <w:rPr>
          <w:rFonts w:hint="cs"/>
          <w:rtl/>
        </w:rPr>
        <w:t xml:space="preserve">). עוד יודגש כי רק אם לאחר מיצוי בחינת המקורות הללו נותרנו עם אי-בהירות בדבר הפירוש התכליתי של הוראת חוק המס, או אז תועדף הפרשנות המקלה עם הנישום (שם; </w:t>
      </w:r>
      <w:r>
        <w:rPr>
          <w:rFonts w:ascii="Arimo" w:hAnsi="Arimo"/>
          <w:rtl/>
        </w:rPr>
        <w:t>ע</w:t>
      </w:r>
      <w:r>
        <w:rPr>
          <w:rFonts w:ascii="Arimo" w:hAnsi="Arimo" w:hint="cs"/>
          <w:rtl/>
        </w:rPr>
        <w:t>"</w:t>
      </w:r>
      <w:r>
        <w:rPr>
          <w:rFonts w:ascii="Arimo" w:hAnsi="Arimo"/>
          <w:rtl/>
        </w:rPr>
        <w:t xml:space="preserve">א 662/85 </w:t>
      </w:r>
      <w:r w:rsidRPr="0081777D">
        <w:rPr>
          <w:rFonts w:ascii="Century" w:hAnsi="Century" w:cs="Miriam"/>
          <w:b/>
          <w:spacing w:val="0"/>
          <w:sz w:val="22"/>
          <w:szCs w:val="24"/>
          <w:rtl/>
        </w:rPr>
        <w:t>מנהל מס קניה נ' כנפי מתכת בע"מ</w:t>
      </w:r>
      <w:r>
        <w:rPr>
          <w:rFonts w:ascii="Arimo" w:hAnsi="Arimo"/>
          <w:rtl/>
        </w:rPr>
        <w:t xml:space="preserve">, </w:t>
      </w:r>
      <w:r>
        <w:rPr>
          <w:rFonts w:ascii="Arimo" w:hAnsi="Arimo" w:hint="cs"/>
          <w:rtl/>
        </w:rPr>
        <w:t xml:space="preserve">פ"ד </w:t>
      </w:r>
      <w:r>
        <w:rPr>
          <w:rFonts w:ascii="Arimo" w:hAnsi="Arimo"/>
          <w:rtl/>
        </w:rPr>
        <w:t xml:space="preserve">מג(2) </w:t>
      </w:r>
      <w:r>
        <w:rPr>
          <w:rFonts w:ascii="Arimo" w:hAnsi="Arimo" w:hint="cs"/>
          <w:rtl/>
        </w:rPr>
        <w:t xml:space="preserve">3, 10 (1989); </w:t>
      </w:r>
      <w:r w:rsidRPr="00060221">
        <w:rPr>
          <w:rFonts w:hint="eastAsia"/>
          <w:rtl/>
        </w:rPr>
        <w:t>ע</w:t>
      </w:r>
      <w:r>
        <w:rPr>
          <w:rFonts w:hint="cs"/>
          <w:rtl/>
        </w:rPr>
        <w:t>"</w:t>
      </w:r>
      <w:r w:rsidRPr="00060221">
        <w:rPr>
          <w:rFonts w:hint="eastAsia"/>
          <w:rtl/>
        </w:rPr>
        <w:t>א</w:t>
      </w:r>
      <w:r w:rsidRPr="00060221">
        <w:rPr>
          <w:rtl/>
        </w:rPr>
        <w:t xml:space="preserve"> 524/89 </w:t>
      </w:r>
      <w:proofErr w:type="spellStart"/>
      <w:r w:rsidRPr="00060221">
        <w:rPr>
          <w:rFonts w:ascii="Century" w:hAnsi="Century" w:cs="Miriam" w:hint="eastAsia"/>
          <w:b/>
          <w:spacing w:val="0"/>
          <w:sz w:val="22"/>
          <w:szCs w:val="24"/>
          <w:rtl/>
        </w:rPr>
        <w:t>דיגיטל</w:t>
      </w:r>
      <w:proofErr w:type="spellEnd"/>
      <w:r w:rsidRPr="00060221">
        <w:rPr>
          <w:rFonts w:ascii="Century" w:hAnsi="Century" w:cs="Miriam"/>
          <w:b/>
          <w:spacing w:val="0"/>
          <w:sz w:val="22"/>
          <w:szCs w:val="24"/>
          <w:rtl/>
        </w:rPr>
        <w:t xml:space="preserve"> </w:t>
      </w:r>
      <w:proofErr w:type="spellStart"/>
      <w:r w:rsidRPr="00060221">
        <w:rPr>
          <w:rFonts w:ascii="Century" w:hAnsi="Century" w:cs="Miriam" w:hint="eastAsia"/>
          <w:b/>
          <w:spacing w:val="0"/>
          <w:sz w:val="22"/>
          <w:szCs w:val="24"/>
          <w:rtl/>
        </w:rPr>
        <w:t>אקויפמנט</w:t>
      </w:r>
      <w:proofErr w:type="spellEnd"/>
      <w:r w:rsidRPr="00060221">
        <w:rPr>
          <w:rFonts w:ascii="Century" w:hAnsi="Century" w:cs="Miriam"/>
          <w:b/>
          <w:spacing w:val="0"/>
          <w:sz w:val="22"/>
          <w:szCs w:val="24"/>
          <w:rtl/>
        </w:rPr>
        <w:t xml:space="preserve"> (</w:t>
      </w:r>
      <w:r w:rsidRPr="00060221">
        <w:rPr>
          <w:rFonts w:ascii="Century" w:hAnsi="Century" w:cs="Miriam" w:hint="eastAsia"/>
          <w:b/>
          <w:spacing w:val="0"/>
          <w:sz w:val="22"/>
          <w:szCs w:val="24"/>
          <w:rtl/>
        </w:rPr>
        <w:t>דק</w:t>
      </w:r>
      <w:r w:rsidRPr="00060221">
        <w:rPr>
          <w:rFonts w:ascii="Century" w:hAnsi="Century" w:cs="Miriam"/>
          <w:b/>
          <w:spacing w:val="0"/>
          <w:sz w:val="22"/>
          <w:szCs w:val="24"/>
          <w:rtl/>
        </w:rPr>
        <w:t xml:space="preserve">) </w:t>
      </w:r>
      <w:r w:rsidRPr="00060221">
        <w:rPr>
          <w:rFonts w:ascii="Century" w:hAnsi="Century" w:cs="Miriam" w:hint="eastAsia"/>
          <w:b/>
          <w:spacing w:val="0"/>
          <w:sz w:val="22"/>
          <w:szCs w:val="24"/>
          <w:rtl/>
        </w:rPr>
        <w:t>בע</w:t>
      </w:r>
      <w:r w:rsidRPr="00060221">
        <w:rPr>
          <w:rFonts w:ascii="Century" w:hAnsi="Century" w:cs="Miriam"/>
          <w:b/>
          <w:spacing w:val="0"/>
          <w:sz w:val="22"/>
          <w:szCs w:val="24"/>
          <w:rtl/>
        </w:rPr>
        <w:t>"</w:t>
      </w:r>
      <w:r w:rsidRPr="00060221">
        <w:rPr>
          <w:rFonts w:ascii="Century" w:hAnsi="Century" w:cs="Miriam" w:hint="eastAsia"/>
          <w:b/>
          <w:spacing w:val="0"/>
          <w:sz w:val="22"/>
          <w:szCs w:val="24"/>
          <w:rtl/>
        </w:rPr>
        <w:t>מ</w:t>
      </w:r>
      <w:r w:rsidRPr="00060221">
        <w:rPr>
          <w:rFonts w:ascii="Century" w:hAnsi="Century" w:cs="Miriam" w:hint="cs"/>
          <w:b/>
          <w:spacing w:val="0"/>
          <w:sz w:val="22"/>
          <w:szCs w:val="24"/>
          <w:rtl/>
        </w:rPr>
        <w:t xml:space="preserve"> </w:t>
      </w:r>
      <w:r w:rsidRPr="00060221">
        <w:rPr>
          <w:rFonts w:ascii="Century" w:hAnsi="Century" w:cs="Miriam" w:hint="eastAsia"/>
          <w:b/>
          <w:spacing w:val="0"/>
          <w:sz w:val="22"/>
          <w:szCs w:val="24"/>
          <w:rtl/>
        </w:rPr>
        <w:t>נ</w:t>
      </w:r>
      <w:r w:rsidRPr="00060221">
        <w:rPr>
          <w:rFonts w:ascii="Century" w:hAnsi="Century" w:cs="Miriam"/>
          <w:b/>
          <w:spacing w:val="0"/>
          <w:sz w:val="22"/>
          <w:szCs w:val="24"/>
          <w:rtl/>
        </w:rPr>
        <w:t xml:space="preserve">' </w:t>
      </w:r>
      <w:r w:rsidRPr="00060221">
        <w:rPr>
          <w:rFonts w:ascii="Century" w:hAnsi="Century" w:cs="Miriam" w:hint="eastAsia"/>
          <w:b/>
          <w:spacing w:val="0"/>
          <w:sz w:val="22"/>
          <w:szCs w:val="24"/>
          <w:rtl/>
        </w:rPr>
        <w:t>מדינת</w:t>
      </w:r>
      <w:r w:rsidRPr="00060221">
        <w:rPr>
          <w:rFonts w:ascii="Century" w:hAnsi="Century" w:cs="Miriam"/>
          <w:b/>
          <w:spacing w:val="0"/>
          <w:sz w:val="22"/>
          <w:szCs w:val="24"/>
          <w:rtl/>
        </w:rPr>
        <w:t xml:space="preserve"> </w:t>
      </w:r>
      <w:r w:rsidRPr="00060221">
        <w:rPr>
          <w:rFonts w:ascii="Century" w:hAnsi="Century" w:cs="Miriam" w:hint="eastAsia"/>
          <w:b/>
          <w:spacing w:val="0"/>
          <w:sz w:val="22"/>
          <w:szCs w:val="24"/>
          <w:rtl/>
        </w:rPr>
        <w:t>ישראל</w:t>
      </w:r>
      <w:r w:rsidRPr="00060221">
        <w:rPr>
          <w:rtl/>
        </w:rPr>
        <w:t>,</w:t>
      </w:r>
      <w:r>
        <w:rPr>
          <w:rFonts w:hint="cs"/>
          <w:rtl/>
        </w:rPr>
        <w:t xml:space="preserve"> פ"ד</w:t>
      </w:r>
      <w:r w:rsidRPr="00060221">
        <w:rPr>
          <w:rtl/>
        </w:rPr>
        <w:t xml:space="preserve"> </w:t>
      </w:r>
      <w:r w:rsidRPr="00060221">
        <w:rPr>
          <w:rFonts w:hint="eastAsia"/>
          <w:rtl/>
        </w:rPr>
        <w:t>מה</w:t>
      </w:r>
      <w:r>
        <w:rPr>
          <w:rtl/>
        </w:rPr>
        <w:t>(4) 573</w:t>
      </w:r>
      <w:r>
        <w:rPr>
          <w:rFonts w:hint="cs"/>
          <w:rtl/>
        </w:rPr>
        <w:t>, 577 (1991); אהרן ברק</w:t>
      </w:r>
      <w:r w:rsidRPr="00F9776E">
        <w:rPr>
          <w:rtl/>
        </w:rPr>
        <w:t xml:space="preserve"> </w:t>
      </w:r>
      <w:r>
        <w:rPr>
          <w:rFonts w:hint="cs"/>
          <w:rtl/>
        </w:rPr>
        <w:t>"</w:t>
      </w:r>
      <w:r w:rsidRPr="00F9776E">
        <w:rPr>
          <w:rFonts w:hint="eastAsia"/>
          <w:rtl/>
        </w:rPr>
        <w:t>פרשנות</w:t>
      </w:r>
      <w:r w:rsidRPr="00F9776E">
        <w:rPr>
          <w:rtl/>
        </w:rPr>
        <w:t xml:space="preserve"> </w:t>
      </w:r>
      <w:r w:rsidRPr="00F9776E">
        <w:rPr>
          <w:rFonts w:hint="eastAsia"/>
          <w:rtl/>
        </w:rPr>
        <w:t>דיני</w:t>
      </w:r>
      <w:r w:rsidRPr="00F9776E">
        <w:rPr>
          <w:rtl/>
        </w:rPr>
        <w:t xml:space="preserve"> </w:t>
      </w:r>
      <w:r w:rsidRPr="00F9776E">
        <w:rPr>
          <w:rFonts w:hint="eastAsia"/>
          <w:rtl/>
        </w:rPr>
        <w:t>המסים</w:t>
      </w:r>
      <w:r>
        <w:rPr>
          <w:rFonts w:hint="cs"/>
          <w:rtl/>
        </w:rPr>
        <w:t xml:space="preserve">" </w:t>
      </w:r>
      <w:r w:rsidRPr="00630F72">
        <w:rPr>
          <w:rFonts w:ascii="Century" w:hAnsi="Century" w:cs="Miriam" w:hint="cs"/>
          <w:b/>
          <w:spacing w:val="0"/>
          <w:sz w:val="22"/>
          <w:szCs w:val="24"/>
          <w:rtl/>
        </w:rPr>
        <w:t>משפטים</w:t>
      </w:r>
      <w:r>
        <w:rPr>
          <w:rFonts w:hint="cs"/>
          <w:rtl/>
        </w:rPr>
        <w:t xml:space="preserve"> </w:t>
      </w:r>
      <w:proofErr w:type="spellStart"/>
      <w:r>
        <w:rPr>
          <w:rFonts w:hint="cs"/>
          <w:rtl/>
        </w:rPr>
        <w:t>כח</w:t>
      </w:r>
      <w:proofErr w:type="spellEnd"/>
      <w:r>
        <w:rPr>
          <w:rFonts w:hint="cs"/>
          <w:rtl/>
        </w:rPr>
        <w:t xml:space="preserve"> 425, 441 (1997)</w:t>
      </w:r>
      <w:r w:rsidRPr="00F9776E">
        <w:rPr>
          <w:rtl/>
        </w:rPr>
        <w:t>).</w:t>
      </w:r>
      <w:r>
        <w:rPr>
          <w:rFonts w:hint="cs"/>
          <w:rtl/>
        </w:rPr>
        <w:t xml:space="preserve"> זאת, נעשה בזכרנו כי </w:t>
      </w:r>
      <w:r w:rsidRPr="00630F72">
        <w:rPr>
          <w:rFonts w:ascii="Century" w:hAnsi="Century" w:cs="Miriam" w:hint="cs"/>
          <w:b/>
          <w:spacing w:val="0"/>
          <w:sz w:val="22"/>
          <w:szCs w:val="24"/>
          <w:rtl/>
        </w:rPr>
        <w:t>"</w:t>
      </w:r>
      <w:r w:rsidRPr="00630F72">
        <w:rPr>
          <w:rFonts w:ascii="Century" w:hAnsi="Century" w:cs="Miriam"/>
          <w:b/>
          <w:spacing w:val="0"/>
          <w:sz w:val="22"/>
          <w:szCs w:val="24"/>
          <w:rtl/>
        </w:rPr>
        <w:t>טובתו של נישום אחד היא לעתים רעתו של נישום אחר</w:t>
      </w:r>
      <w:r w:rsidRPr="00630F72">
        <w:rPr>
          <w:rFonts w:ascii="Century" w:hAnsi="Century" w:cs="Miriam" w:hint="cs"/>
          <w:b/>
          <w:spacing w:val="0"/>
          <w:sz w:val="22"/>
          <w:szCs w:val="24"/>
          <w:rtl/>
        </w:rPr>
        <w:t>"</w:t>
      </w:r>
      <w:r>
        <w:rPr>
          <w:rFonts w:ascii="FrankRuehl" w:hAnsi="FrankRuehl" w:hint="cs"/>
          <w:rtl/>
        </w:rPr>
        <w:t xml:space="preserve"> (עניין </w:t>
      </w:r>
      <w:r w:rsidRPr="003F7605">
        <w:rPr>
          <w:rFonts w:ascii="Century" w:hAnsi="Century" w:cs="Miriam" w:hint="cs"/>
          <w:b/>
          <w:spacing w:val="0"/>
          <w:sz w:val="22"/>
          <w:szCs w:val="24"/>
          <w:rtl/>
        </w:rPr>
        <w:t>חצור</w:t>
      </w:r>
      <w:r>
        <w:rPr>
          <w:rFonts w:ascii="FrankRuehl" w:hAnsi="FrankRuehl" w:hint="cs"/>
          <w:rtl/>
        </w:rPr>
        <w:t>, בעמ' 75).</w:t>
      </w:r>
    </w:p>
    <w:p w:rsidR="00D81A8C" w:rsidRDefault="00D81A8C" w:rsidP="00D81A8C">
      <w:pPr>
        <w:pStyle w:val="Ruller41"/>
        <w:rPr>
          <w:rtl/>
        </w:rPr>
      </w:pPr>
    </w:p>
    <w:p w:rsidR="00D81A8C" w:rsidRDefault="00D81A8C" w:rsidP="00D81A8C">
      <w:pPr>
        <w:pStyle w:val="Ruller41"/>
        <w:rPr>
          <w:rFonts w:ascii="Century" w:hAnsi="Century" w:cs="Miriam"/>
          <w:b/>
          <w:spacing w:val="0"/>
          <w:szCs w:val="24"/>
          <w:rtl/>
        </w:rPr>
      </w:pPr>
      <w:r>
        <w:rPr>
          <w:rFonts w:ascii="Century" w:hAnsi="Century" w:cs="Miriam" w:hint="cs"/>
          <w:b/>
          <w:spacing w:val="0"/>
          <w:szCs w:val="24"/>
          <w:rtl/>
        </w:rPr>
        <w:t>פרשנות חלופת מקום הנכס המניב שבסעיף 14(א) לפקודת מס הכנסה</w:t>
      </w:r>
    </w:p>
    <w:p w:rsidR="00D81A8C" w:rsidRDefault="00D81A8C" w:rsidP="00D81A8C">
      <w:pPr>
        <w:pStyle w:val="Ruller41"/>
        <w:rPr>
          <w:rFonts w:ascii="Century" w:hAnsi="Century" w:cs="Miriam"/>
          <w:b/>
          <w:spacing w:val="0"/>
          <w:szCs w:val="24"/>
          <w:rtl/>
        </w:rPr>
      </w:pPr>
    </w:p>
    <w:p w:rsidR="00D81A8C" w:rsidRDefault="00D81A8C" w:rsidP="00D81A8C">
      <w:pPr>
        <w:pStyle w:val="Ruller4"/>
        <w:rPr>
          <w:rtl/>
        </w:rPr>
      </w:pPr>
      <w:r>
        <w:rPr>
          <w:rFonts w:hint="cs"/>
          <w:rtl/>
        </w:rPr>
        <w:t xml:space="preserve">מבחינה לשונית, הנוסח בו בחר המחוקק </w:t>
      </w:r>
      <w:r>
        <w:rPr>
          <w:rtl/>
        </w:rPr>
        <w:t>–</w:t>
      </w:r>
      <w:r>
        <w:rPr>
          <w:rFonts w:hint="cs"/>
          <w:rtl/>
        </w:rPr>
        <w:t xml:space="preserve"> "[הכנסות] </w:t>
      </w:r>
      <w:r w:rsidRPr="0057589B">
        <w:rPr>
          <w:rFonts w:ascii="Century" w:hAnsi="Century" w:cs="Miriam" w:hint="cs"/>
          <w:b/>
          <w:spacing w:val="0"/>
          <w:sz w:val="22"/>
          <w:szCs w:val="24"/>
          <w:rtl/>
        </w:rPr>
        <w:t>שמקורן בנכסים מחוץ לישראל</w:t>
      </w:r>
      <w:r>
        <w:rPr>
          <w:rFonts w:hint="cs"/>
          <w:rtl/>
        </w:rPr>
        <w:t xml:space="preserve">" </w:t>
      </w:r>
      <w:r>
        <w:rPr>
          <w:rtl/>
        </w:rPr>
        <w:t>–</w:t>
      </w:r>
      <w:r>
        <w:rPr>
          <w:rFonts w:hint="cs"/>
          <w:rtl/>
        </w:rPr>
        <w:t xml:space="preserve"> ניתן לפרשנות צרה או רחבה. פרשנות צרה תכלול בגדר לשון זו רק הכנסות פסיביות מנכסים המצויים בחו"ל, דהיינו הכנסות שהפקתן נובעת מעצם האינטרס שיש לנישום בנכס המצוי בחו"ל, ואשר אינה מצריכה השקעת מאמץ מתמשך משמעותי מצד הנישום. זו פרשנותו של פקיד השומה. לעומת זאת, פרשנות מרחיבה תכלול בגדר הלשון כל הכנסה שתלויה בקיומו של נכס המצוי בחו"ל, בין אם זו הכנסה פסיבית (שאינה מחייבת מאמץ מתמשך משמעותי מצד הנישום) ובין אם זו הכנסה אקטיבית (אשר הפקתה תלויה במאמץ מתמשך משמעותי מצד הנישום). זו פרשנותו של המערער. מאחר ששתי הפרשנויות אפשריות מבחינה לשונית, עלינו לבחון את תכלית הסדר החוק, כאשר נקדים לכך עיון קצר בהיסטוריה החקיקתית של ההסדר. </w:t>
      </w:r>
    </w:p>
    <w:p w:rsidR="00D81A8C" w:rsidRDefault="00D81A8C" w:rsidP="00D81A8C">
      <w:pPr>
        <w:pStyle w:val="Ruller41"/>
        <w:rPr>
          <w:rtl/>
        </w:rPr>
      </w:pPr>
    </w:p>
    <w:p w:rsidR="00D81A8C" w:rsidRDefault="00D81A8C" w:rsidP="00D81A8C">
      <w:pPr>
        <w:pStyle w:val="Ruller4"/>
        <w:rPr>
          <w:rtl/>
        </w:rPr>
      </w:pPr>
      <w:r>
        <w:rPr>
          <w:rFonts w:hint="cs"/>
          <w:rtl/>
        </w:rPr>
        <w:t xml:space="preserve">הנוסח הנוכחי של סעיף 14 לפקודת מס הכנסה הוא תוצאה של תיקון 168 לפקודת מס הכנסה משנת 2008. קדם לו הנוסח שנקבע בתיקון 132, אשר הורה כדלהלן: </w:t>
      </w:r>
    </w:p>
    <w:p w:rsidR="00D81A8C" w:rsidRDefault="00D81A8C" w:rsidP="00D81A8C">
      <w:pPr>
        <w:pStyle w:val="Ruller41"/>
        <w:rPr>
          <w:rtl/>
        </w:rPr>
      </w:pPr>
    </w:p>
    <w:p w:rsidR="00D81A8C" w:rsidRPr="006148A3" w:rsidRDefault="00D81A8C" w:rsidP="00D81A8C">
      <w:pPr>
        <w:pStyle w:val="Ruller5"/>
        <w:ind w:left="1644"/>
        <w:rPr>
          <w:rStyle w:val="big-number"/>
          <w:rFonts w:ascii="Century" w:hAnsi="Century"/>
        </w:rPr>
      </w:pPr>
      <w:r>
        <w:rPr>
          <w:rStyle w:val="big-number"/>
          <w:rFonts w:ascii="Century" w:hAnsi="Century" w:hint="cs"/>
          <w:rtl/>
        </w:rPr>
        <w:t>(א)</w:t>
      </w:r>
      <w:r w:rsidRPr="006148A3">
        <w:rPr>
          <w:rStyle w:val="big-number"/>
          <w:rFonts w:ascii="Century" w:hAnsi="Century" w:hint="cs"/>
          <w:rtl/>
        </w:rPr>
        <w:t xml:space="preserve">  יחיד שהיה לתושב ישראל לראשונה יהיה פטור ממס, במשך 5 שנים מהמועד שהיה לתושב ישראל, על הכנסות מריבית, מדיבידנד או מדמי שכירות שאינן הכנסות מעסק, שמקורן בנכסים מחוץ לישראל אשר היו לו לפני שהיה לתושב ישראל ושנותרו בידיו לאחר שהיה לתושב </w:t>
      </w:r>
      <w:r w:rsidRPr="006148A3">
        <w:rPr>
          <w:rStyle w:val="big-number"/>
          <w:rFonts w:ascii="Century" w:hAnsi="Century" w:hint="cs"/>
          <w:rtl/>
        </w:rPr>
        <w:lastRenderedPageBreak/>
        <w:t xml:space="preserve">ישראל, אלא אם כן ביקש אחרת, לעניין הכנסה, כולה או מקצתה. </w:t>
      </w:r>
    </w:p>
    <w:p w:rsidR="00D81A8C" w:rsidRPr="006148A3" w:rsidRDefault="00D81A8C" w:rsidP="00D81A8C">
      <w:pPr>
        <w:pStyle w:val="Ruller5"/>
        <w:ind w:left="1644"/>
        <w:rPr>
          <w:rStyle w:val="big-number"/>
          <w:rFonts w:ascii="Century" w:hAnsi="Century"/>
        </w:rPr>
      </w:pPr>
    </w:p>
    <w:p w:rsidR="00D81A8C" w:rsidRPr="006148A3" w:rsidRDefault="00D81A8C" w:rsidP="00D81A8C">
      <w:pPr>
        <w:pStyle w:val="Ruller5"/>
        <w:ind w:left="1644"/>
        <w:rPr>
          <w:rStyle w:val="big-number"/>
          <w:rFonts w:ascii="Century" w:hAnsi="Century"/>
        </w:rPr>
      </w:pPr>
      <w:r>
        <w:rPr>
          <w:rStyle w:val="big-number"/>
          <w:rFonts w:ascii="Century" w:hAnsi="Century" w:hint="cs"/>
          <w:rtl/>
        </w:rPr>
        <w:t>(ב)</w:t>
      </w:r>
      <w:r w:rsidRPr="006148A3">
        <w:rPr>
          <w:rStyle w:val="big-number"/>
          <w:rFonts w:ascii="Century" w:hAnsi="Century" w:hint="cs"/>
          <w:rtl/>
        </w:rPr>
        <w:t xml:space="preserve">  הוראות סעיף קטן (א) יחולו, בשינויים המחויבים גם על הכנסות  כאמור באותו סעיף של יחיד שחדל להיות תושב ישראל ושהה דרך קבע מחוץ לישראל שלוש שנים רצופות לפחות לאחר שחדל להיות תושב ישראל (בסעיף זה </w:t>
      </w:r>
      <w:r w:rsidRPr="006148A3">
        <w:rPr>
          <w:rStyle w:val="big-number"/>
          <w:rFonts w:ascii="Century" w:hAnsi="Century"/>
          <w:rtl/>
        </w:rPr>
        <w:t>–</w:t>
      </w:r>
      <w:r w:rsidRPr="006148A3">
        <w:rPr>
          <w:rStyle w:val="big-number"/>
          <w:rFonts w:ascii="Century" w:hAnsi="Century" w:hint="cs"/>
          <w:rtl/>
        </w:rPr>
        <w:t xml:space="preserve"> תושב חוזר) מנכסים מחוץ לישראל שרכש בתקופה שהותו מחוץ לישראל לאחר שחדל להיות תושב ישראל. </w:t>
      </w:r>
    </w:p>
    <w:p w:rsidR="00D81A8C" w:rsidRDefault="00D81A8C" w:rsidP="00D81A8C">
      <w:pPr>
        <w:pStyle w:val="af3"/>
        <w:rPr>
          <w:rtl/>
        </w:rPr>
      </w:pPr>
    </w:p>
    <w:p w:rsidR="00D81A8C" w:rsidRDefault="00D81A8C" w:rsidP="00D81A8C">
      <w:pPr>
        <w:pStyle w:val="Ruller4"/>
        <w:numPr>
          <w:ilvl w:val="0"/>
          <w:numId w:val="0"/>
        </w:numPr>
        <w:rPr>
          <w:rtl/>
        </w:rPr>
      </w:pPr>
      <w:r>
        <w:rPr>
          <w:rtl/>
        </w:rPr>
        <w:tab/>
      </w:r>
      <w:r>
        <w:rPr>
          <w:rFonts w:hint="cs"/>
          <w:rtl/>
        </w:rPr>
        <w:t xml:space="preserve">נוסחו הקודם של הפטור היה מצומצם מהנוסח הנוכחי במספר היבטים, ששניים מהם רלוונטיים לדיוננו: </w:t>
      </w:r>
      <w:r w:rsidRPr="00AB17CE">
        <w:rPr>
          <w:rFonts w:ascii="Century" w:hAnsi="Century" w:cs="Miriam" w:hint="cs"/>
          <w:b/>
          <w:spacing w:val="0"/>
          <w:sz w:val="22"/>
          <w:szCs w:val="24"/>
          <w:rtl/>
        </w:rPr>
        <w:t>ראשית</w:t>
      </w:r>
      <w:r>
        <w:rPr>
          <w:rFonts w:hint="cs"/>
          <w:rtl/>
        </w:rPr>
        <w:t>, הוא כלל רק את החלופה של מקום הנכס המניב ("</w:t>
      </w:r>
      <w:r w:rsidRPr="00AB17CE">
        <w:rPr>
          <w:rFonts w:ascii="Century" w:hAnsi="Century" w:cs="Miriam" w:hint="cs"/>
          <w:b/>
          <w:spacing w:val="0"/>
          <w:sz w:val="22"/>
          <w:szCs w:val="24"/>
          <w:rtl/>
        </w:rPr>
        <w:t>הכנסות ... שמקורן בנכסים מחוץ לישראל</w:t>
      </w:r>
      <w:r>
        <w:rPr>
          <w:rFonts w:hint="cs"/>
          <w:rtl/>
        </w:rPr>
        <w:t xml:space="preserve">"); </w:t>
      </w:r>
      <w:r w:rsidRPr="00AB17CE">
        <w:rPr>
          <w:rFonts w:ascii="Century" w:hAnsi="Century" w:cs="Miriam" w:hint="cs"/>
          <w:b/>
          <w:spacing w:val="0"/>
          <w:sz w:val="22"/>
          <w:szCs w:val="24"/>
          <w:rtl/>
        </w:rPr>
        <w:t>שנית</w:t>
      </w:r>
      <w:r>
        <w:rPr>
          <w:rFonts w:hint="cs"/>
          <w:rtl/>
        </w:rPr>
        <w:t xml:space="preserve">, מקורות ההכנסה לגביהם ניתן הפטור היו מקורות פסיביים בלבד והוגבלו לרשימה מצומצמת  </w:t>
      </w:r>
      <w:r>
        <w:rPr>
          <w:rtl/>
        </w:rPr>
        <w:t>–</w:t>
      </w:r>
      <w:r>
        <w:rPr>
          <w:rFonts w:hint="cs"/>
          <w:rtl/>
        </w:rPr>
        <w:t xml:space="preserve"> "</w:t>
      </w:r>
      <w:r w:rsidRPr="00AB17CE">
        <w:rPr>
          <w:rFonts w:ascii="Century" w:hAnsi="Century" w:cs="Miriam" w:hint="cs"/>
          <w:b/>
          <w:spacing w:val="0"/>
          <w:sz w:val="22"/>
          <w:szCs w:val="24"/>
          <w:rtl/>
        </w:rPr>
        <w:t>הכנסות מריבית, מדיבידנד או מדמי שכירות שאינן הכנסות מעסק</w:t>
      </w:r>
      <w:r>
        <w:rPr>
          <w:rFonts w:hint="cs"/>
          <w:rtl/>
        </w:rPr>
        <w:t xml:space="preserve">". תיקון 168 לפקודת מס הכנסה הוסיף </w:t>
      </w:r>
      <w:proofErr w:type="spellStart"/>
      <w:r>
        <w:rPr>
          <w:rFonts w:hint="cs"/>
          <w:rtl/>
        </w:rPr>
        <w:t>איפוא</w:t>
      </w:r>
      <w:proofErr w:type="spellEnd"/>
      <w:r>
        <w:rPr>
          <w:rFonts w:hint="cs"/>
          <w:rtl/>
        </w:rPr>
        <w:t xml:space="preserve"> את החלופה של מקום הפקת ההכנסה ("[הכנסות] </w:t>
      </w:r>
      <w:r w:rsidRPr="00933AD7">
        <w:rPr>
          <w:rFonts w:ascii="Century" w:hAnsi="Century" w:cs="Miriam" w:hint="cs"/>
          <w:b/>
          <w:spacing w:val="0"/>
          <w:sz w:val="22"/>
          <w:szCs w:val="24"/>
          <w:rtl/>
        </w:rPr>
        <w:t>שהופקו או שנצמחו מחוץ לישראל</w:t>
      </w:r>
      <w:r>
        <w:rPr>
          <w:rFonts w:hint="cs"/>
          <w:rtl/>
        </w:rPr>
        <w:t>") והרחיב את מקורות ההכנסה לגביהם ניתן הפטור ל"</w:t>
      </w:r>
      <w:r>
        <w:rPr>
          <w:rFonts w:ascii="Century" w:hAnsi="Century" w:cs="Miriam" w:hint="cs"/>
          <w:b/>
          <w:spacing w:val="0"/>
          <w:sz w:val="22"/>
          <w:szCs w:val="24"/>
          <w:rtl/>
        </w:rPr>
        <w:t>כל המקורות המנוי</w:t>
      </w:r>
      <w:r w:rsidRPr="00933AD7">
        <w:rPr>
          <w:rFonts w:ascii="Century" w:hAnsi="Century" w:cs="Miriam" w:hint="cs"/>
          <w:b/>
          <w:spacing w:val="0"/>
          <w:sz w:val="22"/>
          <w:szCs w:val="24"/>
          <w:rtl/>
        </w:rPr>
        <w:t>ים בסעיפים 2, 2א. ו- 3</w:t>
      </w:r>
      <w:r w:rsidRPr="00933AD7">
        <w:rPr>
          <w:rFonts w:hint="cs"/>
          <w:rtl/>
        </w:rPr>
        <w:t xml:space="preserve"> </w:t>
      </w:r>
      <w:r>
        <w:rPr>
          <w:rFonts w:hint="cs"/>
          <w:rtl/>
        </w:rPr>
        <w:t>[לפקודת מס הכנסה]". בכך הורחב מאד הפטור, והוא כולל עתה הן הכנסות פסיביות והן הכנסות אקטיביות של הנישום.</w:t>
      </w:r>
    </w:p>
    <w:p w:rsidR="00D81A8C" w:rsidRDefault="00D81A8C" w:rsidP="00D81A8C">
      <w:pPr>
        <w:pStyle w:val="Ruller41"/>
        <w:rPr>
          <w:rtl/>
        </w:rPr>
      </w:pPr>
    </w:p>
    <w:p w:rsidR="00D81A8C" w:rsidRDefault="00D81A8C" w:rsidP="00D81A8C">
      <w:pPr>
        <w:pStyle w:val="Ruller4"/>
        <w:rPr>
          <w:rtl/>
        </w:rPr>
      </w:pPr>
      <w:r>
        <w:rPr>
          <w:rFonts w:hint="cs"/>
          <w:rtl/>
        </w:rPr>
        <w:t xml:space="preserve">כל עוד החלופה היחידה מכוחה יכול נישום להיות זכאי לפטור הייתה מקום הנכס המניב ("[הכנסות] </w:t>
      </w:r>
      <w:r w:rsidRPr="008C7CAE">
        <w:rPr>
          <w:rFonts w:ascii="Century" w:hAnsi="Century" w:cs="Miriam" w:hint="cs"/>
          <w:b/>
          <w:spacing w:val="0"/>
          <w:sz w:val="22"/>
          <w:szCs w:val="24"/>
          <w:rtl/>
        </w:rPr>
        <w:t>שמקורן בנכסים מחוץ לישראל</w:t>
      </w:r>
      <w:r>
        <w:rPr>
          <w:rFonts w:hint="cs"/>
          <w:rtl/>
        </w:rPr>
        <w:t>"), היה מובהר 'ברחל בתך הקטנה' כי חלופה זו מתייחסת להכנסות הנובעות ממקורות מסוימים בלבד ("</w:t>
      </w:r>
      <w:r w:rsidRPr="00AB17CE">
        <w:rPr>
          <w:rFonts w:ascii="Century" w:hAnsi="Century" w:cs="Miriam" w:hint="cs"/>
          <w:b/>
          <w:spacing w:val="0"/>
          <w:sz w:val="22"/>
          <w:szCs w:val="24"/>
          <w:rtl/>
        </w:rPr>
        <w:t>הכנסות מריבית, מדיבידנד או מדמי שכירות שאינן הכנסות מעסק</w:t>
      </w:r>
      <w:r>
        <w:rPr>
          <w:rFonts w:hint="cs"/>
          <w:rtl/>
        </w:rPr>
        <w:t xml:space="preserve">"). הבהרה זו הוסרה בתיקון 168, וכיום אין למצוא אותה עוד בלשון סעיף 14(א) לפקודה. למחיקה זו ניתן לתת שני הסברים: האחד, הסברו של המערער, הוא שכוונת המחוקק הייתה להסיר מגבלה זו גם ביחס לפרשנות חלופת מקום הנכס המניב; השני, הסברו של פקיד השומה, הוא שהמגבלה הוסרה מאחר שאין היא רלוונטית לחלופה החדשה שהוספה </w:t>
      </w:r>
      <w:r>
        <w:rPr>
          <w:rtl/>
        </w:rPr>
        <w:t>–</w:t>
      </w:r>
      <w:r>
        <w:rPr>
          <w:rFonts w:hint="cs"/>
          <w:rtl/>
        </w:rPr>
        <w:t xml:space="preserve"> מקום הפקת ההכנסה, הרלוונטית הן להכנסות אקטיביות והן להכנסות פסיביות. ואולם, לא היה בתיקון כדי לשנות את פרשנותה של חלופת מקום הנכס המניב, אשר היום כאז, מוסיפה להתייחס להכנסות פסיביות מנכסים בלבד.</w:t>
      </w:r>
    </w:p>
    <w:p w:rsidR="00D81A8C" w:rsidRPr="005928C6" w:rsidRDefault="00D81A8C" w:rsidP="00D81A8C">
      <w:pPr>
        <w:pStyle w:val="Ruller41"/>
        <w:rPr>
          <w:rtl/>
        </w:rPr>
      </w:pPr>
    </w:p>
    <w:p w:rsidR="00D81A8C" w:rsidRPr="005928C6" w:rsidRDefault="00D81A8C" w:rsidP="00D81A8C">
      <w:pPr>
        <w:pStyle w:val="Ruller4"/>
        <w:rPr>
          <w:rtl/>
        </w:rPr>
      </w:pPr>
      <w:r>
        <w:rPr>
          <w:rFonts w:hint="cs"/>
          <w:rtl/>
        </w:rPr>
        <w:t xml:space="preserve">להשלמת הדיון אציין כי מעת שבחר המחוקק בתיקון 168 להשתמש במילה "או", הרי שהביע דעתו כי ניתן לבחון את התקיימות שתי החלופות הללו במקביל, כך שהאחת איננה שוללת את התקיימות השנייה, וזאת בניגוד לנטען על ידי פקיד השומה (ראו פרוטוקול דיון </w:t>
      </w:r>
      <w:r>
        <w:rPr>
          <w:rFonts w:hint="eastAsia"/>
          <w:rtl/>
        </w:rPr>
        <w:t>ועדת</w:t>
      </w:r>
      <w:r>
        <w:rPr>
          <w:rtl/>
        </w:rPr>
        <w:t xml:space="preserve"> </w:t>
      </w:r>
      <w:r>
        <w:rPr>
          <w:rFonts w:hint="eastAsia"/>
          <w:rtl/>
        </w:rPr>
        <w:t>העלייה</w:t>
      </w:r>
      <w:r>
        <w:rPr>
          <w:rtl/>
        </w:rPr>
        <w:t xml:space="preserve">, </w:t>
      </w:r>
      <w:r>
        <w:rPr>
          <w:rFonts w:hint="eastAsia"/>
          <w:rtl/>
        </w:rPr>
        <w:t>הקליטה</w:t>
      </w:r>
      <w:r>
        <w:rPr>
          <w:rtl/>
        </w:rPr>
        <w:t xml:space="preserve"> </w:t>
      </w:r>
      <w:r>
        <w:rPr>
          <w:rFonts w:hint="eastAsia"/>
          <w:rtl/>
        </w:rPr>
        <w:t>והתפוצות</w:t>
      </w:r>
      <w:r>
        <w:rPr>
          <w:rFonts w:hint="cs"/>
          <w:rtl/>
        </w:rPr>
        <w:t xml:space="preserve"> </w:t>
      </w:r>
      <w:r>
        <w:rPr>
          <w:rtl/>
        </w:rPr>
        <w:t>14.8.2008</w:t>
      </w:r>
      <w:r>
        <w:rPr>
          <w:rFonts w:hint="cs"/>
          <w:rtl/>
        </w:rPr>
        <w:t>, בעמ' 56-54. כן ראו</w:t>
      </w:r>
      <w:r w:rsidRPr="00676B31">
        <w:rPr>
          <w:rFonts w:ascii="Arimo" w:hAnsi="Arimo"/>
          <w:rtl/>
        </w:rPr>
        <w:t xml:space="preserve"> </w:t>
      </w:r>
      <w:r>
        <w:rPr>
          <w:rFonts w:ascii="Arimo" w:hAnsi="Arimo"/>
          <w:rtl/>
        </w:rPr>
        <w:lastRenderedPageBreak/>
        <w:t>ע</w:t>
      </w:r>
      <w:r>
        <w:rPr>
          <w:rFonts w:ascii="Arimo" w:hAnsi="Arimo" w:hint="cs"/>
          <w:rtl/>
        </w:rPr>
        <w:t>"</w:t>
      </w:r>
      <w:r>
        <w:rPr>
          <w:rFonts w:ascii="Arimo" w:hAnsi="Arimo"/>
          <w:rtl/>
        </w:rPr>
        <w:t xml:space="preserve">א 131/74 </w:t>
      </w:r>
      <w:r w:rsidRPr="00B478ED">
        <w:rPr>
          <w:rFonts w:ascii="Century" w:hAnsi="Century" w:cs="Miriam"/>
          <w:b/>
          <w:spacing w:val="0"/>
          <w:sz w:val="22"/>
          <w:szCs w:val="24"/>
          <w:rtl/>
        </w:rPr>
        <w:t xml:space="preserve">בנק דיסקונט לישראל בע"מ נ' </w:t>
      </w:r>
      <w:proofErr w:type="spellStart"/>
      <w:r w:rsidRPr="00B478ED">
        <w:rPr>
          <w:rFonts w:ascii="Century" w:hAnsi="Century" w:cs="Miriam"/>
          <w:b/>
          <w:spacing w:val="0"/>
          <w:sz w:val="22"/>
          <w:szCs w:val="24"/>
          <w:rtl/>
        </w:rPr>
        <w:t>ברוכשטיין</w:t>
      </w:r>
      <w:proofErr w:type="spellEnd"/>
      <w:r>
        <w:rPr>
          <w:rFonts w:ascii="Arimo" w:hAnsi="Arimo"/>
          <w:rtl/>
        </w:rPr>
        <w:t>,</w:t>
      </w:r>
      <w:r>
        <w:rPr>
          <w:rFonts w:ascii="Arimo" w:hAnsi="Arimo" w:hint="cs"/>
          <w:rtl/>
        </w:rPr>
        <w:t xml:space="preserve"> פ"ד</w:t>
      </w:r>
      <w:r>
        <w:rPr>
          <w:rFonts w:ascii="Arimo" w:hAnsi="Arimo"/>
          <w:rtl/>
        </w:rPr>
        <w:t xml:space="preserve"> </w:t>
      </w:r>
      <w:proofErr w:type="spellStart"/>
      <w:r>
        <w:rPr>
          <w:rFonts w:ascii="Arimo" w:hAnsi="Arimo"/>
          <w:rtl/>
        </w:rPr>
        <w:t>כט</w:t>
      </w:r>
      <w:proofErr w:type="spellEnd"/>
      <w:r>
        <w:rPr>
          <w:rFonts w:ascii="Arimo" w:hAnsi="Arimo"/>
          <w:rtl/>
        </w:rPr>
        <w:t>(1) 724</w:t>
      </w:r>
      <w:r>
        <w:rPr>
          <w:rFonts w:ascii="Arimo" w:hAnsi="Arimo" w:hint="cs"/>
          <w:rtl/>
        </w:rPr>
        <w:t xml:space="preserve">, 727 (1975); </w:t>
      </w:r>
      <w:r>
        <w:rPr>
          <w:rFonts w:ascii="Arimo" w:hAnsi="Arimo"/>
          <w:rtl/>
        </w:rPr>
        <w:t>ע</w:t>
      </w:r>
      <w:r>
        <w:rPr>
          <w:rFonts w:ascii="Arimo" w:hAnsi="Arimo" w:hint="cs"/>
          <w:rtl/>
        </w:rPr>
        <w:t>"</w:t>
      </w:r>
      <w:r>
        <w:rPr>
          <w:rFonts w:ascii="Arimo" w:hAnsi="Arimo"/>
          <w:rtl/>
        </w:rPr>
        <w:t xml:space="preserve">א 648/82 </w:t>
      </w:r>
      <w:r w:rsidRPr="00676B31">
        <w:rPr>
          <w:rFonts w:ascii="Century" w:hAnsi="Century" w:cs="Miriam"/>
          <w:b/>
          <w:spacing w:val="0"/>
          <w:sz w:val="22"/>
          <w:szCs w:val="24"/>
          <w:rtl/>
        </w:rPr>
        <w:t>פקיד השומה לגבייה מיוחדת נ' גפני</w:t>
      </w:r>
      <w:r>
        <w:rPr>
          <w:rFonts w:ascii="Arimo" w:hAnsi="Arimo"/>
          <w:rtl/>
        </w:rPr>
        <w:t>,</w:t>
      </w:r>
      <w:r>
        <w:rPr>
          <w:rFonts w:ascii="Arimo" w:hAnsi="Arimo" w:hint="cs"/>
          <w:rtl/>
        </w:rPr>
        <w:t xml:space="preserve"> פ"ד</w:t>
      </w:r>
      <w:r>
        <w:rPr>
          <w:rFonts w:ascii="Arimo" w:hAnsi="Arimo"/>
          <w:rtl/>
        </w:rPr>
        <w:t xml:space="preserve"> לח(3) 813</w:t>
      </w:r>
      <w:r>
        <w:rPr>
          <w:rFonts w:hint="cs"/>
          <w:rtl/>
        </w:rPr>
        <w:t>, 820 (1984)</w:t>
      </w:r>
      <w:r>
        <w:rPr>
          <w:rFonts w:ascii="Arimo" w:hAnsi="Arimo" w:hint="cs"/>
          <w:rtl/>
        </w:rPr>
        <w:t>).</w:t>
      </w:r>
    </w:p>
    <w:p w:rsidR="00D81A8C" w:rsidRDefault="00D81A8C" w:rsidP="00D81A8C">
      <w:pPr>
        <w:pStyle w:val="Ruller4"/>
        <w:numPr>
          <w:ilvl w:val="0"/>
          <w:numId w:val="0"/>
        </w:numPr>
      </w:pPr>
    </w:p>
    <w:p w:rsidR="00D81A8C" w:rsidRDefault="00D81A8C" w:rsidP="00D81A8C">
      <w:pPr>
        <w:pStyle w:val="Ruller4"/>
      </w:pPr>
      <w:r>
        <w:rPr>
          <w:rFonts w:hint="cs"/>
          <w:rtl/>
        </w:rPr>
        <w:t xml:space="preserve">על רקע סקירה קצרה זו של תיקון 168, ניתן לעבור לדיון בפרשנות ההסדר. </w:t>
      </w:r>
    </w:p>
    <w:p w:rsidR="00D81A8C" w:rsidRPr="00B36AAF" w:rsidRDefault="00D81A8C" w:rsidP="00D81A8C">
      <w:pPr>
        <w:pStyle w:val="Ruller4"/>
        <w:numPr>
          <w:ilvl w:val="0"/>
          <w:numId w:val="0"/>
        </w:numPr>
      </w:pPr>
    </w:p>
    <w:p w:rsidR="00D81A8C" w:rsidRDefault="00D81A8C" w:rsidP="00535ABA">
      <w:pPr>
        <w:pStyle w:val="Ruller4"/>
        <w:rPr>
          <w:rtl/>
        </w:rPr>
      </w:pPr>
      <w:r>
        <w:rPr>
          <w:rFonts w:hint="cs"/>
          <w:rtl/>
        </w:rPr>
        <w:t>אקדים את המאוחר וא</w:t>
      </w:r>
      <w:r w:rsidR="00535ABA">
        <w:rPr>
          <w:rFonts w:hint="cs"/>
          <w:rtl/>
        </w:rPr>
        <w:t xml:space="preserve">בהיר </w:t>
      </w:r>
      <w:r>
        <w:rPr>
          <w:rFonts w:hint="cs"/>
          <w:rtl/>
        </w:rPr>
        <w:t xml:space="preserve">כי סבורני שפרשנותו הנכונה של סעיף 14(א) לפקודת מס הכנסה מחייבת לקרוא אותו בשים לב ל"תורת המקור" עליה מבוססת שיטת המיסוי שנקבעה בפקודה, וזאת על מנת שישתלב במארג דיני מס ההכנסה הנהוגים בישראל. קריאה כזו אינה מאפשרת את אימוץ הפרשנות המרחיבה שהוצעה על ידי המערער לחלופת מקום הנכס המניב. זאת ועוד, גם מבחינת תכליתו של ההסדר שנקבע בתיקון 168, נטרול </w:t>
      </w:r>
      <w:r w:rsidRPr="00C135CD">
        <w:rPr>
          <w:rFonts w:hint="eastAsia"/>
          <w:rtl/>
        </w:rPr>
        <w:t>תמריץ</w:t>
      </w:r>
      <w:r w:rsidRPr="00C135CD">
        <w:rPr>
          <w:rtl/>
        </w:rPr>
        <w:t xml:space="preserve"> </w:t>
      </w:r>
      <w:r w:rsidRPr="00C135CD">
        <w:rPr>
          <w:rFonts w:hint="eastAsia"/>
          <w:rtl/>
        </w:rPr>
        <w:t>המס</w:t>
      </w:r>
      <w:r w:rsidRPr="00C135CD">
        <w:rPr>
          <w:rtl/>
        </w:rPr>
        <w:t xml:space="preserve"> </w:t>
      </w:r>
      <w:r w:rsidRPr="00C135CD">
        <w:rPr>
          <w:rFonts w:hint="eastAsia"/>
          <w:rtl/>
        </w:rPr>
        <w:t>השלילי</w:t>
      </w:r>
      <w:r w:rsidRPr="00C135CD">
        <w:rPr>
          <w:rtl/>
        </w:rPr>
        <w:t xml:space="preserve"> </w:t>
      </w:r>
      <w:r>
        <w:rPr>
          <w:rFonts w:hint="cs"/>
          <w:rtl/>
        </w:rPr>
        <w:t>של ה</w:t>
      </w:r>
      <w:r w:rsidRPr="00C135CD">
        <w:rPr>
          <w:rFonts w:hint="cs"/>
          <w:rtl/>
        </w:rPr>
        <w:t>מעבר לישראל</w:t>
      </w:r>
      <w:r>
        <w:rPr>
          <w:rFonts w:hint="cs"/>
          <w:rtl/>
        </w:rPr>
        <w:t xml:space="preserve">, עולה כי לא ניתן לאמץ את פרשנות המערער. אבהיר קביעות אלה, כסדר הצגתן. </w:t>
      </w:r>
    </w:p>
    <w:p w:rsidR="00D81A8C" w:rsidRPr="007D1600" w:rsidRDefault="00D81A8C" w:rsidP="00D81A8C">
      <w:pPr>
        <w:pStyle w:val="Ruller41"/>
        <w:rPr>
          <w:rtl/>
        </w:rPr>
      </w:pPr>
    </w:p>
    <w:p w:rsidR="00D81A8C" w:rsidRPr="00232802" w:rsidRDefault="00D81A8C" w:rsidP="00D81A8C">
      <w:pPr>
        <w:pStyle w:val="Ruller41"/>
        <w:rPr>
          <w:rFonts w:ascii="Century" w:hAnsi="Century" w:cs="Miriam"/>
          <w:b/>
          <w:spacing w:val="0"/>
          <w:szCs w:val="24"/>
          <w:rtl/>
        </w:rPr>
      </w:pPr>
      <w:r>
        <w:rPr>
          <w:rFonts w:ascii="Century" w:hAnsi="Century" w:cs="Miriam" w:hint="cs"/>
          <w:b/>
          <w:spacing w:val="0"/>
          <w:szCs w:val="24"/>
          <w:rtl/>
        </w:rPr>
        <w:t>פרשנות חלופת מקום הנכס המניב</w:t>
      </w:r>
      <w:r w:rsidRPr="00232802">
        <w:rPr>
          <w:rFonts w:ascii="Century" w:hAnsi="Century" w:cs="Miriam" w:hint="cs"/>
          <w:b/>
          <w:spacing w:val="0"/>
          <w:szCs w:val="24"/>
          <w:rtl/>
        </w:rPr>
        <w:t xml:space="preserve"> בראי "תורת המקור"</w:t>
      </w:r>
    </w:p>
    <w:p w:rsidR="00D81A8C" w:rsidRPr="00683752" w:rsidRDefault="00D81A8C" w:rsidP="00D81A8C">
      <w:pPr>
        <w:pStyle w:val="Ruller41"/>
        <w:rPr>
          <w:rtl/>
        </w:rPr>
      </w:pPr>
    </w:p>
    <w:p w:rsidR="00D81A8C" w:rsidRDefault="00D81A8C" w:rsidP="00535ABA">
      <w:pPr>
        <w:pStyle w:val="Ruller4"/>
        <w:rPr>
          <w:rtl/>
        </w:rPr>
      </w:pPr>
      <w:r>
        <w:rPr>
          <w:rFonts w:hint="cs"/>
          <w:rtl/>
        </w:rPr>
        <w:t>שיטת המיסוי העומדת בבסיס דיני המס הישראלים, ובכלל זאת פקודת מס הכנסה, היא הדוקטרינה של "תורת המקור", אותה שאבנו מהדין האנגלי (באנגלית היא מכונה "תורת הלוחות" (</w:t>
      </w:r>
      <w:r>
        <w:t>"Scheduler System"</w:t>
      </w:r>
      <w:r>
        <w:rPr>
          <w:rFonts w:hint="cs"/>
          <w:rtl/>
        </w:rPr>
        <w:t xml:space="preserve">)). על פי תורת המקור, על מנת שהכנסה תחויב במס, יש לאתר "מקור" ספציפי המוגדר בחוק אשר אליו ניתן לשייך את ההכנסה; ובהיעדר מקור </w:t>
      </w:r>
      <w:r>
        <w:rPr>
          <w:rtl/>
        </w:rPr>
        <w:t>–</w:t>
      </w:r>
      <w:r>
        <w:rPr>
          <w:rFonts w:hint="cs"/>
          <w:rtl/>
        </w:rPr>
        <w:t xml:space="preserve"> אין חבות ב</w:t>
      </w:r>
      <w:r w:rsidRPr="00C87278">
        <w:rPr>
          <w:rFonts w:hint="cs"/>
          <w:rtl/>
        </w:rPr>
        <w:t>מס (</w:t>
      </w:r>
      <w:r w:rsidRPr="00C87278">
        <w:rPr>
          <w:rtl/>
        </w:rPr>
        <w:t xml:space="preserve">ע"א 9412/03 </w:t>
      </w:r>
      <w:r w:rsidRPr="00C87278">
        <w:rPr>
          <w:rFonts w:ascii="Century" w:hAnsi="Century" w:cs="Miriam"/>
          <w:b/>
          <w:spacing w:val="0"/>
          <w:sz w:val="22"/>
          <w:szCs w:val="24"/>
          <w:rtl/>
        </w:rPr>
        <w:t>חזן נ' פקיד השומה נתניה</w:t>
      </w:r>
      <w:r w:rsidRPr="00C87278">
        <w:rPr>
          <w:rtl/>
        </w:rPr>
        <w:t xml:space="preserve">, פ"ד נט(5) 538, 549 (2005); </w:t>
      </w:r>
      <w:r>
        <w:rPr>
          <w:rFonts w:ascii="Arimo" w:hAnsi="Arimo"/>
          <w:rtl/>
        </w:rPr>
        <w:t>ע</w:t>
      </w:r>
      <w:r>
        <w:rPr>
          <w:rFonts w:ascii="Arimo" w:hAnsi="Arimo" w:hint="cs"/>
          <w:rtl/>
        </w:rPr>
        <w:t>"</w:t>
      </w:r>
      <w:r>
        <w:rPr>
          <w:rFonts w:ascii="Arimo" w:hAnsi="Arimo"/>
          <w:rtl/>
        </w:rPr>
        <w:t xml:space="preserve">א 1834/07 </w:t>
      </w:r>
      <w:r w:rsidRPr="00271E32">
        <w:rPr>
          <w:rFonts w:ascii="Century" w:hAnsi="Century" w:cs="Miriam"/>
          <w:b/>
          <w:spacing w:val="0"/>
          <w:sz w:val="22"/>
          <w:szCs w:val="24"/>
          <w:rtl/>
        </w:rPr>
        <w:t>קרן נ' פקיד שומה גוש דן</w:t>
      </w:r>
      <w:r>
        <w:rPr>
          <w:rFonts w:ascii="Arimo" w:hAnsi="Arimo"/>
          <w:rtl/>
        </w:rPr>
        <w:t>,</w:t>
      </w:r>
      <w:r>
        <w:rPr>
          <w:rFonts w:ascii="Arimo" w:hAnsi="Arimo" w:hint="cs"/>
          <w:rtl/>
        </w:rPr>
        <w:t xml:space="preserve"> פ"ד</w:t>
      </w:r>
      <w:r>
        <w:rPr>
          <w:rFonts w:ascii="Arimo" w:hAnsi="Arimo"/>
          <w:rtl/>
        </w:rPr>
        <w:t xml:space="preserve"> סה(3) 636</w:t>
      </w:r>
      <w:r>
        <w:rPr>
          <w:rFonts w:ascii="Arimo" w:hAnsi="Arimo" w:hint="cs"/>
          <w:rtl/>
        </w:rPr>
        <w:t xml:space="preserve">, 664 (2013); </w:t>
      </w:r>
      <w:r>
        <w:rPr>
          <w:rFonts w:ascii="Arimo" w:hAnsi="Arimo"/>
          <w:rtl/>
        </w:rPr>
        <w:t>ע</w:t>
      </w:r>
      <w:r>
        <w:rPr>
          <w:rFonts w:ascii="Arimo" w:hAnsi="Arimo" w:hint="cs"/>
          <w:rtl/>
        </w:rPr>
        <w:t>"</w:t>
      </w:r>
      <w:r>
        <w:rPr>
          <w:rFonts w:ascii="Arimo" w:hAnsi="Arimo"/>
          <w:rtl/>
        </w:rPr>
        <w:t xml:space="preserve">א 7204/15 </w:t>
      </w:r>
      <w:r w:rsidRPr="007030A0">
        <w:rPr>
          <w:rFonts w:ascii="Century" w:hAnsi="Century" w:cs="Miriam"/>
          <w:b/>
          <w:spacing w:val="0"/>
          <w:sz w:val="22"/>
          <w:szCs w:val="24"/>
          <w:rtl/>
        </w:rPr>
        <w:t>פקיד שומה תל אביב 4 נ' עיזבון המנוחה לשם ז"ל</w:t>
      </w:r>
      <w:r>
        <w:rPr>
          <w:rFonts w:ascii="Arimo" w:hAnsi="Arimo" w:hint="cs"/>
          <w:rtl/>
        </w:rPr>
        <w:t xml:space="preserve">, פסקה 26 (2.1.2018) (להלן: </w:t>
      </w:r>
      <w:r w:rsidRPr="009007AC">
        <w:rPr>
          <w:rFonts w:ascii="Century" w:hAnsi="Century" w:cs="Miriam" w:hint="cs"/>
          <w:b/>
          <w:spacing w:val="0"/>
          <w:sz w:val="22"/>
          <w:szCs w:val="24"/>
          <w:rtl/>
        </w:rPr>
        <w:t>"</w:t>
      </w:r>
      <w:r w:rsidRPr="000E51E7">
        <w:rPr>
          <w:rFonts w:ascii="Century" w:hAnsi="Century" w:cs="Miriam" w:hint="cs"/>
          <w:b/>
          <w:spacing w:val="0"/>
          <w:sz w:val="22"/>
          <w:szCs w:val="24"/>
          <w:rtl/>
        </w:rPr>
        <w:t>עניין לשם"</w:t>
      </w:r>
      <w:r w:rsidRPr="000E51E7">
        <w:rPr>
          <w:rFonts w:ascii="Arimo" w:hAnsi="Arimo" w:hint="cs"/>
          <w:rtl/>
        </w:rPr>
        <w:t xml:space="preserve">); </w:t>
      </w:r>
      <w:r w:rsidRPr="000E51E7">
        <w:rPr>
          <w:rFonts w:ascii="FrankRuehl" w:hAnsi="FrankRuehl" w:hint="cs"/>
          <w:rtl/>
        </w:rPr>
        <w:t>אלפרד</w:t>
      </w:r>
      <w:r w:rsidRPr="000E51E7">
        <w:rPr>
          <w:rFonts w:ascii="FrankRuehl" w:hAnsi="FrankRuehl"/>
          <w:rtl/>
        </w:rPr>
        <w:t xml:space="preserve"> ויתקון</w:t>
      </w:r>
      <w:r w:rsidRPr="000E51E7">
        <w:rPr>
          <w:rFonts w:ascii="FrankRuehl" w:hAnsi="FrankRuehl" w:hint="cs"/>
          <w:rtl/>
        </w:rPr>
        <w:t xml:space="preserve"> ויעקב נאמן</w:t>
      </w:r>
      <w:r w:rsidRPr="000E51E7">
        <w:rPr>
          <w:rFonts w:ascii="FrankRuehl" w:hAnsi="FrankRuehl"/>
          <w:rtl/>
        </w:rPr>
        <w:t xml:space="preserve"> </w:t>
      </w:r>
      <w:r w:rsidRPr="000E51E7">
        <w:rPr>
          <w:rFonts w:ascii="Century" w:hAnsi="Century" w:cs="Miriam"/>
          <w:b/>
          <w:spacing w:val="0"/>
          <w:szCs w:val="24"/>
          <w:rtl/>
        </w:rPr>
        <w:t>דיני מיסים</w:t>
      </w:r>
      <w:r w:rsidRPr="000E51E7">
        <w:rPr>
          <w:rFonts w:ascii="Century" w:hAnsi="Century" w:cs="Miriam" w:hint="cs"/>
          <w:b/>
          <w:spacing w:val="0"/>
          <w:sz w:val="22"/>
          <w:szCs w:val="24"/>
          <w:rtl/>
        </w:rPr>
        <w:t>: מסי הכנסה, עזבון ושבח</w:t>
      </w:r>
      <w:r w:rsidRPr="000E51E7">
        <w:rPr>
          <w:rFonts w:ascii="FrankRuehl" w:hAnsi="FrankRuehl"/>
          <w:rtl/>
        </w:rPr>
        <w:t xml:space="preserve"> </w:t>
      </w:r>
      <w:r w:rsidRPr="000E51E7">
        <w:rPr>
          <w:rFonts w:ascii="FrankRuehl" w:hAnsi="FrankRuehl" w:hint="cs"/>
          <w:rtl/>
        </w:rPr>
        <w:t xml:space="preserve">58 </w:t>
      </w:r>
      <w:r w:rsidRPr="000E51E7">
        <w:rPr>
          <w:rFonts w:ascii="FrankRuehl" w:hAnsi="FrankRuehl"/>
          <w:rtl/>
        </w:rPr>
        <w:t>(</w:t>
      </w:r>
      <w:r w:rsidRPr="000E51E7">
        <w:rPr>
          <w:rFonts w:ascii="FrankRuehl" w:hAnsi="FrankRuehl" w:hint="cs"/>
          <w:rtl/>
        </w:rPr>
        <w:t>1969</w:t>
      </w:r>
      <w:r w:rsidRPr="000E51E7">
        <w:rPr>
          <w:rFonts w:ascii="FrankRuehl" w:hAnsi="FrankRuehl"/>
          <w:rtl/>
        </w:rPr>
        <w:t>)</w:t>
      </w:r>
      <w:r w:rsidRPr="000E51E7">
        <w:rPr>
          <w:rFonts w:ascii="FrankRuehl" w:hAnsi="FrankRuehl" w:hint="cs"/>
          <w:rtl/>
        </w:rPr>
        <w:t xml:space="preserve">; </w:t>
      </w:r>
      <w:r w:rsidRPr="000E51E7">
        <w:rPr>
          <w:rFonts w:hint="cs"/>
          <w:rtl/>
        </w:rPr>
        <w:t>יוסף</w:t>
      </w:r>
      <w:r>
        <w:rPr>
          <w:rFonts w:hint="cs"/>
          <w:rtl/>
        </w:rPr>
        <w:t xml:space="preserve"> </w:t>
      </w:r>
      <w:proofErr w:type="spellStart"/>
      <w:r>
        <w:rPr>
          <w:rFonts w:hint="cs"/>
          <w:rtl/>
        </w:rPr>
        <w:t>אדרעי</w:t>
      </w:r>
      <w:proofErr w:type="spellEnd"/>
      <w:r>
        <w:rPr>
          <w:rFonts w:hint="cs"/>
          <w:rtl/>
        </w:rPr>
        <w:t xml:space="preserve"> "בסיס מס כולל בישראל" </w:t>
      </w:r>
      <w:r w:rsidRPr="008C25D0">
        <w:rPr>
          <w:rFonts w:ascii="Century" w:hAnsi="Century" w:cs="Miriam" w:hint="cs"/>
          <w:b/>
          <w:spacing w:val="0"/>
          <w:sz w:val="22"/>
          <w:szCs w:val="24"/>
          <w:rtl/>
        </w:rPr>
        <w:t>משפטים</w:t>
      </w:r>
      <w:r>
        <w:rPr>
          <w:rFonts w:hint="cs"/>
          <w:rtl/>
        </w:rPr>
        <w:t xml:space="preserve"> </w:t>
      </w:r>
      <w:proofErr w:type="spellStart"/>
      <w:r>
        <w:rPr>
          <w:rFonts w:hint="cs"/>
          <w:rtl/>
        </w:rPr>
        <w:t>יב</w:t>
      </w:r>
      <w:proofErr w:type="spellEnd"/>
      <w:r>
        <w:rPr>
          <w:rFonts w:hint="cs"/>
          <w:rtl/>
        </w:rPr>
        <w:t xml:space="preserve"> 431, 446-445</w:t>
      </w:r>
      <w:r>
        <w:t xml:space="preserve"> </w:t>
      </w:r>
      <w:r>
        <w:rPr>
          <w:rFonts w:hint="cs"/>
          <w:rtl/>
        </w:rPr>
        <w:t xml:space="preserve">(1982); </w:t>
      </w:r>
      <w:r w:rsidRPr="00B11AA8">
        <w:rPr>
          <w:rFonts w:hint="eastAsia"/>
          <w:rtl/>
        </w:rPr>
        <w:t>אהרן</w:t>
      </w:r>
      <w:r w:rsidRPr="00B11AA8">
        <w:rPr>
          <w:rtl/>
        </w:rPr>
        <w:t xml:space="preserve"> </w:t>
      </w:r>
      <w:proofErr w:type="spellStart"/>
      <w:r w:rsidRPr="00B11AA8">
        <w:rPr>
          <w:rFonts w:hint="eastAsia"/>
          <w:rtl/>
        </w:rPr>
        <w:t>נמדר</w:t>
      </w:r>
      <w:proofErr w:type="spellEnd"/>
      <w:r w:rsidRPr="00B11AA8">
        <w:rPr>
          <w:rtl/>
        </w:rPr>
        <w:t xml:space="preserve"> </w:t>
      </w:r>
      <w:r w:rsidRPr="00B11AA8">
        <w:rPr>
          <w:rFonts w:ascii="Century" w:hAnsi="Century" w:cs="Miriam" w:hint="eastAsia"/>
          <w:b/>
          <w:spacing w:val="0"/>
          <w:sz w:val="22"/>
          <w:szCs w:val="24"/>
          <w:rtl/>
        </w:rPr>
        <w:t>מס</w:t>
      </w:r>
      <w:r w:rsidRPr="00B11AA8">
        <w:rPr>
          <w:rFonts w:ascii="Century" w:hAnsi="Century" w:cs="Miriam"/>
          <w:b/>
          <w:spacing w:val="0"/>
          <w:sz w:val="22"/>
          <w:szCs w:val="24"/>
          <w:rtl/>
        </w:rPr>
        <w:t xml:space="preserve"> </w:t>
      </w:r>
      <w:r w:rsidRPr="00B11AA8">
        <w:rPr>
          <w:rFonts w:ascii="Century" w:hAnsi="Century" w:cs="Miriam" w:hint="eastAsia"/>
          <w:b/>
          <w:spacing w:val="0"/>
          <w:sz w:val="22"/>
          <w:szCs w:val="24"/>
          <w:rtl/>
        </w:rPr>
        <w:t>הכנסה</w:t>
      </w:r>
      <w:r w:rsidRPr="00B11AA8">
        <w:rPr>
          <w:rFonts w:ascii="Century" w:hAnsi="Century" w:cs="Miriam" w:hint="cs"/>
          <w:b/>
          <w:spacing w:val="0"/>
          <w:sz w:val="22"/>
          <w:szCs w:val="24"/>
          <w:rtl/>
        </w:rPr>
        <w:t xml:space="preserve">: </w:t>
      </w:r>
      <w:r w:rsidRPr="00B11AA8">
        <w:rPr>
          <w:rFonts w:ascii="Century" w:hAnsi="Century" w:cs="Miriam" w:hint="eastAsia"/>
          <w:b/>
          <w:spacing w:val="0"/>
          <w:sz w:val="22"/>
          <w:szCs w:val="24"/>
          <w:rtl/>
        </w:rPr>
        <w:t>יסודות</w:t>
      </w:r>
      <w:r w:rsidRPr="00B11AA8">
        <w:rPr>
          <w:rFonts w:ascii="Century" w:hAnsi="Century" w:cs="Miriam"/>
          <w:b/>
          <w:spacing w:val="0"/>
          <w:sz w:val="22"/>
          <w:szCs w:val="24"/>
          <w:rtl/>
        </w:rPr>
        <w:t xml:space="preserve"> </w:t>
      </w:r>
      <w:r w:rsidRPr="00B11AA8">
        <w:rPr>
          <w:rFonts w:ascii="Century" w:hAnsi="Century" w:cs="Miriam" w:hint="eastAsia"/>
          <w:b/>
          <w:spacing w:val="0"/>
          <w:sz w:val="22"/>
          <w:szCs w:val="24"/>
          <w:rtl/>
        </w:rPr>
        <w:t>ועיקרים</w:t>
      </w:r>
      <w:r w:rsidRPr="00B11AA8">
        <w:rPr>
          <w:rtl/>
        </w:rPr>
        <w:t xml:space="preserve"> </w:t>
      </w:r>
      <w:r>
        <w:rPr>
          <w:rFonts w:hint="cs"/>
          <w:rtl/>
        </w:rPr>
        <w:t xml:space="preserve">62-61 </w:t>
      </w:r>
      <w:r w:rsidRPr="00B11AA8">
        <w:rPr>
          <w:rtl/>
        </w:rPr>
        <w:t>(</w:t>
      </w:r>
      <w:r w:rsidRPr="00B11AA8">
        <w:rPr>
          <w:rFonts w:hint="eastAsia"/>
          <w:rtl/>
        </w:rPr>
        <w:t>מהד</w:t>
      </w:r>
      <w:r>
        <w:rPr>
          <w:rFonts w:hint="cs"/>
          <w:rtl/>
        </w:rPr>
        <w:t>ורה</w:t>
      </w:r>
      <w:r w:rsidRPr="00B11AA8">
        <w:rPr>
          <w:rtl/>
        </w:rPr>
        <w:t xml:space="preserve"> </w:t>
      </w:r>
      <w:r w:rsidRPr="00B11AA8">
        <w:rPr>
          <w:rFonts w:hint="eastAsia"/>
          <w:rtl/>
        </w:rPr>
        <w:t>רביעית</w:t>
      </w:r>
      <w:r w:rsidRPr="00B11AA8">
        <w:rPr>
          <w:rtl/>
        </w:rPr>
        <w:t>, 2013)</w:t>
      </w:r>
      <w:r>
        <w:rPr>
          <w:rFonts w:hint="cs"/>
          <w:rtl/>
        </w:rPr>
        <w:t xml:space="preserve"> (להלן: </w:t>
      </w:r>
      <w:r w:rsidRPr="00D128D8">
        <w:rPr>
          <w:rFonts w:ascii="Century" w:hAnsi="Century" w:cs="Miriam" w:hint="cs"/>
          <w:b/>
          <w:spacing w:val="0"/>
          <w:sz w:val="22"/>
          <w:szCs w:val="24"/>
          <w:rtl/>
        </w:rPr>
        <w:t>"</w:t>
      </w:r>
      <w:proofErr w:type="spellStart"/>
      <w:r w:rsidRPr="00D128D8">
        <w:rPr>
          <w:rFonts w:ascii="Century" w:hAnsi="Century" w:cs="Miriam" w:hint="cs"/>
          <w:b/>
          <w:spacing w:val="0"/>
          <w:sz w:val="22"/>
          <w:szCs w:val="24"/>
          <w:rtl/>
        </w:rPr>
        <w:t>נמדר</w:t>
      </w:r>
      <w:proofErr w:type="spellEnd"/>
      <w:r w:rsidRPr="00D128D8">
        <w:rPr>
          <w:rFonts w:ascii="Century" w:hAnsi="Century" w:cs="Miriam" w:hint="cs"/>
          <w:b/>
          <w:spacing w:val="0"/>
          <w:sz w:val="22"/>
          <w:szCs w:val="24"/>
          <w:rtl/>
        </w:rPr>
        <w:t>"</w:t>
      </w:r>
      <w:r>
        <w:rPr>
          <w:rFonts w:hint="cs"/>
          <w:rtl/>
        </w:rPr>
        <w:t xml:space="preserve">); </w:t>
      </w:r>
      <w:r w:rsidRPr="009F1ADD">
        <w:rPr>
          <w:rFonts w:hint="eastAsia"/>
          <w:rtl/>
        </w:rPr>
        <w:t>יוסף</w:t>
      </w:r>
      <w:r w:rsidRPr="009F1ADD">
        <w:rPr>
          <w:rtl/>
        </w:rPr>
        <w:t xml:space="preserve"> </w:t>
      </w:r>
      <w:r w:rsidRPr="009F1ADD">
        <w:rPr>
          <w:rFonts w:hint="eastAsia"/>
          <w:rtl/>
        </w:rPr>
        <w:t>גרוס</w:t>
      </w:r>
      <w:r w:rsidRPr="009F1ADD">
        <w:rPr>
          <w:rtl/>
        </w:rPr>
        <w:t xml:space="preserve"> </w:t>
      </w:r>
      <w:r w:rsidRPr="009F1ADD">
        <w:rPr>
          <w:rFonts w:ascii="Century" w:hAnsi="Century" w:cs="Miriam" w:hint="eastAsia"/>
          <w:b/>
          <w:spacing w:val="0"/>
          <w:sz w:val="22"/>
          <w:szCs w:val="24"/>
          <w:rtl/>
        </w:rPr>
        <w:t>דיני</w:t>
      </w:r>
      <w:r w:rsidRPr="009F1ADD">
        <w:rPr>
          <w:rFonts w:ascii="Century" w:hAnsi="Century" w:cs="Miriam"/>
          <w:b/>
          <w:spacing w:val="0"/>
          <w:sz w:val="22"/>
          <w:szCs w:val="24"/>
          <w:rtl/>
        </w:rPr>
        <w:t xml:space="preserve"> </w:t>
      </w:r>
      <w:r w:rsidRPr="009F1ADD">
        <w:rPr>
          <w:rFonts w:ascii="Century" w:hAnsi="Century" w:cs="Miriam" w:hint="eastAsia"/>
          <w:b/>
          <w:spacing w:val="0"/>
          <w:sz w:val="22"/>
          <w:szCs w:val="24"/>
          <w:rtl/>
        </w:rPr>
        <w:t>המס</w:t>
      </w:r>
      <w:r w:rsidRPr="009F1ADD">
        <w:rPr>
          <w:rFonts w:ascii="Century" w:hAnsi="Century" w:cs="Miriam"/>
          <w:b/>
          <w:spacing w:val="0"/>
          <w:sz w:val="22"/>
          <w:szCs w:val="24"/>
          <w:rtl/>
        </w:rPr>
        <w:t xml:space="preserve"> </w:t>
      </w:r>
      <w:r w:rsidRPr="009F1ADD">
        <w:rPr>
          <w:rFonts w:ascii="Century" w:hAnsi="Century" w:cs="Miriam" w:hint="eastAsia"/>
          <w:b/>
          <w:spacing w:val="0"/>
          <w:sz w:val="22"/>
          <w:szCs w:val="24"/>
          <w:rtl/>
        </w:rPr>
        <w:t>החדשים</w:t>
      </w:r>
      <w:r>
        <w:rPr>
          <w:rFonts w:hint="cs"/>
          <w:rtl/>
        </w:rPr>
        <w:t xml:space="preserve"> 48-45</w:t>
      </w:r>
      <w:r w:rsidRPr="009F1ADD">
        <w:rPr>
          <w:rtl/>
        </w:rPr>
        <w:t xml:space="preserve"> (</w:t>
      </w:r>
      <w:r w:rsidRPr="009F1ADD">
        <w:rPr>
          <w:rFonts w:hint="eastAsia"/>
          <w:rtl/>
        </w:rPr>
        <w:t>מהדורה</w:t>
      </w:r>
      <w:r w:rsidRPr="009F1ADD">
        <w:rPr>
          <w:rtl/>
        </w:rPr>
        <w:t xml:space="preserve"> </w:t>
      </w:r>
      <w:r w:rsidRPr="009F1ADD">
        <w:rPr>
          <w:rFonts w:hint="eastAsia"/>
          <w:rtl/>
        </w:rPr>
        <w:t>שלישית</w:t>
      </w:r>
      <w:r w:rsidRPr="009F1ADD">
        <w:rPr>
          <w:rtl/>
        </w:rPr>
        <w:t>, 2003)</w:t>
      </w:r>
      <w:r>
        <w:rPr>
          <w:rFonts w:hint="cs"/>
          <w:rtl/>
        </w:rPr>
        <w:t xml:space="preserve">). משמעות הדבר היא שעל אף התעשרותו של הנישום, ייתכנו מקרים בהם לא תוטל חבות במס. כך למשל, הכנסות שמקורן בירושות, מתנות ומתת שמיים </w:t>
      </w:r>
      <w:r>
        <w:rPr>
          <w:rtl/>
        </w:rPr>
        <w:t>(</w:t>
      </w:r>
      <w:r>
        <w:rPr>
          <w:rFonts w:ascii="Times New Roman" w:hAnsi="Times New Roman" w:cs="Times New Roman"/>
        </w:rPr>
        <w:t>Windfall</w:t>
      </w:r>
      <w:r>
        <w:rPr>
          <w:rtl/>
        </w:rPr>
        <w:t xml:space="preserve">) </w:t>
      </w:r>
      <w:r>
        <w:rPr>
          <w:rFonts w:hint="cs"/>
          <w:rtl/>
        </w:rPr>
        <w:t xml:space="preserve">אינן נמנות עם המקורות שבפקודה, ועל כן פטורות מס. עוד יצוין כי תורת המקור משמשת אותנו לא רק לשאלת עצם החבות </w:t>
      </w:r>
      <w:r w:rsidR="00403916">
        <w:rPr>
          <w:rFonts w:hint="cs"/>
          <w:rtl/>
        </w:rPr>
        <w:t>ב</w:t>
      </w:r>
      <w:r>
        <w:rPr>
          <w:rFonts w:hint="cs"/>
          <w:rtl/>
        </w:rPr>
        <w:t xml:space="preserve">מס, אלא גם להבחנה בין הכנסה 'הונית' </w:t>
      </w:r>
      <w:proofErr w:type="spellStart"/>
      <w:r>
        <w:rPr>
          <w:rFonts w:hint="cs"/>
          <w:rtl/>
        </w:rPr>
        <w:t>ל'פירותית</w:t>
      </w:r>
      <w:proofErr w:type="spellEnd"/>
      <w:r>
        <w:rPr>
          <w:rFonts w:hint="cs"/>
          <w:rtl/>
        </w:rPr>
        <w:t xml:space="preserve">' ובין הכנסה 'אקטיבית' ו'פסיבית' </w:t>
      </w:r>
      <w:r>
        <w:rPr>
          <w:rtl/>
        </w:rPr>
        <w:t>–</w:t>
      </w:r>
      <w:r>
        <w:rPr>
          <w:rFonts w:hint="cs"/>
          <w:rtl/>
        </w:rPr>
        <w:t xml:space="preserve"> הבחנות אשר משפיעות על קביעת שיעורי </w:t>
      </w:r>
      <w:r w:rsidRPr="0000168F">
        <w:rPr>
          <w:rFonts w:hint="cs"/>
          <w:rtl/>
        </w:rPr>
        <w:t>המס ועל תחולתן של הוראות שונות בפקודה (</w:t>
      </w:r>
      <w:r>
        <w:rPr>
          <w:rFonts w:ascii="Arimo" w:hAnsi="Arimo"/>
          <w:rtl/>
        </w:rPr>
        <w:t>בג</w:t>
      </w:r>
      <w:r>
        <w:rPr>
          <w:rFonts w:ascii="Arimo" w:hAnsi="Arimo" w:hint="cs"/>
          <w:rtl/>
        </w:rPr>
        <w:t>"</w:t>
      </w:r>
      <w:r>
        <w:rPr>
          <w:rFonts w:ascii="Arimo" w:hAnsi="Arimo"/>
          <w:rtl/>
        </w:rPr>
        <w:t xml:space="preserve">ץ 9333/03 </w:t>
      </w:r>
      <w:proofErr w:type="spellStart"/>
      <w:r w:rsidRPr="00287EA6">
        <w:rPr>
          <w:rFonts w:ascii="Century" w:hAnsi="Century" w:cs="Miriam"/>
          <w:b/>
          <w:spacing w:val="0"/>
          <w:sz w:val="22"/>
          <w:szCs w:val="24"/>
          <w:rtl/>
        </w:rPr>
        <w:t>קניאל</w:t>
      </w:r>
      <w:proofErr w:type="spellEnd"/>
      <w:r w:rsidRPr="00287EA6">
        <w:rPr>
          <w:rFonts w:ascii="Century" w:hAnsi="Century" w:cs="Miriam"/>
          <w:b/>
          <w:spacing w:val="0"/>
          <w:sz w:val="22"/>
          <w:szCs w:val="24"/>
          <w:rtl/>
        </w:rPr>
        <w:t xml:space="preserve"> נ' ממשלת ישראל</w:t>
      </w:r>
      <w:r>
        <w:rPr>
          <w:rFonts w:ascii="Arimo" w:hAnsi="Arimo"/>
          <w:rtl/>
        </w:rPr>
        <w:t>,</w:t>
      </w:r>
      <w:r>
        <w:rPr>
          <w:rFonts w:ascii="Arimo" w:hAnsi="Arimo" w:hint="cs"/>
          <w:rtl/>
        </w:rPr>
        <w:t xml:space="preserve"> פ"ד</w:t>
      </w:r>
      <w:r>
        <w:rPr>
          <w:rFonts w:ascii="Arimo" w:hAnsi="Arimo"/>
          <w:rtl/>
        </w:rPr>
        <w:t xml:space="preserve"> ס(1) 277</w:t>
      </w:r>
      <w:r>
        <w:rPr>
          <w:rFonts w:ascii="Arimo" w:hAnsi="Arimo" w:hint="cs"/>
          <w:rtl/>
        </w:rPr>
        <w:t xml:space="preserve">, 282-281 (2005); </w:t>
      </w:r>
      <w:proofErr w:type="spellStart"/>
      <w:r w:rsidRPr="0000168F">
        <w:rPr>
          <w:rFonts w:hint="eastAsia"/>
          <w:rtl/>
        </w:rPr>
        <w:t>דנג</w:t>
      </w:r>
      <w:r w:rsidRPr="0000168F">
        <w:rPr>
          <w:rFonts w:hint="cs"/>
          <w:rtl/>
        </w:rPr>
        <w:t>"</w:t>
      </w:r>
      <w:r w:rsidRPr="0000168F">
        <w:rPr>
          <w:rFonts w:hint="eastAsia"/>
          <w:rtl/>
        </w:rPr>
        <w:t>ץ</w:t>
      </w:r>
      <w:proofErr w:type="spellEnd"/>
      <w:r w:rsidRPr="0000168F">
        <w:rPr>
          <w:rtl/>
        </w:rPr>
        <w:t xml:space="preserve"> </w:t>
      </w:r>
      <w:r w:rsidRPr="0000168F">
        <w:rPr>
          <w:rtl/>
        </w:rPr>
        <w:lastRenderedPageBreak/>
        <w:t xml:space="preserve">5967/10 </w:t>
      </w:r>
      <w:r w:rsidRPr="0000168F">
        <w:rPr>
          <w:rFonts w:ascii="Century" w:hAnsi="Century" w:cs="Miriam" w:hint="eastAsia"/>
          <w:b/>
          <w:spacing w:val="0"/>
          <w:sz w:val="22"/>
          <w:szCs w:val="24"/>
          <w:rtl/>
        </w:rPr>
        <w:t>המוסד</w:t>
      </w:r>
      <w:r w:rsidRPr="0000168F">
        <w:rPr>
          <w:rFonts w:ascii="Century" w:hAnsi="Century" w:cs="Miriam"/>
          <w:b/>
          <w:spacing w:val="0"/>
          <w:sz w:val="22"/>
          <w:szCs w:val="24"/>
          <w:rtl/>
        </w:rPr>
        <w:t xml:space="preserve"> </w:t>
      </w:r>
      <w:r w:rsidRPr="0000168F">
        <w:rPr>
          <w:rFonts w:ascii="Century" w:hAnsi="Century" w:cs="Miriam" w:hint="eastAsia"/>
          <w:b/>
          <w:spacing w:val="0"/>
          <w:sz w:val="22"/>
          <w:szCs w:val="24"/>
          <w:rtl/>
        </w:rPr>
        <w:t>לביטוח</w:t>
      </w:r>
      <w:r w:rsidRPr="0000168F">
        <w:rPr>
          <w:rFonts w:ascii="Century" w:hAnsi="Century" w:cs="Miriam"/>
          <w:b/>
          <w:spacing w:val="0"/>
          <w:sz w:val="22"/>
          <w:szCs w:val="24"/>
          <w:rtl/>
        </w:rPr>
        <w:t xml:space="preserve"> </w:t>
      </w:r>
      <w:r w:rsidRPr="0000168F">
        <w:rPr>
          <w:rFonts w:ascii="Century" w:hAnsi="Century" w:cs="Miriam" w:hint="eastAsia"/>
          <w:b/>
          <w:spacing w:val="0"/>
          <w:sz w:val="22"/>
          <w:szCs w:val="24"/>
          <w:rtl/>
        </w:rPr>
        <w:t>לאומי</w:t>
      </w:r>
      <w:r w:rsidRPr="0000168F">
        <w:rPr>
          <w:rFonts w:ascii="Century" w:hAnsi="Century" w:cs="Miriam"/>
          <w:b/>
          <w:spacing w:val="0"/>
          <w:sz w:val="22"/>
          <w:szCs w:val="24"/>
          <w:rtl/>
        </w:rPr>
        <w:t xml:space="preserve"> </w:t>
      </w:r>
      <w:r w:rsidRPr="0000168F">
        <w:rPr>
          <w:rFonts w:ascii="Century" w:hAnsi="Century" w:cs="Miriam" w:hint="eastAsia"/>
          <w:b/>
          <w:spacing w:val="0"/>
          <w:sz w:val="22"/>
          <w:szCs w:val="24"/>
          <w:rtl/>
        </w:rPr>
        <w:t>נ</w:t>
      </w:r>
      <w:r w:rsidRPr="0000168F">
        <w:rPr>
          <w:rFonts w:ascii="Century" w:hAnsi="Century" w:cs="Miriam"/>
          <w:b/>
          <w:spacing w:val="0"/>
          <w:sz w:val="22"/>
          <w:szCs w:val="24"/>
          <w:rtl/>
        </w:rPr>
        <w:t xml:space="preserve">' </w:t>
      </w:r>
      <w:r w:rsidRPr="0000168F">
        <w:rPr>
          <w:rFonts w:ascii="Century" w:hAnsi="Century" w:cs="Miriam" w:hint="eastAsia"/>
          <w:b/>
          <w:spacing w:val="0"/>
          <w:sz w:val="22"/>
          <w:szCs w:val="24"/>
          <w:rtl/>
        </w:rPr>
        <w:t>כהן</w:t>
      </w:r>
      <w:r w:rsidRPr="0000168F">
        <w:rPr>
          <w:rtl/>
        </w:rPr>
        <w:t>,</w:t>
      </w:r>
      <w:r w:rsidRPr="0000168F">
        <w:rPr>
          <w:rFonts w:hint="cs"/>
          <w:rtl/>
        </w:rPr>
        <w:t xml:space="preserve"> פ"ד</w:t>
      </w:r>
      <w:r w:rsidRPr="0000168F">
        <w:rPr>
          <w:rtl/>
        </w:rPr>
        <w:t xml:space="preserve"> </w:t>
      </w:r>
      <w:proofErr w:type="spellStart"/>
      <w:r w:rsidRPr="0000168F">
        <w:rPr>
          <w:rFonts w:hint="eastAsia"/>
          <w:rtl/>
        </w:rPr>
        <w:t>סו</w:t>
      </w:r>
      <w:proofErr w:type="spellEnd"/>
      <w:r w:rsidRPr="0000168F">
        <w:rPr>
          <w:rtl/>
        </w:rPr>
        <w:t>(2) 240</w:t>
      </w:r>
      <w:r w:rsidRPr="0000168F">
        <w:rPr>
          <w:rFonts w:hint="cs"/>
          <w:rtl/>
        </w:rPr>
        <w:t xml:space="preserve">, 274 (2013) (להלן: </w:t>
      </w:r>
      <w:r w:rsidRPr="0000168F">
        <w:rPr>
          <w:rFonts w:ascii="Century" w:hAnsi="Century" w:cs="Miriam" w:hint="cs"/>
          <w:b/>
          <w:spacing w:val="0"/>
          <w:sz w:val="22"/>
          <w:szCs w:val="24"/>
          <w:rtl/>
        </w:rPr>
        <w:t>"עניין כהן"</w:t>
      </w:r>
      <w:r w:rsidRPr="0000168F">
        <w:rPr>
          <w:rFonts w:hint="cs"/>
          <w:rtl/>
        </w:rPr>
        <w:t>)</w:t>
      </w:r>
      <w:r>
        <w:rPr>
          <w:rFonts w:hint="cs"/>
          <w:rtl/>
        </w:rPr>
        <w:t xml:space="preserve">; עניין </w:t>
      </w:r>
      <w:r w:rsidRPr="009007AC">
        <w:rPr>
          <w:rFonts w:ascii="Century" w:hAnsi="Century" w:cs="Miriam" w:hint="cs"/>
          <w:b/>
          <w:spacing w:val="0"/>
          <w:sz w:val="22"/>
          <w:szCs w:val="24"/>
          <w:rtl/>
        </w:rPr>
        <w:t>לשם</w:t>
      </w:r>
      <w:r>
        <w:rPr>
          <w:rFonts w:hint="cs"/>
          <w:rtl/>
        </w:rPr>
        <w:t>, בפסקה 26</w:t>
      </w:r>
      <w:r w:rsidRPr="0000168F">
        <w:rPr>
          <w:rFonts w:hint="cs"/>
          <w:rtl/>
        </w:rPr>
        <w:t>).</w:t>
      </w:r>
    </w:p>
    <w:p w:rsidR="00D81A8C" w:rsidRPr="005333F5" w:rsidRDefault="00D81A8C" w:rsidP="00D81A8C">
      <w:pPr>
        <w:pStyle w:val="Ruller41"/>
      </w:pPr>
    </w:p>
    <w:p w:rsidR="00D81A8C" w:rsidRDefault="00D81A8C" w:rsidP="00D81A8C">
      <w:pPr>
        <w:pStyle w:val="Ruller4"/>
        <w:rPr>
          <w:rtl/>
        </w:rPr>
      </w:pPr>
      <w:r>
        <w:rPr>
          <w:rFonts w:hint="cs"/>
          <w:rtl/>
        </w:rPr>
        <w:t xml:space="preserve">במשך השנים הובעה ביקורת </w:t>
      </w:r>
      <w:r w:rsidR="00533E69">
        <w:rPr>
          <w:rFonts w:hint="cs"/>
          <w:rtl/>
        </w:rPr>
        <w:t xml:space="preserve">שקראה </w:t>
      </w:r>
      <w:r>
        <w:rPr>
          <w:rFonts w:hint="cs"/>
          <w:rtl/>
        </w:rPr>
        <w:t>לביטולה של תורת המקור מחמת היותה מיושנת וסובלת מחסרונות בקביעת מס אמת (ראו סקירה תמציתית של הביקורת ב</w:t>
      </w:r>
      <w:r w:rsidRPr="00B96FE4">
        <w:rPr>
          <w:rFonts w:hint="eastAsia"/>
          <w:rtl/>
        </w:rPr>
        <w:t>דנ</w:t>
      </w:r>
      <w:r>
        <w:rPr>
          <w:rFonts w:hint="cs"/>
          <w:rtl/>
        </w:rPr>
        <w:t>"</w:t>
      </w:r>
      <w:r w:rsidRPr="00B96FE4">
        <w:rPr>
          <w:rFonts w:hint="eastAsia"/>
          <w:rtl/>
        </w:rPr>
        <w:t>א</w:t>
      </w:r>
      <w:r w:rsidRPr="00B96FE4">
        <w:rPr>
          <w:rtl/>
        </w:rPr>
        <w:t xml:space="preserve"> 3962/93 </w:t>
      </w:r>
      <w:r w:rsidRPr="00634EC9">
        <w:rPr>
          <w:rFonts w:ascii="Century" w:hAnsi="Century" w:cs="Miriam" w:hint="eastAsia"/>
          <w:b/>
          <w:spacing w:val="0"/>
          <w:sz w:val="22"/>
          <w:szCs w:val="24"/>
          <w:rtl/>
        </w:rPr>
        <w:t>מינץ</w:t>
      </w:r>
      <w:r w:rsidRPr="00634EC9">
        <w:rPr>
          <w:rFonts w:ascii="Century" w:hAnsi="Century" w:cs="Miriam" w:hint="cs"/>
          <w:b/>
          <w:spacing w:val="0"/>
          <w:sz w:val="22"/>
          <w:szCs w:val="24"/>
          <w:rtl/>
        </w:rPr>
        <w:t xml:space="preserve"> </w:t>
      </w:r>
      <w:r w:rsidRPr="00634EC9">
        <w:rPr>
          <w:rFonts w:ascii="Century" w:hAnsi="Century" w:cs="Miriam" w:hint="eastAsia"/>
          <w:b/>
          <w:spacing w:val="0"/>
          <w:sz w:val="22"/>
          <w:szCs w:val="24"/>
          <w:rtl/>
        </w:rPr>
        <w:t>נ</w:t>
      </w:r>
      <w:r w:rsidRPr="00634EC9">
        <w:rPr>
          <w:rFonts w:ascii="Century" w:hAnsi="Century" w:cs="Miriam"/>
          <w:b/>
          <w:spacing w:val="0"/>
          <w:sz w:val="22"/>
          <w:szCs w:val="24"/>
          <w:rtl/>
        </w:rPr>
        <w:t xml:space="preserve">' </w:t>
      </w:r>
      <w:r w:rsidRPr="00634EC9">
        <w:rPr>
          <w:rFonts w:ascii="Century" w:hAnsi="Century" w:cs="Miriam" w:hint="eastAsia"/>
          <w:b/>
          <w:spacing w:val="0"/>
          <w:sz w:val="22"/>
          <w:szCs w:val="24"/>
          <w:rtl/>
        </w:rPr>
        <w:t>פקיד</w:t>
      </w:r>
      <w:r w:rsidRPr="00634EC9">
        <w:rPr>
          <w:rFonts w:ascii="Century" w:hAnsi="Century" w:cs="Miriam"/>
          <w:b/>
          <w:spacing w:val="0"/>
          <w:sz w:val="22"/>
          <w:szCs w:val="24"/>
          <w:rtl/>
        </w:rPr>
        <w:t xml:space="preserve"> </w:t>
      </w:r>
      <w:r w:rsidRPr="00634EC9">
        <w:rPr>
          <w:rFonts w:ascii="Century" w:hAnsi="Century" w:cs="Miriam" w:hint="eastAsia"/>
          <w:b/>
          <w:spacing w:val="0"/>
          <w:sz w:val="22"/>
          <w:szCs w:val="24"/>
          <w:rtl/>
        </w:rPr>
        <w:t>השומה</w:t>
      </w:r>
      <w:r w:rsidRPr="00634EC9">
        <w:rPr>
          <w:rFonts w:ascii="Century" w:hAnsi="Century" w:cs="Miriam"/>
          <w:b/>
          <w:spacing w:val="0"/>
          <w:sz w:val="22"/>
          <w:szCs w:val="24"/>
          <w:rtl/>
        </w:rPr>
        <w:t xml:space="preserve"> </w:t>
      </w:r>
      <w:r w:rsidRPr="00634EC9">
        <w:rPr>
          <w:rFonts w:ascii="Century" w:hAnsi="Century" w:cs="Miriam" w:hint="eastAsia"/>
          <w:b/>
          <w:spacing w:val="0"/>
          <w:sz w:val="22"/>
          <w:szCs w:val="24"/>
          <w:rtl/>
        </w:rPr>
        <w:t>למפעלים</w:t>
      </w:r>
      <w:r w:rsidRPr="00634EC9">
        <w:rPr>
          <w:rFonts w:ascii="Century" w:hAnsi="Century" w:cs="Miriam"/>
          <w:b/>
          <w:spacing w:val="0"/>
          <w:sz w:val="22"/>
          <w:szCs w:val="24"/>
          <w:rtl/>
        </w:rPr>
        <w:t xml:space="preserve"> </w:t>
      </w:r>
      <w:r w:rsidRPr="00634EC9">
        <w:rPr>
          <w:rFonts w:ascii="Century" w:hAnsi="Century" w:cs="Miriam" w:hint="eastAsia"/>
          <w:b/>
          <w:spacing w:val="0"/>
          <w:sz w:val="22"/>
          <w:szCs w:val="24"/>
          <w:rtl/>
        </w:rPr>
        <w:t>גדולים</w:t>
      </w:r>
      <w:r w:rsidRPr="00B96FE4">
        <w:rPr>
          <w:rtl/>
        </w:rPr>
        <w:t>,</w:t>
      </w:r>
      <w:r>
        <w:rPr>
          <w:rFonts w:hint="cs"/>
          <w:rtl/>
        </w:rPr>
        <w:t xml:space="preserve"> פ"ד</w:t>
      </w:r>
      <w:r w:rsidRPr="00B96FE4">
        <w:rPr>
          <w:rtl/>
        </w:rPr>
        <w:t xml:space="preserve"> </w:t>
      </w:r>
      <w:r w:rsidRPr="00B96FE4">
        <w:rPr>
          <w:rFonts w:hint="eastAsia"/>
          <w:rtl/>
        </w:rPr>
        <w:t>נ</w:t>
      </w:r>
      <w:r>
        <w:rPr>
          <w:rtl/>
        </w:rPr>
        <w:t>(4) 817</w:t>
      </w:r>
      <w:r>
        <w:rPr>
          <w:rFonts w:hint="cs"/>
          <w:rtl/>
        </w:rPr>
        <w:t xml:space="preserve">, 828-827 (1996) (להלן: </w:t>
      </w:r>
      <w:r w:rsidRPr="005A1DEA">
        <w:rPr>
          <w:rFonts w:ascii="Century" w:hAnsi="Century" w:cs="Miriam" w:hint="cs"/>
          <w:b/>
          <w:spacing w:val="0"/>
          <w:sz w:val="22"/>
          <w:szCs w:val="24"/>
          <w:rtl/>
        </w:rPr>
        <w:t>"עניין מינץ</w:t>
      </w:r>
      <w:r w:rsidRPr="001D714C">
        <w:rPr>
          <w:rFonts w:ascii="Century" w:hAnsi="Century" w:cs="Miriam" w:hint="cs"/>
          <w:b/>
          <w:spacing w:val="0"/>
          <w:sz w:val="22"/>
          <w:szCs w:val="24"/>
          <w:rtl/>
        </w:rPr>
        <w:t>"</w:t>
      </w:r>
      <w:r w:rsidRPr="001D714C">
        <w:rPr>
          <w:rFonts w:hint="cs"/>
          <w:rtl/>
        </w:rPr>
        <w:t xml:space="preserve">). כן ראו: אריה לפידות "גלגוליה של תורת 'המקור' בדיני מס הכנסה בארץ" </w:t>
      </w:r>
      <w:r w:rsidRPr="001D714C">
        <w:rPr>
          <w:rFonts w:ascii="Century" w:hAnsi="Century" w:cs="Miriam" w:hint="cs"/>
          <w:b/>
          <w:spacing w:val="0"/>
          <w:sz w:val="22"/>
          <w:szCs w:val="24"/>
          <w:rtl/>
        </w:rPr>
        <w:t xml:space="preserve">הפרקליט </w:t>
      </w:r>
      <w:proofErr w:type="spellStart"/>
      <w:r w:rsidRPr="001D714C">
        <w:rPr>
          <w:rFonts w:hint="cs"/>
          <w:rtl/>
        </w:rPr>
        <w:t>כב</w:t>
      </w:r>
      <w:proofErr w:type="spellEnd"/>
      <w:r w:rsidRPr="001D714C">
        <w:rPr>
          <w:rFonts w:hint="cs"/>
          <w:rtl/>
        </w:rPr>
        <w:t xml:space="preserve"> 53 (1965); יוסף </w:t>
      </w:r>
      <w:proofErr w:type="spellStart"/>
      <w:r w:rsidRPr="001D714C">
        <w:rPr>
          <w:rFonts w:hint="cs"/>
          <w:rtl/>
        </w:rPr>
        <w:t>אדרעי</w:t>
      </w:r>
      <w:proofErr w:type="spellEnd"/>
      <w:r w:rsidRPr="001D714C">
        <w:rPr>
          <w:rFonts w:hint="cs"/>
          <w:rtl/>
        </w:rPr>
        <w:t xml:space="preserve"> "דוקטרינת המקור </w:t>
      </w:r>
      <w:r w:rsidRPr="001D714C">
        <w:rPr>
          <w:rtl/>
        </w:rPr>
        <w:t>–</w:t>
      </w:r>
      <w:r w:rsidRPr="001D714C">
        <w:rPr>
          <w:rFonts w:hint="cs"/>
          <w:rtl/>
        </w:rPr>
        <w:t xml:space="preserve"> סוף הדרך: על הגדרת המונח 'הכנסה' בדין הישראלי הנוהג" </w:t>
      </w:r>
      <w:r w:rsidRPr="001D714C">
        <w:rPr>
          <w:rFonts w:ascii="Century" w:hAnsi="Century" w:cs="Miriam" w:hint="cs"/>
          <w:b/>
          <w:spacing w:val="0"/>
          <w:sz w:val="22"/>
          <w:szCs w:val="24"/>
          <w:rtl/>
        </w:rPr>
        <w:t>משפטים</w:t>
      </w:r>
      <w:r w:rsidRPr="001D714C">
        <w:rPr>
          <w:rFonts w:hint="cs"/>
          <w:rtl/>
        </w:rPr>
        <w:t xml:space="preserve"> </w:t>
      </w:r>
      <w:proofErr w:type="spellStart"/>
      <w:r w:rsidRPr="001D714C">
        <w:rPr>
          <w:rFonts w:hint="cs"/>
          <w:rtl/>
        </w:rPr>
        <w:t>יז</w:t>
      </w:r>
      <w:proofErr w:type="spellEnd"/>
      <w:r w:rsidRPr="001D714C">
        <w:rPr>
          <w:rFonts w:hint="cs"/>
          <w:rtl/>
        </w:rPr>
        <w:t xml:space="preserve"> 25 </w:t>
      </w:r>
      <w:r w:rsidRPr="0000561B">
        <w:rPr>
          <w:rFonts w:hint="cs"/>
          <w:rtl/>
        </w:rPr>
        <w:t xml:space="preserve">(1987); </w:t>
      </w:r>
      <w:r w:rsidRPr="0000561B">
        <w:rPr>
          <w:rFonts w:ascii="FrankRuehl" w:hAnsi="FrankRuehl"/>
          <w:color w:val="000000"/>
          <w:sz w:val="28"/>
          <w:rtl/>
        </w:rPr>
        <w:t>יוסף</w:t>
      </w:r>
      <w:r w:rsidRPr="0000561B">
        <w:rPr>
          <w:rFonts w:ascii="FrankRuehl" w:hAnsi="FrankRuehl" w:hint="cs"/>
          <w:color w:val="000000"/>
          <w:sz w:val="28"/>
          <w:rtl/>
        </w:rPr>
        <w:t xml:space="preserve"> </w:t>
      </w:r>
      <w:proofErr w:type="spellStart"/>
      <w:r w:rsidRPr="0000561B">
        <w:rPr>
          <w:rFonts w:ascii="FrankRuehl" w:hAnsi="FrankRuehl" w:hint="cs"/>
          <w:color w:val="000000"/>
          <w:sz w:val="28"/>
          <w:rtl/>
        </w:rPr>
        <w:t>אדרעי</w:t>
      </w:r>
      <w:proofErr w:type="spellEnd"/>
      <w:r w:rsidRPr="0000561B">
        <w:rPr>
          <w:rFonts w:ascii="FrankRuehl" w:hAnsi="FrankRuehl" w:hint="cs"/>
          <w:color w:val="000000"/>
          <w:sz w:val="28"/>
          <w:rtl/>
        </w:rPr>
        <w:t xml:space="preserve"> </w:t>
      </w:r>
      <w:r w:rsidRPr="0000561B">
        <w:rPr>
          <w:rFonts w:ascii="Century" w:hAnsi="Century" w:cs="Miriam" w:hint="cs"/>
          <w:b/>
          <w:spacing w:val="0"/>
          <w:sz w:val="22"/>
          <w:szCs w:val="24"/>
          <w:rtl/>
        </w:rPr>
        <w:t xml:space="preserve">אירועי מס </w:t>
      </w:r>
      <w:r w:rsidRPr="0000561B">
        <w:rPr>
          <w:rFonts w:ascii="Century" w:hAnsi="Century" w:cs="Miriam"/>
          <w:b/>
          <w:spacing w:val="0"/>
          <w:sz w:val="22"/>
          <w:szCs w:val="24"/>
          <w:rtl/>
        </w:rPr>
        <w:t>–</w:t>
      </w:r>
      <w:r w:rsidRPr="0000561B">
        <w:rPr>
          <w:rFonts w:ascii="Century" w:hAnsi="Century" w:cs="Miriam" w:hint="cs"/>
          <w:b/>
          <w:spacing w:val="0"/>
          <w:sz w:val="22"/>
          <w:szCs w:val="24"/>
          <w:rtl/>
        </w:rPr>
        <w:t xml:space="preserve"> עלייתם (ואיבונם?) של דיני מסים בישראל</w:t>
      </w:r>
      <w:r w:rsidRPr="0000561B">
        <w:rPr>
          <w:rFonts w:ascii="FrankRuehl" w:hAnsi="FrankRuehl" w:hint="cs"/>
          <w:color w:val="000000"/>
          <w:sz w:val="28"/>
          <w:rtl/>
        </w:rPr>
        <w:t xml:space="preserve"> 90-57 (2007)</w:t>
      </w:r>
      <w:r w:rsidRPr="0000561B">
        <w:rPr>
          <w:rFonts w:hint="cs"/>
          <w:rtl/>
        </w:rPr>
        <w:t>).</w:t>
      </w:r>
      <w:r>
        <w:rPr>
          <w:rFonts w:hint="cs"/>
          <w:rtl/>
        </w:rPr>
        <w:t xml:space="preserve"> ברם, על אף שחלה שחיקה מסוימת בתורת המקור, על דרך של הרחבת תוכנה ועיצובה (למשל, חקיקת סעיפים 2(10) ו-2א לפקודה), היא עודנה שרירה וקיימת בשיטתנו (עניין </w:t>
      </w:r>
      <w:r w:rsidRPr="005A1DEA">
        <w:rPr>
          <w:rFonts w:ascii="Century" w:hAnsi="Century" w:cs="Miriam" w:hint="cs"/>
          <w:b/>
          <w:spacing w:val="0"/>
          <w:sz w:val="22"/>
          <w:szCs w:val="24"/>
          <w:rtl/>
        </w:rPr>
        <w:t>מינץ</w:t>
      </w:r>
      <w:r>
        <w:rPr>
          <w:rFonts w:hint="cs"/>
          <w:rtl/>
        </w:rPr>
        <w:t xml:space="preserve">, בעמ' 829-828; </w:t>
      </w:r>
      <w:r>
        <w:rPr>
          <w:rFonts w:ascii="Arimo" w:hAnsi="Arimo" w:hint="cs"/>
          <w:rtl/>
        </w:rPr>
        <w:t xml:space="preserve">עניין </w:t>
      </w:r>
      <w:r w:rsidRPr="0000168F">
        <w:rPr>
          <w:rFonts w:ascii="Century" w:hAnsi="Century" w:cs="Miriam" w:hint="cs"/>
          <w:b/>
          <w:spacing w:val="0"/>
          <w:sz w:val="22"/>
          <w:szCs w:val="24"/>
          <w:rtl/>
        </w:rPr>
        <w:t>כהן</w:t>
      </w:r>
      <w:r>
        <w:rPr>
          <w:rFonts w:ascii="Arimo" w:hAnsi="Arimo" w:hint="cs"/>
          <w:rtl/>
        </w:rPr>
        <w:t xml:space="preserve">, בעמ' 274 ו-342; </w:t>
      </w:r>
      <w:r>
        <w:rPr>
          <w:rFonts w:ascii="Arimo" w:hAnsi="Arimo"/>
          <w:rtl/>
        </w:rPr>
        <w:t>ע</w:t>
      </w:r>
      <w:r>
        <w:rPr>
          <w:rFonts w:ascii="Arimo" w:hAnsi="Arimo" w:hint="cs"/>
          <w:rtl/>
        </w:rPr>
        <w:t>"</w:t>
      </w:r>
      <w:r>
        <w:rPr>
          <w:rFonts w:ascii="Arimo" w:hAnsi="Arimo"/>
          <w:rtl/>
        </w:rPr>
        <w:t xml:space="preserve">א 2810/13 </w:t>
      </w:r>
      <w:r w:rsidRPr="00187860">
        <w:rPr>
          <w:rFonts w:ascii="Century" w:hAnsi="Century" w:cs="Miriam"/>
          <w:b/>
          <w:spacing w:val="0"/>
          <w:sz w:val="22"/>
          <w:szCs w:val="24"/>
          <w:rtl/>
        </w:rPr>
        <w:t>חברת מגדניית הדר בע"מ נ' פקיד שומה ירושלים</w:t>
      </w:r>
      <w:r>
        <w:rPr>
          <w:rFonts w:ascii="Arimo" w:hAnsi="Arimo" w:hint="cs"/>
          <w:rtl/>
        </w:rPr>
        <w:t>, פסקה 6 (2.6.2015)</w:t>
      </w:r>
      <w:r>
        <w:rPr>
          <w:rFonts w:hint="cs"/>
          <w:rtl/>
        </w:rPr>
        <w:t xml:space="preserve">. להרחבה על התמורות שחלו בתורת המקור, ראו למשל: </w:t>
      </w:r>
      <w:r w:rsidRPr="00153D1D">
        <w:rPr>
          <w:rFonts w:hint="eastAsia"/>
          <w:rtl/>
        </w:rPr>
        <w:t>ע</w:t>
      </w:r>
      <w:r w:rsidRPr="00153D1D">
        <w:rPr>
          <w:rtl/>
        </w:rPr>
        <w:t>"</w:t>
      </w:r>
      <w:r w:rsidRPr="00153D1D">
        <w:rPr>
          <w:rFonts w:hint="eastAsia"/>
          <w:rtl/>
        </w:rPr>
        <w:t>א</w:t>
      </w:r>
      <w:r w:rsidRPr="00153D1D">
        <w:rPr>
          <w:rtl/>
        </w:rPr>
        <w:t xml:space="preserve"> 2640/11 </w:t>
      </w:r>
      <w:r w:rsidRPr="00153D1D">
        <w:rPr>
          <w:rFonts w:ascii="Century" w:hAnsi="Century" w:cs="Miriam" w:hint="eastAsia"/>
          <w:b/>
          <w:spacing w:val="0"/>
          <w:sz w:val="22"/>
          <w:szCs w:val="24"/>
          <w:rtl/>
        </w:rPr>
        <w:t>פקיד</w:t>
      </w:r>
      <w:r w:rsidRPr="00153D1D">
        <w:rPr>
          <w:rFonts w:ascii="Century" w:hAnsi="Century" w:cs="Miriam"/>
          <w:b/>
          <w:spacing w:val="0"/>
          <w:sz w:val="22"/>
          <w:szCs w:val="24"/>
          <w:rtl/>
        </w:rPr>
        <w:t xml:space="preserve"> </w:t>
      </w:r>
      <w:r w:rsidRPr="00153D1D">
        <w:rPr>
          <w:rFonts w:ascii="Century" w:hAnsi="Century" w:cs="Miriam" w:hint="eastAsia"/>
          <w:b/>
          <w:spacing w:val="0"/>
          <w:sz w:val="22"/>
          <w:szCs w:val="24"/>
          <w:rtl/>
        </w:rPr>
        <w:t>שומה</w:t>
      </w:r>
      <w:r w:rsidRPr="00153D1D">
        <w:rPr>
          <w:rFonts w:ascii="Century" w:hAnsi="Century" w:cs="Miriam"/>
          <w:b/>
          <w:spacing w:val="0"/>
          <w:sz w:val="22"/>
          <w:szCs w:val="24"/>
          <w:rtl/>
        </w:rPr>
        <w:t xml:space="preserve"> </w:t>
      </w:r>
      <w:r w:rsidRPr="00153D1D">
        <w:rPr>
          <w:rFonts w:ascii="Century" w:hAnsi="Century" w:cs="Miriam" w:hint="eastAsia"/>
          <w:b/>
          <w:spacing w:val="0"/>
          <w:sz w:val="22"/>
          <w:szCs w:val="24"/>
          <w:rtl/>
        </w:rPr>
        <w:t>חיפה</w:t>
      </w:r>
      <w:r w:rsidRPr="00153D1D">
        <w:rPr>
          <w:rFonts w:ascii="Century" w:hAnsi="Century" w:cs="Miriam"/>
          <w:b/>
          <w:spacing w:val="0"/>
          <w:sz w:val="22"/>
          <w:szCs w:val="24"/>
          <w:rtl/>
        </w:rPr>
        <w:t xml:space="preserve"> </w:t>
      </w:r>
      <w:r w:rsidRPr="00153D1D">
        <w:rPr>
          <w:rFonts w:ascii="Century" w:hAnsi="Century" w:cs="Miriam" w:hint="eastAsia"/>
          <w:b/>
          <w:spacing w:val="0"/>
          <w:sz w:val="22"/>
          <w:szCs w:val="24"/>
          <w:rtl/>
        </w:rPr>
        <w:t>נ</w:t>
      </w:r>
      <w:r w:rsidRPr="00153D1D">
        <w:rPr>
          <w:rFonts w:ascii="Century" w:hAnsi="Century" w:cs="Miriam"/>
          <w:b/>
          <w:spacing w:val="0"/>
          <w:sz w:val="22"/>
          <w:szCs w:val="24"/>
          <w:rtl/>
        </w:rPr>
        <w:t xml:space="preserve">' </w:t>
      </w:r>
      <w:r w:rsidRPr="00153D1D">
        <w:rPr>
          <w:rFonts w:ascii="Century" w:hAnsi="Century" w:cs="Miriam" w:hint="eastAsia"/>
          <w:b/>
          <w:spacing w:val="0"/>
          <w:sz w:val="22"/>
          <w:szCs w:val="24"/>
          <w:rtl/>
        </w:rPr>
        <w:t>ניסים</w:t>
      </w:r>
      <w:r>
        <w:rPr>
          <w:rtl/>
        </w:rPr>
        <w:t xml:space="preserve">, </w:t>
      </w:r>
      <w:r w:rsidRPr="00153D1D">
        <w:rPr>
          <w:rFonts w:hint="eastAsia"/>
          <w:rtl/>
        </w:rPr>
        <w:t>פסקאות</w:t>
      </w:r>
      <w:r w:rsidRPr="00153D1D">
        <w:rPr>
          <w:rtl/>
        </w:rPr>
        <w:t xml:space="preserve"> 12-11 </w:t>
      </w:r>
      <w:r>
        <w:rPr>
          <w:rFonts w:hint="cs"/>
          <w:rtl/>
        </w:rPr>
        <w:t>לפסק-דינה</w:t>
      </w:r>
      <w:r w:rsidRPr="00153D1D">
        <w:rPr>
          <w:rtl/>
        </w:rPr>
        <w:t xml:space="preserve"> </w:t>
      </w:r>
      <w:r w:rsidRPr="00153D1D">
        <w:rPr>
          <w:rFonts w:hint="eastAsia"/>
          <w:rtl/>
        </w:rPr>
        <w:t>של</w:t>
      </w:r>
      <w:r w:rsidRPr="00153D1D">
        <w:rPr>
          <w:rtl/>
        </w:rPr>
        <w:t xml:space="preserve"> </w:t>
      </w:r>
      <w:r w:rsidRPr="00153D1D">
        <w:rPr>
          <w:rFonts w:hint="eastAsia"/>
          <w:rtl/>
        </w:rPr>
        <w:t>המשנה</w:t>
      </w:r>
      <w:r w:rsidRPr="00153D1D">
        <w:rPr>
          <w:rtl/>
        </w:rPr>
        <w:t xml:space="preserve"> </w:t>
      </w:r>
      <w:r w:rsidRPr="00153D1D">
        <w:rPr>
          <w:rFonts w:hint="eastAsia"/>
          <w:rtl/>
        </w:rPr>
        <w:t>לנשיא</w:t>
      </w:r>
      <w:r>
        <w:rPr>
          <w:rFonts w:hint="cs"/>
          <w:rtl/>
        </w:rPr>
        <w:t xml:space="preserve"> (כתוארה אז)</w:t>
      </w:r>
      <w:r w:rsidRPr="00153D1D">
        <w:rPr>
          <w:rtl/>
        </w:rPr>
        <w:t xml:space="preserve"> </w:t>
      </w:r>
      <w:r w:rsidRPr="00153D1D">
        <w:rPr>
          <w:rFonts w:ascii="Century" w:hAnsi="Century" w:cs="Miriam" w:hint="eastAsia"/>
          <w:b/>
          <w:spacing w:val="0"/>
          <w:sz w:val="22"/>
          <w:szCs w:val="24"/>
          <w:rtl/>
        </w:rPr>
        <w:t>מ</w:t>
      </w:r>
      <w:r w:rsidRPr="00153D1D">
        <w:rPr>
          <w:rFonts w:ascii="Century" w:hAnsi="Century" w:cs="Miriam" w:hint="cs"/>
          <w:b/>
          <w:spacing w:val="0"/>
          <w:sz w:val="22"/>
          <w:szCs w:val="24"/>
          <w:rtl/>
        </w:rPr>
        <w:t>רים</w:t>
      </w:r>
      <w:r w:rsidRPr="00153D1D">
        <w:rPr>
          <w:rFonts w:ascii="Century" w:hAnsi="Century" w:cs="Miriam"/>
          <w:b/>
          <w:spacing w:val="0"/>
          <w:sz w:val="22"/>
          <w:szCs w:val="24"/>
          <w:rtl/>
        </w:rPr>
        <w:t xml:space="preserve"> </w:t>
      </w:r>
      <w:r w:rsidRPr="00153D1D">
        <w:rPr>
          <w:rFonts w:ascii="Century" w:hAnsi="Century" w:cs="Miriam" w:hint="eastAsia"/>
          <w:b/>
          <w:spacing w:val="0"/>
          <w:sz w:val="22"/>
          <w:szCs w:val="24"/>
          <w:rtl/>
        </w:rPr>
        <w:t>נאור</w:t>
      </w:r>
      <w:r w:rsidRPr="00153D1D">
        <w:rPr>
          <w:rFonts w:ascii="Century" w:hAnsi="Century" w:cs="Miriam"/>
          <w:b/>
          <w:spacing w:val="0"/>
          <w:sz w:val="22"/>
          <w:szCs w:val="24"/>
          <w:rtl/>
        </w:rPr>
        <w:t xml:space="preserve"> </w:t>
      </w:r>
      <w:r w:rsidRPr="00153D1D">
        <w:rPr>
          <w:rtl/>
        </w:rPr>
        <w:t>(2.2.2014)</w:t>
      </w:r>
      <w:r>
        <w:rPr>
          <w:rFonts w:hint="cs"/>
          <w:rtl/>
        </w:rPr>
        <w:t>).</w:t>
      </w:r>
    </w:p>
    <w:p w:rsidR="00D81A8C" w:rsidRDefault="00D81A8C" w:rsidP="00D81A8C">
      <w:pPr>
        <w:pStyle w:val="Ruller41"/>
        <w:rPr>
          <w:rtl/>
        </w:rPr>
      </w:pPr>
    </w:p>
    <w:p w:rsidR="00D81A8C" w:rsidRDefault="00D81A8C" w:rsidP="00D81A8C">
      <w:pPr>
        <w:pStyle w:val="Ruller4"/>
        <w:rPr>
          <w:rtl/>
        </w:rPr>
      </w:pPr>
      <w:r>
        <w:rPr>
          <w:rFonts w:hint="cs"/>
          <w:rtl/>
        </w:rPr>
        <w:t>בהתאם לתורת המקור, המונח "הכנסה" מוגדר בסעיף 1 לפקודה כ</w:t>
      </w:r>
      <w:r w:rsidRPr="00187860">
        <w:rPr>
          <w:rFonts w:ascii="Century" w:hAnsi="Century" w:cs="Miriam" w:hint="cs"/>
          <w:b/>
          <w:spacing w:val="0"/>
          <w:sz w:val="22"/>
          <w:szCs w:val="24"/>
          <w:rtl/>
        </w:rPr>
        <w:t>"</w:t>
      </w:r>
      <w:r w:rsidRPr="00187860">
        <w:rPr>
          <w:rFonts w:ascii="Century" w:hAnsi="Century" w:cs="Miriam" w:hint="eastAsia"/>
          <w:b/>
          <w:spacing w:val="0"/>
          <w:sz w:val="22"/>
          <w:szCs w:val="24"/>
          <w:rtl/>
        </w:rPr>
        <w:t>סך</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כל</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הכנסתו</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של</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אדם</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מן</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המקורות</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המפורשים</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בסעיפים</w:t>
      </w:r>
      <w:r w:rsidRPr="00187860">
        <w:rPr>
          <w:rFonts w:ascii="Century" w:hAnsi="Century" w:cs="Miriam"/>
          <w:b/>
          <w:spacing w:val="0"/>
          <w:sz w:val="22"/>
          <w:szCs w:val="24"/>
          <w:rtl/>
        </w:rPr>
        <w:t xml:space="preserve"> 2 </w:t>
      </w:r>
      <w:r w:rsidRPr="00187860">
        <w:rPr>
          <w:rFonts w:ascii="Century" w:hAnsi="Century" w:cs="Miriam" w:hint="eastAsia"/>
          <w:b/>
          <w:spacing w:val="0"/>
          <w:sz w:val="22"/>
          <w:szCs w:val="24"/>
          <w:rtl/>
        </w:rPr>
        <w:t>ו</w:t>
      </w:r>
      <w:r w:rsidRPr="00187860">
        <w:rPr>
          <w:rFonts w:ascii="Century" w:hAnsi="Century" w:cs="Miriam"/>
          <w:b/>
          <w:spacing w:val="0"/>
          <w:sz w:val="22"/>
          <w:szCs w:val="24"/>
          <w:rtl/>
        </w:rPr>
        <w:t xml:space="preserve">-3, </w:t>
      </w:r>
      <w:r w:rsidRPr="00187860">
        <w:rPr>
          <w:rFonts w:ascii="Century" w:hAnsi="Century" w:cs="Miriam" w:hint="eastAsia"/>
          <w:b/>
          <w:spacing w:val="0"/>
          <w:sz w:val="22"/>
          <w:szCs w:val="24"/>
          <w:rtl/>
        </w:rPr>
        <w:t>בצירוף</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סכומים</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שנקבע</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לגביהם</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בכל</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דין</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שדינם</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כהכנסה</w:t>
      </w:r>
      <w:r w:rsidRPr="00187860">
        <w:rPr>
          <w:rFonts w:ascii="Century" w:hAnsi="Century" w:cs="Miriam"/>
          <w:b/>
          <w:spacing w:val="0"/>
          <w:sz w:val="22"/>
          <w:szCs w:val="24"/>
          <w:rtl/>
        </w:rPr>
        <w:t xml:space="preserve"> </w:t>
      </w:r>
      <w:proofErr w:type="spellStart"/>
      <w:r w:rsidRPr="00187860">
        <w:rPr>
          <w:rFonts w:ascii="Century" w:hAnsi="Century" w:cs="Miriam" w:hint="eastAsia"/>
          <w:b/>
          <w:spacing w:val="0"/>
          <w:sz w:val="22"/>
          <w:szCs w:val="24"/>
          <w:rtl/>
        </w:rPr>
        <w:t>לענין</w:t>
      </w:r>
      <w:proofErr w:type="spellEnd"/>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פקודה</w:t>
      </w:r>
      <w:r w:rsidRPr="00187860">
        <w:rPr>
          <w:rFonts w:ascii="Century" w:hAnsi="Century" w:cs="Miriam"/>
          <w:b/>
          <w:spacing w:val="0"/>
          <w:sz w:val="22"/>
          <w:szCs w:val="24"/>
          <w:rtl/>
        </w:rPr>
        <w:t xml:space="preserve"> </w:t>
      </w:r>
      <w:r w:rsidRPr="00187860">
        <w:rPr>
          <w:rFonts w:ascii="Century" w:hAnsi="Century" w:cs="Miriam" w:hint="eastAsia"/>
          <w:b/>
          <w:spacing w:val="0"/>
          <w:sz w:val="22"/>
          <w:szCs w:val="24"/>
          <w:rtl/>
        </w:rPr>
        <w:t>זו</w:t>
      </w:r>
      <w:r w:rsidRPr="00187860">
        <w:rPr>
          <w:rFonts w:ascii="Century" w:hAnsi="Century" w:cs="Miriam" w:hint="cs"/>
          <w:b/>
          <w:spacing w:val="0"/>
          <w:sz w:val="22"/>
          <w:szCs w:val="24"/>
          <w:rtl/>
        </w:rPr>
        <w:t>"</w:t>
      </w:r>
      <w:r>
        <w:rPr>
          <w:rFonts w:hint="cs"/>
          <w:rtl/>
        </w:rPr>
        <w:t xml:space="preserve">. סעיף 2 לפקודת מס הכנסה הוא הסעיף המרכזי, במסגרתו נמנים מרבית מקורות ההכנסה </w:t>
      </w:r>
      <w:r w:rsidRPr="00F737F4">
        <w:rPr>
          <w:rFonts w:hint="cs"/>
          <w:rtl/>
        </w:rPr>
        <w:t xml:space="preserve">לצורכי הטלת </w:t>
      </w:r>
      <w:r>
        <w:rPr>
          <w:rFonts w:hint="cs"/>
          <w:rtl/>
        </w:rPr>
        <w:t>ה</w:t>
      </w:r>
      <w:r w:rsidRPr="00F737F4">
        <w:rPr>
          <w:rFonts w:hint="cs"/>
          <w:rtl/>
        </w:rPr>
        <w:t>מס,</w:t>
      </w:r>
      <w:r>
        <w:rPr>
          <w:rFonts w:hint="cs"/>
          <w:rtl/>
        </w:rPr>
        <w:t xml:space="preserve"> כגון הכנסה מעסק, משלח יד ועבודה, הכנסות מדיבידנד, ריבית ודמי שכירות וכן תגמולים המתקבלים בגין קניין רוחני. מקורות אלו מתייחסים להכנסות '</w:t>
      </w:r>
      <w:proofErr w:type="spellStart"/>
      <w:r>
        <w:rPr>
          <w:rFonts w:hint="cs"/>
          <w:rtl/>
        </w:rPr>
        <w:t>פירותיות</w:t>
      </w:r>
      <w:proofErr w:type="spellEnd"/>
      <w:r>
        <w:rPr>
          <w:rFonts w:hint="cs"/>
          <w:rtl/>
        </w:rPr>
        <w:t xml:space="preserve">', בעוד המס המוטל על רווחי הון (הכנסות 'הוניות') נגבה מכוח סעיף 91 לפקודה. </w:t>
      </w:r>
    </w:p>
    <w:p w:rsidR="00D81A8C" w:rsidRDefault="00D81A8C" w:rsidP="00D81A8C">
      <w:pPr>
        <w:pStyle w:val="Ruller41"/>
        <w:rPr>
          <w:rtl/>
        </w:rPr>
      </w:pPr>
    </w:p>
    <w:p w:rsidR="00D81A8C" w:rsidRDefault="00D81A8C" w:rsidP="00D81A8C">
      <w:pPr>
        <w:pStyle w:val="Ruller4"/>
        <w:rPr>
          <w:rStyle w:val="default"/>
          <w:rFonts w:ascii="Century" w:hAnsi="Century"/>
          <w:rtl/>
        </w:rPr>
      </w:pPr>
      <w:r>
        <w:rPr>
          <w:rFonts w:hint="cs"/>
          <w:rtl/>
        </w:rPr>
        <w:t xml:space="preserve">המחוקק, עת קבע את סעיף 14(א) לפקודת מס הכנסה, לא התכוון לסטות מתורת המקור. על כך ניתן ללמוד מלשון הסעיף, המבהירה כי הפטור יחול </w:t>
      </w:r>
      <w:r w:rsidRPr="00683752">
        <w:rPr>
          <w:rStyle w:val="default"/>
          <w:rFonts w:ascii="Century" w:hAnsi="Century"/>
          <w:rtl/>
        </w:rPr>
        <w:t>על הכנסות</w:t>
      </w:r>
      <w:r w:rsidRPr="00683752">
        <w:rPr>
          <w:rStyle w:val="default"/>
          <w:rFonts w:ascii="Century" w:hAnsi="Century" w:hint="cs"/>
          <w:rtl/>
        </w:rPr>
        <w:t xml:space="preserve"> הנישום הזכאי "</w:t>
      </w:r>
      <w:r w:rsidRPr="00683752">
        <w:rPr>
          <w:rStyle w:val="default"/>
          <w:rFonts w:ascii="Century" w:hAnsi="Century" w:cs="Miriam"/>
          <w:b/>
          <w:spacing w:val="0"/>
          <w:sz w:val="22"/>
          <w:szCs w:val="24"/>
          <w:rtl/>
        </w:rPr>
        <w:t xml:space="preserve">מכל </w:t>
      </w:r>
      <w:r w:rsidRPr="00535ABA">
        <w:rPr>
          <w:rStyle w:val="default"/>
          <w:rFonts w:ascii="Century" w:hAnsi="Century" w:cs="Miriam"/>
          <w:b/>
          <w:spacing w:val="0"/>
          <w:sz w:val="22"/>
          <w:szCs w:val="24"/>
          <w:u w:val="single"/>
          <w:rtl/>
        </w:rPr>
        <w:t>המקורות</w:t>
      </w:r>
      <w:r w:rsidRPr="00683752">
        <w:rPr>
          <w:rStyle w:val="default"/>
          <w:rFonts w:ascii="Century" w:hAnsi="Century" w:cs="Miriam"/>
          <w:b/>
          <w:spacing w:val="0"/>
          <w:sz w:val="22"/>
          <w:szCs w:val="24"/>
          <w:rtl/>
        </w:rPr>
        <w:t xml:space="preserve"> המנויים בסעיפים 2, 2א ו-3</w:t>
      </w:r>
      <w:r>
        <w:rPr>
          <w:rFonts w:hint="cs"/>
          <w:rtl/>
        </w:rPr>
        <w:t xml:space="preserve">". מכאן, שבבואנו לפרש את שתי החלופות הנזכרות בהמשך הסעיף </w:t>
      </w:r>
      <w:r>
        <w:rPr>
          <w:rtl/>
        </w:rPr>
        <w:t>–</w:t>
      </w:r>
      <w:r>
        <w:rPr>
          <w:rFonts w:hint="cs"/>
          <w:rtl/>
        </w:rPr>
        <w:t xml:space="preserve"> </w:t>
      </w:r>
      <w:r>
        <w:rPr>
          <w:rStyle w:val="default"/>
          <w:rFonts w:ascii="Century" w:hAnsi="Century" w:hint="cs"/>
          <w:rtl/>
        </w:rPr>
        <w:t>"</w:t>
      </w:r>
      <w:r w:rsidRPr="00683752">
        <w:rPr>
          <w:rStyle w:val="default"/>
          <w:rFonts w:ascii="Century" w:hAnsi="Century" w:cs="Miriam"/>
          <w:b/>
          <w:spacing w:val="0"/>
          <w:sz w:val="22"/>
          <w:szCs w:val="24"/>
          <w:rtl/>
        </w:rPr>
        <w:t>שהופקו או שנצמחו מחוץ לישראל או שמקורן בנכסים מחוץ לישראל</w:t>
      </w:r>
      <w:r>
        <w:rPr>
          <w:rStyle w:val="default"/>
          <w:rFonts w:ascii="Century" w:hAnsi="Century" w:hint="cs"/>
          <w:rtl/>
        </w:rPr>
        <w:t xml:space="preserve">" </w:t>
      </w:r>
      <w:r>
        <w:rPr>
          <w:rStyle w:val="default"/>
          <w:rFonts w:ascii="Century" w:hAnsi="Century"/>
          <w:rtl/>
        </w:rPr>
        <w:t>–</w:t>
      </w:r>
      <w:r>
        <w:rPr>
          <w:rStyle w:val="default"/>
          <w:rFonts w:ascii="Century" w:hAnsi="Century" w:hint="cs"/>
          <w:rtl/>
        </w:rPr>
        <w:t xml:space="preserve"> עלינו לעשות זאת בשים לב ל"תורת המקור". </w:t>
      </w:r>
    </w:p>
    <w:p w:rsidR="00D81A8C" w:rsidRPr="007332F5" w:rsidRDefault="00D81A8C" w:rsidP="00D81A8C">
      <w:pPr>
        <w:pStyle w:val="Ruller41"/>
      </w:pPr>
    </w:p>
    <w:p w:rsidR="00D81A8C" w:rsidRDefault="00D81A8C" w:rsidP="00D00F4B">
      <w:pPr>
        <w:pStyle w:val="Ruller4"/>
        <w:rPr>
          <w:rtl/>
        </w:rPr>
      </w:pPr>
      <w:r>
        <w:rPr>
          <w:rStyle w:val="default"/>
          <w:rFonts w:ascii="Century" w:hAnsi="Century" w:hint="cs"/>
          <w:rtl/>
        </w:rPr>
        <w:t xml:space="preserve">כאמור, בהתאם ל"תורת המקור" סיווגה של הכנסה, והטיפול בה במסגרת דיני המס,  נעשה על פי המקור ממנו צמחה. לפיכך, </w:t>
      </w:r>
      <w:r w:rsidR="00D00F4B">
        <w:rPr>
          <w:rStyle w:val="default"/>
          <w:rFonts w:ascii="Century" w:hAnsi="Century" w:hint="cs"/>
          <w:rtl/>
        </w:rPr>
        <w:t>כדי</w:t>
      </w:r>
      <w:r>
        <w:rPr>
          <w:rStyle w:val="default"/>
          <w:rFonts w:ascii="Century" w:hAnsi="Century" w:hint="cs"/>
          <w:rtl/>
        </w:rPr>
        <w:t xml:space="preserve"> לבחון האם הכנסה עומדת באחת </w:t>
      </w:r>
      <w:r>
        <w:rPr>
          <w:rStyle w:val="default"/>
          <w:rFonts w:ascii="Century" w:hAnsi="Century" w:hint="cs"/>
          <w:rtl/>
        </w:rPr>
        <w:lastRenderedPageBreak/>
        <w:t xml:space="preserve">מהחלופות שקובע סעיף 14(א) לפקודה, יש לקבוע תחילה מהו המקור אליו יש לייחס את אותה הכנסה, ולאחר מכן לבחון מתי הכנסה ממקור זה נחשבת להכנסה שהופקה מחוץ לישראל או להכנסה שמקורה בנכס שמחוץ לישראל. </w:t>
      </w:r>
    </w:p>
    <w:p w:rsidR="00D81A8C" w:rsidRPr="00486C17" w:rsidRDefault="00D81A8C" w:rsidP="00D81A8C">
      <w:pPr>
        <w:pStyle w:val="Ruller41"/>
        <w:rPr>
          <w:rtl/>
        </w:rPr>
      </w:pPr>
    </w:p>
    <w:p w:rsidR="00D81A8C" w:rsidRPr="00FF7165" w:rsidRDefault="00D81A8C" w:rsidP="00D81A8C">
      <w:pPr>
        <w:pStyle w:val="Ruller4"/>
        <w:rPr>
          <w:rStyle w:val="default"/>
          <w:rFonts w:ascii="Century" w:hAnsi="Century"/>
        </w:rPr>
      </w:pPr>
      <w:r>
        <w:rPr>
          <w:rStyle w:val="default"/>
          <w:rFonts w:ascii="Century" w:hAnsi="Century" w:hint="cs"/>
          <w:rtl/>
        </w:rPr>
        <w:t xml:space="preserve">ואכן, לצורך הפעלת החלופה הראשונה </w:t>
      </w:r>
      <w:r>
        <w:rPr>
          <w:rStyle w:val="default"/>
          <w:rFonts w:ascii="Century" w:hAnsi="Century"/>
          <w:rtl/>
        </w:rPr>
        <w:t>–</w:t>
      </w:r>
      <w:r w:rsidRPr="00FF7165">
        <w:rPr>
          <w:rStyle w:val="default"/>
          <w:rFonts w:ascii="Century" w:hAnsi="Century" w:hint="cs"/>
          <w:rtl/>
        </w:rPr>
        <w:t xml:space="preserve"> "[הכנסות] </w:t>
      </w:r>
      <w:r w:rsidRPr="00FF7165">
        <w:rPr>
          <w:rStyle w:val="default"/>
          <w:rFonts w:ascii="Century" w:hAnsi="Century" w:cs="Miriam" w:hint="cs"/>
          <w:b/>
          <w:spacing w:val="0"/>
          <w:sz w:val="22"/>
          <w:szCs w:val="24"/>
          <w:rtl/>
        </w:rPr>
        <w:t>ש</w:t>
      </w:r>
      <w:r w:rsidRPr="00FF7165">
        <w:rPr>
          <w:rStyle w:val="default"/>
          <w:rFonts w:ascii="Century" w:hAnsi="Century" w:cs="Miriam"/>
          <w:b/>
          <w:spacing w:val="0"/>
          <w:sz w:val="22"/>
          <w:szCs w:val="24"/>
          <w:rtl/>
        </w:rPr>
        <w:t>הופקו או שנצמחו מחוץ לישראל</w:t>
      </w:r>
      <w:r w:rsidRPr="00FF7165">
        <w:rPr>
          <w:rStyle w:val="default"/>
          <w:rFonts w:ascii="Century" w:hAnsi="Century" w:hint="cs"/>
          <w:rtl/>
        </w:rPr>
        <w:t xml:space="preserve">" </w:t>
      </w:r>
      <w:r w:rsidRPr="00FF7165">
        <w:rPr>
          <w:rStyle w:val="default"/>
          <w:rFonts w:ascii="Century" w:hAnsi="Century"/>
          <w:rtl/>
        </w:rPr>
        <w:t>–</w:t>
      </w:r>
      <w:r w:rsidRPr="00FF7165">
        <w:rPr>
          <w:rStyle w:val="default"/>
          <w:rFonts w:ascii="Century" w:hAnsi="Century" w:hint="cs"/>
          <w:rtl/>
        </w:rPr>
        <w:t xml:space="preserve"> מורה לנו סעיף 4א לפקודת מס הכנסה כיצד לקבוע את "</w:t>
      </w:r>
      <w:r w:rsidRPr="00FF7165">
        <w:rPr>
          <w:rStyle w:val="default"/>
          <w:rFonts w:ascii="Century" w:hAnsi="Century" w:cs="Miriam" w:hint="cs"/>
          <w:b/>
          <w:spacing w:val="0"/>
          <w:sz w:val="22"/>
          <w:szCs w:val="24"/>
          <w:rtl/>
        </w:rPr>
        <w:t>המקום שבו הופקה או נצמחה הכנסה, השתכרות או רווח</w:t>
      </w:r>
      <w:r w:rsidRPr="00FF7165">
        <w:rPr>
          <w:rStyle w:val="default"/>
          <w:rFonts w:ascii="Century" w:hAnsi="Century" w:hint="cs"/>
          <w:rtl/>
        </w:rPr>
        <w:t xml:space="preserve">" בהתאם למקור ממנו צמחה </w:t>
      </w:r>
      <w:r w:rsidRPr="00FF7165">
        <w:rPr>
          <w:rStyle w:val="default"/>
          <w:rFonts w:ascii="Century" w:hAnsi="Century"/>
          <w:rtl/>
        </w:rPr>
        <w:t>–</w:t>
      </w:r>
      <w:r w:rsidRPr="00FF7165">
        <w:rPr>
          <w:rStyle w:val="default"/>
          <w:rFonts w:ascii="Century" w:hAnsi="Century" w:hint="cs"/>
          <w:rtl/>
        </w:rPr>
        <w:t xml:space="preserve"> הכנסה מעסק, הכנסה מעסקה, הכנסה ממשלוח יד, הכנסה מעבודה וכיו"ב. </w:t>
      </w:r>
    </w:p>
    <w:p w:rsidR="00D81A8C" w:rsidRDefault="00D81A8C" w:rsidP="00D81A8C">
      <w:pPr>
        <w:pStyle w:val="Ruller4"/>
        <w:numPr>
          <w:ilvl w:val="0"/>
          <w:numId w:val="0"/>
        </w:numPr>
        <w:rPr>
          <w:rStyle w:val="default"/>
          <w:rFonts w:ascii="Century" w:hAnsi="Century"/>
        </w:rPr>
      </w:pPr>
    </w:p>
    <w:p w:rsidR="00D81A8C" w:rsidRPr="003B668B" w:rsidRDefault="00D81A8C" w:rsidP="00533E69">
      <w:pPr>
        <w:pStyle w:val="Ruller4"/>
        <w:rPr>
          <w:rStyle w:val="default"/>
        </w:rPr>
      </w:pPr>
      <w:r w:rsidRPr="003B668B">
        <w:rPr>
          <w:rStyle w:val="default"/>
          <w:rFonts w:ascii="Century" w:hAnsi="Century" w:hint="cs"/>
          <w:rtl/>
        </w:rPr>
        <w:t xml:space="preserve">מהלך דומה </w:t>
      </w:r>
      <w:r w:rsidR="00533E69">
        <w:rPr>
          <w:rStyle w:val="default"/>
          <w:rFonts w:ascii="Century" w:hAnsi="Century" w:hint="cs"/>
          <w:rtl/>
        </w:rPr>
        <w:t>יש</w:t>
      </w:r>
      <w:r w:rsidRPr="003B668B">
        <w:rPr>
          <w:rStyle w:val="default"/>
          <w:rFonts w:ascii="Century" w:hAnsi="Century" w:hint="cs"/>
          <w:rtl/>
        </w:rPr>
        <w:t xml:space="preserve"> לעשות גם ביחס לחלופה השנייה </w:t>
      </w:r>
      <w:r w:rsidRPr="003B668B">
        <w:rPr>
          <w:rStyle w:val="default"/>
          <w:rFonts w:ascii="Century" w:hAnsi="Century"/>
          <w:rtl/>
        </w:rPr>
        <w:t>–</w:t>
      </w:r>
      <w:r w:rsidRPr="003B668B">
        <w:rPr>
          <w:rStyle w:val="default"/>
          <w:rFonts w:ascii="Century" w:hAnsi="Century" w:hint="cs"/>
          <w:rtl/>
        </w:rPr>
        <w:t xml:space="preserve"> "[הכנסות] </w:t>
      </w:r>
      <w:r w:rsidRPr="003B668B">
        <w:rPr>
          <w:rStyle w:val="default"/>
          <w:rFonts w:ascii="Century" w:hAnsi="Century" w:cs="Miriam"/>
          <w:b/>
          <w:spacing w:val="0"/>
          <w:sz w:val="22"/>
          <w:szCs w:val="24"/>
          <w:rtl/>
        </w:rPr>
        <w:t>שמקורן בנכסים מחוץ לישראל</w:t>
      </w:r>
      <w:r w:rsidRPr="003B668B">
        <w:rPr>
          <w:rStyle w:val="default"/>
          <w:rFonts w:ascii="Century" w:hAnsi="Century" w:hint="cs"/>
          <w:rtl/>
        </w:rPr>
        <w:t>". עלינו לבחון תחילה מהו מקור ההכנסה לעניין הפקודה, ואחר כך לקבוע האם מקור זה הוא בגדר "</w:t>
      </w:r>
      <w:r w:rsidRPr="003B668B">
        <w:rPr>
          <w:rStyle w:val="default"/>
          <w:rFonts w:ascii="Century" w:hAnsi="Century" w:cs="Miriam" w:hint="cs"/>
          <w:b/>
          <w:spacing w:val="0"/>
          <w:sz w:val="22"/>
          <w:szCs w:val="24"/>
          <w:rtl/>
        </w:rPr>
        <w:t>נכסים מחוץ לישראל</w:t>
      </w:r>
      <w:r w:rsidRPr="003B668B">
        <w:rPr>
          <w:rStyle w:val="default"/>
          <w:rFonts w:ascii="Century" w:hAnsi="Century" w:hint="cs"/>
          <w:rtl/>
        </w:rPr>
        <w:t xml:space="preserve">". </w:t>
      </w:r>
    </w:p>
    <w:p w:rsidR="00D81A8C" w:rsidRPr="003B668B" w:rsidRDefault="00D81A8C" w:rsidP="00D81A8C">
      <w:pPr>
        <w:pStyle w:val="Ruller4"/>
        <w:numPr>
          <w:ilvl w:val="0"/>
          <w:numId w:val="0"/>
        </w:numPr>
        <w:rPr>
          <w:rStyle w:val="default"/>
        </w:rPr>
      </w:pPr>
    </w:p>
    <w:p w:rsidR="00D81A8C" w:rsidRPr="00686AD6" w:rsidRDefault="00D81A8C" w:rsidP="00643C61">
      <w:pPr>
        <w:pStyle w:val="Ruller4"/>
        <w:rPr>
          <w:rtl/>
        </w:rPr>
      </w:pPr>
      <w:r>
        <w:rPr>
          <w:rFonts w:hint="cs"/>
          <w:rtl/>
        </w:rPr>
        <w:t>ויובהר, משמעותו של הפעלת מבחן זה היא שתנאי מקדמי להענקת הפטור להכנסה מסוימת מכוח החלופה השנייה, הוא שמקור ההכנסה לעניין פקודת מס הכנסה הוא נכס, כגון כשמדובר בהכנסה מ"</w:t>
      </w:r>
      <w:r w:rsidRPr="003B668B">
        <w:rPr>
          <w:rFonts w:ascii="Century" w:hAnsi="Century" w:cs="Miriam" w:hint="cs"/>
          <w:b/>
          <w:spacing w:val="0"/>
          <w:sz w:val="22"/>
          <w:szCs w:val="24"/>
          <w:rtl/>
        </w:rPr>
        <w:t>אחוזת בית וקרקע</w:t>
      </w:r>
      <w:r>
        <w:rPr>
          <w:rFonts w:hint="cs"/>
          <w:rtl/>
        </w:rPr>
        <w:t>" (סעיף 2(6) לפקודה) או בהכנסה מ"</w:t>
      </w:r>
      <w:r w:rsidRPr="003B668B">
        <w:rPr>
          <w:rFonts w:ascii="Century" w:hAnsi="Century" w:cs="Miriam" w:hint="cs"/>
          <w:b/>
          <w:spacing w:val="0"/>
          <w:sz w:val="22"/>
          <w:szCs w:val="24"/>
          <w:rtl/>
        </w:rPr>
        <w:t>נכסים אחרים</w:t>
      </w:r>
      <w:r>
        <w:rPr>
          <w:rFonts w:hint="cs"/>
          <w:rtl/>
        </w:rPr>
        <w:t xml:space="preserve">" (סעיף 2(7) לפקודה). ומכלל ההן נובע גם הלאו, דהיינו אין לחלופה האמורה רלוונטיות כאשר מקור ההכנסה הרלוונטית לעניין פקודת מס הכנסה איננו </w:t>
      </w:r>
      <w:r w:rsidRPr="00686AD6">
        <w:rPr>
          <w:rFonts w:hint="cs"/>
          <w:rtl/>
        </w:rPr>
        <w:t>בנכס, כגון כשזו הכנסה מ"</w:t>
      </w:r>
      <w:r w:rsidRPr="00686AD6">
        <w:rPr>
          <w:rFonts w:ascii="Century" w:hAnsi="Century" w:cs="Miriam" w:hint="cs"/>
          <w:b/>
          <w:spacing w:val="0"/>
          <w:sz w:val="22"/>
          <w:szCs w:val="24"/>
          <w:rtl/>
        </w:rPr>
        <w:t>עסק ומשלח יד</w:t>
      </w:r>
      <w:r w:rsidRPr="00686AD6">
        <w:rPr>
          <w:rFonts w:hint="cs"/>
          <w:rtl/>
        </w:rPr>
        <w:t>" (סעיף 2(1) לפקודה) או מ"</w:t>
      </w:r>
      <w:r w:rsidRPr="00686AD6">
        <w:rPr>
          <w:rFonts w:ascii="Century" w:hAnsi="Century" w:cs="Miriam" w:hint="cs"/>
          <w:b/>
          <w:spacing w:val="0"/>
          <w:sz w:val="22"/>
          <w:szCs w:val="24"/>
          <w:rtl/>
        </w:rPr>
        <w:t>עבודה</w:t>
      </w:r>
      <w:r w:rsidRPr="00686AD6">
        <w:rPr>
          <w:rFonts w:hint="cs"/>
          <w:rtl/>
        </w:rPr>
        <w:t xml:space="preserve">" (סעיף 2(2) לפקודה). </w:t>
      </w:r>
    </w:p>
    <w:p w:rsidR="00D81A8C" w:rsidRDefault="00D81A8C" w:rsidP="00D81A8C">
      <w:pPr>
        <w:pStyle w:val="Ruller41"/>
        <w:rPr>
          <w:rtl/>
        </w:rPr>
      </w:pPr>
    </w:p>
    <w:p w:rsidR="00D81A8C" w:rsidRDefault="00D81A8C" w:rsidP="00D81A8C">
      <w:pPr>
        <w:pStyle w:val="Ruller4"/>
        <w:rPr>
          <w:rStyle w:val="default"/>
          <w:rtl/>
        </w:rPr>
      </w:pPr>
      <w:r>
        <w:rPr>
          <w:rFonts w:hint="cs"/>
          <w:rtl/>
        </w:rPr>
        <w:t xml:space="preserve">פרשנות זו לחלופה של </w:t>
      </w:r>
      <w:r w:rsidRPr="004E52F5">
        <w:rPr>
          <w:rStyle w:val="default"/>
          <w:rFonts w:ascii="Century" w:hAnsi="Century" w:hint="cs"/>
          <w:rtl/>
        </w:rPr>
        <w:t xml:space="preserve">"[הכנסות] </w:t>
      </w:r>
      <w:r w:rsidRPr="004E52F5">
        <w:rPr>
          <w:rStyle w:val="default"/>
          <w:rFonts w:ascii="Century" w:hAnsi="Century" w:cs="Miriam"/>
          <w:b/>
          <w:spacing w:val="0"/>
          <w:sz w:val="22"/>
          <w:szCs w:val="24"/>
          <w:rtl/>
        </w:rPr>
        <w:t>שמקורן בנכסים מחוץ לישראל</w:t>
      </w:r>
      <w:r w:rsidRPr="004E52F5">
        <w:rPr>
          <w:rStyle w:val="default"/>
          <w:rFonts w:ascii="Century" w:hAnsi="Century" w:hint="cs"/>
          <w:rtl/>
        </w:rPr>
        <w:t>" מאפשרת, כפי שיובהר לעיל, לפתור בנקל את המקרה שלפנינו. ואולם, יש להודות כי אין בה כדי להסיר את כל הקשיים הפרשניים שעשויים להתעורר. כך, למשל, אין היא מספקת מענה פשוט וברור לשאלה האם יש לראות הכנסות מ"</w:t>
      </w:r>
      <w:r w:rsidRPr="00486C17">
        <w:rPr>
          <w:rStyle w:val="default"/>
          <w:rFonts w:ascii="Century" w:hAnsi="Century" w:cs="Miriam" w:hint="cs"/>
          <w:b/>
          <w:spacing w:val="0"/>
          <w:sz w:val="22"/>
          <w:szCs w:val="24"/>
          <w:rtl/>
        </w:rPr>
        <w:t>קצבה, מלוג ואנונה</w:t>
      </w:r>
      <w:r w:rsidRPr="004E52F5">
        <w:rPr>
          <w:rStyle w:val="default"/>
          <w:rFonts w:ascii="Century" w:hAnsi="Century" w:hint="cs"/>
          <w:rtl/>
        </w:rPr>
        <w:t>" (סעיף 2(5) לפקודה), ככאלה ש"</w:t>
      </w:r>
      <w:r w:rsidRPr="004E52F5">
        <w:rPr>
          <w:rStyle w:val="default"/>
          <w:rFonts w:ascii="Century" w:hAnsi="Century" w:cs="Miriam" w:hint="cs"/>
          <w:b/>
          <w:spacing w:val="0"/>
          <w:sz w:val="22"/>
          <w:szCs w:val="24"/>
          <w:rtl/>
        </w:rPr>
        <w:t>מקורן בנכסים</w:t>
      </w:r>
      <w:r w:rsidRPr="004E52F5">
        <w:rPr>
          <w:rStyle w:val="default"/>
          <w:rFonts w:ascii="Century" w:hAnsi="Century" w:hint="cs"/>
          <w:rtl/>
        </w:rPr>
        <w:t>", ואם כן מתי נאמר כי אלה "</w:t>
      </w:r>
      <w:r w:rsidRPr="004E52F5">
        <w:rPr>
          <w:rStyle w:val="default"/>
          <w:rFonts w:ascii="Century" w:hAnsi="Century" w:cs="Miriam" w:hint="cs"/>
          <w:b/>
          <w:spacing w:val="0"/>
          <w:sz w:val="22"/>
          <w:szCs w:val="24"/>
          <w:rtl/>
        </w:rPr>
        <w:t>נכסים מחוץ לישראל</w:t>
      </w:r>
      <w:r w:rsidRPr="004E52F5">
        <w:rPr>
          <w:rStyle w:val="default"/>
          <w:rFonts w:ascii="Century" w:hAnsi="Century" w:hint="cs"/>
          <w:rtl/>
        </w:rPr>
        <w:t>" (שאלה זו רלוונטית גם לעניין</w:t>
      </w:r>
      <w:r>
        <w:rPr>
          <w:rStyle w:val="default"/>
          <w:rFonts w:ascii="Century" w:hAnsi="Century" w:hint="cs"/>
          <w:rtl/>
        </w:rPr>
        <w:t xml:space="preserve"> סעיף 9ג</w:t>
      </w:r>
      <w:r w:rsidRPr="004E52F5">
        <w:rPr>
          <w:rStyle w:val="default"/>
          <w:rFonts w:ascii="Century" w:hAnsi="Century" w:hint="cs"/>
          <w:rtl/>
        </w:rPr>
        <w:t xml:space="preserve"> לפקודת מס הכנסה, הקובע כי </w:t>
      </w:r>
      <w:r>
        <w:rPr>
          <w:rStyle w:val="default"/>
          <w:rFonts w:ascii="Century" w:hAnsi="Century" w:hint="cs"/>
          <w:rtl/>
        </w:rPr>
        <w:t xml:space="preserve">גם לאחר תקופת הפטור </w:t>
      </w:r>
      <w:r w:rsidRPr="004E52F5">
        <w:rPr>
          <w:rStyle w:val="default"/>
          <w:rFonts w:ascii="Century" w:hAnsi="Century" w:hint="cs"/>
          <w:rtl/>
        </w:rPr>
        <w:t>"</w:t>
      </w:r>
      <w:r w:rsidRPr="004E52F5">
        <w:rPr>
          <w:rStyle w:val="default"/>
          <w:rFonts w:ascii="Century" w:hAnsi="Century" w:cs="Miriam" w:hint="cs"/>
          <w:b/>
          <w:spacing w:val="0"/>
          <w:sz w:val="22"/>
          <w:szCs w:val="24"/>
          <w:rtl/>
        </w:rPr>
        <w:t xml:space="preserve">סכום המס על </w:t>
      </w:r>
      <w:r w:rsidRPr="004E52F5">
        <w:rPr>
          <w:rStyle w:val="default"/>
          <w:rFonts w:ascii="Century" w:hAnsi="Century" w:cs="Miriam"/>
          <w:b/>
          <w:spacing w:val="0"/>
          <w:sz w:val="22"/>
          <w:szCs w:val="24"/>
          <w:rtl/>
        </w:rPr>
        <w:t xml:space="preserve">קצבה </w:t>
      </w:r>
      <w:r w:rsidRPr="004E52F5">
        <w:rPr>
          <w:rStyle w:val="default"/>
          <w:rFonts w:ascii="Century" w:hAnsi="Century" w:cs="Miriam" w:hint="cs"/>
          <w:b/>
          <w:spacing w:val="0"/>
          <w:sz w:val="22"/>
          <w:szCs w:val="24"/>
          <w:rtl/>
        </w:rPr>
        <w:t>ש</w:t>
      </w:r>
      <w:r w:rsidRPr="004E52F5">
        <w:rPr>
          <w:rStyle w:val="default"/>
          <w:rFonts w:ascii="Century" w:hAnsi="Century" w:cs="Miriam"/>
          <w:b/>
          <w:spacing w:val="0"/>
          <w:sz w:val="22"/>
          <w:szCs w:val="24"/>
          <w:rtl/>
        </w:rPr>
        <w:t>מ</w:t>
      </w:r>
      <w:r w:rsidRPr="004E52F5">
        <w:rPr>
          <w:rStyle w:val="default"/>
          <w:rFonts w:ascii="Century" w:hAnsi="Century" w:cs="Miriam" w:hint="cs"/>
          <w:b/>
          <w:spacing w:val="0"/>
          <w:sz w:val="22"/>
          <w:szCs w:val="24"/>
          <w:rtl/>
        </w:rPr>
        <w:t>קו</w:t>
      </w:r>
      <w:r w:rsidRPr="004E52F5">
        <w:rPr>
          <w:rStyle w:val="default"/>
          <w:rFonts w:ascii="Century" w:hAnsi="Century" w:cs="Miriam"/>
          <w:b/>
          <w:spacing w:val="0"/>
          <w:sz w:val="22"/>
          <w:szCs w:val="24"/>
          <w:rtl/>
        </w:rPr>
        <w:t>ר</w:t>
      </w:r>
      <w:r w:rsidRPr="004E52F5">
        <w:rPr>
          <w:rStyle w:val="default"/>
          <w:rFonts w:ascii="Century" w:hAnsi="Century" w:cs="Miriam" w:hint="cs"/>
          <w:b/>
          <w:spacing w:val="0"/>
          <w:sz w:val="22"/>
          <w:szCs w:val="24"/>
          <w:rtl/>
        </w:rPr>
        <w:t>ה מ</w:t>
      </w:r>
      <w:r w:rsidRPr="004E52F5">
        <w:rPr>
          <w:rStyle w:val="default"/>
          <w:rFonts w:ascii="Century" w:hAnsi="Century" w:cs="Miriam"/>
          <w:b/>
          <w:spacing w:val="0"/>
          <w:sz w:val="22"/>
          <w:szCs w:val="24"/>
          <w:rtl/>
        </w:rPr>
        <w:t>ח</w:t>
      </w:r>
      <w:r w:rsidRPr="004E52F5">
        <w:rPr>
          <w:rStyle w:val="default"/>
          <w:rFonts w:ascii="Century" w:hAnsi="Century" w:cs="Miriam" w:hint="cs"/>
          <w:b/>
          <w:spacing w:val="0"/>
          <w:sz w:val="22"/>
          <w:szCs w:val="24"/>
          <w:rtl/>
        </w:rPr>
        <w:t>ו</w:t>
      </w:r>
      <w:r w:rsidRPr="004E52F5">
        <w:rPr>
          <w:rStyle w:val="default"/>
          <w:rFonts w:ascii="Century" w:hAnsi="Century" w:cs="Miriam"/>
          <w:b/>
          <w:spacing w:val="0"/>
          <w:sz w:val="22"/>
          <w:szCs w:val="24"/>
          <w:rtl/>
        </w:rPr>
        <w:t>ץ</w:t>
      </w:r>
      <w:r w:rsidRPr="004E52F5">
        <w:rPr>
          <w:rStyle w:val="default"/>
          <w:rFonts w:ascii="Century" w:hAnsi="Century" w:cs="Miriam" w:hint="cs"/>
          <w:b/>
          <w:spacing w:val="0"/>
          <w:sz w:val="22"/>
          <w:szCs w:val="24"/>
          <w:rtl/>
        </w:rPr>
        <w:t xml:space="preserve"> </w:t>
      </w:r>
      <w:r w:rsidRPr="004E52F5">
        <w:rPr>
          <w:rStyle w:val="default"/>
          <w:rFonts w:ascii="Century" w:hAnsi="Century" w:cs="Miriam"/>
          <w:b/>
          <w:spacing w:val="0"/>
          <w:sz w:val="22"/>
          <w:szCs w:val="24"/>
          <w:rtl/>
        </w:rPr>
        <w:t>ל</w:t>
      </w:r>
      <w:r w:rsidRPr="004E52F5">
        <w:rPr>
          <w:rStyle w:val="default"/>
          <w:rFonts w:ascii="Century" w:hAnsi="Century" w:cs="Miriam" w:hint="cs"/>
          <w:b/>
          <w:spacing w:val="0"/>
          <w:sz w:val="22"/>
          <w:szCs w:val="24"/>
          <w:rtl/>
        </w:rPr>
        <w:t>ישראל שמקבל יחיד שהיה לתושב ישראל לראשונה או לתושב חוזר ותיק, כאמור בסעיף 14(א), בשל עבודתו במד</w:t>
      </w:r>
      <w:r w:rsidRPr="004E52F5">
        <w:rPr>
          <w:rStyle w:val="default"/>
          <w:rFonts w:ascii="Century" w:hAnsi="Century" w:cs="Miriam"/>
          <w:b/>
          <w:spacing w:val="0"/>
          <w:sz w:val="22"/>
          <w:szCs w:val="24"/>
          <w:rtl/>
        </w:rPr>
        <w:t>י</w:t>
      </w:r>
      <w:r w:rsidRPr="004E52F5">
        <w:rPr>
          <w:rStyle w:val="default"/>
          <w:rFonts w:ascii="Century" w:hAnsi="Century" w:cs="Miriam" w:hint="cs"/>
          <w:b/>
          <w:spacing w:val="0"/>
          <w:sz w:val="22"/>
          <w:szCs w:val="24"/>
          <w:rtl/>
        </w:rPr>
        <w:t>נת חוץ, לא יעלה על סכום המס שהיה משלם על אותה קצבה במדינה שבה משולמת הקצבה, אילו היה נשאר תושב אותה מדינה"</w:t>
      </w:r>
      <w:r w:rsidRPr="004245B1">
        <w:rPr>
          <w:rStyle w:val="default"/>
          <w:rFonts w:ascii="Century" w:hAnsi="Century" w:hint="cs"/>
          <w:sz w:val="22"/>
          <w:rtl/>
        </w:rPr>
        <w:t>).</w:t>
      </w:r>
      <w:r w:rsidRPr="004E52F5">
        <w:rPr>
          <w:rStyle w:val="default"/>
          <w:rFonts w:ascii="Century" w:hAnsi="Century" w:cs="Miriam" w:hint="cs"/>
          <w:b/>
          <w:spacing w:val="0"/>
          <w:sz w:val="22"/>
          <w:szCs w:val="24"/>
          <w:rtl/>
        </w:rPr>
        <w:t xml:space="preserve"> </w:t>
      </w:r>
      <w:r w:rsidRPr="004E52F5">
        <w:rPr>
          <w:rStyle w:val="default"/>
          <w:rFonts w:ascii="Century" w:hAnsi="Century" w:hint="cs"/>
          <w:rtl/>
        </w:rPr>
        <w:t xml:space="preserve">ודוק, לפי החלופה של מקום הפקת ההכנסה, </w:t>
      </w:r>
      <w:r>
        <w:rPr>
          <w:rStyle w:val="default"/>
          <w:rFonts w:ascii="Century" w:hAnsi="Century" w:hint="cs"/>
          <w:rtl/>
        </w:rPr>
        <w:t xml:space="preserve">הנישום </w:t>
      </w:r>
      <w:proofErr w:type="spellStart"/>
      <w:r>
        <w:rPr>
          <w:rStyle w:val="default"/>
          <w:rFonts w:ascii="Century" w:hAnsi="Century" w:hint="cs"/>
          <w:rtl/>
        </w:rPr>
        <w:t>יהנה</w:t>
      </w:r>
      <w:proofErr w:type="spellEnd"/>
      <w:r>
        <w:rPr>
          <w:rStyle w:val="default"/>
          <w:rFonts w:ascii="Century" w:hAnsi="Century" w:hint="cs"/>
          <w:rtl/>
        </w:rPr>
        <w:t xml:space="preserve"> מההטבות ביחס ל</w:t>
      </w:r>
      <w:r w:rsidRPr="004E52F5">
        <w:rPr>
          <w:rStyle w:val="default"/>
          <w:rFonts w:ascii="Century" w:hAnsi="Century" w:hint="cs"/>
          <w:rtl/>
        </w:rPr>
        <w:t xml:space="preserve">הכנסות </w:t>
      </w:r>
      <w:r>
        <w:rPr>
          <w:rStyle w:val="default"/>
          <w:rFonts w:ascii="Century" w:hAnsi="Century" w:hint="cs"/>
          <w:rtl/>
        </w:rPr>
        <w:t>מ"</w:t>
      </w:r>
      <w:r w:rsidRPr="004E52F5">
        <w:rPr>
          <w:rStyle w:val="default"/>
          <w:rFonts w:ascii="Century" w:hAnsi="Century" w:cs="Miriam" w:hint="cs"/>
          <w:b/>
          <w:spacing w:val="0"/>
          <w:sz w:val="22"/>
          <w:szCs w:val="24"/>
          <w:rtl/>
        </w:rPr>
        <w:t>קצבה, מלוג ואנונה</w:t>
      </w:r>
      <w:r>
        <w:rPr>
          <w:rStyle w:val="default"/>
          <w:rFonts w:ascii="Century" w:hAnsi="Century" w:hint="cs"/>
          <w:rtl/>
        </w:rPr>
        <w:t xml:space="preserve">" </w:t>
      </w:r>
      <w:r w:rsidRPr="004E52F5">
        <w:rPr>
          <w:rStyle w:val="default"/>
          <w:rFonts w:ascii="Century" w:hAnsi="Century" w:hint="cs"/>
          <w:rtl/>
        </w:rPr>
        <w:t>כאשר מקום מושבו של המשלם הוא מחוץ לישראל (ראו סעיף</w:t>
      </w:r>
      <w:r>
        <w:rPr>
          <w:rStyle w:val="default"/>
          <w:rFonts w:ascii="Century" w:hAnsi="Century" w:hint="cs"/>
          <w:rtl/>
        </w:rPr>
        <w:t xml:space="preserve"> 4א(א)</w:t>
      </w:r>
      <w:r w:rsidRPr="004E52F5">
        <w:rPr>
          <w:rStyle w:val="default"/>
          <w:rFonts w:ascii="Century" w:hAnsi="Century" w:hint="cs"/>
          <w:rtl/>
        </w:rPr>
        <w:t>(8)</w:t>
      </w:r>
      <w:r>
        <w:rPr>
          <w:rStyle w:val="default"/>
          <w:rFonts w:ascii="Century" w:hAnsi="Century" w:hint="cs"/>
          <w:rtl/>
        </w:rPr>
        <w:t xml:space="preserve"> לפקודה</w:t>
      </w:r>
      <w:r w:rsidRPr="004E52F5">
        <w:rPr>
          <w:rStyle w:val="default"/>
          <w:rFonts w:ascii="Century" w:hAnsi="Century" w:hint="cs"/>
          <w:rtl/>
        </w:rPr>
        <w:t xml:space="preserve">). </w:t>
      </w:r>
      <w:r>
        <w:rPr>
          <w:rStyle w:val="default"/>
          <w:rFonts w:ascii="Century" w:hAnsi="Century" w:hint="cs"/>
          <w:rtl/>
        </w:rPr>
        <w:t xml:space="preserve">עם זאת </w:t>
      </w:r>
      <w:r w:rsidRPr="004E52F5">
        <w:rPr>
          <w:rStyle w:val="default"/>
          <w:rFonts w:ascii="Century" w:hAnsi="Century" w:hint="cs"/>
          <w:rtl/>
        </w:rPr>
        <w:t xml:space="preserve">ניתן להעלות על הדעת מצבים בהם </w:t>
      </w:r>
      <w:r w:rsidRPr="004E52F5">
        <w:rPr>
          <w:rStyle w:val="default"/>
          <w:rFonts w:ascii="Century" w:hAnsi="Century" w:hint="cs"/>
          <w:rtl/>
        </w:rPr>
        <w:lastRenderedPageBreak/>
        <w:t>המשלם מצוי בישראל, ואולם הזכות לתשלום נוצרה מחוץ לישראל (לדוגמ</w:t>
      </w:r>
      <w:r>
        <w:rPr>
          <w:rStyle w:val="default"/>
          <w:rFonts w:ascii="Century" w:hAnsi="Century" w:hint="cs"/>
          <w:rtl/>
        </w:rPr>
        <w:t>ה</w:t>
      </w:r>
      <w:r w:rsidRPr="004E52F5">
        <w:rPr>
          <w:rStyle w:val="default"/>
          <w:rFonts w:ascii="Century" w:hAnsi="Century" w:hint="cs"/>
          <w:rtl/>
        </w:rPr>
        <w:t xml:space="preserve">: </w:t>
      </w:r>
      <w:r>
        <w:rPr>
          <w:rStyle w:val="default"/>
          <w:rFonts w:ascii="Century" w:hAnsi="Century" w:hint="cs"/>
          <w:rtl/>
        </w:rPr>
        <w:t>ק</w:t>
      </w:r>
      <w:r w:rsidRPr="004E52F5">
        <w:rPr>
          <w:rStyle w:val="default"/>
          <w:rFonts w:ascii="Century" w:hAnsi="Century" w:hint="cs"/>
          <w:rtl/>
        </w:rPr>
        <w:t xml:space="preserve">צבה המשולמת על ידי חברה ישראלית בגין זכויות פנסיוניות שנצברו מעבודה </w:t>
      </w:r>
      <w:r>
        <w:rPr>
          <w:rStyle w:val="default"/>
          <w:rFonts w:ascii="Century" w:hAnsi="Century" w:hint="cs"/>
          <w:rtl/>
        </w:rPr>
        <w:t xml:space="preserve">בחברה קשורה המצויה </w:t>
      </w:r>
      <w:r w:rsidRPr="004E52F5">
        <w:rPr>
          <w:rStyle w:val="default"/>
          <w:rFonts w:ascii="Century" w:hAnsi="Century" w:hint="cs"/>
          <w:rtl/>
        </w:rPr>
        <w:t>בחו"ל). במצבים אלה תתעורר השאלה האם זכאי הנישום ל</w:t>
      </w:r>
      <w:r>
        <w:rPr>
          <w:rStyle w:val="default"/>
          <w:rFonts w:ascii="Century" w:hAnsi="Century" w:hint="cs"/>
          <w:rtl/>
        </w:rPr>
        <w:t xml:space="preserve">הטבות </w:t>
      </w:r>
      <w:r w:rsidRPr="004E52F5">
        <w:rPr>
          <w:rStyle w:val="default"/>
          <w:rFonts w:ascii="Century" w:hAnsi="Century" w:hint="cs"/>
          <w:rtl/>
        </w:rPr>
        <w:t xml:space="preserve">לפי חלופת מקום הנכס המניב, למרות שאינו זכאי לו לפי חלופת מקום הפקת ההכנסה. </w:t>
      </w:r>
      <w:r>
        <w:rPr>
          <w:rStyle w:val="default"/>
          <w:rFonts w:hint="cs"/>
          <w:rtl/>
        </w:rPr>
        <w:t>דומה כי כל עוד המדובר בהכנסה פסיבית, יש להשיב בחיוב על שאלה זו, תוך ראיית החיוב מכוחו משולמות הגמלאות כסוג של נכס. ואולם עניין זה אינו מחייב הכרעה בענייננו.</w:t>
      </w:r>
    </w:p>
    <w:p w:rsidR="00D81A8C" w:rsidRDefault="00D81A8C" w:rsidP="00D81A8C">
      <w:pPr>
        <w:pStyle w:val="Ruller41"/>
        <w:rPr>
          <w:rtl/>
        </w:rPr>
      </w:pPr>
    </w:p>
    <w:p w:rsidR="00D81A8C" w:rsidRDefault="00D81A8C" w:rsidP="00D81A8C">
      <w:pPr>
        <w:pStyle w:val="Ruller4"/>
        <w:rPr>
          <w:rStyle w:val="default"/>
          <w:rFonts w:ascii="Century" w:hAnsi="Century"/>
          <w:rtl/>
        </w:rPr>
      </w:pPr>
      <w:r w:rsidRPr="005C3D12">
        <w:rPr>
          <w:rStyle w:val="default"/>
          <w:rFonts w:ascii="Century" w:hAnsi="Century" w:hint="cs"/>
          <w:rtl/>
        </w:rPr>
        <w:t>סיכומו של דבר, את סעיף 14(א) לפקודת מס הכנסה, כנוסחו לאחר תיקון 168, יש לקרוא בשים לב ל"תורת המקור", על פיה מסווג</w:t>
      </w:r>
      <w:r w:rsidR="00643C61">
        <w:rPr>
          <w:rStyle w:val="default"/>
          <w:rFonts w:ascii="Century" w:hAnsi="Century" w:hint="cs"/>
          <w:rtl/>
        </w:rPr>
        <w:t>ו</w:t>
      </w:r>
      <w:r w:rsidRPr="005C3D12">
        <w:rPr>
          <w:rStyle w:val="default"/>
          <w:rFonts w:ascii="Century" w:hAnsi="Century" w:hint="cs"/>
          <w:rtl/>
        </w:rPr>
        <w:t xml:space="preserve">ת הכנסות לעניין פקודת מס הכנסה. </w:t>
      </w:r>
      <w:r>
        <w:rPr>
          <w:rStyle w:val="default"/>
          <w:rFonts w:ascii="Century" w:hAnsi="Century" w:hint="cs"/>
          <w:rtl/>
        </w:rPr>
        <w:t xml:space="preserve">על כן </w:t>
      </w:r>
      <w:r w:rsidRPr="005C3D12">
        <w:rPr>
          <w:rStyle w:val="default"/>
          <w:rFonts w:ascii="Century" w:hAnsi="Century" w:hint="cs"/>
          <w:rtl/>
        </w:rPr>
        <w:t xml:space="preserve">נדרש, בשלב ראשון, לקבוע מהו המקור אליו יש ליחס הכנסה מסוימת, ולאחר מכן לבחון </w:t>
      </w:r>
      <w:r>
        <w:rPr>
          <w:rStyle w:val="default"/>
          <w:rFonts w:ascii="Century" w:hAnsi="Century" w:hint="cs"/>
          <w:rtl/>
        </w:rPr>
        <w:t>לאור הכללים החלים ביחס למקור זה האם ההכנסות מכוחו הופקו מחוץ לישראל (עניין אליו מתייחס סעיף 4א לפקודה) או שמקורן בנכס שמחוץ לישראל (עניין אותו יש לבחון לפי טיב מקור ההכנסה בו עסקינן). מבחינה מעשית, משמעות מבחן זה הוא שהכנסות אקטיביות, אשר המקור להן הוא מאמץ מתמשך של הנישום (כגון הכנסה מעבודה או מעסק), אינן מהוות כלל הכנסות "</w:t>
      </w:r>
      <w:r w:rsidRPr="00140C50">
        <w:rPr>
          <w:rStyle w:val="default"/>
          <w:rFonts w:ascii="Century" w:hAnsi="Century" w:cs="Miriam" w:hint="cs"/>
          <w:b/>
          <w:spacing w:val="0"/>
          <w:sz w:val="22"/>
          <w:szCs w:val="24"/>
          <w:rtl/>
        </w:rPr>
        <w:t>שמקורן בנכסים</w:t>
      </w:r>
      <w:r>
        <w:rPr>
          <w:rStyle w:val="default"/>
          <w:rFonts w:ascii="Century" w:hAnsi="Century" w:hint="cs"/>
          <w:rtl/>
        </w:rPr>
        <w:t>", וממילא חלופת מקום הנכס המניב אינה רלוונטית לגביהן. לעומת זאת, הכנסות פסיביות, הנובעות מרכושו של הנישום ולא ממאמציו, יהיו לרוב כאלה "</w:t>
      </w:r>
      <w:r w:rsidRPr="00140C50">
        <w:rPr>
          <w:rStyle w:val="default"/>
          <w:rFonts w:ascii="Century" w:hAnsi="Century" w:cs="Miriam" w:hint="cs"/>
          <w:b/>
          <w:spacing w:val="0"/>
          <w:sz w:val="22"/>
          <w:szCs w:val="24"/>
          <w:rtl/>
        </w:rPr>
        <w:t>שמקורן בנכסים</w:t>
      </w:r>
      <w:r>
        <w:rPr>
          <w:rStyle w:val="default"/>
          <w:rFonts w:ascii="Century" w:hAnsi="Century" w:hint="cs"/>
          <w:rtl/>
        </w:rPr>
        <w:t xml:space="preserve">", ולפיכך הפטור בגינן יכול להינתן לא רק לפי מקום הפקת ההכנסה, אלא גם לפי מקום </w:t>
      </w:r>
      <w:proofErr w:type="spellStart"/>
      <w:r>
        <w:rPr>
          <w:rStyle w:val="default"/>
          <w:rFonts w:ascii="Century" w:hAnsi="Century" w:hint="cs"/>
          <w:rtl/>
        </w:rPr>
        <w:t>הימצא</w:t>
      </w:r>
      <w:proofErr w:type="spellEnd"/>
      <w:r>
        <w:rPr>
          <w:rStyle w:val="default"/>
          <w:rFonts w:ascii="Century" w:hAnsi="Century" w:hint="cs"/>
          <w:rtl/>
        </w:rPr>
        <w:t xml:space="preserve"> הנכס המניב.</w:t>
      </w:r>
    </w:p>
    <w:p w:rsidR="00D81A8C" w:rsidRDefault="00D81A8C" w:rsidP="00D81A8C">
      <w:pPr>
        <w:pStyle w:val="Ruller41"/>
        <w:rPr>
          <w:rtl/>
        </w:rPr>
      </w:pPr>
    </w:p>
    <w:p w:rsidR="00D81A8C" w:rsidRPr="00232802" w:rsidRDefault="00D81A8C" w:rsidP="00D81A8C">
      <w:pPr>
        <w:pStyle w:val="Ruller41"/>
        <w:rPr>
          <w:rFonts w:ascii="Century" w:hAnsi="Century" w:cs="Miriam"/>
          <w:b/>
          <w:spacing w:val="0"/>
          <w:szCs w:val="24"/>
          <w:rtl/>
        </w:rPr>
      </w:pPr>
      <w:r>
        <w:rPr>
          <w:rFonts w:ascii="Century" w:hAnsi="Century" w:cs="Miriam" w:hint="cs"/>
          <w:b/>
          <w:spacing w:val="0"/>
          <w:szCs w:val="24"/>
          <w:rtl/>
        </w:rPr>
        <w:t>פרשנות חלופת מקום הנכס המניב</w:t>
      </w:r>
      <w:r w:rsidRPr="00232802">
        <w:rPr>
          <w:rFonts w:ascii="Century" w:hAnsi="Century" w:cs="Miriam" w:hint="cs"/>
          <w:b/>
          <w:spacing w:val="0"/>
          <w:szCs w:val="24"/>
          <w:rtl/>
        </w:rPr>
        <w:t xml:space="preserve"> </w:t>
      </w:r>
      <w:r>
        <w:rPr>
          <w:rFonts w:ascii="Century" w:hAnsi="Century" w:cs="Miriam" w:hint="cs"/>
          <w:b/>
          <w:spacing w:val="0"/>
          <w:szCs w:val="24"/>
          <w:rtl/>
        </w:rPr>
        <w:t>לאור תכלית הפטור שבתיקון 168</w:t>
      </w:r>
    </w:p>
    <w:p w:rsidR="00D81A8C" w:rsidRDefault="00D81A8C" w:rsidP="00D81A8C">
      <w:pPr>
        <w:pStyle w:val="Ruller41"/>
        <w:rPr>
          <w:rtl/>
        </w:rPr>
      </w:pPr>
    </w:p>
    <w:p w:rsidR="00D81A8C" w:rsidRDefault="00D81A8C" w:rsidP="00D81A8C">
      <w:pPr>
        <w:pStyle w:val="Ruller4"/>
        <w:rPr>
          <w:rtl/>
        </w:rPr>
      </w:pPr>
      <w:r>
        <w:rPr>
          <w:rFonts w:hint="cs"/>
          <w:rtl/>
        </w:rPr>
        <w:t xml:space="preserve">טעם נוסף המשתלב בטיעון המבני ומשלים אותו, הוא תכליותיו של הפטור בו עסקינן. כפי שהובהר בראשית הדברים (ראו פסקה 2 לעיל) מטרתו של תיקון 168 היא שעצם המעבר לישראל לא יטיל על הנישום חבות מס עודפת בגין הכנסות שלא היו חייבות במס הכנסה בישראל אילו היה נותר תושב זר. במילים אחרות, תכלית הפטור היא שלא לחייב במס על הכנסה שאלמלא המעבר ארצה לא הייתה חייבת במס הכנסה בישראל, ולחייב במס הכנסה בישראל על הכנסה שגם לולא המעבר לישראל הייתה חייבת במס זה. בדרך זו ביקש המחוקק </w:t>
      </w:r>
      <w:r w:rsidRPr="00CD4360">
        <w:rPr>
          <w:rFonts w:hint="eastAsia"/>
          <w:rtl/>
        </w:rPr>
        <w:t>ל</w:t>
      </w:r>
      <w:r>
        <w:rPr>
          <w:rFonts w:hint="cs"/>
          <w:rtl/>
        </w:rPr>
        <w:t xml:space="preserve">נטרל </w:t>
      </w:r>
      <w:r w:rsidRPr="00CD4360">
        <w:rPr>
          <w:rFonts w:hint="eastAsia"/>
          <w:rtl/>
        </w:rPr>
        <w:t>את</w:t>
      </w:r>
      <w:r w:rsidRPr="00CD4360">
        <w:rPr>
          <w:rtl/>
        </w:rPr>
        <w:t xml:space="preserve"> </w:t>
      </w:r>
      <w:r>
        <w:rPr>
          <w:rFonts w:hint="cs"/>
          <w:rtl/>
        </w:rPr>
        <w:t>חסמי</w:t>
      </w:r>
      <w:r w:rsidRPr="00CD4360">
        <w:rPr>
          <w:rtl/>
        </w:rPr>
        <w:t xml:space="preserve"> </w:t>
      </w:r>
      <w:r w:rsidRPr="00CD4360">
        <w:rPr>
          <w:rFonts w:hint="eastAsia"/>
          <w:rtl/>
        </w:rPr>
        <w:t>המס</w:t>
      </w:r>
      <w:r w:rsidRPr="00CD4360">
        <w:rPr>
          <w:rtl/>
        </w:rPr>
        <w:t xml:space="preserve"> </w:t>
      </w:r>
      <w:r>
        <w:rPr>
          <w:rFonts w:hint="cs"/>
          <w:rtl/>
        </w:rPr>
        <w:t>הניצבים בפני אדם שבחר לעלות לישראל</w:t>
      </w:r>
      <w:r w:rsidRPr="00EB76DD">
        <w:rPr>
          <w:rFonts w:hint="cs"/>
          <w:rtl/>
        </w:rPr>
        <w:t>.</w:t>
      </w:r>
      <w:r>
        <w:rPr>
          <w:rFonts w:hint="cs"/>
          <w:rtl/>
        </w:rPr>
        <w:t xml:space="preserve"> אחדד עניין זה.</w:t>
      </w:r>
    </w:p>
    <w:p w:rsidR="00D81A8C" w:rsidRDefault="00D81A8C" w:rsidP="00D81A8C">
      <w:pPr>
        <w:pStyle w:val="Ruller41"/>
        <w:rPr>
          <w:rtl/>
        </w:rPr>
      </w:pPr>
    </w:p>
    <w:p w:rsidR="00D81A8C" w:rsidRDefault="00D81A8C" w:rsidP="00D81A8C">
      <w:pPr>
        <w:pStyle w:val="Ruller4"/>
        <w:rPr>
          <w:rtl/>
        </w:rPr>
      </w:pPr>
      <w:r>
        <w:rPr>
          <w:rFonts w:hint="cs"/>
          <w:rtl/>
        </w:rPr>
        <w:t xml:space="preserve">לצורך קביעת תחולתם של דיני המס הישראליים </w:t>
      </w:r>
      <w:r>
        <w:rPr>
          <w:rStyle w:val="default"/>
          <w:rFonts w:ascii="Century" w:hAnsi="Century" w:hint="cs"/>
          <w:sz w:val="22"/>
          <w:rtl/>
        </w:rPr>
        <w:t>(</w:t>
      </w:r>
      <w:r w:rsidRPr="00030E4F">
        <w:rPr>
          <w:rStyle w:val="default"/>
          <w:rFonts w:asciiTheme="majorBidi" w:hAnsiTheme="majorBidi" w:cstheme="majorBidi"/>
          <w:szCs w:val="32"/>
        </w:rPr>
        <w:t>Tax Jurisdiction</w:t>
      </w:r>
      <w:r>
        <w:rPr>
          <w:rStyle w:val="default"/>
          <w:rFonts w:ascii="Century" w:hAnsi="Century" w:hint="cs"/>
          <w:sz w:val="22"/>
          <w:rtl/>
        </w:rPr>
        <w:t>)</w:t>
      </w:r>
      <w:r>
        <w:rPr>
          <w:rFonts w:hint="cs"/>
          <w:rtl/>
        </w:rPr>
        <w:t xml:space="preserve">, פקודת מס הכנסה מאמצת כיום, בדומה למדינות רבות בעולם, שיטת מיסוי מעורבת המשלבת בין שני עקרונות: </w:t>
      </w:r>
      <w:r w:rsidRPr="00111BBB">
        <w:rPr>
          <w:rFonts w:ascii="Century" w:hAnsi="Century" w:hint="cs"/>
          <w:sz w:val="22"/>
          <w:rtl/>
        </w:rPr>
        <w:t>הע</w:t>
      </w:r>
      <w:r>
        <w:rPr>
          <w:rFonts w:ascii="Century" w:hAnsi="Century" w:hint="cs"/>
          <w:sz w:val="22"/>
          <w:rtl/>
        </w:rPr>
        <w:t>י</w:t>
      </w:r>
      <w:r w:rsidRPr="00111BBB">
        <w:rPr>
          <w:rFonts w:ascii="Century" w:hAnsi="Century" w:hint="cs"/>
          <w:sz w:val="22"/>
          <w:rtl/>
        </w:rPr>
        <w:t>קרון</w:t>
      </w:r>
      <w:r>
        <w:rPr>
          <w:rFonts w:ascii="Century" w:hAnsi="Century" w:cs="Miriam" w:hint="cs"/>
          <w:b/>
          <w:spacing w:val="0"/>
          <w:sz w:val="22"/>
          <w:szCs w:val="24"/>
          <w:rtl/>
        </w:rPr>
        <w:t xml:space="preserve"> ה</w:t>
      </w:r>
      <w:r w:rsidRPr="00F579F4">
        <w:rPr>
          <w:rFonts w:ascii="Century" w:hAnsi="Century" w:cs="Miriam" w:hint="cs"/>
          <w:b/>
          <w:spacing w:val="0"/>
          <w:sz w:val="22"/>
          <w:szCs w:val="24"/>
          <w:rtl/>
        </w:rPr>
        <w:t>פרסונלי</w:t>
      </w:r>
      <w:r>
        <w:rPr>
          <w:rFonts w:hint="cs"/>
          <w:rtl/>
        </w:rPr>
        <w:t xml:space="preserve"> </w:t>
      </w:r>
      <w:r>
        <w:rPr>
          <w:rtl/>
        </w:rPr>
        <w:t>–</w:t>
      </w:r>
      <w:r>
        <w:rPr>
          <w:rFonts w:hint="cs"/>
          <w:rtl/>
        </w:rPr>
        <w:t xml:space="preserve"> המבוסס על הזיקה האישית שבין הנישום למדינת ישראל; והעיקרון </w:t>
      </w:r>
      <w:r w:rsidRPr="00111BBB">
        <w:rPr>
          <w:rFonts w:ascii="Century" w:hAnsi="Century" w:cs="Miriam" w:hint="cs"/>
          <w:b/>
          <w:spacing w:val="0"/>
          <w:sz w:val="22"/>
          <w:szCs w:val="24"/>
          <w:rtl/>
        </w:rPr>
        <w:t>הט</w:t>
      </w:r>
      <w:r w:rsidRPr="00F579F4">
        <w:rPr>
          <w:rFonts w:ascii="Century" w:hAnsi="Century" w:cs="Miriam" w:hint="cs"/>
          <w:b/>
          <w:spacing w:val="0"/>
          <w:sz w:val="22"/>
          <w:szCs w:val="24"/>
          <w:rtl/>
        </w:rPr>
        <w:t>ריטוריאלי</w:t>
      </w:r>
      <w:r>
        <w:rPr>
          <w:rFonts w:hint="cs"/>
          <w:rtl/>
        </w:rPr>
        <w:t xml:space="preserve"> </w:t>
      </w:r>
      <w:r>
        <w:rPr>
          <w:rtl/>
        </w:rPr>
        <w:t>–</w:t>
      </w:r>
      <w:r>
        <w:rPr>
          <w:rFonts w:hint="cs"/>
          <w:rtl/>
        </w:rPr>
        <w:t xml:space="preserve"> המבוסס על הזיקה הגיאוגרפית שבין מקור ההכנסה </w:t>
      </w:r>
      <w:r>
        <w:rPr>
          <w:rFonts w:hint="cs"/>
          <w:rtl/>
        </w:rPr>
        <w:lastRenderedPageBreak/>
        <w:t>לבין ישראל. שיטה זו מעוגנת ברישא סעיף 2 לפקודה הקובעת כך: "</w:t>
      </w:r>
      <w:r w:rsidRPr="00F579F4">
        <w:rPr>
          <w:rFonts w:hint="eastAsia"/>
          <w:rtl/>
        </w:rPr>
        <w:t>מס</w:t>
      </w:r>
      <w:r w:rsidRPr="00F579F4">
        <w:rPr>
          <w:rtl/>
        </w:rPr>
        <w:t xml:space="preserve"> </w:t>
      </w:r>
      <w:r w:rsidRPr="00F579F4">
        <w:rPr>
          <w:rFonts w:hint="eastAsia"/>
          <w:rtl/>
        </w:rPr>
        <w:t>הכנסה</w:t>
      </w:r>
      <w:r w:rsidRPr="00F579F4">
        <w:rPr>
          <w:rtl/>
        </w:rPr>
        <w:t xml:space="preserve"> </w:t>
      </w:r>
      <w:r w:rsidRPr="00F579F4">
        <w:rPr>
          <w:rFonts w:hint="eastAsia"/>
          <w:rtl/>
        </w:rPr>
        <w:t>יהא</w:t>
      </w:r>
      <w:r w:rsidRPr="00F579F4">
        <w:rPr>
          <w:rtl/>
        </w:rPr>
        <w:t xml:space="preserve"> </w:t>
      </w:r>
      <w:r w:rsidRPr="00F579F4">
        <w:rPr>
          <w:rFonts w:hint="eastAsia"/>
          <w:rtl/>
        </w:rPr>
        <w:t>משתלם</w:t>
      </w:r>
      <w:r>
        <w:rPr>
          <w:rFonts w:hint="cs"/>
          <w:rtl/>
        </w:rPr>
        <w:t xml:space="preserve"> [...]</w:t>
      </w:r>
      <w:r w:rsidRPr="00F579F4">
        <w:rPr>
          <w:rtl/>
        </w:rPr>
        <w:t xml:space="preserve"> </w:t>
      </w:r>
      <w:r w:rsidRPr="00F579F4">
        <w:rPr>
          <w:rFonts w:hint="eastAsia"/>
          <w:rtl/>
        </w:rPr>
        <w:t>על</w:t>
      </w:r>
      <w:r w:rsidRPr="00F579F4">
        <w:rPr>
          <w:rtl/>
        </w:rPr>
        <w:t xml:space="preserve"> </w:t>
      </w:r>
      <w:r w:rsidRPr="00F579F4">
        <w:rPr>
          <w:rFonts w:ascii="Century" w:hAnsi="Century" w:cs="Miriam" w:hint="eastAsia"/>
          <w:b/>
          <w:spacing w:val="0"/>
          <w:sz w:val="22"/>
          <w:szCs w:val="24"/>
          <w:rtl/>
        </w:rPr>
        <w:t>הכנסתו</w:t>
      </w:r>
      <w:r w:rsidRPr="00F579F4">
        <w:rPr>
          <w:rFonts w:ascii="Century" w:hAnsi="Century" w:cs="Miriam"/>
          <w:b/>
          <w:spacing w:val="0"/>
          <w:sz w:val="22"/>
          <w:szCs w:val="24"/>
          <w:rtl/>
        </w:rPr>
        <w:t xml:space="preserve"> </w:t>
      </w:r>
      <w:r w:rsidRPr="00F579F4">
        <w:rPr>
          <w:rFonts w:ascii="Century" w:hAnsi="Century" w:cs="Miriam" w:hint="eastAsia"/>
          <w:b/>
          <w:spacing w:val="0"/>
          <w:sz w:val="22"/>
          <w:szCs w:val="24"/>
          <w:rtl/>
        </w:rPr>
        <w:t>של</w:t>
      </w:r>
      <w:r w:rsidRPr="00F579F4">
        <w:rPr>
          <w:rFonts w:ascii="Century" w:hAnsi="Century" w:cs="Miriam"/>
          <w:b/>
          <w:spacing w:val="0"/>
          <w:sz w:val="22"/>
          <w:szCs w:val="24"/>
          <w:rtl/>
        </w:rPr>
        <w:t xml:space="preserve"> </w:t>
      </w:r>
      <w:r w:rsidRPr="00F579F4">
        <w:rPr>
          <w:rFonts w:ascii="Century" w:hAnsi="Century" w:cs="Miriam" w:hint="eastAsia"/>
          <w:b/>
          <w:spacing w:val="0"/>
          <w:sz w:val="22"/>
          <w:szCs w:val="24"/>
          <w:rtl/>
        </w:rPr>
        <w:t>אדם</w:t>
      </w:r>
      <w:r w:rsidRPr="00F579F4">
        <w:rPr>
          <w:rFonts w:ascii="Century" w:hAnsi="Century" w:cs="Miriam"/>
          <w:b/>
          <w:spacing w:val="0"/>
          <w:sz w:val="22"/>
          <w:szCs w:val="24"/>
          <w:rtl/>
        </w:rPr>
        <w:t xml:space="preserve"> </w:t>
      </w:r>
      <w:r w:rsidRPr="00F579F4">
        <w:rPr>
          <w:rFonts w:ascii="Century" w:hAnsi="Century" w:cs="Miriam" w:hint="eastAsia"/>
          <w:b/>
          <w:spacing w:val="0"/>
          <w:sz w:val="22"/>
          <w:szCs w:val="24"/>
          <w:rtl/>
        </w:rPr>
        <w:t>תושב</w:t>
      </w:r>
      <w:r w:rsidRPr="00F579F4">
        <w:rPr>
          <w:rFonts w:ascii="Century" w:hAnsi="Century" w:cs="Miriam"/>
          <w:b/>
          <w:spacing w:val="0"/>
          <w:sz w:val="22"/>
          <w:szCs w:val="24"/>
          <w:rtl/>
        </w:rPr>
        <w:t xml:space="preserve"> </w:t>
      </w:r>
      <w:r w:rsidRPr="00F579F4">
        <w:rPr>
          <w:rFonts w:ascii="Century" w:hAnsi="Century" w:cs="Miriam" w:hint="eastAsia"/>
          <w:b/>
          <w:spacing w:val="0"/>
          <w:sz w:val="22"/>
          <w:szCs w:val="24"/>
          <w:rtl/>
        </w:rPr>
        <w:t>ישראל</w:t>
      </w:r>
      <w:r w:rsidRPr="00F579F4">
        <w:rPr>
          <w:rtl/>
        </w:rPr>
        <w:t xml:space="preserve"> </w:t>
      </w:r>
      <w:r w:rsidRPr="00F579F4">
        <w:rPr>
          <w:rFonts w:hint="eastAsia"/>
          <w:rtl/>
        </w:rPr>
        <w:t>שהופקה</w:t>
      </w:r>
      <w:r w:rsidRPr="00F579F4">
        <w:rPr>
          <w:rtl/>
        </w:rPr>
        <w:t xml:space="preserve"> </w:t>
      </w:r>
      <w:r w:rsidRPr="00F579F4">
        <w:rPr>
          <w:rFonts w:hint="eastAsia"/>
          <w:rtl/>
        </w:rPr>
        <w:t>או</w:t>
      </w:r>
      <w:r w:rsidRPr="00F579F4">
        <w:rPr>
          <w:rtl/>
        </w:rPr>
        <w:t xml:space="preserve"> </w:t>
      </w:r>
      <w:r w:rsidRPr="00F579F4">
        <w:rPr>
          <w:rFonts w:hint="eastAsia"/>
          <w:rtl/>
        </w:rPr>
        <w:t>שנצמחה</w:t>
      </w:r>
      <w:r w:rsidRPr="00F579F4">
        <w:rPr>
          <w:rtl/>
        </w:rPr>
        <w:t xml:space="preserve"> </w:t>
      </w:r>
      <w:r w:rsidRPr="00F579F4">
        <w:rPr>
          <w:rFonts w:hint="eastAsia"/>
          <w:rtl/>
        </w:rPr>
        <w:t>בישראל</w:t>
      </w:r>
      <w:r w:rsidRPr="00F579F4">
        <w:rPr>
          <w:rtl/>
        </w:rPr>
        <w:t xml:space="preserve"> </w:t>
      </w:r>
      <w:r w:rsidRPr="00F579F4">
        <w:rPr>
          <w:rFonts w:hint="eastAsia"/>
          <w:rtl/>
        </w:rPr>
        <w:t>או</w:t>
      </w:r>
      <w:r w:rsidRPr="00F579F4">
        <w:rPr>
          <w:rtl/>
        </w:rPr>
        <w:t xml:space="preserve"> </w:t>
      </w:r>
      <w:r w:rsidRPr="00F579F4">
        <w:rPr>
          <w:rFonts w:hint="eastAsia"/>
          <w:rtl/>
        </w:rPr>
        <w:t>מחוץ</w:t>
      </w:r>
      <w:r w:rsidRPr="00F579F4">
        <w:rPr>
          <w:rtl/>
        </w:rPr>
        <w:t xml:space="preserve"> </w:t>
      </w:r>
      <w:r w:rsidRPr="00F579F4">
        <w:rPr>
          <w:rFonts w:hint="eastAsia"/>
          <w:rtl/>
        </w:rPr>
        <w:t>לישראל</w:t>
      </w:r>
      <w:r w:rsidRPr="00F579F4">
        <w:rPr>
          <w:rtl/>
        </w:rPr>
        <w:t xml:space="preserve"> </w:t>
      </w:r>
      <w:r w:rsidRPr="00F579F4">
        <w:rPr>
          <w:rFonts w:hint="eastAsia"/>
          <w:rtl/>
        </w:rPr>
        <w:t>ועל</w:t>
      </w:r>
      <w:r w:rsidRPr="00F579F4">
        <w:rPr>
          <w:rtl/>
        </w:rPr>
        <w:t xml:space="preserve"> </w:t>
      </w:r>
      <w:r w:rsidRPr="00F579F4">
        <w:rPr>
          <w:rFonts w:ascii="Century" w:hAnsi="Century" w:cs="Miriam" w:hint="eastAsia"/>
          <w:b/>
          <w:spacing w:val="0"/>
          <w:sz w:val="22"/>
          <w:szCs w:val="24"/>
          <w:rtl/>
        </w:rPr>
        <w:t>הכנסתו</w:t>
      </w:r>
      <w:r w:rsidRPr="00F579F4">
        <w:rPr>
          <w:rtl/>
        </w:rPr>
        <w:t xml:space="preserve"> </w:t>
      </w:r>
      <w:r w:rsidRPr="00F579F4">
        <w:rPr>
          <w:rFonts w:hint="eastAsia"/>
          <w:rtl/>
        </w:rPr>
        <w:t>של</w:t>
      </w:r>
      <w:r w:rsidRPr="00F579F4">
        <w:rPr>
          <w:rtl/>
        </w:rPr>
        <w:t xml:space="preserve"> </w:t>
      </w:r>
      <w:r w:rsidRPr="00F579F4">
        <w:rPr>
          <w:rFonts w:hint="eastAsia"/>
          <w:rtl/>
        </w:rPr>
        <w:t>אדם</w:t>
      </w:r>
      <w:r w:rsidRPr="00F579F4">
        <w:rPr>
          <w:rtl/>
        </w:rPr>
        <w:t xml:space="preserve"> </w:t>
      </w:r>
      <w:r w:rsidRPr="00F579F4">
        <w:rPr>
          <w:rFonts w:hint="eastAsia"/>
          <w:rtl/>
        </w:rPr>
        <w:t>תושב</w:t>
      </w:r>
      <w:r w:rsidRPr="00F579F4">
        <w:rPr>
          <w:rtl/>
        </w:rPr>
        <w:t xml:space="preserve"> </w:t>
      </w:r>
      <w:r w:rsidRPr="00F579F4">
        <w:rPr>
          <w:rFonts w:hint="eastAsia"/>
          <w:rtl/>
        </w:rPr>
        <w:t>חוץ</w:t>
      </w:r>
      <w:r w:rsidRPr="00F579F4">
        <w:rPr>
          <w:rtl/>
        </w:rPr>
        <w:t xml:space="preserve"> </w:t>
      </w:r>
      <w:r w:rsidRPr="00F579F4">
        <w:rPr>
          <w:rFonts w:ascii="Century" w:hAnsi="Century" w:cs="Miriam" w:hint="eastAsia"/>
          <w:b/>
          <w:spacing w:val="0"/>
          <w:sz w:val="22"/>
          <w:szCs w:val="24"/>
          <w:rtl/>
        </w:rPr>
        <w:t>שהופקה</w:t>
      </w:r>
      <w:r w:rsidRPr="00F579F4">
        <w:rPr>
          <w:rFonts w:ascii="Century" w:hAnsi="Century" w:cs="Miriam"/>
          <w:b/>
          <w:spacing w:val="0"/>
          <w:sz w:val="22"/>
          <w:szCs w:val="24"/>
          <w:rtl/>
        </w:rPr>
        <w:t xml:space="preserve"> </w:t>
      </w:r>
      <w:r w:rsidRPr="00F579F4">
        <w:rPr>
          <w:rFonts w:ascii="Century" w:hAnsi="Century" w:cs="Miriam" w:hint="eastAsia"/>
          <w:b/>
          <w:spacing w:val="0"/>
          <w:sz w:val="22"/>
          <w:szCs w:val="24"/>
          <w:rtl/>
        </w:rPr>
        <w:t>או</w:t>
      </w:r>
      <w:r w:rsidRPr="00F579F4">
        <w:rPr>
          <w:rFonts w:ascii="Century" w:hAnsi="Century" w:cs="Miriam"/>
          <w:b/>
          <w:spacing w:val="0"/>
          <w:sz w:val="22"/>
          <w:szCs w:val="24"/>
          <w:rtl/>
        </w:rPr>
        <w:t xml:space="preserve"> </w:t>
      </w:r>
      <w:r w:rsidRPr="00F579F4">
        <w:rPr>
          <w:rFonts w:ascii="Century" w:hAnsi="Century" w:cs="Miriam" w:hint="eastAsia"/>
          <w:b/>
          <w:spacing w:val="0"/>
          <w:sz w:val="22"/>
          <w:szCs w:val="24"/>
          <w:rtl/>
        </w:rPr>
        <w:t>שנצמחה</w:t>
      </w:r>
      <w:r w:rsidRPr="00F579F4">
        <w:rPr>
          <w:rFonts w:ascii="Century" w:hAnsi="Century" w:cs="Miriam"/>
          <w:b/>
          <w:spacing w:val="0"/>
          <w:sz w:val="22"/>
          <w:szCs w:val="24"/>
          <w:rtl/>
        </w:rPr>
        <w:t xml:space="preserve"> </w:t>
      </w:r>
      <w:r w:rsidRPr="00F579F4">
        <w:rPr>
          <w:rFonts w:ascii="Century" w:hAnsi="Century" w:cs="Miriam" w:hint="eastAsia"/>
          <w:b/>
          <w:spacing w:val="0"/>
          <w:sz w:val="22"/>
          <w:szCs w:val="24"/>
          <w:rtl/>
        </w:rPr>
        <w:t>בישראל</w:t>
      </w:r>
      <w:r>
        <w:rPr>
          <w:rFonts w:hint="cs"/>
          <w:rtl/>
        </w:rPr>
        <w:t xml:space="preserve">" [ההדגשה אינה במקור]. לאמור, על פי הפקודה, חבות במס תחול הן על הכנסה שהופקה על ידי תושב ישראל (אפילו אם ההכנסה עצמה הופקה מחוץ לישראל) והן על הכנסה שהופקה בישראל (אפילו אם הנישום אינו תושב ישראל). </w:t>
      </w:r>
    </w:p>
    <w:p w:rsidR="00D81A8C" w:rsidRDefault="00D81A8C" w:rsidP="00D81A8C">
      <w:pPr>
        <w:pStyle w:val="Ruller4"/>
        <w:numPr>
          <w:ilvl w:val="0"/>
          <w:numId w:val="0"/>
        </w:numPr>
        <w:rPr>
          <w:rtl/>
        </w:rPr>
      </w:pPr>
    </w:p>
    <w:p w:rsidR="00D81A8C" w:rsidRDefault="00D81A8C" w:rsidP="00D81A8C">
      <w:pPr>
        <w:pStyle w:val="Ruller4"/>
        <w:numPr>
          <w:ilvl w:val="0"/>
          <w:numId w:val="0"/>
        </w:numPr>
        <w:rPr>
          <w:rtl/>
        </w:rPr>
      </w:pPr>
      <w:r>
        <w:rPr>
          <w:rtl/>
        </w:rPr>
        <w:tab/>
      </w:r>
      <w:r w:rsidR="00533E69">
        <w:rPr>
          <w:rFonts w:hint="cs"/>
          <w:rtl/>
        </w:rPr>
        <w:t xml:space="preserve">יצוין כי </w:t>
      </w:r>
      <w:r>
        <w:rPr>
          <w:rFonts w:hint="cs"/>
          <w:rtl/>
        </w:rPr>
        <w:t xml:space="preserve">לא </w:t>
      </w:r>
      <w:r w:rsidR="00533E69">
        <w:rPr>
          <w:rFonts w:hint="cs"/>
          <w:rtl/>
        </w:rPr>
        <w:t xml:space="preserve">זו </w:t>
      </w:r>
      <w:r>
        <w:rPr>
          <w:rFonts w:hint="cs"/>
          <w:rtl/>
        </w:rPr>
        <w:t>הייתה השיטה הנוהגת בישראל מימים ימימה. במקור, שיטת המס אשר נהגה בישראל אימצה בעיקרה (בכפוף למספר חריגים) את העיקרון הטריטוריאלי (</w:t>
      </w:r>
      <w:r w:rsidRPr="00D013F2">
        <w:rPr>
          <w:rFonts w:ascii="Times New Roman" w:hAnsi="Times New Roman"/>
          <w:rtl/>
        </w:rPr>
        <w:t xml:space="preserve">לפיו שולם מס על הכנסה </w:t>
      </w:r>
      <w:r w:rsidRPr="00D013F2">
        <w:rPr>
          <w:rFonts w:ascii="Century" w:hAnsi="Century" w:cs="Miriam"/>
          <w:b/>
          <w:spacing w:val="0"/>
          <w:sz w:val="22"/>
          <w:szCs w:val="24"/>
          <w:rtl/>
        </w:rPr>
        <w:t>"שנצמחה, שהופקה או שנתקבלה בישראל"</w:t>
      </w:r>
      <w:r w:rsidRPr="00D013F2">
        <w:rPr>
          <w:rFonts w:ascii="Times New Roman" w:hAnsi="Times New Roman" w:hint="cs"/>
          <w:rtl/>
        </w:rPr>
        <w:t>)</w:t>
      </w:r>
      <w:r>
        <w:rPr>
          <w:rFonts w:hint="cs"/>
          <w:rtl/>
        </w:rPr>
        <w:t xml:space="preserve">, אך בשנת 2003, בעקבות תיקון 132, הורחבה השיטה גם למיסוי על בסיס אישי, בנוסף למיסוי הטריטוריאלי שנהג לפני כן (דברי ההסבר לתיקון 132, בעמ' 772; </w:t>
      </w:r>
      <w:r w:rsidRPr="00D013F2">
        <w:rPr>
          <w:rFonts w:ascii="Arimo" w:hAnsi="Arimo"/>
          <w:rtl/>
        </w:rPr>
        <w:t>ע</w:t>
      </w:r>
      <w:r w:rsidRPr="00D013F2">
        <w:rPr>
          <w:rFonts w:ascii="Arimo" w:hAnsi="Arimo" w:hint="cs"/>
          <w:rtl/>
        </w:rPr>
        <w:t>"</w:t>
      </w:r>
      <w:r w:rsidRPr="00D013F2">
        <w:rPr>
          <w:rFonts w:ascii="Arimo" w:hAnsi="Arimo"/>
          <w:rtl/>
        </w:rPr>
        <w:t xml:space="preserve">א 477/02 </w:t>
      </w:r>
      <w:r w:rsidRPr="00D013F2">
        <w:rPr>
          <w:rFonts w:ascii="Century" w:hAnsi="Century" w:cs="Miriam"/>
          <w:b/>
          <w:spacing w:val="0"/>
          <w:sz w:val="22"/>
          <w:szCs w:val="24"/>
          <w:rtl/>
        </w:rPr>
        <w:t>גונן נ' פקיד שומה חיפה</w:t>
      </w:r>
      <w:r>
        <w:rPr>
          <w:rFonts w:hint="cs"/>
          <w:rtl/>
        </w:rPr>
        <w:t xml:space="preserve">, פסקה 7 (29.12.2005); </w:t>
      </w:r>
      <w:r w:rsidRPr="000F55D0">
        <w:rPr>
          <w:rFonts w:hint="eastAsia"/>
          <w:rtl/>
        </w:rPr>
        <w:t>ע</w:t>
      </w:r>
      <w:r w:rsidRPr="000F55D0">
        <w:rPr>
          <w:rtl/>
        </w:rPr>
        <w:t>"</w:t>
      </w:r>
      <w:r w:rsidRPr="000F55D0">
        <w:rPr>
          <w:rFonts w:hint="eastAsia"/>
          <w:rtl/>
        </w:rPr>
        <w:t>א</w:t>
      </w:r>
      <w:r w:rsidRPr="000F55D0">
        <w:rPr>
          <w:rtl/>
        </w:rPr>
        <w:t xml:space="preserve"> 4862/13 </w:t>
      </w:r>
      <w:r w:rsidRPr="00D013F2">
        <w:rPr>
          <w:rFonts w:ascii="Century" w:hAnsi="Century" w:cs="Miriam" w:hint="eastAsia"/>
          <w:b/>
          <w:spacing w:val="0"/>
          <w:sz w:val="22"/>
          <w:szCs w:val="24"/>
          <w:rtl/>
        </w:rPr>
        <w:t>פקיד</w:t>
      </w:r>
      <w:r w:rsidRPr="00D013F2">
        <w:rPr>
          <w:rFonts w:ascii="Century" w:hAnsi="Century" w:cs="Miriam"/>
          <w:b/>
          <w:spacing w:val="0"/>
          <w:sz w:val="22"/>
          <w:szCs w:val="24"/>
          <w:rtl/>
        </w:rPr>
        <w:t xml:space="preserve"> </w:t>
      </w:r>
      <w:r w:rsidRPr="00D013F2">
        <w:rPr>
          <w:rFonts w:ascii="Century" w:hAnsi="Century" w:cs="Miriam" w:hint="eastAsia"/>
          <w:b/>
          <w:spacing w:val="0"/>
          <w:sz w:val="22"/>
          <w:szCs w:val="24"/>
          <w:rtl/>
        </w:rPr>
        <w:t>שומה</w:t>
      </w:r>
      <w:r w:rsidRPr="00D013F2">
        <w:rPr>
          <w:rFonts w:ascii="Century" w:hAnsi="Century" w:cs="Miriam"/>
          <w:b/>
          <w:spacing w:val="0"/>
          <w:sz w:val="22"/>
          <w:szCs w:val="24"/>
          <w:rtl/>
        </w:rPr>
        <w:t xml:space="preserve"> </w:t>
      </w:r>
      <w:r w:rsidRPr="00D013F2">
        <w:rPr>
          <w:rFonts w:ascii="Century" w:hAnsi="Century" w:cs="Miriam" w:hint="eastAsia"/>
          <w:b/>
          <w:spacing w:val="0"/>
          <w:sz w:val="22"/>
          <w:szCs w:val="24"/>
          <w:rtl/>
        </w:rPr>
        <w:t>כפר</w:t>
      </w:r>
      <w:r w:rsidRPr="00D013F2">
        <w:rPr>
          <w:rFonts w:ascii="Century" w:hAnsi="Century" w:cs="Miriam"/>
          <w:b/>
          <w:spacing w:val="0"/>
          <w:sz w:val="22"/>
          <w:szCs w:val="24"/>
          <w:rtl/>
        </w:rPr>
        <w:t xml:space="preserve"> </w:t>
      </w:r>
      <w:r w:rsidRPr="00D013F2">
        <w:rPr>
          <w:rFonts w:ascii="Century" w:hAnsi="Century" w:cs="Miriam" w:hint="eastAsia"/>
          <w:b/>
          <w:spacing w:val="0"/>
          <w:sz w:val="22"/>
          <w:szCs w:val="24"/>
          <w:rtl/>
        </w:rPr>
        <w:t>סבא</w:t>
      </w:r>
      <w:r w:rsidRPr="00D013F2">
        <w:rPr>
          <w:rFonts w:ascii="Century" w:hAnsi="Century" w:cs="Miriam"/>
          <w:b/>
          <w:spacing w:val="0"/>
          <w:sz w:val="22"/>
          <w:szCs w:val="24"/>
          <w:rtl/>
        </w:rPr>
        <w:t xml:space="preserve"> </w:t>
      </w:r>
      <w:r w:rsidRPr="00D013F2">
        <w:rPr>
          <w:rFonts w:ascii="Century" w:hAnsi="Century" w:cs="Miriam" w:hint="eastAsia"/>
          <w:b/>
          <w:spacing w:val="0"/>
          <w:sz w:val="22"/>
          <w:szCs w:val="24"/>
          <w:rtl/>
        </w:rPr>
        <w:t>נ</w:t>
      </w:r>
      <w:r w:rsidRPr="00D013F2">
        <w:rPr>
          <w:rFonts w:ascii="Century" w:hAnsi="Century" w:cs="Miriam"/>
          <w:b/>
          <w:spacing w:val="0"/>
          <w:sz w:val="22"/>
          <w:szCs w:val="24"/>
          <w:rtl/>
        </w:rPr>
        <w:t xml:space="preserve">' </w:t>
      </w:r>
      <w:r w:rsidRPr="00D013F2">
        <w:rPr>
          <w:rFonts w:ascii="Century" w:hAnsi="Century" w:cs="Miriam" w:hint="eastAsia"/>
          <w:b/>
          <w:spacing w:val="0"/>
          <w:sz w:val="22"/>
          <w:szCs w:val="24"/>
          <w:rtl/>
        </w:rPr>
        <w:t>ספיר</w:t>
      </w:r>
      <w:r>
        <w:rPr>
          <w:rFonts w:hint="cs"/>
          <w:rtl/>
        </w:rPr>
        <w:t>, פסקה 5</w:t>
      </w:r>
      <w:r w:rsidRPr="000F55D0">
        <w:rPr>
          <w:rtl/>
        </w:rPr>
        <w:t xml:space="preserve"> (20.</w:t>
      </w:r>
      <w:r>
        <w:rPr>
          <w:rFonts w:hint="cs"/>
          <w:rtl/>
        </w:rPr>
        <w:t>5</w:t>
      </w:r>
      <w:r w:rsidRPr="000F55D0">
        <w:rPr>
          <w:rtl/>
        </w:rPr>
        <w:t>.2014)</w:t>
      </w:r>
      <w:r>
        <w:rPr>
          <w:rFonts w:hint="cs"/>
          <w:rtl/>
        </w:rPr>
        <w:t xml:space="preserve">; </w:t>
      </w:r>
      <w:r w:rsidRPr="00D013F2">
        <w:rPr>
          <w:rFonts w:ascii="Arimo" w:hAnsi="Arimo"/>
          <w:rtl/>
        </w:rPr>
        <w:t>ע</w:t>
      </w:r>
      <w:r w:rsidRPr="00D013F2">
        <w:rPr>
          <w:rFonts w:ascii="Arimo" w:hAnsi="Arimo" w:hint="cs"/>
          <w:rtl/>
        </w:rPr>
        <w:t>"</w:t>
      </w:r>
      <w:r w:rsidRPr="00D013F2">
        <w:rPr>
          <w:rFonts w:ascii="Arimo" w:hAnsi="Arimo"/>
          <w:rtl/>
        </w:rPr>
        <w:t xml:space="preserve">א 3328/15 </w:t>
      </w:r>
      <w:r w:rsidRPr="00D013F2">
        <w:rPr>
          <w:rFonts w:ascii="Century" w:hAnsi="Century" w:cs="Miriam"/>
          <w:b/>
          <w:spacing w:val="0"/>
          <w:sz w:val="22"/>
          <w:szCs w:val="24"/>
          <w:rtl/>
        </w:rPr>
        <w:t>פלוני נ' פקיד שומה אשקלון</w:t>
      </w:r>
      <w:r w:rsidRPr="00D013F2">
        <w:rPr>
          <w:rFonts w:ascii="Arimo" w:hAnsi="Arimo" w:hint="cs"/>
          <w:rtl/>
        </w:rPr>
        <w:t>, פסקה 11</w:t>
      </w:r>
      <w:r>
        <w:rPr>
          <w:rFonts w:hint="cs"/>
          <w:rtl/>
        </w:rPr>
        <w:t xml:space="preserve"> (</w:t>
      </w:r>
      <w:r w:rsidRPr="00545F99">
        <w:rPr>
          <w:rFonts w:hint="cs"/>
          <w:rtl/>
        </w:rPr>
        <w:t>22.2.2017);</w:t>
      </w:r>
      <w:r w:rsidRPr="00545F99">
        <w:rPr>
          <w:rFonts w:ascii="FrankRuehl" w:hAnsi="FrankRuehl"/>
          <w:sz w:val="28"/>
          <w:rtl/>
        </w:rPr>
        <w:t xml:space="preserve"> דוח הוועדה לרפורמה במס הכנסה</w:t>
      </w:r>
      <w:r w:rsidRPr="00545F99">
        <w:rPr>
          <w:rFonts w:ascii="FrankRuehl" w:hAnsi="FrankRuehl" w:hint="cs"/>
          <w:sz w:val="28"/>
          <w:rtl/>
        </w:rPr>
        <w:t xml:space="preserve"> 82-81</w:t>
      </w:r>
      <w:r w:rsidRPr="00545F99">
        <w:rPr>
          <w:rFonts w:ascii="FrankRuehl" w:hAnsi="FrankRuehl"/>
          <w:sz w:val="28"/>
          <w:rtl/>
        </w:rPr>
        <w:t xml:space="preserve"> (</w:t>
      </w:r>
      <w:r w:rsidRPr="00545F99">
        <w:rPr>
          <w:rFonts w:ascii="FrankRuehl" w:hAnsi="FrankRuehl" w:hint="cs"/>
          <w:sz w:val="28"/>
          <w:rtl/>
        </w:rPr>
        <w:t>2002</w:t>
      </w:r>
      <w:r w:rsidRPr="00545F99">
        <w:rPr>
          <w:rFonts w:ascii="FrankRuehl" w:hAnsi="FrankRuehl"/>
          <w:sz w:val="28"/>
          <w:rtl/>
        </w:rPr>
        <w:t>)</w:t>
      </w:r>
      <w:r w:rsidRPr="00545F99">
        <w:rPr>
          <w:rFonts w:hint="cs"/>
          <w:rtl/>
        </w:rPr>
        <w:t>;</w:t>
      </w:r>
      <w:r>
        <w:rPr>
          <w:rFonts w:hint="cs"/>
          <w:rtl/>
        </w:rPr>
        <w:t xml:space="preserve"> </w:t>
      </w:r>
      <w:proofErr w:type="spellStart"/>
      <w:r w:rsidRPr="00545F99">
        <w:rPr>
          <w:rFonts w:ascii="Century" w:hAnsi="Century" w:cs="Miriam" w:hint="cs"/>
          <w:b/>
          <w:spacing w:val="0"/>
          <w:sz w:val="22"/>
          <w:szCs w:val="24"/>
          <w:rtl/>
        </w:rPr>
        <w:t>נמדר</w:t>
      </w:r>
      <w:proofErr w:type="spellEnd"/>
      <w:r>
        <w:rPr>
          <w:rFonts w:hint="cs"/>
          <w:rtl/>
        </w:rPr>
        <w:t>, בעמ' 66-65</w:t>
      </w:r>
      <w:r>
        <w:rPr>
          <w:rFonts w:ascii="FrankRuehl" w:hAnsi="FrankRuehl" w:hint="cs"/>
          <w:sz w:val="28"/>
          <w:rtl/>
        </w:rPr>
        <w:t>)</w:t>
      </w:r>
      <w:r>
        <w:rPr>
          <w:rFonts w:hint="cs"/>
          <w:rtl/>
        </w:rPr>
        <w:t xml:space="preserve">. </w:t>
      </w:r>
    </w:p>
    <w:p w:rsidR="00D81A8C" w:rsidRDefault="00D81A8C" w:rsidP="00D81A8C">
      <w:pPr>
        <w:pStyle w:val="Ruller41"/>
        <w:rPr>
          <w:rtl/>
        </w:rPr>
      </w:pPr>
    </w:p>
    <w:p w:rsidR="00D81A8C" w:rsidRDefault="00D81A8C" w:rsidP="00D81A8C">
      <w:pPr>
        <w:pStyle w:val="Ruller4"/>
        <w:rPr>
          <w:rtl/>
        </w:rPr>
      </w:pPr>
      <w:r>
        <w:rPr>
          <w:rFonts w:hint="cs"/>
          <w:rtl/>
        </w:rPr>
        <w:t xml:space="preserve">אם כן, על פי פקודת מס הכנסה </w:t>
      </w:r>
      <w:r w:rsidRPr="005F19DD">
        <w:rPr>
          <w:rFonts w:ascii="Century" w:hAnsi="Century" w:cs="Miriam" w:hint="cs"/>
          <w:b/>
          <w:spacing w:val="0"/>
          <w:sz w:val="22"/>
          <w:szCs w:val="24"/>
          <w:rtl/>
        </w:rPr>
        <w:t>תושב ישראל</w:t>
      </w:r>
      <w:r w:rsidRPr="005F19DD">
        <w:rPr>
          <w:rFonts w:hint="cs"/>
          <w:rtl/>
        </w:rPr>
        <w:t xml:space="preserve"> </w:t>
      </w:r>
      <w:r>
        <w:rPr>
          <w:rFonts w:hint="cs"/>
          <w:rtl/>
        </w:rPr>
        <w:t xml:space="preserve">חייב במס על הכנסה, בין אם היא הופקה בישראל ובין אם היא הופקה מחוץ לישראל. לעומת זאת, </w:t>
      </w:r>
      <w:r w:rsidRPr="005F19DD">
        <w:rPr>
          <w:rFonts w:ascii="Century" w:hAnsi="Century" w:cs="Miriam" w:hint="cs"/>
          <w:b/>
          <w:spacing w:val="0"/>
          <w:sz w:val="22"/>
          <w:szCs w:val="24"/>
          <w:rtl/>
        </w:rPr>
        <w:t>תושב זר</w:t>
      </w:r>
      <w:r w:rsidRPr="005F19DD">
        <w:rPr>
          <w:rFonts w:hint="cs"/>
          <w:rtl/>
        </w:rPr>
        <w:t xml:space="preserve"> </w:t>
      </w:r>
      <w:r>
        <w:rPr>
          <w:rFonts w:hint="cs"/>
          <w:rtl/>
        </w:rPr>
        <w:t xml:space="preserve">חייב במס רק על הכנסה שהופקה בישראל. ההרחבה שבתיקון 132 </w:t>
      </w:r>
      <w:r>
        <w:rPr>
          <w:rtl/>
        </w:rPr>
        <w:t>–</w:t>
      </w:r>
      <w:r>
        <w:rPr>
          <w:rFonts w:hint="cs"/>
          <w:rtl/>
        </w:rPr>
        <w:t xml:space="preserve"> דהיינו, חיוב תושב ישראל במס גם על הכנסה שהופקה מחוץ לישראל </w:t>
      </w:r>
      <w:r>
        <w:rPr>
          <w:rtl/>
        </w:rPr>
        <w:t>–</w:t>
      </w:r>
      <w:r>
        <w:rPr>
          <w:rFonts w:hint="cs"/>
          <w:rtl/>
        </w:rPr>
        <w:t xml:space="preserve"> הובילה לכפל מיסוי בגין אותה ההכנסה, הן במדינה שבה הופקה ההכנסה (על בסיס טריטוריאלי) והן בישראל (על בסיס פרסונלי). על מנת להתמודד עם כפל המיסוי שנוצר, וכן כדי ליצור שוויון בין נישומים המפיקים הכנסות בישראל ובין נישומים המפיקים הכנסות בחו"ל, קיימים מנגנונים שונים, כגון אמנות בינלאומיות למניעת כפל מס שישראל היא צד להן וכן מתן זיכוי ממיסים ששולמו במדינה אחרת (ראו, למשל, הוראות סעיף 200 לפקודה).  על רקע האמור, במסגרת תיקון 168 ביקש המחוקק להבטיח לנישום שהוא תושב זר אדישות </w:t>
      </w:r>
      <w:proofErr w:type="spellStart"/>
      <w:r>
        <w:rPr>
          <w:rFonts w:hint="cs"/>
          <w:rtl/>
        </w:rPr>
        <w:t>מיסויית</w:t>
      </w:r>
      <w:proofErr w:type="spellEnd"/>
      <w:r>
        <w:rPr>
          <w:rFonts w:hint="cs"/>
          <w:rtl/>
        </w:rPr>
        <w:t xml:space="preserve"> למשך תקופה של 10 שנים מהמועד שהיה לתושב ישראל, כך שעצם המעבר לישראל </w:t>
      </w:r>
      <w:r>
        <w:rPr>
          <w:rtl/>
        </w:rPr>
        <w:t>–</w:t>
      </w:r>
      <w:r>
        <w:rPr>
          <w:rFonts w:hint="cs"/>
          <w:rtl/>
        </w:rPr>
        <w:t xml:space="preserve"> אשר הופך את הנישום ל"תושב ישראל" </w:t>
      </w:r>
      <w:r>
        <w:rPr>
          <w:rtl/>
        </w:rPr>
        <w:t>–</w:t>
      </w:r>
      <w:r>
        <w:rPr>
          <w:rFonts w:hint="cs"/>
          <w:rtl/>
        </w:rPr>
        <w:t xml:space="preserve"> </w:t>
      </w:r>
      <w:r w:rsidRPr="005F19DD">
        <w:rPr>
          <w:rFonts w:ascii="FrankRuehl" w:hAnsi="FrankRuehl" w:hint="cs"/>
          <w:sz w:val="28"/>
          <w:rtl/>
        </w:rPr>
        <w:t xml:space="preserve">לא יוביל </w:t>
      </w:r>
      <w:r w:rsidRPr="005F19DD">
        <w:rPr>
          <w:rFonts w:ascii="FrankRuehl" w:hAnsi="FrankRuehl"/>
          <w:sz w:val="28"/>
          <w:rtl/>
        </w:rPr>
        <w:t>ל</w:t>
      </w:r>
      <w:r w:rsidRPr="005F19DD">
        <w:rPr>
          <w:rFonts w:ascii="FrankRuehl" w:hAnsi="FrankRuehl" w:hint="cs"/>
          <w:sz w:val="28"/>
          <w:rtl/>
        </w:rPr>
        <w:t>שינוי ב</w:t>
      </w:r>
      <w:r w:rsidRPr="005F19DD">
        <w:rPr>
          <w:rFonts w:ascii="FrankRuehl" w:hAnsi="FrankRuehl"/>
          <w:sz w:val="28"/>
          <w:rtl/>
        </w:rPr>
        <w:t xml:space="preserve">נטל המס </w:t>
      </w:r>
      <w:r w:rsidRPr="005F19DD">
        <w:rPr>
          <w:rFonts w:ascii="FrankRuehl" w:hAnsi="FrankRuehl" w:hint="cs"/>
          <w:sz w:val="28"/>
          <w:rtl/>
        </w:rPr>
        <w:t>שה</w:t>
      </w:r>
      <w:r w:rsidRPr="005F19DD">
        <w:rPr>
          <w:rFonts w:ascii="FrankRuehl" w:hAnsi="FrankRuehl"/>
          <w:sz w:val="28"/>
          <w:rtl/>
        </w:rPr>
        <w:t>וטל עליו</w:t>
      </w:r>
      <w:r>
        <w:rPr>
          <w:rFonts w:hint="cs"/>
          <w:rtl/>
        </w:rPr>
        <w:t xml:space="preserve"> כל עוד היה "תושב זר" במהלך תקופה זו.</w:t>
      </w:r>
    </w:p>
    <w:p w:rsidR="00D81A8C" w:rsidRPr="00064140" w:rsidRDefault="00D81A8C" w:rsidP="00D81A8C">
      <w:pPr>
        <w:pStyle w:val="Ruller41"/>
      </w:pPr>
    </w:p>
    <w:p w:rsidR="00D81A8C" w:rsidRDefault="00D81A8C" w:rsidP="00533E69">
      <w:pPr>
        <w:pStyle w:val="Ruller4"/>
        <w:rPr>
          <w:rFonts w:ascii="Arial TUR" w:hAnsi="Arial TUR"/>
          <w:rtl/>
        </w:rPr>
      </w:pPr>
      <w:r>
        <w:rPr>
          <w:rFonts w:hint="cs"/>
          <w:rtl/>
        </w:rPr>
        <w:t xml:space="preserve">נדגים: נניח שסם הוא תושב זר המתגורר בקנדה והוא מחזיק במניות של חברה ישראלית הפועלת בתחום הנדל"ן, אשר מדי שנה, ב-1 באפריל, מחלקת דיבידנדים לבעלי מניותיה. כמו כן, נניח שסם הוא גם הבעלים של נכס נדל"ן המצוי בקנדה, אשר </w:t>
      </w:r>
      <w:r>
        <w:rPr>
          <w:rFonts w:hint="cs"/>
          <w:rtl/>
        </w:rPr>
        <w:lastRenderedPageBreak/>
        <w:t xml:space="preserve">מדי חודש הוא מקבל בגינו דמי שכירות. על ההכנסות מהדיבידנדים אותן מקבל סם, </w:t>
      </w:r>
      <w:r w:rsidR="00533E69">
        <w:rPr>
          <w:rFonts w:hint="cs"/>
          <w:rtl/>
        </w:rPr>
        <w:t xml:space="preserve">הוא </w:t>
      </w:r>
      <w:proofErr w:type="spellStart"/>
      <w:r>
        <w:rPr>
          <w:rFonts w:hint="cs"/>
          <w:rtl/>
        </w:rPr>
        <w:t>יחוב</w:t>
      </w:r>
      <w:proofErr w:type="spellEnd"/>
      <w:r w:rsidR="00533E69">
        <w:rPr>
          <w:rFonts w:hint="cs"/>
          <w:rtl/>
        </w:rPr>
        <w:t>,</w:t>
      </w:r>
      <w:r>
        <w:rPr>
          <w:rFonts w:hint="cs"/>
          <w:rtl/>
        </w:rPr>
        <w:t xml:space="preserve"> ככל הנראה</w:t>
      </w:r>
      <w:r w:rsidR="00533E69">
        <w:rPr>
          <w:rFonts w:hint="cs"/>
          <w:rtl/>
        </w:rPr>
        <w:t>,</w:t>
      </w:r>
      <w:r>
        <w:rPr>
          <w:rFonts w:hint="cs"/>
          <w:rtl/>
        </w:rPr>
        <w:t xml:space="preserve"> במס כלפי הרשויות בישראל (ראו סעיפים 2(4) ו-4א(א)(10) לפקודה), ואולם על ההכנסות מדמי השכירות</w:t>
      </w:r>
      <w:r w:rsidR="00533E69">
        <w:rPr>
          <w:rFonts w:hint="cs"/>
          <w:rtl/>
        </w:rPr>
        <w:t xml:space="preserve"> הוא</w:t>
      </w:r>
      <w:r>
        <w:rPr>
          <w:rFonts w:hint="cs"/>
          <w:rtl/>
        </w:rPr>
        <w:t xml:space="preserve"> לא </w:t>
      </w:r>
      <w:proofErr w:type="spellStart"/>
      <w:r>
        <w:rPr>
          <w:rFonts w:hint="cs"/>
          <w:rtl/>
        </w:rPr>
        <w:t>יחוב</w:t>
      </w:r>
      <w:proofErr w:type="spellEnd"/>
      <w:r>
        <w:rPr>
          <w:rFonts w:hint="cs"/>
          <w:rtl/>
        </w:rPr>
        <w:t xml:space="preserve"> במס בישראל (ראו</w:t>
      </w:r>
      <w:r w:rsidR="00533E69">
        <w:rPr>
          <w:rFonts w:hint="cs"/>
          <w:rtl/>
        </w:rPr>
        <w:t xml:space="preserve"> סעיפים 2(6) ו-4א(א)(6) לפקודה), </w:t>
      </w:r>
      <w:r>
        <w:rPr>
          <w:rFonts w:hint="cs"/>
          <w:rtl/>
        </w:rPr>
        <w:t xml:space="preserve">אלא במדינת מושבו ובמקום </w:t>
      </w:r>
      <w:proofErr w:type="spellStart"/>
      <w:r>
        <w:rPr>
          <w:rFonts w:hint="cs"/>
          <w:rtl/>
        </w:rPr>
        <w:t>הימצא</w:t>
      </w:r>
      <w:proofErr w:type="spellEnd"/>
      <w:r>
        <w:rPr>
          <w:rFonts w:hint="cs"/>
          <w:rtl/>
        </w:rPr>
        <w:t xml:space="preserve"> הנכס </w:t>
      </w:r>
      <w:r>
        <w:rPr>
          <w:rtl/>
        </w:rPr>
        <w:t>–</w:t>
      </w:r>
      <w:r>
        <w:rPr>
          <w:rFonts w:hint="cs"/>
          <w:rtl/>
        </w:rPr>
        <w:t xml:space="preserve"> קנדה. כעת, נניח כי סם מעוניין להעתיק את מגוריו לישראל והוא עונה להגדרה עולה חדש ("תושב ישראל לראשונה"). במהלך 10 השנים הבאות, כל עוד לא ביקש אחרת, צפוי סם לקבל הטבת מס ב</w:t>
      </w:r>
      <w:r w:rsidR="00643C61">
        <w:rPr>
          <w:rFonts w:hint="cs"/>
          <w:rtl/>
        </w:rPr>
        <w:t>גין התקבולים מדמי השכירות שמקורם</w:t>
      </w:r>
      <w:r>
        <w:rPr>
          <w:rFonts w:hint="cs"/>
          <w:rtl/>
        </w:rPr>
        <w:t xml:space="preserve"> בקנדה, הן לפי חלופת מקום הפקת ההכנסה (ראו סעיף 4א(א)(6) לפקודה) והן לפי חלופת מקום הנכס המניב, ואולם סם לא יקבל פטור בעבור הדיבידנדים שמקורן בחברה שמקום מושבה בישראל, שכן הכנסות אלה לא נכנסות באף אחת מן החלופות. משמעות הדבר היא שעקב המעבר לישראל לא השתנתה חבות המס של סם, ופקיד השומה מתעלם למעשה במהלך 10 השנים הקרובות מההכנסות של סם בגין הדירה</w:t>
      </w:r>
      <w:r w:rsidR="00533E69">
        <w:rPr>
          <w:rFonts w:hint="cs"/>
          <w:rtl/>
        </w:rPr>
        <w:t>,</w:t>
      </w:r>
      <w:r>
        <w:rPr>
          <w:rFonts w:hint="cs"/>
          <w:rtl/>
        </w:rPr>
        <w:t xml:space="preserve"> כפי שעשה עובר למעבר של סם לישראל (ראו גם סעיפים 134ב ו-135(ב) לפקודה). במילים אחרות, סם לא ייחשב כתושב ישראל לצורך הפקודה, ולא יהיה חייב במס בישראל על הכנסתו מדמי השכירות, כך שהוא יהיה פטור ממס על הכנסות שרק תושבי ישראל חייבים לגביהן במס (ולא תושבים זרים) </w:t>
      </w:r>
      <w:r>
        <w:rPr>
          <w:rtl/>
        </w:rPr>
        <w:t>–</w:t>
      </w:r>
      <w:r>
        <w:rPr>
          <w:rFonts w:hint="cs"/>
          <w:rtl/>
        </w:rPr>
        <w:t xml:space="preserve"> הכנסות שהופקו בחו"ל. ויובהר, סם לא יוכל לבקש פטור ממס לפי סעיף 14(א) לפקודה בגין הדיבידנד שהוא מקבל מהחברה הישראלית בטענה כי הוא רכש את המניות בהיותו בחו"ל, משום שמדובר במס שהוא ממילא חב בו, ללא תלות במעבר לישראל. אם נאמר אחרת </w:t>
      </w:r>
      <w:r>
        <w:rPr>
          <w:rtl/>
        </w:rPr>
        <w:t>–</w:t>
      </w:r>
      <w:r>
        <w:rPr>
          <w:rFonts w:hint="cs"/>
          <w:rtl/>
        </w:rPr>
        <w:t xml:space="preserve"> סם לא יישא בחבות מס לא כלפי רשות המיסים הישראלית (לה שילם לפני המעבר) ולא כלפי רשות המס בקנדה (שהפסיק להיות תושב שלה ולהפקת ההכנסה אין כל זיקה גיאוגרפית אליה). פרשנות זו בוודאי שאיננה עולה בקנה אחד עם כוונת המחוקק ואין מקום לקבלה (ראו והשוו גם ל</w:t>
      </w:r>
      <w:r>
        <w:rPr>
          <w:rFonts w:ascii="Arimo" w:hAnsi="Arimo"/>
          <w:rtl/>
        </w:rPr>
        <w:t>ע</w:t>
      </w:r>
      <w:r>
        <w:rPr>
          <w:rFonts w:ascii="Arimo" w:hAnsi="Arimo" w:hint="cs"/>
          <w:rtl/>
        </w:rPr>
        <w:t>"</w:t>
      </w:r>
      <w:r>
        <w:rPr>
          <w:rFonts w:ascii="Arimo" w:hAnsi="Arimo"/>
          <w:rtl/>
        </w:rPr>
        <w:t xml:space="preserve">א 3328/15 </w:t>
      </w:r>
      <w:r w:rsidRPr="00D65C40">
        <w:rPr>
          <w:rFonts w:ascii="Century" w:hAnsi="Century" w:cs="Miriam"/>
          <w:b/>
          <w:spacing w:val="0"/>
          <w:sz w:val="22"/>
          <w:szCs w:val="24"/>
          <w:rtl/>
        </w:rPr>
        <w:t>פלוני נ' פקיד שומה אשקלון</w:t>
      </w:r>
      <w:r w:rsidRPr="00D65C40">
        <w:rPr>
          <w:rFonts w:hint="cs"/>
          <w:rtl/>
        </w:rPr>
        <w:t xml:space="preserve"> </w:t>
      </w:r>
      <w:r>
        <w:rPr>
          <w:rFonts w:hint="cs"/>
          <w:rtl/>
        </w:rPr>
        <w:t>(22.2.2017)</w:t>
      </w:r>
      <w:r>
        <w:rPr>
          <w:rFonts w:ascii="Arial TUR" w:hAnsi="Arial TUR" w:hint="cs"/>
          <w:rtl/>
        </w:rPr>
        <w:t>).</w:t>
      </w:r>
    </w:p>
    <w:p w:rsidR="00D81A8C" w:rsidRDefault="00D81A8C" w:rsidP="00D81A8C">
      <w:pPr>
        <w:pStyle w:val="Ruller41"/>
        <w:rPr>
          <w:rtl/>
        </w:rPr>
      </w:pPr>
    </w:p>
    <w:p w:rsidR="00D81A8C" w:rsidRDefault="00D81A8C" w:rsidP="00514E63">
      <w:pPr>
        <w:pStyle w:val="Ruller4"/>
      </w:pPr>
      <w:r>
        <w:rPr>
          <w:rFonts w:hint="cs"/>
          <w:rtl/>
        </w:rPr>
        <w:t xml:space="preserve">מיקוד תכליתו האמורה של תיקון 168 תומכת אף היא בפרשנות המשיב לפטור הקבוע בסעיף 14(א) לפקודה. הכנסות פסיביות של תושב זר, כדוגמת דמי שכירות, אינן מחויבות </w:t>
      </w:r>
      <w:r w:rsidRPr="00675C46">
        <w:rPr>
          <w:rFonts w:hint="cs"/>
          <w:rtl/>
        </w:rPr>
        <w:t xml:space="preserve">במס בישראל אם הנכס נמצא מחוץ לישראל (במקרה של שכירות, אם השימוש בנכס על ידי השוכר הוא מחוץ לישראל. ראו </w:t>
      </w:r>
      <w:r>
        <w:rPr>
          <w:rFonts w:hint="cs"/>
          <w:rtl/>
        </w:rPr>
        <w:t>סעיף 4א(א)</w:t>
      </w:r>
      <w:r w:rsidRPr="00675C46">
        <w:rPr>
          <w:rFonts w:hint="cs"/>
          <w:rtl/>
        </w:rPr>
        <w:t xml:space="preserve">(6) לפקודה). מכאן שהבטחת ניטרליות המעבר מצדיקה לפטור הכנסות אלה ממס ישראלי על פי חלופת מקום הנכס המניב. לעומת זאת, הכנסות אקטיביות של תושב זר, כדוגמת הכנסת עבודה, אינן חייבות במס בישראל אם </w:t>
      </w:r>
      <w:r w:rsidRPr="00675C46">
        <w:rPr>
          <w:rFonts w:ascii="Alef2" w:hAnsi="Alef2"/>
          <w:rtl/>
        </w:rPr>
        <w:t>הפעילות מניבת ההכנסה</w:t>
      </w:r>
      <w:r w:rsidRPr="00675C46">
        <w:rPr>
          <w:rFonts w:ascii="Alef2" w:hAnsi="Alef2" w:hint="cs"/>
          <w:rtl/>
        </w:rPr>
        <w:t xml:space="preserve"> מתקיימת מחוץ לישראל (במקרה של הכנסת עבודה, כאשר ביצוע השירות או העבו</w:t>
      </w:r>
      <w:r>
        <w:rPr>
          <w:rFonts w:ascii="Alef2" w:hAnsi="Alef2" w:hint="cs"/>
          <w:rtl/>
        </w:rPr>
        <w:t>דה הוא מחוץ לישראל. ראו סעיף 4א(א)</w:t>
      </w:r>
      <w:r w:rsidRPr="00675C46">
        <w:rPr>
          <w:rFonts w:ascii="Alef2" w:hAnsi="Alef2" w:hint="cs"/>
          <w:rtl/>
        </w:rPr>
        <w:t xml:space="preserve">(3) ו-(4) לפקודה). </w:t>
      </w:r>
      <w:r w:rsidRPr="00675C46">
        <w:rPr>
          <w:rFonts w:hint="cs"/>
          <w:rtl/>
        </w:rPr>
        <w:t xml:space="preserve">מכאן, שעל מנת להשיג את ניטרליות המעבר, יש לקבוע פטור במקרה של מעבר לישראל בגין אותו סוג של פעילות </w:t>
      </w:r>
      <w:r w:rsidRPr="00675C46">
        <w:rPr>
          <w:rtl/>
        </w:rPr>
        <w:t>–</w:t>
      </w:r>
      <w:r w:rsidRPr="00675C46">
        <w:rPr>
          <w:rFonts w:hint="cs"/>
          <w:rtl/>
        </w:rPr>
        <w:t xml:space="preserve"> פעילות מניבת הכנסה המתקיימת מחוץ לישראל. הגנה זו מוענקת לנישום העובר לישראל בסעיף 14(א) לפקודה מכוח חלופת </w:t>
      </w:r>
      <w:r w:rsidRPr="00675C46">
        <w:rPr>
          <w:rFonts w:hint="cs"/>
          <w:rtl/>
        </w:rPr>
        <w:lastRenderedPageBreak/>
        <w:t xml:space="preserve">מקום הפקת ההכנסה, ובכך די על מנת להשיג את תכלית תיקון 168. מיקום "נכסים" המאפשרים את הפקת ההכנסה האמורה, כגון חוזה העבודה או מושבה של החברה המעסיקה, לא היה </w:t>
      </w:r>
      <w:r w:rsidR="00514E63">
        <w:rPr>
          <w:rFonts w:hint="cs"/>
          <w:rtl/>
        </w:rPr>
        <w:t xml:space="preserve">מכריע </w:t>
      </w:r>
      <w:r w:rsidRPr="00675C46">
        <w:rPr>
          <w:rFonts w:hint="cs"/>
          <w:rtl/>
        </w:rPr>
        <w:t xml:space="preserve">לשאלת חבות המס של הנישום לפני המעבר, ואינו </w:t>
      </w:r>
      <w:r w:rsidR="00514E63">
        <w:rPr>
          <w:rFonts w:hint="cs"/>
          <w:rtl/>
        </w:rPr>
        <w:t xml:space="preserve">מכריע </w:t>
      </w:r>
      <w:r w:rsidRPr="00675C46">
        <w:rPr>
          <w:rFonts w:hint="cs"/>
          <w:rtl/>
        </w:rPr>
        <w:t>גם לאחריה. מכאן שאין הצדקה להתחשב</w:t>
      </w:r>
      <w:r>
        <w:rPr>
          <w:rFonts w:hint="cs"/>
          <w:rtl/>
        </w:rPr>
        <w:t xml:space="preserve"> במקום </w:t>
      </w:r>
      <w:proofErr w:type="spellStart"/>
      <w:r>
        <w:rPr>
          <w:rFonts w:hint="cs"/>
          <w:rtl/>
        </w:rPr>
        <w:t>הימצאם</w:t>
      </w:r>
      <w:proofErr w:type="spellEnd"/>
      <w:r>
        <w:rPr>
          <w:rFonts w:hint="cs"/>
          <w:rtl/>
        </w:rPr>
        <w:t xml:space="preserve"> של "נכסים" אלה לעניין החלת הפטור. זאת ועוד, אם נתחשב במיקומם של ה"נכסים" הללו לצורך החלת הפטור, כפי שגורס המערער, נביא למצב בו נישום שהיה חייב בתשלום מס בישראל בגין הכנסה אקטיבית קודם למעבר (כגון תושב זר שביצע את השירות או העבודה בישראל), יזכה לפטור ממס בעקבות המעבר ביחס לאותן הכנסות. בכך תועבר המטוטלת לצד השני של המשרעת, ובמקום להשיג את ניטרליות המעבר, ניצור תמריץ להגיע לישראל על מנת להפחית את חבות המס של הנישום. כמובהר, תוצאה זו חורגת מזו אותה ביקש המחוקק להשיג בתיקון 168.</w:t>
      </w:r>
    </w:p>
    <w:p w:rsidR="00D81A8C" w:rsidRPr="009B10FF" w:rsidRDefault="00D81A8C" w:rsidP="00D81A8C">
      <w:pPr>
        <w:pStyle w:val="Ruller4"/>
        <w:numPr>
          <w:ilvl w:val="0"/>
          <w:numId w:val="0"/>
        </w:numPr>
      </w:pPr>
    </w:p>
    <w:p w:rsidR="00D81A8C" w:rsidRDefault="00D81A8C" w:rsidP="00D81A8C">
      <w:pPr>
        <w:pStyle w:val="Ruller4"/>
        <w:rPr>
          <w:rtl/>
        </w:rPr>
      </w:pPr>
      <w:r>
        <w:rPr>
          <w:rFonts w:hint="cs"/>
          <w:rtl/>
        </w:rPr>
        <w:t xml:space="preserve">לסיכום חלק זה, תכליתו של תיקון 168, ושל הפטור בסעיף 14(א) לפקודה בפרט, היא להשיג את המטרה של 'ניטרליות המעבר', דהיינו למנוע חיוב מס שנוצר רק מהטעם היחיד שהנישום בחר לעלות או לשוב לישראל, כך שההחלטה האם לעבור לישראל או לאו, תהא נטולה השפעות </w:t>
      </w:r>
      <w:proofErr w:type="spellStart"/>
      <w:r>
        <w:rPr>
          <w:rFonts w:hint="cs"/>
          <w:rtl/>
        </w:rPr>
        <w:t>מיסויות</w:t>
      </w:r>
      <w:proofErr w:type="spellEnd"/>
      <w:r>
        <w:rPr>
          <w:rFonts w:hint="cs"/>
          <w:rtl/>
        </w:rPr>
        <w:t xml:space="preserve">. ודוק, אין מדובר בהקטנת חבות המס שחלה על הנישום עובר לעלייתו לישראל, ועל כן אין מקום להחיל את הפטור על הכנסה שממילא היה משולם בגינה מס לרשויות בישראל גם אלמלא המעבר. אף מטעם זה יש לפרש את הפטור שבסעיף 14(א) לפקודה באופן שחלופת מקום הנכס המניב תהיה רלוונטית רק לגבי הכנסות פסיביות, שחבות המס של תושב זר ביחס אליהן תלויה במקום הנכס המניב, ולא ביחס להכנסות אקטיביות, שחבות המס של תושב זר ביחס אליהן תלויה במיקום הפעילות, ולא במיקומו של הנכס. </w:t>
      </w:r>
    </w:p>
    <w:p w:rsidR="00D81A8C" w:rsidRDefault="00D81A8C" w:rsidP="00D81A8C">
      <w:pPr>
        <w:pStyle w:val="Ruller41"/>
        <w:rPr>
          <w:rtl/>
        </w:rPr>
      </w:pPr>
    </w:p>
    <w:p w:rsidR="00D81A8C" w:rsidRPr="001C42B8" w:rsidRDefault="00D81A8C" w:rsidP="00D81A8C">
      <w:pPr>
        <w:pStyle w:val="Ruller41"/>
        <w:rPr>
          <w:rtl/>
        </w:rPr>
      </w:pPr>
      <w:r>
        <w:rPr>
          <w:rFonts w:ascii="Century" w:hAnsi="Century" w:cs="Miriam" w:hint="cs"/>
          <w:b/>
          <w:spacing w:val="0"/>
          <w:szCs w:val="24"/>
          <w:rtl/>
        </w:rPr>
        <w:t xml:space="preserve">מן הכלל אל הפרט </w:t>
      </w:r>
    </w:p>
    <w:p w:rsidR="00D81A8C" w:rsidRDefault="00D81A8C" w:rsidP="00D81A8C">
      <w:pPr>
        <w:pStyle w:val="Ruller4"/>
        <w:numPr>
          <w:ilvl w:val="0"/>
          <w:numId w:val="0"/>
        </w:numPr>
        <w:rPr>
          <w:rStyle w:val="default"/>
          <w:rFonts w:ascii="Century" w:hAnsi="Century"/>
        </w:rPr>
      </w:pPr>
    </w:p>
    <w:p w:rsidR="00D81A8C" w:rsidRDefault="00D81A8C" w:rsidP="00D81A8C">
      <w:pPr>
        <w:pStyle w:val="Ruller4"/>
        <w:rPr>
          <w:rStyle w:val="default"/>
          <w:rFonts w:ascii="Century" w:hAnsi="Century"/>
        </w:rPr>
      </w:pPr>
      <w:r>
        <w:rPr>
          <w:rStyle w:val="default"/>
          <w:rFonts w:ascii="Century" w:hAnsi="Century" w:hint="cs"/>
          <w:rtl/>
        </w:rPr>
        <w:t xml:space="preserve">המקרה שלפנינו הוא מקרה פשוט יחסית ליישום המבחן הדו-שלבי שהוצג לעיל. על פי קביעותיו העובדתיות של בית המשפט קמא, קביעות בהן לא ראינו כל הצדקה להתערב, מלוא הכנסתו של המערער במקרה שלפנינו היא הכנסת עבודה, החייבת במס הכנסה מכוח סעיפים 2(2) ו-4א(א)(4) לפקודת מס הכנסה. </w:t>
      </w:r>
    </w:p>
    <w:p w:rsidR="00D81A8C" w:rsidRDefault="00D81A8C" w:rsidP="00D81A8C">
      <w:pPr>
        <w:pStyle w:val="Ruller4"/>
        <w:numPr>
          <w:ilvl w:val="0"/>
          <w:numId w:val="0"/>
        </w:numPr>
        <w:rPr>
          <w:rStyle w:val="default"/>
          <w:rFonts w:ascii="Century" w:hAnsi="Century"/>
        </w:rPr>
      </w:pPr>
    </w:p>
    <w:p w:rsidR="00D81A8C" w:rsidRPr="004F196A" w:rsidRDefault="00D81A8C" w:rsidP="001762D4">
      <w:pPr>
        <w:pStyle w:val="Ruller4"/>
        <w:rPr>
          <w:rFonts w:ascii="Century" w:hAnsi="Century"/>
        </w:rPr>
      </w:pPr>
      <w:r>
        <w:rPr>
          <w:rStyle w:val="default"/>
          <w:rFonts w:ascii="Century" w:hAnsi="Century" w:hint="cs"/>
          <w:rtl/>
        </w:rPr>
        <w:t xml:space="preserve">ויובהר, בית המשפט קמא עמד על כך שמבחינה עיונית ניתן להעלות על הדעת שלנישום כדוגמת המערער יהיו ממעסיקו גם הכנסות שאינן בגדר הכנסת עבודה, כגון זכויות לתמלוגים בגין קניין </w:t>
      </w:r>
      <w:r w:rsidRPr="006330E3">
        <w:rPr>
          <w:rStyle w:val="default"/>
          <w:rFonts w:ascii="Century" w:hAnsi="Century" w:hint="cs"/>
          <w:rtl/>
        </w:rPr>
        <w:t>רוחני (ראו פסקה 45 לפסק הדין). ביחס</w:t>
      </w:r>
      <w:r>
        <w:rPr>
          <w:rStyle w:val="default"/>
          <w:rFonts w:ascii="Century" w:hAnsi="Century" w:hint="cs"/>
          <w:rtl/>
        </w:rPr>
        <w:t xml:space="preserve"> להכנסות אלה היה </w:t>
      </w:r>
      <w:r>
        <w:rPr>
          <w:rStyle w:val="default"/>
          <w:rFonts w:ascii="Century" w:hAnsi="Century" w:hint="cs"/>
          <w:rtl/>
        </w:rPr>
        <w:lastRenderedPageBreak/>
        <w:t xml:space="preserve">בית המשפט קמא מוכן אף לקבוע כי ייתכן שיוענק פטור על פי החלופה של מקום הנכס המניב. עמדה זו מקובלת אף עלי, שכן היא תואמת את קריאתו של סעיף 14(א) לפקודת מס הכנסה בראי "תורת המקור", ואף עולה בקנה אחד עם הניתוח התכליתי של הפטור. אפס, מבחינה עובדתית נקבע כי המערער לא הוכיח כי עמדה לו זכות לקבלת הכנסות מסוג זה ממעסיקו, ולפיכך מלוא הכנסתו סווגה כאמור כהכנסת עבודה. </w:t>
      </w:r>
      <w:r>
        <w:rPr>
          <w:rFonts w:hint="cs"/>
          <w:rtl/>
        </w:rPr>
        <w:t>מדובר בממצאים עובדתיים מובהקים, המבוססים על הערכת הראיות והעדויות שעמדו לפני בית המשפט קמא, אשר לא מצא</w:t>
      </w:r>
      <w:r w:rsidR="001762D4">
        <w:rPr>
          <w:rFonts w:hint="cs"/>
          <w:rtl/>
        </w:rPr>
        <w:t>נו</w:t>
      </w:r>
      <w:r>
        <w:rPr>
          <w:rFonts w:hint="cs"/>
          <w:rtl/>
        </w:rPr>
        <w:t xml:space="preserve"> כי במקרה שלפנינו קיימת הצדקה להתערב בהם </w:t>
      </w:r>
      <w:r w:rsidRPr="004F196A">
        <w:rPr>
          <w:rFonts w:ascii="Arial" w:hAnsi="Arial"/>
          <w:sz w:val="28"/>
          <w:rtl/>
        </w:rPr>
        <w:t>(</w:t>
      </w:r>
      <w:r w:rsidRPr="004F196A">
        <w:rPr>
          <w:rFonts w:ascii="Arial" w:hAnsi="Arial" w:hint="eastAsia"/>
          <w:sz w:val="28"/>
          <w:rtl/>
        </w:rPr>
        <w:t>ע</w:t>
      </w:r>
      <w:r w:rsidRPr="004F196A">
        <w:rPr>
          <w:rFonts w:ascii="Arial" w:hAnsi="Arial"/>
          <w:sz w:val="28"/>
          <w:rtl/>
        </w:rPr>
        <w:t>"</w:t>
      </w:r>
      <w:r w:rsidRPr="004F196A">
        <w:rPr>
          <w:rFonts w:ascii="Arial" w:hAnsi="Arial" w:hint="eastAsia"/>
          <w:sz w:val="28"/>
          <w:rtl/>
        </w:rPr>
        <w:t>א</w:t>
      </w:r>
      <w:r w:rsidRPr="004F196A">
        <w:rPr>
          <w:rFonts w:ascii="Arial" w:hAnsi="Arial"/>
          <w:sz w:val="28"/>
          <w:rtl/>
        </w:rPr>
        <w:t xml:space="preserve"> 78/84 </w:t>
      </w:r>
      <w:r w:rsidRPr="004F196A">
        <w:rPr>
          <w:rFonts w:ascii="Century" w:hAnsi="Century" w:cs="Miriam" w:hint="eastAsia"/>
          <w:b/>
          <w:spacing w:val="0"/>
          <w:sz w:val="22"/>
          <w:szCs w:val="24"/>
          <w:rtl/>
        </w:rPr>
        <w:t>עיזבון</w:t>
      </w:r>
      <w:r w:rsidRPr="004F196A">
        <w:rPr>
          <w:rFonts w:ascii="Century" w:hAnsi="Century" w:cs="Miriam"/>
          <w:b/>
          <w:spacing w:val="0"/>
          <w:sz w:val="22"/>
          <w:szCs w:val="24"/>
          <w:rtl/>
        </w:rPr>
        <w:t xml:space="preserve"> </w:t>
      </w:r>
      <w:r w:rsidRPr="004F196A">
        <w:rPr>
          <w:rFonts w:ascii="Century" w:hAnsi="Century" w:cs="Miriam" w:hint="eastAsia"/>
          <w:b/>
          <w:spacing w:val="0"/>
          <w:sz w:val="22"/>
          <w:szCs w:val="24"/>
          <w:rtl/>
        </w:rPr>
        <w:t>המנוח</w:t>
      </w:r>
      <w:r w:rsidRPr="004F196A">
        <w:rPr>
          <w:rFonts w:ascii="Century" w:hAnsi="Century" w:cs="Miriam"/>
          <w:b/>
          <w:spacing w:val="0"/>
          <w:sz w:val="22"/>
          <w:szCs w:val="24"/>
          <w:rtl/>
        </w:rPr>
        <w:t xml:space="preserve"> </w:t>
      </w:r>
      <w:proofErr w:type="spellStart"/>
      <w:r w:rsidRPr="004F196A">
        <w:rPr>
          <w:rFonts w:ascii="Century" w:hAnsi="Century" w:cs="Miriam" w:hint="eastAsia"/>
          <w:b/>
          <w:spacing w:val="0"/>
          <w:sz w:val="22"/>
          <w:szCs w:val="24"/>
          <w:rtl/>
        </w:rPr>
        <w:t>סווילם</w:t>
      </w:r>
      <w:proofErr w:type="spellEnd"/>
      <w:r w:rsidRPr="004F196A">
        <w:rPr>
          <w:rFonts w:ascii="Century" w:hAnsi="Century" w:cs="Miriam"/>
          <w:b/>
          <w:spacing w:val="0"/>
          <w:sz w:val="22"/>
          <w:szCs w:val="24"/>
          <w:rtl/>
        </w:rPr>
        <w:t xml:space="preserve"> </w:t>
      </w:r>
      <w:r w:rsidRPr="004F196A">
        <w:rPr>
          <w:rFonts w:ascii="Century" w:hAnsi="Century" w:cs="Miriam" w:hint="eastAsia"/>
          <w:b/>
          <w:spacing w:val="0"/>
          <w:sz w:val="22"/>
          <w:szCs w:val="24"/>
          <w:rtl/>
        </w:rPr>
        <w:t>נ</w:t>
      </w:r>
      <w:r w:rsidRPr="004F196A">
        <w:rPr>
          <w:rFonts w:ascii="Century" w:hAnsi="Century" w:cs="Miriam"/>
          <w:b/>
          <w:spacing w:val="0"/>
          <w:sz w:val="22"/>
          <w:szCs w:val="24"/>
          <w:rtl/>
        </w:rPr>
        <w:t xml:space="preserve">' </w:t>
      </w:r>
      <w:proofErr w:type="spellStart"/>
      <w:r w:rsidRPr="004F196A">
        <w:rPr>
          <w:rFonts w:ascii="Century" w:hAnsi="Century" w:cs="Miriam" w:hint="eastAsia"/>
          <w:b/>
          <w:spacing w:val="0"/>
          <w:sz w:val="22"/>
          <w:szCs w:val="24"/>
          <w:rtl/>
        </w:rPr>
        <w:t>אלג</w:t>
      </w:r>
      <w:r w:rsidRPr="004F196A">
        <w:rPr>
          <w:rFonts w:ascii="Century" w:hAnsi="Century" w:cs="Miriam"/>
          <w:b/>
          <w:spacing w:val="0"/>
          <w:sz w:val="22"/>
          <w:szCs w:val="24"/>
          <w:rtl/>
        </w:rPr>
        <w:t>'</w:t>
      </w:r>
      <w:r w:rsidRPr="004F196A">
        <w:rPr>
          <w:rFonts w:ascii="Century" w:hAnsi="Century" w:cs="Miriam" w:hint="eastAsia"/>
          <w:b/>
          <w:spacing w:val="0"/>
          <w:sz w:val="22"/>
          <w:szCs w:val="24"/>
          <w:rtl/>
        </w:rPr>
        <w:t>ילאני</w:t>
      </w:r>
      <w:proofErr w:type="spellEnd"/>
      <w:r w:rsidRPr="004F196A">
        <w:rPr>
          <w:rFonts w:ascii="Arial" w:hAnsi="Arial"/>
          <w:sz w:val="28"/>
          <w:rtl/>
        </w:rPr>
        <w:t xml:space="preserve">, </w:t>
      </w:r>
      <w:r w:rsidRPr="004F196A">
        <w:rPr>
          <w:rFonts w:ascii="Arial" w:hAnsi="Arial" w:hint="cs"/>
          <w:sz w:val="28"/>
          <w:rtl/>
        </w:rPr>
        <w:t xml:space="preserve">פ"ד </w:t>
      </w:r>
      <w:proofErr w:type="spellStart"/>
      <w:r w:rsidRPr="004F196A">
        <w:rPr>
          <w:rFonts w:ascii="Arial" w:hAnsi="Arial" w:hint="eastAsia"/>
          <w:sz w:val="28"/>
          <w:rtl/>
        </w:rPr>
        <w:t>מב</w:t>
      </w:r>
      <w:proofErr w:type="spellEnd"/>
      <w:r w:rsidRPr="004F196A">
        <w:rPr>
          <w:rFonts w:ascii="Arial" w:hAnsi="Arial"/>
          <w:sz w:val="28"/>
          <w:rtl/>
        </w:rPr>
        <w:t>(2) 142</w:t>
      </w:r>
      <w:r w:rsidRPr="004F196A">
        <w:rPr>
          <w:rFonts w:ascii="Arial" w:hAnsi="Arial" w:hint="cs"/>
          <w:sz w:val="28"/>
          <w:rtl/>
        </w:rPr>
        <w:t xml:space="preserve">, 145 </w:t>
      </w:r>
      <w:r w:rsidRPr="004F196A">
        <w:rPr>
          <w:rFonts w:ascii="Arial" w:hAnsi="Arial"/>
          <w:sz w:val="28"/>
          <w:rtl/>
        </w:rPr>
        <w:t>(1988)</w:t>
      </w:r>
      <w:r w:rsidRPr="004F196A">
        <w:rPr>
          <w:rFonts w:ascii="Arial" w:hAnsi="Arial" w:hint="cs"/>
          <w:sz w:val="28"/>
          <w:rtl/>
        </w:rPr>
        <w:t xml:space="preserve">; </w:t>
      </w:r>
      <w:r w:rsidRPr="004F196A">
        <w:rPr>
          <w:rFonts w:ascii="Arial" w:hAnsi="Arial" w:hint="eastAsia"/>
          <w:sz w:val="28"/>
          <w:rtl/>
        </w:rPr>
        <w:t>ע</w:t>
      </w:r>
      <w:r w:rsidRPr="004F196A">
        <w:rPr>
          <w:rFonts w:ascii="Arial" w:hAnsi="Arial"/>
          <w:sz w:val="28"/>
          <w:rtl/>
        </w:rPr>
        <w:t>"</w:t>
      </w:r>
      <w:r w:rsidRPr="004F196A">
        <w:rPr>
          <w:rFonts w:ascii="Arial" w:hAnsi="Arial" w:hint="eastAsia"/>
          <w:sz w:val="28"/>
          <w:rtl/>
        </w:rPr>
        <w:t>א</w:t>
      </w:r>
      <w:r w:rsidRPr="004F196A">
        <w:rPr>
          <w:rFonts w:ascii="Arial" w:hAnsi="Arial"/>
          <w:sz w:val="28"/>
          <w:rtl/>
        </w:rPr>
        <w:t xml:space="preserve"> 3339/12 </w:t>
      </w:r>
      <w:r w:rsidRPr="004F196A">
        <w:rPr>
          <w:rFonts w:ascii="Century" w:hAnsi="Century" w:cs="Miriam" w:hint="eastAsia"/>
          <w:b/>
          <w:spacing w:val="0"/>
          <w:sz w:val="22"/>
          <w:szCs w:val="24"/>
          <w:rtl/>
        </w:rPr>
        <w:t>גוטמן</w:t>
      </w:r>
      <w:r w:rsidRPr="004F196A">
        <w:rPr>
          <w:rFonts w:ascii="Century" w:hAnsi="Century" w:cs="Miriam"/>
          <w:b/>
          <w:spacing w:val="0"/>
          <w:sz w:val="22"/>
          <w:szCs w:val="24"/>
          <w:rtl/>
        </w:rPr>
        <w:t xml:space="preserve"> </w:t>
      </w:r>
      <w:r w:rsidRPr="004F196A">
        <w:rPr>
          <w:rFonts w:ascii="Century" w:hAnsi="Century" w:cs="Miriam" w:hint="eastAsia"/>
          <w:b/>
          <w:spacing w:val="0"/>
          <w:sz w:val="22"/>
          <w:szCs w:val="24"/>
          <w:rtl/>
        </w:rPr>
        <w:t>נ</w:t>
      </w:r>
      <w:r w:rsidRPr="004F196A">
        <w:rPr>
          <w:rFonts w:ascii="Century" w:hAnsi="Century" w:cs="Miriam"/>
          <w:b/>
          <w:spacing w:val="0"/>
          <w:sz w:val="22"/>
          <w:szCs w:val="24"/>
          <w:rtl/>
        </w:rPr>
        <w:t xml:space="preserve">' </w:t>
      </w:r>
      <w:proofErr w:type="spellStart"/>
      <w:r w:rsidRPr="004F196A">
        <w:rPr>
          <w:rFonts w:ascii="Century" w:hAnsi="Century" w:cs="Miriam" w:hint="eastAsia"/>
          <w:b/>
          <w:spacing w:val="0"/>
          <w:sz w:val="22"/>
          <w:szCs w:val="24"/>
          <w:rtl/>
        </w:rPr>
        <w:t>מינהל</w:t>
      </w:r>
      <w:proofErr w:type="spellEnd"/>
      <w:r w:rsidRPr="004F196A">
        <w:rPr>
          <w:rFonts w:ascii="Century" w:hAnsi="Century" w:cs="Miriam"/>
          <w:b/>
          <w:spacing w:val="0"/>
          <w:sz w:val="22"/>
          <w:szCs w:val="24"/>
          <w:rtl/>
        </w:rPr>
        <w:t xml:space="preserve"> </w:t>
      </w:r>
      <w:r w:rsidRPr="004F196A">
        <w:rPr>
          <w:rFonts w:ascii="Century" w:hAnsi="Century" w:cs="Miriam" w:hint="eastAsia"/>
          <w:b/>
          <w:spacing w:val="0"/>
          <w:sz w:val="22"/>
          <w:szCs w:val="24"/>
          <w:rtl/>
        </w:rPr>
        <w:t>מקרקעי</w:t>
      </w:r>
      <w:r w:rsidRPr="004F196A">
        <w:rPr>
          <w:rFonts w:ascii="Century" w:hAnsi="Century" w:cs="Miriam"/>
          <w:b/>
          <w:spacing w:val="0"/>
          <w:sz w:val="22"/>
          <w:szCs w:val="24"/>
          <w:rtl/>
        </w:rPr>
        <w:t xml:space="preserve"> </w:t>
      </w:r>
      <w:r w:rsidRPr="004F196A">
        <w:rPr>
          <w:rFonts w:ascii="Century" w:hAnsi="Century" w:cs="Miriam" w:hint="eastAsia"/>
          <w:b/>
          <w:spacing w:val="0"/>
          <w:sz w:val="22"/>
          <w:szCs w:val="24"/>
          <w:rtl/>
        </w:rPr>
        <w:t>ישראל</w:t>
      </w:r>
      <w:r w:rsidRPr="004F196A">
        <w:rPr>
          <w:rFonts w:ascii="Arial" w:hAnsi="Arial" w:hint="cs"/>
          <w:sz w:val="28"/>
          <w:rtl/>
        </w:rPr>
        <w:t>, פסקה 50</w:t>
      </w:r>
      <w:r w:rsidRPr="004F196A">
        <w:rPr>
          <w:rFonts w:ascii="Arial" w:hAnsi="Arial"/>
          <w:sz w:val="28"/>
          <w:rtl/>
        </w:rPr>
        <w:t xml:space="preserve"> (18.</w:t>
      </w:r>
      <w:r w:rsidRPr="004F196A">
        <w:rPr>
          <w:rFonts w:ascii="Arial" w:hAnsi="Arial" w:hint="cs"/>
          <w:sz w:val="28"/>
          <w:rtl/>
        </w:rPr>
        <w:t>9</w:t>
      </w:r>
      <w:r w:rsidRPr="004F196A">
        <w:rPr>
          <w:rFonts w:ascii="Arial" w:hAnsi="Arial"/>
          <w:sz w:val="28"/>
          <w:rtl/>
        </w:rPr>
        <w:t xml:space="preserve">.2013)). </w:t>
      </w:r>
    </w:p>
    <w:p w:rsidR="00D81A8C" w:rsidRPr="00E97BC6" w:rsidRDefault="00D81A8C" w:rsidP="00D81A8C">
      <w:pPr>
        <w:pStyle w:val="Ruller41"/>
      </w:pPr>
    </w:p>
    <w:p w:rsidR="00D81A8C" w:rsidRDefault="00D81A8C" w:rsidP="00D81A8C">
      <w:pPr>
        <w:pStyle w:val="Ruller4"/>
        <w:rPr>
          <w:rStyle w:val="default"/>
          <w:rFonts w:ascii="Century" w:hAnsi="Century"/>
        </w:rPr>
      </w:pPr>
      <w:r w:rsidRPr="00D2551D">
        <w:rPr>
          <w:rStyle w:val="default"/>
          <w:rFonts w:ascii="Century" w:hAnsi="Century" w:hint="cs"/>
          <w:rtl/>
        </w:rPr>
        <w:t>כפי שהובהר, הכנסת עבודה, לפי טבעה, אינה מסוג ההכנסות ש"</w:t>
      </w:r>
      <w:r w:rsidRPr="00D2551D">
        <w:rPr>
          <w:rStyle w:val="default"/>
          <w:rFonts w:ascii="Century" w:hAnsi="Century" w:cs="Miriam" w:hint="cs"/>
          <w:b/>
          <w:spacing w:val="0"/>
          <w:sz w:val="22"/>
          <w:szCs w:val="24"/>
          <w:rtl/>
        </w:rPr>
        <w:t>מקורן בנכסים</w:t>
      </w:r>
      <w:r w:rsidRPr="00D2551D">
        <w:rPr>
          <w:rStyle w:val="default"/>
          <w:rFonts w:ascii="Century" w:hAnsi="Century" w:hint="cs"/>
          <w:rtl/>
        </w:rPr>
        <w:t>", ולפיכך אין</w:t>
      </w:r>
      <w:r>
        <w:rPr>
          <w:rStyle w:val="default"/>
          <w:rFonts w:ascii="Century" w:hAnsi="Century" w:hint="cs"/>
          <w:rtl/>
        </w:rPr>
        <w:t xml:space="preserve"> החלופה של מקום הנכס המניב רלוונטית לגביה</w:t>
      </w:r>
      <w:r w:rsidRPr="00D2551D">
        <w:rPr>
          <w:rStyle w:val="default"/>
          <w:rFonts w:ascii="Century" w:hAnsi="Century" w:hint="cs"/>
          <w:rtl/>
        </w:rPr>
        <w:t xml:space="preserve">. מכאן שהעובדה </w:t>
      </w:r>
      <w:r>
        <w:rPr>
          <w:rStyle w:val="default"/>
          <w:rFonts w:ascii="Century" w:hAnsi="Century" w:hint="cs"/>
          <w:rtl/>
        </w:rPr>
        <w:t>ש</w:t>
      </w:r>
      <w:r w:rsidRPr="00D2551D">
        <w:rPr>
          <w:rStyle w:val="default"/>
          <w:rFonts w:ascii="Century" w:hAnsi="Century" w:hint="cs"/>
          <w:rtl/>
        </w:rPr>
        <w:t xml:space="preserve">הפקת הכנסת העבודה לא הייתה אפשרית ללא קיומה של החברה המעסיקה, וללא כריתתו של חוזה ההעסקה, אין בהם כדי </w:t>
      </w:r>
      <w:r>
        <w:rPr>
          <w:rStyle w:val="default"/>
          <w:rFonts w:ascii="Century" w:hAnsi="Century" w:hint="cs"/>
          <w:rtl/>
        </w:rPr>
        <w:t xml:space="preserve">לשנות מהמסקנה כי לצורך דיני מס הכנסה, ובכלל זה סעיף 14(א) לפקודת מס הכנסה, מקור ההכנסה במקרה זה איננו בנכס. </w:t>
      </w:r>
    </w:p>
    <w:p w:rsidR="00D81A8C" w:rsidRDefault="00D81A8C" w:rsidP="00D81A8C">
      <w:pPr>
        <w:pStyle w:val="Ruller4"/>
        <w:numPr>
          <w:ilvl w:val="0"/>
          <w:numId w:val="0"/>
        </w:numPr>
        <w:rPr>
          <w:rStyle w:val="default"/>
          <w:rFonts w:ascii="Century" w:hAnsi="Century"/>
        </w:rPr>
      </w:pPr>
    </w:p>
    <w:p w:rsidR="00D81A8C" w:rsidRDefault="00D81A8C" w:rsidP="00D81A8C">
      <w:pPr>
        <w:pStyle w:val="Ruller4"/>
        <w:rPr>
          <w:rStyle w:val="default"/>
          <w:rFonts w:ascii="Century" w:hAnsi="Century"/>
          <w:rtl/>
        </w:rPr>
      </w:pPr>
      <w:r>
        <w:rPr>
          <w:rStyle w:val="default"/>
          <w:rFonts w:ascii="Century" w:hAnsi="Century" w:hint="cs"/>
          <w:rtl/>
        </w:rPr>
        <w:t xml:space="preserve">המסקנה המתבקשת מכל האמור לעיל היא שהחלופה היחידה לפיה יכול המערער לזכות בפטור היא מקום הפקת ההכנסה </w:t>
      </w:r>
      <w:r>
        <w:rPr>
          <w:rStyle w:val="default"/>
          <w:rFonts w:ascii="Century" w:hAnsi="Century"/>
          <w:rtl/>
        </w:rPr>
        <w:t>–</w:t>
      </w:r>
      <w:r>
        <w:rPr>
          <w:rStyle w:val="default"/>
          <w:rFonts w:ascii="Century" w:hAnsi="Century" w:hint="cs"/>
          <w:rtl/>
        </w:rPr>
        <w:t xml:space="preserve"> חלופה אשר על האופן בו יושמה בבית המשפט קמא אין המערער משיג עוד לפנינו. לעומת זאת, אין המערער יכול להיבנות מחלופת מקום הנכס המניב, מאחר שמלוא הכנסתו, על פי קביעותיו העובדתיות  של בית המשפט קמא, היא הכנסת עבודה שחלופה זו אינה רלוונטית לגביה. </w:t>
      </w:r>
    </w:p>
    <w:p w:rsidR="00D81A8C" w:rsidRDefault="00D81A8C" w:rsidP="00D81A8C">
      <w:pPr>
        <w:pStyle w:val="Ruller41"/>
        <w:rPr>
          <w:rtl/>
        </w:rPr>
      </w:pPr>
    </w:p>
    <w:p w:rsidR="00D81A8C" w:rsidRDefault="00D81A8C" w:rsidP="00D81A8C">
      <w:pPr>
        <w:pStyle w:val="Ruller4"/>
        <w:rPr>
          <w:rtl/>
        </w:rPr>
      </w:pPr>
      <w:r w:rsidRPr="00D2551D">
        <w:rPr>
          <w:rFonts w:ascii="Century" w:hAnsi="Century" w:cs="Miriam" w:hint="cs"/>
          <w:b/>
          <w:spacing w:val="0"/>
          <w:sz w:val="22"/>
          <w:szCs w:val="24"/>
          <w:rtl/>
        </w:rPr>
        <w:t>סוף דבר</w:t>
      </w:r>
      <w:r>
        <w:rPr>
          <w:rFonts w:hint="cs"/>
          <w:rtl/>
        </w:rPr>
        <w:t>: דין הערעור שלפנינו להידחות. המערער יישא בהוצאות פקיד השומה בסכום של 20,000</w:t>
      </w:r>
      <w:bookmarkStart w:id="7" w:name="_GoBack"/>
      <w:bookmarkEnd w:id="7"/>
      <w:r>
        <w:rPr>
          <w:rFonts w:hint="cs"/>
          <w:rtl/>
        </w:rPr>
        <w:t xml:space="preserve"> ש"ח.  </w:t>
      </w:r>
    </w:p>
    <w:p w:rsidR="00016EF1" w:rsidRDefault="00016EF1" w:rsidP="00A51FAE">
      <w:pPr>
        <w:pStyle w:val="Ruller41"/>
        <w:rPr>
          <w:rtl/>
        </w:rPr>
      </w:pPr>
    </w:p>
    <w:tbl>
      <w:tblPr>
        <w:bidiVisual/>
        <w:tblW w:w="8363" w:type="dxa"/>
        <w:tblLook w:val="01E0" w:firstRow="1" w:lastRow="1" w:firstColumn="1" w:lastColumn="1" w:noHBand="0" w:noVBand="0"/>
      </w:tblPr>
      <w:tblGrid>
        <w:gridCol w:w="2786"/>
        <w:gridCol w:w="2787"/>
        <w:gridCol w:w="2790"/>
      </w:tblGrid>
      <w:tr w:rsidR="00DC6E12" w:rsidTr="00351150">
        <w:tc>
          <w:tcPr>
            <w:tcW w:w="2842" w:type="dxa"/>
            <w:shd w:val="clear" w:color="auto" w:fill="auto"/>
          </w:tcPr>
          <w:p w:rsidR="00DC6E12" w:rsidRDefault="00DC6E12" w:rsidP="00351150">
            <w:pPr>
              <w:pStyle w:val="Ruller41"/>
              <w:rPr>
                <w:rtl/>
              </w:rPr>
            </w:pPr>
          </w:p>
        </w:tc>
        <w:tc>
          <w:tcPr>
            <w:tcW w:w="2843" w:type="dxa"/>
            <w:shd w:val="clear" w:color="auto" w:fill="auto"/>
          </w:tcPr>
          <w:p w:rsidR="00DC6E12" w:rsidRDefault="00DC6E12" w:rsidP="00351150">
            <w:pPr>
              <w:pStyle w:val="Ruller41"/>
              <w:jc w:val="center"/>
              <w:rPr>
                <w:rtl/>
              </w:rPr>
            </w:pPr>
          </w:p>
        </w:tc>
        <w:tc>
          <w:tcPr>
            <w:tcW w:w="2843" w:type="dxa"/>
            <w:shd w:val="clear" w:color="auto" w:fill="auto"/>
          </w:tcPr>
          <w:p w:rsidR="00DC6E12" w:rsidRDefault="00DC6E12" w:rsidP="00351150">
            <w:pPr>
              <w:pStyle w:val="Ruller41"/>
              <w:jc w:val="right"/>
              <w:rPr>
                <w:rtl/>
              </w:rPr>
            </w:pPr>
            <w:r>
              <w:rPr>
                <w:rtl/>
              </w:rPr>
              <w:t>ש ו פ ט</w:t>
            </w:r>
          </w:p>
        </w:tc>
      </w:tr>
    </w:tbl>
    <w:p w:rsidR="00DC6E12" w:rsidRDefault="00DC6E12" w:rsidP="00A51FAE">
      <w:pPr>
        <w:pStyle w:val="Ruller41"/>
        <w:rPr>
          <w:rtl/>
        </w:rPr>
      </w:pPr>
    </w:p>
    <w:p w:rsidR="00DC6E12" w:rsidRDefault="00DC6E12" w:rsidP="00DC6E12">
      <w:pPr>
        <w:jc w:val="right"/>
        <w:rPr>
          <w:rFonts w:cs="Miriam"/>
          <w:b/>
          <w:bCs/>
          <w:u w:val="single"/>
        </w:rPr>
      </w:pPr>
    </w:p>
    <w:p w:rsidR="00505048" w:rsidRDefault="00505048" w:rsidP="00505048">
      <w:pPr>
        <w:pStyle w:val="BODYVERDICT"/>
        <w:rPr>
          <w:rFonts w:cs="Miriam"/>
          <w:sz w:val="24"/>
          <w:szCs w:val="24"/>
          <w:u w:val="single"/>
          <w:rtl/>
        </w:rPr>
      </w:pPr>
      <w:r>
        <w:rPr>
          <w:rFonts w:cs="Miriam"/>
          <w:sz w:val="24"/>
          <w:szCs w:val="24"/>
          <w:u w:val="single"/>
          <w:rtl/>
        </w:rPr>
        <w:t>ה</w:t>
      </w:r>
      <w:r>
        <w:rPr>
          <w:rFonts w:cs="Miriam" w:hint="cs"/>
          <w:sz w:val="24"/>
          <w:szCs w:val="24"/>
          <w:u w:val="single"/>
          <w:rtl/>
        </w:rPr>
        <w:t>שופטת ע' ברון</w:t>
      </w:r>
      <w:r>
        <w:rPr>
          <w:rFonts w:cs="Miriam"/>
          <w:sz w:val="24"/>
          <w:szCs w:val="24"/>
          <w:u w:val="single"/>
          <w:rtl/>
        </w:rPr>
        <w:t>:</w:t>
      </w:r>
    </w:p>
    <w:p w:rsidR="00505048" w:rsidRDefault="00505048" w:rsidP="00A51FAE">
      <w:pPr>
        <w:pStyle w:val="Ruller41"/>
        <w:rPr>
          <w:rtl/>
        </w:rPr>
      </w:pPr>
    </w:p>
    <w:p w:rsidR="00FB2666" w:rsidRDefault="00505048" w:rsidP="00FB2666">
      <w:pPr>
        <w:pStyle w:val="Ruller41"/>
        <w:rPr>
          <w:rtl/>
        </w:rPr>
      </w:pPr>
      <w:r>
        <w:rPr>
          <w:rtl/>
        </w:rPr>
        <w:tab/>
      </w:r>
      <w:r>
        <w:rPr>
          <w:rFonts w:hint="cs"/>
          <w:rtl/>
        </w:rPr>
        <w:t xml:space="preserve">אני מסכימה עם חברי השופט </w:t>
      </w:r>
      <w:r w:rsidRPr="00FB2666">
        <w:rPr>
          <w:rFonts w:ascii="Century" w:hAnsi="Century" w:cs="Miriam" w:hint="cs"/>
          <w:b/>
          <w:spacing w:val="0"/>
          <w:szCs w:val="24"/>
          <w:rtl/>
        </w:rPr>
        <w:t>ע' גרוסקופף</w:t>
      </w:r>
      <w:r>
        <w:rPr>
          <w:rFonts w:hint="cs"/>
          <w:rtl/>
        </w:rPr>
        <w:t>, כי לא נמצאה הצדקה להתערב בממצאים העובדתיים שקבע בית המשפט המחוזי; כי מלוא הכנסתו של המערער בשנות המס 2012-2007, שהן נושא הדיון, מקורה בעבודה ולא "בנכסים מחוץ לישראל"; וכי בנסיבות המקרה, הן על</w:t>
      </w:r>
      <w:r w:rsidR="00E97BC6">
        <w:rPr>
          <w:rFonts w:hint="cs"/>
          <w:rtl/>
        </w:rPr>
        <w:t xml:space="preserve"> </w:t>
      </w:r>
      <w:r>
        <w:rPr>
          <w:rFonts w:hint="cs"/>
          <w:rtl/>
        </w:rPr>
        <w:t xml:space="preserve">פי פירוש לשוני הן על פי פירוש תכליתי של הוראת הפטור ממס </w:t>
      </w:r>
      <w:r>
        <w:rPr>
          <w:rFonts w:hint="cs"/>
          <w:rtl/>
        </w:rPr>
        <w:lastRenderedPageBreak/>
        <w:t xml:space="preserve">שבסעיף 14 (א) </w:t>
      </w:r>
      <w:r w:rsidR="00FB2666">
        <w:rPr>
          <w:rFonts w:hint="cs"/>
          <w:rtl/>
        </w:rPr>
        <w:t xml:space="preserve">לפקודת מס הכנסה, אין מקום לפטור את המערער </w:t>
      </w:r>
      <w:r w:rsidR="00FB2666">
        <w:rPr>
          <w:rtl/>
        </w:rPr>
        <w:t>–</w:t>
      </w:r>
      <w:r w:rsidR="00FB2666">
        <w:rPr>
          <w:rFonts w:hint="cs"/>
          <w:rtl/>
        </w:rPr>
        <w:t xml:space="preserve"> בהיותו "תושב חוזר ותיק" </w:t>
      </w:r>
      <w:r w:rsidR="00FB2666">
        <w:rPr>
          <w:rtl/>
        </w:rPr>
        <w:t>–</w:t>
      </w:r>
      <w:r w:rsidR="00FB2666">
        <w:rPr>
          <w:rFonts w:hint="cs"/>
          <w:rtl/>
        </w:rPr>
        <w:t xml:space="preserve"> מתשלום מס הכנסה על הכנסותיו בשנות המס הרלוונטיות, מעבר להכנסות שבהן הכיר המשיב ככאלה שהופקו מעבודה מחוץ לישראל. התוצאה היא אפוא שדין הערעור להידחות.</w:t>
      </w:r>
    </w:p>
    <w:p w:rsidR="00FB2666" w:rsidRDefault="00FB2666" w:rsidP="00FB2666">
      <w:pPr>
        <w:pStyle w:val="Ruller41"/>
        <w:rPr>
          <w:rtl/>
        </w:rPr>
      </w:pPr>
    </w:p>
    <w:tbl>
      <w:tblPr>
        <w:bidiVisual/>
        <w:tblW w:w="8363" w:type="dxa"/>
        <w:tblLook w:val="01E0" w:firstRow="1" w:lastRow="1" w:firstColumn="1" w:lastColumn="1" w:noHBand="0" w:noVBand="0"/>
      </w:tblPr>
      <w:tblGrid>
        <w:gridCol w:w="2786"/>
        <w:gridCol w:w="2787"/>
        <w:gridCol w:w="2790"/>
      </w:tblGrid>
      <w:tr w:rsidR="00FB2666" w:rsidTr="00351150">
        <w:tc>
          <w:tcPr>
            <w:tcW w:w="2842" w:type="dxa"/>
            <w:shd w:val="clear" w:color="auto" w:fill="auto"/>
          </w:tcPr>
          <w:p w:rsidR="00FB2666" w:rsidRDefault="00FB2666" w:rsidP="00351150">
            <w:pPr>
              <w:pStyle w:val="Ruller41"/>
              <w:rPr>
                <w:rtl/>
              </w:rPr>
            </w:pPr>
          </w:p>
        </w:tc>
        <w:tc>
          <w:tcPr>
            <w:tcW w:w="2843" w:type="dxa"/>
            <w:shd w:val="clear" w:color="auto" w:fill="auto"/>
          </w:tcPr>
          <w:p w:rsidR="00FB2666" w:rsidRDefault="00FB2666" w:rsidP="00351150">
            <w:pPr>
              <w:pStyle w:val="Ruller41"/>
              <w:jc w:val="center"/>
              <w:rPr>
                <w:rtl/>
              </w:rPr>
            </w:pPr>
          </w:p>
        </w:tc>
        <w:tc>
          <w:tcPr>
            <w:tcW w:w="2843" w:type="dxa"/>
            <w:shd w:val="clear" w:color="auto" w:fill="auto"/>
          </w:tcPr>
          <w:p w:rsidR="00FB2666" w:rsidRDefault="00FB2666" w:rsidP="00351150">
            <w:pPr>
              <w:pStyle w:val="Ruller41"/>
              <w:jc w:val="right"/>
              <w:rPr>
                <w:rtl/>
              </w:rPr>
            </w:pPr>
            <w:r>
              <w:rPr>
                <w:rtl/>
              </w:rPr>
              <w:t>ש ו פ ט ת</w:t>
            </w:r>
          </w:p>
        </w:tc>
      </w:tr>
    </w:tbl>
    <w:p w:rsidR="00FB2666" w:rsidRDefault="00FB2666" w:rsidP="00FB2666">
      <w:pPr>
        <w:pStyle w:val="Ruller41"/>
        <w:rPr>
          <w:rtl/>
        </w:rPr>
      </w:pPr>
    </w:p>
    <w:p w:rsidR="00D971AD" w:rsidRDefault="00D971AD" w:rsidP="00D971AD">
      <w:pPr>
        <w:pStyle w:val="BODYVERDICT"/>
        <w:rPr>
          <w:rFonts w:cs="Miriam"/>
          <w:sz w:val="24"/>
          <w:szCs w:val="24"/>
          <w:u w:val="single"/>
          <w:rtl/>
        </w:rPr>
      </w:pPr>
      <w:r>
        <w:rPr>
          <w:rFonts w:cs="Miriam"/>
          <w:sz w:val="24"/>
          <w:szCs w:val="24"/>
          <w:u w:val="single"/>
          <w:rtl/>
        </w:rPr>
        <w:t>המשנה לנשיאה ח' מלצר:</w:t>
      </w:r>
    </w:p>
    <w:p w:rsidR="00D971AD" w:rsidRDefault="00D971AD" w:rsidP="00D971AD">
      <w:pPr>
        <w:pStyle w:val="BODYVERDICT"/>
        <w:rPr>
          <w:rFonts w:cs="Miriam"/>
          <w:sz w:val="24"/>
          <w:szCs w:val="24"/>
          <w:u w:val="single"/>
          <w:rtl/>
        </w:rPr>
      </w:pPr>
    </w:p>
    <w:p w:rsidR="00D971AD" w:rsidRDefault="00D971AD" w:rsidP="00D971AD">
      <w:pPr>
        <w:pStyle w:val="BODYVERDICT"/>
        <w:rPr>
          <w:rFonts w:cs="Miriam"/>
          <w:sz w:val="24"/>
          <w:szCs w:val="24"/>
          <w:u w:val="single"/>
          <w:rtl/>
        </w:rPr>
      </w:pPr>
    </w:p>
    <w:p w:rsidR="00D971AD" w:rsidRPr="006261D9" w:rsidRDefault="00D971AD" w:rsidP="00D971AD">
      <w:pPr>
        <w:pStyle w:val="Ruller41"/>
        <w:rPr>
          <w:rFonts w:ascii="Century" w:hAnsi="Century"/>
          <w:rtl/>
        </w:rPr>
      </w:pPr>
      <w:r>
        <w:rPr>
          <w:rtl/>
        </w:rPr>
        <w:tab/>
      </w:r>
      <w:r>
        <w:rPr>
          <w:rFonts w:hint="cs"/>
          <w:rtl/>
        </w:rPr>
        <w:t xml:space="preserve">אני מצטרף בהסכמה לתוצאה המוצעת ולעיקרי ההנמקה של חברי, השופט </w:t>
      </w:r>
      <w:r>
        <w:rPr>
          <w:rFonts w:ascii="Century" w:hAnsi="Century" w:cs="Miriam" w:hint="cs"/>
          <w:b/>
          <w:spacing w:val="0"/>
          <w:szCs w:val="24"/>
          <w:rtl/>
        </w:rPr>
        <w:t xml:space="preserve">ע' </w:t>
      </w:r>
      <w:proofErr w:type="spellStart"/>
      <w:r>
        <w:rPr>
          <w:rFonts w:ascii="Century" w:hAnsi="Century" w:cs="Miriam" w:hint="cs"/>
          <w:b/>
          <w:spacing w:val="0"/>
          <w:szCs w:val="24"/>
          <w:rtl/>
        </w:rPr>
        <w:t>גרוסקופף</w:t>
      </w:r>
      <w:proofErr w:type="spellEnd"/>
      <w:r>
        <w:rPr>
          <w:rFonts w:ascii="Century" w:hAnsi="Century" w:hint="cs"/>
          <w:rtl/>
        </w:rPr>
        <w:t xml:space="preserve">. אני שותף לדעתו כי המערער לא הצליח להראות כי במקרה זה הכנסתו נבעה </w:t>
      </w:r>
      <w:r>
        <w:rPr>
          <w:rFonts w:ascii="Century" w:hAnsi="Century" w:cs="Miriam" w:hint="cs"/>
          <w:b/>
          <w:spacing w:val="0"/>
          <w:szCs w:val="24"/>
          <w:rtl/>
        </w:rPr>
        <w:t>מנכ</w:t>
      </w:r>
      <w:r>
        <w:rPr>
          <w:rFonts w:ascii="Century" w:hAnsi="Century" w:cs="Miriam" w:hint="eastAsia"/>
          <w:b/>
          <w:spacing w:val="0"/>
          <w:szCs w:val="24"/>
          <w:rtl/>
        </w:rPr>
        <w:t>ס</w:t>
      </w:r>
      <w:r>
        <w:rPr>
          <w:rFonts w:ascii="Century" w:hAnsi="Century" w:hint="cs"/>
          <w:rtl/>
        </w:rPr>
        <w:t xml:space="preserve"> שמקורו מחוץ לישראל, ובכך די לענייננו. יחד עם זאת אני מרשה לעצמי לרשום הסתייגות-מה מהמסקנה המשתמעת מחוות דעתו של חברי (שאיננה דרושה להכרעה פה) כי הפטור המוסדר בחלופה של סעיף 14 (א) ל</w:t>
      </w:r>
      <w:r>
        <w:rPr>
          <w:rFonts w:ascii="Century" w:hAnsi="Century" w:cs="Miriam" w:hint="cs"/>
          <w:b/>
          <w:spacing w:val="0"/>
          <w:szCs w:val="24"/>
          <w:rtl/>
        </w:rPr>
        <w:t>פקודת מס הכנסה [נוסח חדש]</w:t>
      </w:r>
      <w:r>
        <w:rPr>
          <w:rFonts w:ascii="Century" w:hAnsi="Century" w:hint="cs"/>
          <w:rtl/>
        </w:rPr>
        <w:t xml:space="preserve">, המדברת ב"הכנסה שמקורה בנכסים מחוץ לישראל מישראל" כוללת רק הכנסות פסיביות. נראה לי שבמצבים מסוימים (בעיקר בתחום </w:t>
      </w:r>
      <w:proofErr w:type="spellStart"/>
      <w:r>
        <w:rPr>
          <w:rFonts w:ascii="Century" w:hAnsi="Century" w:hint="cs"/>
          <w:rtl/>
        </w:rPr>
        <w:t>הקנין</w:t>
      </w:r>
      <w:proofErr w:type="spellEnd"/>
      <w:r>
        <w:rPr>
          <w:rFonts w:ascii="Century" w:hAnsi="Century" w:hint="cs"/>
          <w:rtl/>
        </w:rPr>
        <w:t xml:space="preserve"> הרוחני) גם הכנסות אקטיביות מסוימות יכולות לבוא בגדרי הפטור האמור וניתן להשאיר שאלה זו, שהיא מורכבת ותלוית מקום ונסיבות, </w:t>
      </w:r>
      <w:proofErr w:type="spellStart"/>
      <w:r>
        <w:rPr>
          <w:rFonts w:ascii="Century" w:hAnsi="Century" w:hint="cs"/>
          <w:rtl/>
        </w:rPr>
        <w:t>בצריך</w:t>
      </w:r>
      <w:proofErr w:type="spellEnd"/>
      <w:r>
        <w:rPr>
          <w:rFonts w:ascii="Century" w:hAnsi="Century" w:hint="cs"/>
          <w:rtl/>
        </w:rPr>
        <w:t xml:space="preserve"> עיון. </w:t>
      </w:r>
    </w:p>
    <w:p w:rsidR="00D971AD" w:rsidRDefault="00D971AD" w:rsidP="00D971AD">
      <w:pPr>
        <w:pStyle w:val="Ruller41"/>
        <w:rPr>
          <w:rtl/>
        </w:rPr>
      </w:pPr>
    </w:p>
    <w:p w:rsidR="00D971AD" w:rsidRDefault="00D971AD" w:rsidP="00D971AD">
      <w:pPr>
        <w:pStyle w:val="Ruller41"/>
        <w:rPr>
          <w:rtl/>
        </w:rPr>
      </w:pPr>
    </w:p>
    <w:tbl>
      <w:tblPr>
        <w:bidiVisual/>
        <w:tblW w:w="8363" w:type="dxa"/>
        <w:tblLook w:val="01E0" w:firstRow="1" w:lastRow="1" w:firstColumn="1" w:lastColumn="1" w:noHBand="0" w:noVBand="0"/>
      </w:tblPr>
      <w:tblGrid>
        <w:gridCol w:w="2782"/>
        <w:gridCol w:w="2782"/>
        <w:gridCol w:w="2799"/>
      </w:tblGrid>
      <w:tr w:rsidR="00D971AD" w:rsidTr="00C654AA">
        <w:tc>
          <w:tcPr>
            <w:tcW w:w="2842" w:type="dxa"/>
            <w:shd w:val="clear" w:color="auto" w:fill="auto"/>
          </w:tcPr>
          <w:p w:rsidR="00D971AD" w:rsidRDefault="00D971AD" w:rsidP="00C654AA">
            <w:pPr>
              <w:pStyle w:val="Ruller41"/>
              <w:rPr>
                <w:rtl/>
              </w:rPr>
            </w:pPr>
          </w:p>
        </w:tc>
        <w:tc>
          <w:tcPr>
            <w:tcW w:w="2843" w:type="dxa"/>
            <w:shd w:val="clear" w:color="auto" w:fill="auto"/>
          </w:tcPr>
          <w:p w:rsidR="00D971AD" w:rsidRDefault="00D971AD" w:rsidP="00C654AA">
            <w:pPr>
              <w:pStyle w:val="Ruller41"/>
              <w:jc w:val="center"/>
              <w:rPr>
                <w:rtl/>
              </w:rPr>
            </w:pPr>
          </w:p>
        </w:tc>
        <w:tc>
          <w:tcPr>
            <w:tcW w:w="2843" w:type="dxa"/>
            <w:shd w:val="clear" w:color="auto" w:fill="auto"/>
          </w:tcPr>
          <w:p w:rsidR="00D971AD" w:rsidRDefault="00D971AD" w:rsidP="00C654AA">
            <w:pPr>
              <w:pStyle w:val="Ruller41"/>
              <w:jc w:val="right"/>
              <w:rPr>
                <w:rtl/>
              </w:rPr>
            </w:pPr>
            <w:r>
              <w:rPr>
                <w:rtl/>
              </w:rPr>
              <w:t>המשנה לנשיאה</w:t>
            </w:r>
          </w:p>
        </w:tc>
      </w:tr>
    </w:tbl>
    <w:p w:rsidR="00D971AD" w:rsidRDefault="00D971AD" w:rsidP="00D971AD">
      <w:pPr>
        <w:pStyle w:val="Ruller41"/>
        <w:rPr>
          <w:rtl/>
        </w:rPr>
      </w:pPr>
    </w:p>
    <w:p w:rsidR="00FB2666" w:rsidRDefault="00FB2666" w:rsidP="00FB2666">
      <w:pPr>
        <w:pStyle w:val="Ruller41"/>
        <w:rPr>
          <w:rtl/>
        </w:rPr>
      </w:pPr>
    </w:p>
    <w:p w:rsidR="00505048" w:rsidRDefault="00FB2666" w:rsidP="00A51FAE">
      <w:pPr>
        <w:pStyle w:val="Ruller41"/>
        <w:rPr>
          <w:rtl/>
        </w:rPr>
      </w:pPr>
      <w:r>
        <w:rPr>
          <w:rtl/>
        </w:rPr>
        <w:tab/>
      </w:r>
      <w:r>
        <w:rPr>
          <w:rFonts w:hint="cs"/>
          <w:rtl/>
        </w:rPr>
        <w:t xml:space="preserve">הוחלט כאמור בפסק דינו של השופט </w:t>
      </w:r>
      <w:r w:rsidRPr="00FB2666">
        <w:rPr>
          <w:rFonts w:ascii="Century" w:hAnsi="Century" w:cs="Miriam" w:hint="cs"/>
          <w:b/>
          <w:spacing w:val="0"/>
          <w:szCs w:val="24"/>
          <w:rtl/>
        </w:rPr>
        <w:t>ע' גרוסקופף.</w:t>
      </w:r>
      <w:r w:rsidRPr="00FB2666">
        <w:rPr>
          <w:rFonts w:hint="cs"/>
          <w:rtl/>
        </w:rPr>
        <w:t xml:space="preserve"> </w:t>
      </w:r>
    </w:p>
    <w:p w:rsidR="00505048" w:rsidRDefault="00505048" w:rsidP="00A51FAE">
      <w:pPr>
        <w:pStyle w:val="Ruller41"/>
        <w:rPr>
          <w:rtl/>
        </w:rPr>
      </w:pPr>
    </w:p>
    <w:p w:rsidR="00FB2666" w:rsidRDefault="00FB2666" w:rsidP="00E97BC6">
      <w:pPr>
        <w:pStyle w:val="Ruller41"/>
        <w:rPr>
          <w:rtl/>
        </w:rPr>
      </w:pPr>
      <w:r>
        <w:rPr>
          <w:rtl/>
        </w:rPr>
        <w:tab/>
        <w:t xml:space="preserve">ניתן היום, </w:t>
      </w:r>
      <w:r>
        <w:rPr>
          <w:rFonts w:hint="eastAsia"/>
          <w:rtl/>
        </w:rPr>
        <w:t>‏ט</w:t>
      </w:r>
      <w:r>
        <w:rPr>
          <w:rtl/>
        </w:rPr>
        <w:t>"</w:t>
      </w:r>
      <w:r w:rsidR="00E97BC6">
        <w:rPr>
          <w:rFonts w:hint="cs"/>
          <w:rtl/>
        </w:rPr>
        <w:t>ז</w:t>
      </w:r>
      <w:r>
        <w:rPr>
          <w:rtl/>
        </w:rPr>
        <w:t xml:space="preserve"> בכסלו </w:t>
      </w:r>
      <w:proofErr w:type="spellStart"/>
      <w:r>
        <w:rPr>
          <w:rtl/>
        </w:rPr>
        <w:t>התשפ"א</w:t>
      </w:r>
      <w:proofErr w:type="spellEnd"/>
      <w:r>
        <w:rPr>
          <w:rtl/>
        </w:rPr>
        <w:t xml:space="preserve"> (</w:t>
      </w:r>
      <w:r>
        <w:rPr>
          <w:rFonts w:hint="eastAsia"/>
          <w:rtl/>
        </w:rPr>
        <w:t>‏</w:t>
      </w:r>
      <w:r w:rsidR="00E97BC6">
        <w:rPr>
          <w:rFonts w:hint="cs"/>
          <w:rtl/>
        </w:rPr>
        <w:t>2</w:t>
      </w:r>
      <w:r>
        <w:rPr>
          <w:rtl/>
        </w:rPr>
        <w:t>.12.2020).</w:t>
      </w:r>
    </w:p>
    <w:p w:rsidR="00FB2666" w:rsidRDefault="00FB2666" w:rsidP="00A51FAE">
      <w:pPr>
        <w:pStyle w:val="Ruller41"/>
        <w:rPr>
          <w:rtl/>
        </w:rPr>
      </w:pPr>
    </w:p>
    <w:p w:rsidR="00FB2666" w:rsidRDefault="00FB2666" w:rsidP="00A51FAE">
      <w:pPr>
        <w:pStyle w:val="Ruller41"/>
        <w:rPr>
          <w:rtl/>
        </w:rPr>
      </w:pPr>
    </w:p>
    <w:p w:rsidR="00D81A8C" w:rsidRDefault="00D81A8C" w:rsidP="00A51FAE">
      <w:pPr>
        <w:pStyle w:val="Ruller41"/>
        <w:rPr>
          <w:rtl/>
        </w:rPr>
      </w:pPr>
    </w:p>
    <w:tbl>
      <w:tblPr>
        <w:bidiVisual/>
        <w:tblW w:w="8363" w:type="dxa"/>
        <w:tblLook w:val="01E0" w:firstRow="1" w:lastRow="1" w:firstColumn="1" w:lastColumn="1" w:noHBand="0" w:noVBand="0"/>
      </w:tblPr>
      <w:tblGrid>
        <w:gridCol w:w="2797"/>
        <w:gridCol w:w="2783"/>
        <w:gridCol w:w="2783"/>
      </w:tblGrid>
      <w:tr w:rsidR="001A0164" w:rsidTr="00D00B1D">
        <w:tc>
          <w:tcPr>
            <w:tcW w:w="2842" w:type="dxa"/>
            <w:shd w:val="clear" w:color="auto" w:fill="auto"/>
          </w:tcPr>
          <w:p w:rsidR="00016EF1" w:rsidRDefault="001C2DB4" w:rsidP="00505048">
            <w:pPr>
              <w:pStyle w:val="Ruller41"/>
              <w:jc w:val="center"/>
              <w:rPr>
                <w:rtl/>
              </w:rPr>
            </w:pPr>
            <w:r>
              <w:rPr>
                <w:rtl/>
              </w:rPr>
              <w:t>המשנה לנשיאה</w:t>
            </w:r>
          </w:p>
        </w:tc>
        <w:tc>
          <w:tcPr>
            <w:tcW w:w="2843" w:type="dxa"/>
            <w:shd w:val="clear" w:color="auto" w:fill="auto"/>
          </w:tcPr>
          <w:p w:rsidR="001A0164" w:rsidRDefault="001C2DB4" w:rsidP="00505048">
            <w:pPr>
              <w:pStyle w:val="Ruller41"/>
              <w:jc w:val="center"/>
              <w:rPr>
                <w:rtl/>
              </w:rPr>
            </w:pPr>
            <w:r>
              <w:rPr>
                <w:rtl/>
              </w:rPr>
              <w:t>ש ו פ ט ת</w:t>
            </w:r>
          </w:p>
        </w:tc>
        <w:tc>
          <w:tcPr>
            <w:tcW w:w="2843" w:type="dxa"/>
            <w:shd w:val="clear" w:color="auto" w:fill="auto"/>
          </w:tcPr>
          <w:p w:rsidR="001A0164" w:rsidRDefault="001C2DB4" w:rsidP="00505048">
            <w:pPr>
              <w:pStyle w:val="Ruller41"/>
              <w:jc w:val="center"/>
              <w:rPr>
                <w:rtl/>
              </w:rPr>
            </w:pPr>
            <w:r>
              <w:rPr>
                <w:rtl/>
              </w:rPr>
              <w:t>ש ו פ ט</w:t>
            </w:r>
          </w:p>
        </w:tc>
      </w:tr>
    </w:tbl>
    <w:p w:rsidR="00044953" w:rsidRDefault="00044953"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1C2DB4">
        <w:rPr>
          <w:sz w:val="16"/>
        </w:rPr>
        <w:t xml:space="preserve">18017790_Y15.docx   </w:t>
      </w:r>
      <w:proofErr w:type="spellStart"/>
      <w:r w:rsidR="001C2DB4">
        <w:rPr>
          <w:sz w:val="16"/>
          <w:rtl/>
        </w:rPr>
        <w:t>למ</w:t>
      </w:r>
      <w:proofErr w:type="spellEnd"/>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sidR="00866D0F">
        <w:rPr>
          <w:rFonts w:hint="cs"/>
          <w:rtl/>
        </w:rPr>
        <w:t>, 3852*</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TUR">
    <w:altName w:val="Arial"/>
    <w:charset w:val="00"/>
    <w:family w:val="swiss"/>
    <w:pitch w:val="variable"/>
    <w:sig w:usb0="E0002E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00"/>
    <w:family w:val="swiss"/>
    <w:pitch w:val="variable"/>
    <w:sig w:usb0="00000803" w:usb1="00000000" w:usb2="00000000" w:usb3="00000000" w:csb0="00000021" w:csb1="00000000"/>
  </w:font>
  <w:font w:name="Arimo">
    <w:altName w:val="Times New Roman"/>
    <w:charset w:val="00"/>
    <w:family w:val="auto"/>
    <w:pitch w:val="default"/>
  </w:font>
  <w:font w:name="Alef2">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DB4" w:rsidRDefault="001C2DB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B4D" w:rsidRPr="00F959DB" w:rsidRDefault="00045B4D" w:rsidP="00914156">
    <w:pPr>
      <w:pStyle w:val="a3"/>
      <w:bidi w:val="0"/>
      <w:jc w:val="right"/>
      <w:rPr>
        <w:sz w:val="16"/>
        <w:szCs w:val="16"/>
      </w:rPr>
    </w:pPr>
    <w:bookmarkStart w:id="8" w:name="footer_line"/>
    <w:bookmarkEnd w:id="8"/>
  </w:p>
  <w:p w:rsidR="00045B4D" w:rsidRDefault="00045B4D">
    <w:pPr>
      <w:pStyle w:val="a3"/>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D971AD">
      <w:rPr>
        <w:rStyle w:val="a4"/>
        <w:noProof/>
        <w:rtl/>
      </w:rPr>
      <w:t>22</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BBC055AC">
      <w:start w:val="1"/>
      <w:numFmt w:val="decimal"/>
      <w:lvlText w:val="%1."/>
      <w:lvlJc w:val="left"/>
      <w:pPr>
        <w:ind w:left="720" w:hanging="360"/>
      </w:pPr>
    </w:lvl>
    <w:lvl w:ilvl="1" w:tplc="08EED086">
      <w:numFmt w:val="decimal"/>
      <w:lvlText w:val=""/>
      <w:lvlJc w:val="left"/>
    </w:lvl>
    <w:lvl w:ilvl="2" w:tplc="39A839D6">
      <w:numFmt w:val="decimal"/>
      <w:lvlText w:val=""/>
      <w:lvlJc w:val="left"/>
    </w:lvl>
    <w:lvl w:ilvl="3" w:tplc="35CE9A08">
      <w:numFmt w:val="decimal"/>
      <w:lvlText w:val=""/>
      <w:lvlJc w:val="left"/>
    </w:lvl>
    <w:lvl w:ilvl="4" w:tplc="A5BCBF4E">
      <w:numFmt w:val="decimal"/>
      <w:lvlText w:val=""/>
      <w:lvlJc w:val="left"/>
    </w:lvl>
    <w:lvl w:ilvl="5" w:tplc="8FA6365E">
      <w:numFmt w:val="decimal"/>
      <w:lvlText w:val=""/>
      <w:lvlJc w:val="left"/>
    </w:lvl>
    <w:lvl w:ilvl="6" w:tplc="20723B58">
      <w:numFmt w:val="decimal"/>
      <w:lvlText w:val=""/>
      <w:lvlJc w:val="left"/>
    </w:lvl>
    <w:lvl w:ilvl="7" w:tplc="1EEA3EDE">
      <w:numFmt w:val="decimal"/>
      <w:lvlText w:val=""/>
      <w:lvlJc w:val="left"/>
    </w:lvl>
    <w:lvl w:ilvl="8" w:tplc="5F28E1F4">
      <w:numFmt w:val="decimal"/>
      <w:lvlText w:val=""/>
      <w:lvlJc w:val="left"/>
    </w:lvl>
  </w:abstractNum>
  <w:abstractNum w:abstractNumId="11" w15:restartNumberingAfterBreak="0">
    <w:nsid w:val="00000002"/>
    <w:multiLevelType w:val="hybridMultilevel"/>
    <w:tmpl w:val="00000002"/>
    <w:lvl w:ilvl="0" w:tplc="E76EF30C">
      <w:start w:val="1"/>
      <w:numFmt w:val="decimal"/>
      <w:lvlText w:val="(%1)"/>
      <w:lvlJc w:val="left"/>
      <w:pPr>
        <w:ind w:left="720" w:hanging="360"/>
      </w:pPr>
    </w:lvl>
    <w:lvl w:ilvl="1" w:tplc="C4241FA6">
      <w:numFmt w:val="decimal"/>
      <w:lvlText w:val=""/>
      <w:lvlJc w:val="left"/>
    </w:lvl>
    <w:lvl w:ilvl="2" w:tplc="7FA65FD2">
      <w:numFmt w:val="decimal"/>
      <w:lvlText w:val=""/>
      <w:lvlJc w:val="left"/>
    </w:lvl>
    <w:lvl w:ilvl="3" w:tplc="87D0C8B2">
      <w:numFmt w:val="decimal"/>
      <w:lvlText w:val=""/>
      <w:lvlJc w:val="left"/>
    </w:lvl>
    <w:lvl w:ilvl="4" w:tplc="FA8EDF62">
      <w:numFmt w:val="decimal"/>
      <w:lvlText w:val=""/>
      <w:lvlJc w:val="left"/>
    </w:lvl>
    <w:lvl w:ilvl="5" w:tplc="6E0E9BFC">
      <w:numFmt w:val="decimal"/>
      <w:lvlText w:val=""/>
      <w:lvlJc w:val="left"/>
    </w:lvl>
    <w:lvl w:ilvl="6" w:tplc="8D6CEBA4">
      <w:numFmt w:val="decimal"/>
      <w:lvlText w:val=""/>
      <w:lvlJc w:val="left"/>
    </w:lvl>
    <w:lvl w:ilvl="7" w:tplc="8D545BEC">
      <w:numFmt w:val="decimal"/>
      <w:lvlText w:val=""/>
      <w:lvlJc w:val="left"/>
    </w:lvl>
    <w:lvl w:ilvl="8" w:tplc="E026A124">
      <w:numFmt w:val="decimal"/>
      <w:lvlText w:val=""/>
      <w:lvlJc w:val="left"/>
    </w:lvl>
  </w:abstractNum>
  <w:abstractNum w:abstractNumId="12" w15:restartNumberingAfterBreak="0">
    <w:nsid w:val="00000003"/>
    <w:multiLevelType w:val="hybridMultilevel"/>
    <w:tmpl w:val="00000003"/>
    <w:lvl w:ilvl="0" w:tplc="459A9926">
      <w:start w:val="1"/>
      <w:numFmt w:val="decimal"/>
      <w:lvlText w:val="(%1)"/>
      <w:lvlJc w:val="left"/>
      <w:pPr>
        <w:ind w:left="720" w:hanging="360"/>
      </w:pPr>
    </w:lvl>
    <w:lvl w:ilvl="1" w:tplc="F2C8974A">
      <w:numFmt w:val="decimal"/>
      <w:lvlText w:val=""/>
      <w:lvlJc w:val="left"/>
    </w:lvl>
    <w:lvl w:ilvl="2" w:tplc="5D9ED78C">
      <w:numFmt w:val="decimal"/>
      <w:lvlText w:val=""/>
      <w:lvlJc w:val="left"/>
    </w:lvl>
    <w:lvl w:ilvl="3" w:tplc="A6FCB758">
      <w:numFmt w:val="decimal"/>
      <w:lvlText w:val=""/>
      <w:lvlJc w:val="left"/>
    </w:lvl>
    <w:lvl w:ilvl="4" w:tplc="1CD69762">
      <w:numFmt w:val="decimal"/>
      <w:lvlText w:val=""/>
      <w:lvlJc w:val="left"/>
    </w:lvl>
    <w:lvl w:ilvl="5" w:tplc="264A3012">
      <w:numFmt w:val="decimal"/>
      <w:lvlText w:val=""/>
      <w:lvlJc w:val="left"/>
    </w:lvl>
    <w:lvl w:ilvl="6" w:tplc="B094C10C">
      <w:numFmt w:val="decimal"/>
      <w:lvlText w:val=""/>
      <w:lvlJc w:val="left"/>
    </w:lvl>
    <w:lvl w:ilvl="7" w:tplc="7DB4CED2">
      <w:numFmt w:val="decimal"/>
      <w:lvlText w:val=""/>
      <w:lvlJc w:val="left"/>
    </w:lvl>
    <w:lvl w:ilvl="8" w:tplc="EABCD6A2">
      <w:numFmt w:val="decimal"/>
      <w:lvlText w:val=""/>
      <w:lvlJc w:val="left"/>
    </w:lvl>
  </w:abstractNum>
  <w:abstractNum w:abstractNumId="13" w15:restartNumberingAfterBreak="0">
    <w:nsid w:val="009D44C2"/>
    <w:multiLevelType w:val="hybridMultilevel"/>
    <w:tmpl w:val="8960CAF0"/>
    <w:lvl w:ilvl="0" w:tplc="49EEAED6">
      <w:start w:val="1"/>
      <w:numFmt w:val="decimal"/>
      <w:lvlText w:val="%1."/>
      <w:lvlJc w:val="left"/>
      <w:pPr>
        <w:ind w:left="946" w:hanging="804"/>
      </w:pPr>
      <w:rPr>
        <w:rFonts w:ascii="Times New Roman" w:hAnsi="Times New Roman" w:cs="FrankRuehl" w:hint="default"/>
        <w:b w:val="0"/>
        <w:bCs w:val="0"/>
        <w:i w:val="0"/>
        <w:iCs w:val="0"/>
        <w:caps w:val="0"/>
        <w:smallCaps w:val="0"/>
        <w:strike w:val="0"/>
        <w:dstrike w:val="0"/>
        <w:outline w:val="0"/>
        <w:shadow w:val="0"/>
        <w:emboss w:val="0"/>
        <w:imprint w:val="0"/>
        <w:vanish w:val="0"/>
        <w:webHidden w:val="0"/>
        <w:color w:val="auto"/>
        <w:spacing w:val="10"/>
        <w:w w:val="100"/>
        <w:kern w:val="0"/>
        <w:position w:val="0"/>
        <w:sz w:val="22"/>
        <w:szCs w:val="28"/>
        <w:u w:val="none" w:color="000000"/>
        <w:effect w:val="none"/>
        <w:vertAlign w:val="baseline"/>
        <w:specVanish w:val="0"/>
      </w:rPr>
    </w:lvl>
    <w:lvl w:ilvl="1" w:tplc="DD745C22">
      <w:start w:val="1"/>
      <w:numFmt w:val="lowerLetter"/>
      <w:lvlText w:val="%2."/>
      <w:lvlJc w:val="left"/>
      <w:pPr>
        <w:ind w:left="1222" w:hanging="360"/>
      </w:pPr>
    </w:lvl>
    <w:lvl w:ilvl="2" w:tplc="069AC448">
      <w:start w:val="1"/>
      <w:numFmt w:val="lowerRoman"/>
      <w:lvlText w:val="%3."/>
      <w:lvlJc w:val="right"/>
      <w:pPr>
        <w:ind w:left="1942" w:hanging="180"/>
      </w:pPr>
    </w:lvl>
    <w:lvl w:ilvl="3" w:tplc="8A4AE522">
      <w:start w:val="1"/>
      <w:numFmt w:val="decimal"/>
      <w:lvlText w:val="%4."/>
      <w:lvlJc w:val="left"/>
      <w:pPr>
        <w:ind w:left="2662" w:hanging="360"/>
      </w:pPr>
    </w:lvl>
    <w:lvl w:ilvl="4" w:tplc="FCD6258E">
      <w:start w:val="1"/>
      <w:numFmt w:val="lowerLetter"/>
      <w:lvlText w:val="%5."/>
      <w:lvlJc w:val="left"/>
      <w:pPr>
        <w:ind w:left="3382" w:hanging="360"/>
      </w:pPr>
    </w:lvl>
    <w:lvl w:ilvl="5" w:tplc="0D7CBC8E">
      <w:start w:val="1"/>
      <w:numFmt w:val="lowerRoman"/>
      <w:lvlText w:val="%6."/>
      <w:lvlJc w:val="right"/>
      <w:pPr>
        <w:ind w:left="4102" w:hanging="180"/>
      </w:pPr>
    </w:lvl>
    <w:lvl w:ilvl="6" w:tplc="1422AF5E">
      <w:start w:val="1"/>
      <w:numFmt w:val="decimal"/>
      <w:lvlText w:val="%7."/>
      <w:lvlJc w:val="left"/>
      <w:pPr>
        <w:ind w:left="4822" w:hanging="360"/>
      </w:pPr>
    </w:lvl>
    <w:lvl w:ilvl="7" w:tplc="3B8A79D4">
      <w:start w:val="1"/>
      <w:numFmt w:val="lowerLetter"/>
      <w:lvlText w:val="%8."/>
      <w:lvlJc w:val="left"/>
      <w:pPr>
        <w:ind w:left="5542" w:hanging="360"/>
      </w:pPr>
    </w:lvl>
    <w:lvl w:ilvl="8" w:tplc="1B3AF776">
      <w:start w:val="1"/>
      <w:numFmt w:val="lowerRoman"/>
      <w:lvlText w:val="%9."/>
      <w:lvlJc w:val="right"/>
      <w:pPr>
        <w:ind w:left="6262" w:hanging="180"/>
      </w:pPr>
    </w:lvl>
  </w:abstractNum>
  <w:abstractNum w:abstractNumId="14" w15:restartNumberingAfterBreak="0">
    <w:nsid w:val="08A6001B"/>
    <w:multiLevelType w:val="hybridMultilevel"/>
    <w:tmpl w:val="B2C4B5E4"/>
    <w:lvl w:ilvl="0" w:tplc="8EB686BE">
      <w:start w:val="1"/>
      <w:numFmt w:val="decimal"/>
      <w:pStyle w:val="Ruller4"/>
      <w:lvlText w:val="%1."/>
      <w:lvlJc w:val="left"/>
      <w:pPr>
        <w:tabs>
          <w:tab w:val="num" w:pos="907"/>
        </w:tabs>
        <w:ind w:left="0" w:firstLine="0"/>
      </w:pPr>
      <w:rPr>
        <w:rFonts w:hint="default"/>
      </w:rPr>
    </w:lvl>
    <w:lvl w:ilvl="1" w:tplc="CB1EF3FA" w:tentative="1">
      <w:start w:val="1"/>
      <w:numFmt w:val="lowerLetter"/>
      <w:lvlText w:val="%2."/>
      <w:lvlJc w:val="left"/>
      <w:pPr>
        <w:tabs>
          <w:tab w:val="num" w:pos="1440"/>
        </w:tabs>
        <w:ind w:left="1440" w:hanging="360"/>
      </w:pPr>
    </w:lvl>
    <w:lvl w:ilvl="2" w:tplc="7F9ADB9E" w:tentative="1">
      <w:start w:val="1"/>
      <w:numFmt w:val="lowerRoman"/>
      <w:lvlText w:val="%3."/>
      <w:lvlJc w:val="right"/>
      <w:pPr>
        <w:tabs>
          <w:tab w:val="num" w:pos="2160"/>
        </w:tabs>
        <w:ind w:left="2160" w:hanging="180"/>
      </w:pPr>
    </w:lvl>
    <w:lvl w:ilvl="3" w:tplc="CD142650" w:tentative="1">
      <w:start w:val="1"/>
      <w:numFmt w:val="decimal"/>
      <w:lvlText w:val="%4."/>
      <w:lvlJc w:val="left"/>
      <w:pPr>
        <w:tabs>
          <w:tab w:val="num" w:pos="2880"/>
        </w:tabs>
        <w:ind w:left="2880" w:hanging="360"/>
      </w:pPr>
    </w:lvl>
    <w:lvl w:ilvl="4" w:tplc="1C0E9256" w:tentative="1">
      <w:start w:val="1"/>
      <w:numFmt w:val="lowerLetter"/>
      <w:lvlText w:val="%5."/>
      <w:lvlJc w:val="left"/>
      <w:pPr>
        <w:tabs>
          <w:tab w:val="num" w:pos="3600"/>
        </w:tabs>
        <w:ind w:left="3600" w:hanging="360"/>
      </w:pPr>
    </w:lvl>
    <w:lvl w:ilvl="5" w:tplc="8A3A766E" w:tentative="1">
      <w:start w:val="1"/>
      <w:numFmt w:val="lowerRoman"/>
      <w:lvlText w:val="%6."/>
      <w:lvlJc w:val="right"/>
      <w:pPr>
        <w:tabs>
          <w:tab w:val="num" w:pos="4320"/>
        </w:tabs>
        <w:ind w:left="4320" w:hanging="180"/>
      </w:pPr>
    </w:lvl>
    <w:lvl w:ilvl="6" w:tplc="FB4887F8" w:tentative="1">
      <w:start w:val="1"/>
      <w:numFmt w:val="decimal"/>
      <w:lvlText w:val="%7."/>
      <w:lvlJc w:val="left"/>
      <w:pPr>
        <w:tabs>
          <w:tab w:val="num" w:pos="5040"/>
        </w:tabs>
        <w:ind w:left="5040" w:hanging="360"/>
      </w:pPr>
    </w:lvl>
    <w:lvl w:ilvl="7" w:tplc="9F8C67B0" w:tentative="1">
      <w:start w:val="1"/>
      <w:numFmt w:val="lowerLetter"/>
      <w:lvlText w:val="%8."/>
      <w:lvlJc w:val="left"/>
      <w:pPr>
        <w:tabs>
          <w:tab w:val="num" w:pos="5760"/>
        </w:tabs>
        <w:ind w:left="5760" w:hanging="360"/>
      </w:pPr>
    </w:lvl>
    <w:lvl w:ilvl="8" w:tplc="69BE1E12" w:tentative="1">
      <w:start w:val="1"/>
      <w:numFmt w:val="lowerRoman"/>
      <w:lvlText w:val="%9."/>
      <w:lvlJc w:val="right"/>
      <w:pPr>
        <w:tabs>
          <w:tab w:val="num" w:pos="6480"/>
        </w:tabs>
        <w:ind w:left="6480" w:hanging="180"/>
      </w:pPr>
    </w:lvl>
  </w:abstractNum>
  <w:abstractNum w:abstractNumId="15" w15:restartNumberingAfterBreak="0">
    <w:nsid w:val="0F6A0A52"/>
    <w:multiLevelType w:val="hybridMultilevel"/>
    <w:tmpl w:val="FBAA4974"/>
    <w:lvl w:ilvl="0" w:tplc="F4783CE2">
      <w:start w:val="1"/>
      <w:numFmt w:val="decimal"/>
      <w:lvlText w:val="%1."/>
      <w:lvlJc w:val="left"/>
      <w:pPr>
        <w:ind w:left="720" w:hanging="360"/>
      </w:pPr>
      <w:rPr>
        <w:rFonts w:ascii="Calibri" w:hAnsi="Calibri" w:cs="David" w:hint="default"/>
        <w:b w:val="0"/>
        <w:bCs w:val="0"/>
        <w:color w:val="auto"/>
      </w:rPr>
    </w:lvl>
    <w:lvl w:ilvl="1" w:tplc="FC68B0B4">
      <w:start w:val="1"/>
      <w:numFmt w:val="lowerLetter"/>
      <w:lvlText w:val="%2."/>
      <w:lvlJc w:val="left"/>
      <w:pPr>
        <w:ind w:left="1440" w:hanging="360"/>
      </w:pPr>
      <w:rPr>
        <w:rFonts w:cs="Times New Roman"/>
      </w:rPr>
    </w:lvl>
    <w:lvl w:ilvl="2" w:tplc="5AB099D0">
      <w:start w:val="1"/>
      <w:numFmt w:val="decimal"/>
      <w:lvlText w:val="%3."/>
      <w:lvlJc w:val="left"/>
      <w:pPr>
        <w:tabs>
          <w:tab w:val="num" w:pos="2160"/>
        </w:tabs>
        <w:ind w:left="2160" w:hanging="360"/>
      </w:pPr>
    </w:lvl>
    <w:lvl w:ilvl="3" w:tplc="629462EC">
      <w:start w:val="1"/>
      <w:numFmt w:val="decimal"/>
      <w:lvlText w:val="%4."/>
      <w:lvlJc w:val="left"/>
      <w:pPr>
        <w:tabs>
          <w:tab w:val="num" w:pos="2880"/>
        </w:tabs>
        <w:ind w:left="2880" w:hanging="360"/>
      </w:pPr>
    </w:lvl>
    <w:lvl w:ilvl="4" w:tplc="4DC4DC8E">
      <w:start w:val="1"/>
      <w:numFmt w:val="decimal"/>
      <w:lvlText w:val="%5."/>
      <w:lvlJc w:val="left"/>
      <w:pPr>
        <w:tabs>
          <w:tab w:val="num" w:pos="3600"/>
        </w:tabs>
        <w:ind w:left="3600" w:hanging="360"/>
      </w:pPr>
    </w:lvl>
    <w:lvl w:ilvl="5" w:tplc="ECD687AC">
      <w:start w:val="1"/>
      <w:numFmt w:val="decimal"/>
      <w:lvlText w:val="%6."/>
      <w:lvlJc w:val="left"/>
      <w:pPr>
        <w:tabs>
          <w:tab w:val="num" w:pos="4320"/>
        </w:tabs>
        <w:ind w:left="4320" w:hanging="360"/>
      </w:pPr>
    </w:lvl>
    <w:lvl w:ilvl="6" w:tplc="5D108AE8">
      <w:start w:val="1"/>
      <w:numFmt w:val="decimal"/>
      <w:lvlText w:val="%7."/>
      <w:lvlJc w:val="left"/>
      <w:pPr>
        <w:tabs>
          <w:tab w:val="num" w:pos="5040"/>
        </w:tabs>
        <w:ind w:left="5040" w:hanging="360"/>
      </w:pPr>
    </w:lvl>
    <w:lvl w:ilvl="7" w:tplc="87461078">
      <w:start w:val="1"/>
      <w:numFmt w:val="decimal"/>
      <w:lvlText w:val="%8."/>
      <w:lvlJc w:val="left"/>
      <w:pPr>
        <w:tabs>
          <w:tab w:val="num" w:pos="5760"/>
        </w:tabs>
        <w:ind w:left="5760" w:hanging="360"/>
      </w:pPr>
    </w:lvl>
    <w:lvl w:ilvl="8" w:tplc="112C06A8">
      <w:start w:val="1"/>
      <w:numFmt w:val="decimal"/>
      <w:lvlText w:val="%9."/>
      <w:lvlJc w:val="left"/>
      <w:pPr>
        <w:tabs>
          <w:tab w:val="num" w:pos="6480"/>
        </w:tabs>
        <w:ind w:left="6480" w:hanging="360"/>
      </w:pPr>
    </w:lvl>
  </w:abstractNum>
  <w:abstractNum w:abstractNumId="16" w15:restartNumberingAfterBreak="0">
    <w:nsid w:val="13A30816"/>
    <w:multiLevelType w:val="hybridMultilevel"/>
    <w:tmpl w:val="BD62E992"/>
    <w:lvl w:ilvl="0" w:tplc="37D674F8">
      <w:start w:val="1"/>
      <w:numFmt w:val="decimal"/>
      <w:lvlText w:val="%1."/>
      <w:lvlJc w:val="left"/>
      <w:pPr>
        <w:ind w:left="720" w:hanging="360"/>
      </w:pPr>
    </w:lvl>
    <w:lvl w:ilvl="1" w:tplc="EEC82968" w:tentative="1">
      <w:start w:val="1"/>
      <w:numFmt w:val="lowerLetter"/>
      <w:lvlText w:val="%2."/>
      <w:lvlJc w:val="left"/>
      <w:pPr>
        <w:ind w:left="1440" w:hanging="360"/>
      </w:pPr>
    </w:lvl>
    <w:lvl w:ilvl="2" w:tplc="FD92706A" w:tentative="1">
      <w:start w:val="1"/>
      <w:numFmt w:val="lowerRoman"/>
      <w:lvlText w:val="%3."/>
      <w:lvlJc w:val="right"/>
      <w:pPr>
        <w:ind w:left="2160" w:hanging="180"/>
      </w:pPr>
    </w:lvl>
    <w:lvl w:ilvl="3" w:tplc="EC704CCA" w:tentative="1">
      <w:start w:val="1"/>
      <w:numFmt w:val="decimal"/>
      <w:lvlText w:val="%4."/>
      <w:lvlJc w:val="left"/>
      <w:pPr>
        <w:ind w:left="2880" w:hanging="360"/>
      </w:pPr>
    </w:lvl>
    <w:lvl w:ilvl="4" w:tplc="373EAB74" w:tentative="1">
      <w:start w:val="1"/>
      <w:numFmt w:val="lowerLetter"/>
      <w:lvlText w:val="%5."/>
      <w:lvlJc w:val="left"/>
      <w:pPr>
        <w:ind w:left="3600" w:hanging="360"/>
      </w:pPr>
    </w:lvl>
    <w:lvl w:ilvl="5" w:tplc="200822E0" w:tentative="1">
      <w:start w:val="1"/>
      <w:numFmt w:val="lowerRoman"/>
      <w:lvlText w:val="%6."/>
      <w:lvlJc w:val="right"/>
      <w:pPr>
        <w:ind w:left="4320" w:hanging="180"/>
      </w:pPr>
    </w:lvl>
    <w:lvl w:ilvl="6" w:tplc="6EA297E6" w:tentative="1">
      <w:start w:val="1"/>
      <w:numFmt w:val="decimal"/>
      <w:lvlText w:val="%7."/>
      <w:lvlJc w:val="left"/>
      <w:pPr>
        <w:ind w:left="5040" w:hanging="360"/>
      </w:pPr>
    </w:lvl>
    <w:lvl w:ilvl="7" w:tplc="F05ED63A" w:tentative="1">
      <w:start w:val="1"/>
      <w:numFmt w:val="lowerLetter"/>
      <w:lvlText w:val="%8."/>
      <w:lvlJc w:val="left"/>
      <w:pPr>
        <w:ind w:left="5760" w:hanging="360"/>
      </w:pPr>
    </w:lvl>
    <w:lvl w:ilvl="8" w:tplc="05246F50" w:tentative="1">
      <w:start w:val="1"/>
      <w:numFmt w:val="lowerRoman"/>
      <w:lvlText w:val="%9."/>
      <w:lvlJc w:val="right"/>
      <w:pPr>
        <w:ind w:left="6480" w:hanging="180"/>
      </w:pPr>
    </w:lvl>
  </w:abstractNum>
  <w:abstractNum w:abstractNumId="17" w15:restartNumberingAfterBreak="0">
    <w:nsid w:val="15A50648"/>
    <w:multiLevelType w:val="hybridMultilevel"/>
    <w:tmpl w:val="4422179E"/>
    <w:lvl w:ilvl="0" w:tplc="F97A45CA">
      <w:start w:val="1"/>
      <w:numFmt w:val="decimal"/>
      <w:lvlText w:val="%1."/>
      <w:lvlJc w:val="left"/>
      <w:pPr>
        <w:tabs>
          <w:tab w:val="num" w:pos="0"/>
        </w:tabs>
        <w:ind w:left="0" w:firstLine="0"/>
      </w:pPr>
      <w:rPr>
        <w:rFonts w:ascii="FrankRuehl" w:hAnsi="FrankRuehl" w:cs="FrankRuehl" w:hint="default"/>
        <w:b w:val="0"/>
        <w:bCs w:val="0"/>
        <w:i w:val="0"/>
        <w:iCs w:val="0"/>
        <w:caps w:val="0"/>
        <w:smallCaps w:val="0"/>
        <w:strike w:val="0"/>
        <w:dstrike w:val="0"/>
        <w:outline w:val="0"/>
        <w:shadow w:val="0"/>
        <w:emboss w:val="0"/>
        <w:imprint w:val="0"/>
        <w:vanish w:val="0"/>
        <w:webHidden w:val="0"/>
        <w:color w:val="auto"/>
        <w:spacing w:val="10"/>
        <w:w w:val="100"/>
        <w:kern w:val="0"/>
        <w:position w:val="0"/>
        <w:sz w:val="22"/>
        <w:szCs w:val="28"/>
        <w:u w:val="none" w:color="000000"/>
        <w:effect w:val="none"/>
        <w:vertAlign w:val="baseline"/>
        <w:lang w:val="en-US" w:bidi="he-IL"/>
        <w:specVanish w:val="0"/>
      </w:rPr>
    </w:lvl>
    <w:lvl w:ilvl="1" w:tplc="B9AA35AC">
      <w:start w:val="1"/>
      <w:numFmt w:val="lowerLetter"/>
      <w:lvlText w:val="%2."/>
      <w:lvlJc w:val="left"/>
      <w:pPr>
        <w:tabs>
          <w:tab w:val="num" w:pos="1440"/>
        </w:tabs>
        <w:ind w:left="1440" w:hanging="360"/>
      </w:pPr>
    </w:lvl>
    <w:lvl w:ilvl="2" w:tplc="7FDEC808">
      <w:start w:val="1"/>
      <w:numFmt w:val="lowerRoman"/>
      <w:lvlText w:val="%3."/>
      <w:lvlJc w:val="right"/>
      <w:pPr>
        <w:tabs>
          <w:tab w:val="num" w:pos="2160"/>
        </w:tabs>
        <w:ind w:left="2160" w:hanging="180"/>
      </w:pPr>
    </w:lvl>
    <w:lvl w:ilvl="3" w:tplc="8940C7C2">
      <w:start w:val="1"/>
      <w:numFmt w:val="decimal"/>
      <w:lvlText w:val="%4."/>
      <w:lvlJc w:val="left"/>
      <w:pPr>
        <w:tabs>
          <w:tab w:val="num" w:pos="2880"/>
        </w:tabs>
        <w:ind w:left="2880" w:hanging="360"/>
      </w:pPr>
    </w:lvl>
    <w:lvl w:ilvl="4" w:tplc="0FAA4C7A">
      <w:start w:val="1"/>
      <w:numFmt w:val="decimal"/>
      <w:lvlText w:val="%5."/>
      <w:lvlJc w:val="left"/>
      <w:pPr>
        <w:tabs>
          <w:tab w:val="num" w:pos="3600"/>
        </w:tabs>
        <w:ind w:left="3600" w:hanging="360"/>
      </w:pPr>
    </w:lvl>
    <w:lvl w:ilvl="5" w:tplc="3C68D8CC">
      <w:start w:val="1"/>
      <w:numFmt w:val="decimal"/>
      <w:lvlText w:val="%6."/>
      <w:lvlJc w:val="left"/>
      <w:pPr>
        <w:tabs>
          <w:tab w:val="num" w:pos="4320"/>
        </w:tabs>
        <w:ind w:left="4320" w:hanging="360"/>
      </w:pPr>
    </w:lvl>
    <w:lvl w:ilvl="6" w:tplc="B8E0D758">
      <w:start w:val="1"/>
      <w:numFmt w:val="decimal"/>
      <w:lvlText w:val="%7."/>
      <w:lvlJc w:val="left"/>
      <w:pPr>
        <w:tabs>
          <w:tab w:val="num" w:pos="5040"/>
        </w:tabs>
        <w:ind w:left="5040" w:hanging="360"/>
      </w:pPr>
    </w:lvl>
    <w:lvl w:ilvl="7" w:tplc="FC7A56B2">
      <w:start w:val="1"/>
      <w:numFmt w:val="decimal"/>
      <w:lvlText w:val="%8."/>
      <w:lvlJc w:val="left"/>
      <w:pPr>
        <w:tabs>
          <w:tab w:val="num" w:pos="5760"/>
        </w:tabs>
        <w:ind w:left="5760" w:hanging="360"/>
      </w:pPr>
    </w:lvl>
    <w:lvl w:ilvl="8" w:tplc="434AC60E">
      <w:start w:val="1"/>
      <w:numFmt w:val="decimal"/>
      <w:lvlText w:val="%9."/>
      <w:lvlJc w:val="left"/>
      <w:pPr>
        <w:tabs>
          <w:tab w:val="num" w:pos="6480"/>
        </w:tabs>
        <w:ind w:left="6480" w:hanging="360"/>
      </w:pPr>
    </w:lvl>
  </w:abstractNum>
  <w:abstractNum w:abstractNumId="18" w15:restartNumberingAfterBreak="0">
    <w:nsid w:val="44B63D8B"/>
    <w:multiLevelType w:val="hybridMultilevel"/>
    <w:tmpl w:val="62640EE2"/>
    <w:lvl w:ilvl="0" w:tplc="2BB8A558">
      <w:start w:val="1"/>
      <w:numFmt w:val="hebrew1"/>
      <w:lvlText w:val="%1."/>
      <w:lvlJc w:val="center"/>
      <w:pPr>
        <w:ind w:left="720" w:hanging="360"/>
      </w:pPr>
    </w:lvl>
    <w:lvl w:ilvl="1" w:tplc="9E48DC4A" w:tentative="1">
      <w:start w:val="1"/>
      <w:numFmt w:val="lowerLetter"/>
      <w:lvlText w:val="%2."/>
      <w:lvlJc w:val="left"/>
      <w:pPr>
        <w:ind w:left="1440" w:hanging="360"/>
      </w:pPr>
    </w:lvl>
    <w:lvl w:ilvl="2" w:tplc="C00631A6" w:tentative="1">
      <w:start w:val="1"/>
      <w:numFmt w:val="lowerRoman"/>
      <w:lvlText w:val="%3."/>
      <w:lvlJc w:val="right"/>
      <w:pPr>
        <w:ind w:left="2160" w:hanging="180"/>
      </w:pPr>
    </w:lvl>
    <w:lvl w:ilvl="3" w:tplc="25AA5460" w:tentative="1">
      <w:start w:val="1"/>
      <w:numFmt w:val="decimal"/>
      <w:lvlText w:val="%4."/>
      <w:lvlJc w:val="left"/>
      <w:pPr>
        <w:ind w:left="2880" w:hanging="360"/>
      </w:pPr>
    </w:lvl>
    <w:lvl w:ilvl="4" w:tplc="3CA290E0" w:tentative="1">
      <w:start w:val="1"/>
      <w:numFmt w:val="lowerLetter"/>
      <w:lvlText w:val="%5."/>
      <w:lvlJc w:val="left"/>
      <w:pPr>
        <w:ind w:left="3600" w:hanging="360"/>
      </w:pPr>
    </w:lvl>
    <w:lvl w:ilvl="5" w:tplc="6EB0E358" w:tentative="1">
      <w:start w:val="1"/>
      <w:numFmt w:val="lowerRoman"/>
      <w:lvlText w:val="%6."/>
      <w:lvlJc w:val="right"/>
      <w:pPr>
        <w:ind w:left="4320" w:hanging="180"/>
      </w:pPr>
    </w:lvl>
    <w:lvl w:ilvl="6" w:tplc="28E0821A" w:tentative="1">
      <w:start w:val="1"/>
      <w:numFmt w:val="decimal"/>
      <w:lvlText w:val="%7."/>
      <w:lvlJc w:val="left"/>
      <w:pPr>
        <w:ind w:left="5040" w:hanging="360"/>
      </w:pPr>
    </w:lvl>
    <w:lvl w:ilvl="7" w:tplc="7D2A2594" w:tentative="1">
      <w:start w:val="1"/>
      <w:numFmt w:val="lowerLetter"/>
      <w:lvlText w:val="%8."/>
      <w:lvlJc w:val="left"/>
      <w:pPr>
        <w:ind w:left="5760" w:hanging="360"/>
      </w:pPr>
    </w:lvl>
    <w:lvl w:ilvl="8" w:tplc="18A49836" w:tentative="1">
      <w:start w:val="1"/>
      <w:numFmt w:val="lowerRoman"/>
      <w:lvlText w:val="%9."/>
      <w:lvlJc w:val="right"/>
      <w:pPr>
        <w:ind w:left="6480" w:hanging="180"/>
      </w:pPr>
    </w:lvl>
  </w:abstractNum>
  <w:abstractNum w:abstractNumId="19" w15:restartNumberingAfterBreak="0">
    <w:nsid w:val="4FE70B62"/>
    <w:multiLevelType w:val="hybridMultilevel"/>
    <w:tmpl w:val="ADA8711E"/>
    <w:lvl w:ilvl="0" w:tplc="5E763108">
      <w:start w:val="1"/>
      <w:numFmt w:val="hebrew1"/>
      <w:pStyle w:val="Ruller40"/>
      <w:lvlText w:val="%1."/>
      <w:lvlJc w:val="left"/>
      <w:pPr>
        <w:tabs>
          <w:tab w:val="num" w:pos="907"/>
        </w:tabs>
        <w:ind w:left="0" w:firstLine="0"/>
      </w:pPr>
      <w:rPr>
        <w:rFonts w:hint="default"/>
      </w:rPr>
    </w:lvl>
    <w:lvl w:ilvl="1" w:tplc="84BA6CD8" w:tentative="1">
      <w:start w:val="1"/>
      <w:numFmt w:val="lowerLetter"/>
      <w:lvlText w:val="%2."/>
      <w:lvlJc w:val="left"/>
      <w:pPr>
        <w:tabs>
          <w:tab w:val="num" w:pos="1440"/>
        </w:tabs>
        <w:ind w:left="1440" w:hanging="360"/>
      </w:pPr>
    </w:lvl>
    <w:lvl w:ilvl="2" w:tplc="3A4A94B0" w:tentative="1">
      <w:start w:val="1"/>
      <w:numFmt w:val="lowerRoman"/>
      <w:lvlText w:val="%3."/>
      <w:lvlJc w:val="right"/>
      <w:pPr>
        <w:tabs>
          <w:tab w:val="num" w:pos="2160"/>
        </w:tabs>
        <w:ind w:left="2160" w:hanging="180"/>
      </w:pPr>
    </w:lvl>
    <w:lvl w:ilvl="3" w:tplc="AF46A2DC" w:tentative="1">
      <w:start w:val="1"/>
      <w:numFmt w:val="decimal"/>
      <w:lvlText w:val="%4."/>
      <w:lvlJc w:val="left"/>
      <w:pPr>
        <w:tabs>
          <w:tab w:val="num" w:pos="2880"/>
        </w:tabs>
        <w:ind w:left="2880" w:hanging="360"/>
      </w:pPr>
    </w:lvl>
    <w:lvl w:ilvl="4" w:tplc="7F149B42" w:tentative="1">
      <w:start w:val="1"/>
      <w:numFmt w:val="lowerLetter"/>
      <w:lvlText w:val="%5."/>
      <w:lvlJc w:val="left"/>
      <w:pPr>
        <w:tabs>
          <w:tab w:val="num" w:pos="3600"/>
        </w:tabs>
        <w:ind w:left="3600" w:hanging="360"/>
      </w:pPr>
    </w:lvl>
    <w:lvl w:ilvl="5" w:tplc="B8E4A026" w:tentative="1">
      <w:start w:val="1"/>
      <w:numFmt w:val="lowerRoman"/>
      <w:lvlText w:val="%6."/>
      <w:lvlJc w:val="right"/>
      <w:pPr>
        <w:tabs>
          <w:tab w:val="num" w:pos="4320"/>
        </w:tabs>
        <w:ind w:left="4320" w:hanging="180"/>
      </w:pPr>
    </w:lvl>
    <w:lvl w:ilvl="6" w:tplc="3998F6F8" w:tentative="1">
      <w:start w:val="1"/>
      <w:numFmt w:val="decimal"/>
      <w:lvlText w:val="%7."/>
      <w:lvlJc w:val="left"/>
      <w:pPr>
        <w:tabs>
          <w:tab w:val="num" w:pos="5040"/>
        </w:tabs>
        <w:ind w:left="5040" w:hanging="360"/>
      </w:pPr>
    </w:lvl>
    <w:lvl w:ilvl="7" w:tplc="39F6EF6C" w:tentative="1">
      <w:start w:val="1"/>
      <w:numFmt w:val="lowerLetter"/>
      <w:lvlText w:val="%8."/>
      <w:lvlJc w:val="left"/>
      <w:pPr>
        <w:tabs>
          <w:tab w:val="num" w:pos="5760"/>
        </w:tabs>
        <w:ind w:left="5760" w:hanging="360"/>
      </w:pPr>
    </w:lvl>
    <w:lvl w:ilvl="8" w:tplc="901E6AAE" w:tentative="1">
      <w:start w:val="1"/>
      <w:numFmt w:val="lowerRoman"/>
      <w:lvlText w:val="%9."/>
      <w:lvlJc w:val="right"/>
      <w:pPr>
        <w:tabs>
          <w:tab w:val="num" w:pos="6480"/>
        </w:tabs>
        <w:ind w:left="6480" w:hanging="180"/>
      </w:pPr>
    </w:lvl>
  </w:abstractNum>
  <w:abstractNum w:abstractNumId="20" w15:restartNumberingAfterBreak="0">
    <w:nsid w:val="7A68283C"/>
    <w:multiLevelType w:val="hybridMultilevel"/>
    <w:tmpl w:val="DD046F44"/>
    <w:lvl w:ilvl="0" w:tplc="7270D682">
      <w:start w:val="1"/>
      <w:numFmt w:val="hebrew1"/>
      <w:lvlText w:val="(%1)"/>
      <w:lvlJc w:val="left"/>
      <w:pPr>
        <w:ind w:left="2004" w:hanging="360"/>
      </w:pPr>
      <w:rPr>
        <w:rFonts w:hint="default"/>
      </w:rPr>
    </w:lvl>
    <w:lvl w:ilvl="1" w:tplc="E0AA9120" w:tentative="1">
      <w:start w:val="1"/>
      <w:numFmt w:val="lowerLetter"/>
      <w:lvlText w:val="%2."/>
      <w:lvlJc w:val="left"/>
      <w:pPr>
        <w:ind w:left="2724" w:hanging="360"/>
      </w:pPr>
    </w:lvl>
    <w:lvl w:ilvl="2" w:tplc="ED5A5C76" w:tentative="1">
      <w:start w:val="1"/>
      <w:numFmt w:val="lowerRoman"/>
      <w:lvlText w:val="%3."/>
      <w:lvlJc w:val="right"/>
      <w:pPr>
        <w:ind w:left="3444" w:hanging="180"/>
      </w:pPr>
    </w:lvl>
    <w:lvl w:ilvl="3" w:tplc="B32AEA1A" w:tentative="1">
      <w:start w:val="1"/>
      <w:numFmt w:val="decimal"/>
      <w:lvlText w:val="%4."/>
      <w:lvlJc w:val="left"/>
      <w:pPr>
        <w:ind w:left="4164" w:hanging="360"/>
      </w:pPr>
    </w:lvl>
    <w:lvl w:ilvl="4" w:tplc="87541F06" w:tentative="1">
      <w:start w:val="1"/>
      <w:numFmt w:val="lowerLetter"/>
      <w:lvlText w:val="%5."/>
      <w:lvlJc w:val="left"/>
      <w:pPr>
        <w:ind w:left="4884" w:hanging="360"/>
      </w:pPr>
    </w:lvl>
    <w:lvl w:ilvl="5" w:tplc="9B22E3F8" w:tentative="1">
      <w:start w:val="1"/>
      <w:numFmt w:val="lowerRoman"/>
      <w:lvlText w:val="%6."/>
      <w:lvlJc w:val="right"/>
      <w:pPr>
        <w:ind w:left="5604" w:hanging="180"/>
      </w:pPr>
    </w:lvl>
    <w:lvl w:ilvl="6" w:tplc="27DA564E" w:tentative="1">
      <w:start w:val="1"/>
      <w:numFmt w:val="decimal"/>
      <w:lvlText w:val="%7."/>
      <w:lvlJc w:val="left"/>
      <w:pPr>
        <w:ind w:left="6324" w:hanging="360"/>
      </w:pPr>
    </w:lvl>
    <w:lvl w:ilvl="7" w:tplc="42F65FC0" w:tentative="1">
      <w:start w:val="1"/>
      <w:numFmt w:val="lowerLetter"/>
      <w:lvlText w:val="%8."/>
      <w:lvlJc w:val="left"/>
      <w:pPr>
        <w:ind w:left="7044" w:hanging="360"/>
      </w:pPr>
    </w:lvl>
    <w:lvl w:ilvl="8" w:tplc="9F503F0A" w:tentative="1">
      <w:start w:val="1"/>
      <w:numFmt w:val="lowerRoman"/>
      <w:lvlText w:val="%9."/>
      <w:lvlJc w:val="right"/>
      <w:pPr>
        <w:ind w:left="7764"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9"/>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11"/>
  </w:num>
  <w:num w:numId="17">
    <w:abstractNumId w:val="1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24E9B"/>
    <w:rsid w:val="00032036"/>
    <w:rsid w:val="00036227"/>
    <w:rsid w:val="00044953"/>
    <w:rsid w:val="00045B4D"/>
    <w:rsid w:val="000725F5"/>
    <w:rsid w:val="00072AD2"/>
    <w:rsid w:val="000B1478"/>
    <w:rsid w:val="000C4690"/>
    <w:rsid w:val="000D25C4"/>
    <w:rsid w:val="00134A67"/>
    <w:rsid w:val="00175ED6"/>
    <w:rsid w:val="001762D4"/>
    <w:rsid w:val="001A0164"/>
    <w:rsid w:val="001C1413"/>
    <w:rsid w:val="001C2DB4"/>
    <w:rsid w:val="00200D6B"/>
    <w:rsid w:val="00265F6E"/>
    <w:rsid w:val="002876BF"/>
    <w:rsid w:val="002A4A7A"/>
    <w:rsid w:val="002A4BF3"/>
    <w:rsid w:val="002F7BB6"/>
    <w:rsid w:val="003405B9"/>
    <w:rsid w:val="003448B2"/>
    <w:rsid w:val="00361DB2"/>
    <w:rsid w:val="0037622E"/>
    <w:rsid w:val="00377102"/>
    <w:rsid w:val="0039709B"/>
    <w:rsid w:val="003D72DA"/>
    <w:rsid w:val="003F1F97"/>
    <w:rsid w:val="00403916"/>
    <w:rsid w:val="0041048F"/>
    <w:rsid w:val="00437D59"/>
    <w:rsid w:val="004610A4"/>
    <w:rsid w:val="004934B4"/>
    <w:rsid w:val="004B29FF"/>
    <w:rsid w:val="004C7868"/>
    <w:rsid w:val="004D70BC"/>
    <w:rsid w:val="00503A3E"/>
    <w:rsid w:val="00505048"/>
    <w:rsid w:val="00514E63"/>
    <w:rsid w:val="00527F02"/>
    <w:rsid w:val="00533E69"/>
    <w:rsid w:val="00535ABA"/>
    <w:rsid w:val="00562B9E"/>
    <w:rsid w:val="005803E2"/>
    <w:rsid w:val="0058440A"/>
    <w:rsid w:val="00591983"/>
    <w:rsid w:val="005B4FC2"/>
    <w:rsid w:val="00624A42"/>
    <w:rsid w:val="00643C61"/>
    <w:rsid w:val="0065522F"/>
    <w:rsid w:val="006A30F7"/>
    <w:rsid w:val="006C42AD"/>
    <w:rsid w:val="00725345"/>
    <w:rsid w:val="00741CC0"/>
    <w:rsid w:val="007A5824"/>
    <w:rsid w:val="007B512F"/>
    <w:rsid w:val="007F7512"/>
    <w:rsid w:val="00810894"/>
    <w:rsid w:val="008143AB"/>
    <w:rsid w:val="0083345F"/>
    <w:rsid w:val="00836667"/>
    <w:rsid w:val="00866D0F"/>
    <w:rsid w:val="00870FA4"/>
    <w:rsid w:val="008C2F11"/>
    <w:rsid w:val="008D78B9"/>
    <w:rsid w:val="008D7C42"/>
    <w:rsid w:val="008E3F85"/>
    <w:rsid w:val="009039F1"/>
    <w:rsid w:val="009051E8"/>
    <w:rsid w:val="00914156"/>
    <w:rsid w:val="00916FF8"/>
    <w:rsid w:val="00922093"/>
    <w:rsid w:val="00930C85"/>
    <w:rsid w:val="00950638"/>
    <w:rsid w:val="00996078"/>
    <w:rsid w:val="009B38DA"/>
    <w:rsid w:val="009F2F53"/>
    <w:rsid w:val="009F4187"/>
    <w:rsid w:val="00A12E0F"/>
    <w:rsid w:val="00A51FAE"/>
    <w:rsid w:val="00A80845"/>
    <w:rsid w:val="00AB69F7"/>
    <w:rsid w:val="00AD097B"/>
    <w:rsid w:val="00AD64B9"/>
    <w:rsid w:val="00AE022B"/>
    <w:rsid w:val="00B009CC"/>
    <w:rsid w:val="00B0782A"/>
    <w:rsid w:val="00B62B8C"/>
    <w:rsid w:val="00B63343"/>
    <w:rsid w:val="00B86B52"/>
    <w:rsid w:val="00B87FF7"/>
    <w:rsid w:val="00BA0B08"/>
    <w:rsid w:val="00BC0E82"/>
    <w:rsid w:val="00BD40F9"/>
    <w:rsid w:val="00C41C86"/>
    <w:rsid w:val="00C63A6C"/>
    <w:rsid w:val="00CA13AF"/>
    <w:rsid w:val="00CA1444"/>
    <w:rsid w:val="00CB1590"/>
    <w:rsid w:val="00CB7600"/>
    <w:rsid w:val="00CB788A"/>
    <w:rsid w:val="00CC0E9D"/>
    <w:rsid w:val="00CC3639"/>
    <w:rsid w:val="00D00B1D"/>
    <w:rsid w:val="00D00CB7"/>
    <w:rsid w:val="00D00F4B"/>
    <w:rsid w:val="00D25F16"/>
    <w:rsid w:val="00D81A8C"/>
    <w:rsid w:val="00D971AD"/>
    <w:rsid w:val="00DC6E12"/>
    <w:rsid w:val="00E21CA9"/>
    <w:rsid w:val="00E31063"/>
    <w:rsid w:val="00E31B79"/>
    <w:rsid w:val="00E36FE9"/>
    <w:rsid w:val="00E73E98"/>
    <w:rsid w:val="00E75223"/>
    <w:rsid w:val="00E90D72"/>
    <w:rsid w:val="00E97BC6"/>
    <w:rsid w:val="00EA0BE1"/>
    <w:rsid w:val="00EC23AC"/>
    <w:rsid w:val="00EC2992"/>
    <w:rsid w:val="00ED46A4"/>
    <w:rsid w:val="00ED6FD9"/>
    <w:rsid w:val="00EE3810"/>
    <w:rsid w:val="00F30C2B"/>
    <w:rsid w:val="00F411AD"/>
    <w:rsid w:val="00F4312E"/>
    <w:rsid w:val="00F63C3B"/>
    <w:rsid w:val="00F959DB"/>
    <w:rsid w:val="00FB2666"/>
    <w:rsid w:val="00FF40D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5A832C-49AE-4B84-BE93-E857C074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link w:val="a6"/>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7">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8">
    <w:name w:val="annotation reference"/>
    <w:basedOn w:val="a0"/>
    <w:rsid w:val="00D00B1D"/>
    <w:rPr>
      <w:sz w:val="16"/>
      <w:szCs w:val="16"/>
    </w:rPr>
  </w:style>
  <w:style w:type="paragraph" w:styleId="a9">
    <w:name w:val="annotation text"/>
    <w:basedOn w:val="a"/>
    <w:link w:val="aa"/>
    <w:rsid w:val="00D00B1D"/>
    <w:rPr>
      <w:szCs w:val="20"/>
    </w:rPr>
  </w:style>
  <w:style w:type="character" w:customStyle="1" w:styleId="aa">
    <w:name w:val="טקסט הערה תו"/>
    <w:basedOn w:val="a0"/>
    <w:link w:val="a9"/>
    <w:rsid w:val="00D00B1D"/>
    <w:rPr>
      <w:rFonts w:cs="David"/>
    </w:rPr>
  </w:style>
  <w:style w:type="paragraph" w:styleId="ab">
    <w:name w:val="annotation subject"/>
    <w:basedOn w:val="a9"/>
    <w:next w:val="a9"/>
    <w:link w:val="ac"/>
    <w:rsid w:val="00D00B1D"/>
    <w:rPr>
      <w:b/>
      <w:bCs/>
    </w:rPr>
  </w:style>
  <w:style w:type="character" w:customStyle="1" w:styleId="ac">
    <w:name w:val="נושא הערה תו"/>
    <w:basedOn w:val="aa"/>
    <w:link w:val="ab"/>
    <w:rsid w:val="00D00B1D"/>
    <w:rPr>
      <w:rFonts w:cs="David"/>
      <w:b/>
      <w:bCs/>
    </w:rPr>
  </w:style>
  <w:style w:type="paragraph" w:styleId="ad">
    <w:name w:val="Balloon Text"/>
    <w:basedOn w:val="a"/>
    <w:link w:val="ae"/>
    <w:rsid w:val="00D00B1D"/>
    <w:rPr>
      <w:rFonts w:ascii="Tahoma" w:hAnsi="Tahoma" w:cs="Tahoma"/>
      <w:sz w:val="18"/>
      <w:szCs w:val="18"/>
    </w:rPr>
  </w:style>
  <w:style w:type="character" w:customStyle="1" w:styleId="ae">
    <w:name w:val="טקסט בלונים תו"/>
    <w:basedOn w:val="a0"/>
    <w:link w:val="ad"/>
    <w:rsid w:val="00D00B1D"/>
    <w:rPr>
      <w:rFonts w:ascii="Tahoma" w:hAnsi="Tahoma" w:cs="Tahoma"/>
      <w:sz w:val="18"/>
      <w:szCs w:val="18"/>
    </w:rPr>
  </w:style>
  <w:style w:type="paragraph" w:customStyle="1" w:styleId="Ruller4">
    <w:name w:val="Ruller 4 ממוספר"/>
    <w:basedOn w:val="Ruller41"/>
    <w:next w:val="Ruller41"/>
    <w:rsid w:val="00D81A8C"/>
    <w:pPr>
      <w:numPr>
        <w:numId w:val="11"/>
      </w:numPr>
    </w:pPr>
    <w:rPr>
      <w:rFonts w:ascii="Garamond" w:hAnsi="Garamond"/>
      <w:sz w:val="24"/>
    </w:rPr>
  </w:style>
  <w:style w:type="paragraph" w:customStyle="1" w:styleId="Ruller40">
    <w:name w:val="Ruller4 אלפביתי"/>
    <w:basedOn w:val="Ruller41"/>
    <w:next w:val="Ruller41"/>
    <w:rsid w:val="00D81A8C"/>
    <w:pPr>
      <w:numPr>
        <w:numId w:val="12"/>
      </w:numPr>
    </w:pPr>
  </w:style>
  <w:style w:type="character" w:customStyle="1" w:styleId="Ruller42">
    <w:name w:val="Ruller4 תו"/>
    <w:link w:val="Ruller41"/>
    <w:locked/>
    <w:rsid w:val="00D81A8C"/>
    <w:rPr>
      <w:rFonts w:ascii="Arial TUR" w:hAnsi="Arial TUR" w:cs="FrankRuehl"/>
      <w:spacing w:val="10"/>
      <w:sz w:val="22"/>
      <w:szCs w:val="28"/>
    </w:rPr>
  </w:style>
  <w:style w:type="paragraph" w:customStyle="1" w:styleId="p00">
    <w:name w:val="p00"/>
    <w:basedOn w:val="a"/>
    <w:rsid w:val="00D81A8C"/>
    <w:pPr>
      <w:overflowPunct/>
      <w:autoSpaceDE/>
      <w:autoSpaceDN/>
      <w:bidi w:val="0"/>
      <w:adjustRightInd/>
      <w:spacing w:before="100" w:beforeAutospacing="1" w:after="100" w:afterAutospacing="1"/>
      <w:textAlignment w:val="auto"/>
    </w:pPr>
    <w:rPr>
      <w:rFonts w:cs="Times New Roman"/>
      <w:sz w:val="24"/>
    </w:rPr>
  </w:style>
  <w:style w:type="character" w:customStyle="1" w:styleId="big-number">
    <w:name w:val="big-number"/>
    <w:basedOn w:val="a0"/>
    <w:rsid w:val="00D81A8C"/>
  </w:style>
  <w:style w:type="character" w:customStyle="1" w:styleId="default">
    <w:name w:val="default"/>
    <w:basedOn w:val="a0"/>
    <w:rsid w:val="00D81A8C"/>
  </w:style>
  <w:style w:type="character" w:styleId="af">
    <w:name w:val="footnote reference"/>
    <w:basedOn w:val="a0"/>
    <w:unhideWhenUsed/>
    <w:rsid w:val="00D81A8C"/>
  </w:style>
  <w:style w:type="paragraph" w:customStyle="1" w:styleId="ruller400">
    <w:name w:val="ruller40"/>
    <w:basedOn w:val="a"/>
    <w:rsid w:val="00D81A8C"/>
    <w:pPr>
      <w:overflowPunct/>
      <w:autoSpaceDE/>
      <w:autoSpaceDN/>
      <w:bidi w:val="0"/>
      <w:adjustRightInd/>
      <w:spacing w:before="100" w:beforeAutospacing="1" w:after="100" w:afterAutospacing="1"/>
      <w:textAlignment w:val="auto"/>
    </w:pPr>
    <w:rPr>
      <w:rFonts w:cs="Times New Roman"/>
      <w:sz w:val="24"/>
    </w:rPr>
  </w:style>
  <w:style w:type="paragraph" w:customStyle="1" w:styleId="ruller420">
    <w:name w:val="ruller42"/>
    <w:basedOn w:val="a"/>
    <w:rsid w:val="00D81A8C"/>
    <w:pPr>
      <w:overflowPunct/>
      <w:autoSpaceDE/>
      <w:autoSpaceDN/>
      <w:bidi w:val="0"/>
      <w:adjustRightInd/>
      <w:spacing w:before="100" w:beforeAutospacing="1" w:after="100" w:afterAutospacing="1"/>
      <w:textAlignment w:val="auto"/>
    </w:pPr>
    <w:rPr>
      <w:rFonts w:cs="Times New Roman"/>
      <w:sz w:val="24"/>
    </w:rPr>
  </w:style>
  <w:style w:type="character" w:customStyle="1" w:styleId="1">
    <w:name w:val="אזכור לא מזוהה1"/>
    <w:basedOn w:val="a0"/>
    <w:uiPriority w:val="99"/>
    <w:rsid w:val="00D81A8C"/>
    <w:rPr>
      <w:color w:val="605E5C"/>
      <w:shd w:val="clear" w:color="auto" w:fill="E1DFDD"/>
    </w:rPr>
  </w:style>
  <w:style w:type="paragraph" w:customStyle="1" w:styleId="af0">
    <w:name w:val="כללי"/>
    <w:basedOn w:val="a"/>
    <w:rsid w:val="00D81A8C"/>
    <w:pPr>
      <w:adjustRightInd/>
      <w:spacing w:after="240" w:line="280" w:lineRule="atLeast"/>
      <w:ind w:firstLine="284"/>
      <w:jc w:val="both"/>
      <w:textAlignment w:val="auto"/>
    </w:pPr>
    <w:rPr>
      <w:rFonts w:cs="Times New Roman"/>
      <w:szCs w:val="20"/>
    </w:rPr>
  </w:style>
  <w:style w:type="paragraph" w:styleId="af1">
    <w:name w:val="Quote"/>
    <w:basedOn w:val="a"/>
    <w:link w:val="af2"/>
    <w:uiPriority w:val="29"/>
    <w:qFormat/>
    <w:rsid w:val="00D81A8C"/>
    <w:pPr>
      <w:adjustRightInd/>
      <w:spacing w:after="240" w:line="280" w:lineRule="atLeast"/>
      <w:ind w:left="454" w:right="454"/>
      <w:jc w:val="both"/>
      <w:textAlignment w:val="auto"/>
    </w:pPr>
    <w:rPr>
      <w:rFonts w:cs="Times New Roman"/>
      <w:szCs w:val="20"/>
    </w:rPr>
  </w:style>
  <w:style w:type="character" w:customStyle="1" w:styleId="af2">
    <w:name w:val="ציטוט תו"/>
    <w:basedOn w:val="a0"/>
    <w:link w:val="af1"/>
    <w:uiPriority w:val="29"/>
    <w:rsid w:val="00D81A8C"/>
  </w:style>
  <w:style w:type="paragraph" w:customStyle="1" w:styleId="ruller51">
    <w:name w:val="ruller5"/>
    <w:basedOn w:val="a"/>
    <w:rsid w:val="00D81A8C"/>
    <w:pPr>
      <w:overflowPunct/>
      <w:autoSpaceDE/>
      <w:autoSpaceDN/>
      <w:bidi w:val="0"/>
      <w:adjustRightInd/>
      <w:spacing w:before="100" w:beforeAutospacing="1" w:after="100" w:afterAutospacing="1"/>
      <w:textAlignment w:val="auto"/>
    </w:pPr>
    <w:rPr>
      <w:rFonts w:cs="Times New Roman"/>
      <w:sz w:val="24"/>
    </w:rPr>
  </w:style>
  <w:style w:type="paragraph" w:customStyle="1" w:styleId="p22">
    <w:name w:val="p22"/>
    <w:basedOn w:val="a"/>
    <w:rsid w:val="00D81A8C"/>
    <w:pPr>
      <w:overflowPunct/>
      <w:autoSpaceDE/>
      <w:autoSpaceDN/>
      <w:bidi w:val="0"/>
      <w:adjustRightInd/>
      <w:spacing w:before="100" w:beforeAutospacing="1" w:after="100" w:afterAutospacing="1"/>
      <w:textAlignment w:val="auto"/>
    </w:pPr>
    <w:rPr>
      <w:rFonts w:cs="Times New Roman"/>
      <w:sz w:val="24"/>
    </w:rPr>
  </w:style>
  <w:style w:type="character" w:customStyle="1" w:styleId="a6">
    <w:name w:val="כותרת עליונה תו"/>
    <w:basedOn w:val="a0"/>
    <w:link w:val="a5"/>
    <w:rsid w:val="00D81A8C"/>
    <w:rPr>
      <w:rFonts w:cs="David"/>
      <w:szCs w:val="24"/>
    </w:rPr>
  </w:style>
  <w:style w:type="character" w:customStyle="1" w:styleId="Ruller50">
    <w:name w:val="Ruller5 תו"/>
    <w:link w:val="Ruller5"/>
    <w:locked/>
    <w:rsid w:val="00D81A8C"/>
    <w:rPr>
      <w:rFonts w:ascii="Arial TUR" w:hAnsi="Arial TUR" w:cs="FrankRuehl"/>
      <w:spacing w:val="10"/>
      <w:sz w:val="22"/>
      <w:szCs w:val="28"/>
    </w:rPr>
  </w:style>
  <w:style w:type="paragraph" w:styleId="af3">
    <w:name w:val="List Paragraph"/>
    <w:basedOn w:val="a"/>
    <w:uiPriority w:val="34"/>
    <w:qFormat/>
    <w:rsid w:val="00D81A8C"/>
    <w:pPr>
      <w:spacing w:line="360" w:lineRule="auto"/>
      <w:ind w:left="720"/>
      <w:contextualSpacing/>
    </w:pPr>
    <w:rPr>
      <w:rFonts w:ascii="Century" w:hAnsi="Century" w:cs="FrankRuehl"/>
      <w:spacing w:val="10"/>
      <w:szCs w:val="28"/>
    </w:rPr>
  </w:style>
  <w:style w:type="paragraph" w:styleId="af4">
    <w:name w:val="Body Text"/>
    <w:basedOn w:val="a"/>
    <w:link w:val="af5"/>
    <w:uiPriority w:val="99"/>
    <w:unhideWhenUsed/>
    <w:rsid w:val="00D81A8C"/>
    <w:pPr>
      <w:overflowPunct/>
      <w:autoSpaceDE/>
      <w:autoSpaceDN/>
      <w:bidi w:val="0"/>
      <w:adjustRightInd/>
      <w:spacing w:before="100" w:beforeAutospacing="1" w:after="100" w:afterAutospacing="1"/>
      <w:textAlignment w:val="auto"/>
    </w:pPr>
    <w:rPr>
      <w:rFonts w:cs="Times New Roman"/>
      <w:sz w:val="24"/>
    </w:rPr>
  </w:style>
  <w:style w:type="character" w:customStyle="1" w:styleId="af5">
    <w:name w:val="גוף טקסט תו"/>
    <w:basedOn w:val="a0"/>
    <w:link w:val="af4"/>
    <w:uiPriority w:val="99"/>
    <w:rsid w:val="00D81A8C"/>
    <w:rPr>
      <w:sz w:val="24"/>
      <w:szCs w:val="24"/>
    </w:rPr>
  </w:style>
  <w:style w:type="paragraph" w:styleId="af6">
    <w:name w:val="footnote text"/>
    <w:basedOn w:val="a"/>
    <w:link w:val="af7"/>
    <w:unhideWhenUsed/>
    <w:rsid w:val="00D81A8C"/>
    <w:rPr>
      <w:rFonts w:ascii="Century" w:hAnsi="Century" w:cs="FrankRuehl"/>
      <w:spacing w:val="10"/>
      <w:szCs w:val="20"/>
    </w:rPr>
  </w:style>
  <w:style w:type="character" w:customStyle="1" w:styleId="af7">
    <w:name w:val="טקסט הערת שוליים תו"/>
    <w:basedOn w:val="a0"/>
    <w:link w:val="af6"/>
    <w:rsid w:val="00D81A8C"/>
    <w:rPr>
      <w:rFonts w:ascii="Century" w:hAnsi="Century" w:cs="FrankRuehl"/>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7993</Words>
  <Characters>37376</Characters>
  <Application>Microsoft Office Word</Application>
  <DocSecurity>0</DocSecurity>
  <Lines>311</Lines>
  <Paragraphs>90</Paragraphs>
  <ScaleCrop>false</ScaleCrop>
  <HeadingPairs>
    <vt:vector size="2" baseType="variant">
      <vt:variant>
        <vt:lpstr>שם</vt:lpstr>
      </vt:variant>
      <vt:variant>
        <vt:i4>1</vt:i4>
      </vt:variant>
    </vt:vector>
  </HeadingPairs>
  <TitlesOfParts>
    <vt:vector size="1" baseType="lpstr">
      <vt:lpstr>פסק-דין בתיק ע"א  1779/18</vt:lpstr>
    </vt:vector>
  </TitlesOfParts>
  <Company/>
  <LinksUpToDate>false</LinksUpToDate>
  <CharactersWithSpaces>45279</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2020-12-02T08:52:43Z</cp:lastPrinted>
  <dcterms:created xsi:type="dcterms:W3CDTF">2020-12-02T08:52:43Z</dcterms:created>
  <dcterms:modified xsi:type="dcterms:W3CDTF">2020-12-02T08:52:43Z</dcterms:modified>
</cp:coreProperties>
</file>