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8363" w:type="dxa"/>
        <w:tblInd w:w="9" w:type="dxa"/>
        <w:tblLook w:val="04A0" w:firstRow="1" w:lastRow="0" w:firstColumn="1" w:lastColumn="0" w:noHBand="0" w:noVBand="1"/>
      </w:tblPr>
      <w:tblGrid>
        <w:gridCol w:w="8363"/>
      </w:tblGrid>
      <w:tr w:rsidR="00D54C92" w:rsidTr="00C93AD8">
        <w:tc>
          <w:tcPr>
            <w:tcW w:w="8363" w:type="dxa"/>
            <w:hideMark/>
          </w:tcPr>
          <w:p w:rsidR="00D54C92" w:rsidRDefault="00D54C92" w:rsidP="00C93AD8">
            <w:pPr>
              <w:pStyle w:val="FileNumber0"/>
              <w:spacing w:line="240" w:lineRule="auto"/>
              <w:rPr>
                <w:sz w:val="28"/>
                <w:u w:val="single"/>
              </w:rPr>
            </w:pPr>
            <w:r>
              <w:rPr>
                <w:rFonts w:hint="cs"/>
                <w:u w:val="single"/>
                <w:rtl/>
              </w:rPr>
              <w:t>בבית המשפט העליון בשבתו כבית משפט לערעורים אזרחיים</w:t>
            </w:r>
          </w:p>
        </w:tc>
      </w:tr>
    </w:tbl>
    <w:p w:rsidR="00D54C92" w:rsidRDefault="00D54C92" w:rsidP="00C93AD8">
      <w:pPr>
        <w:jc w:val="right"/>
        <w:rPr>
          <w:rFonts w:cs="Miriam"/>
          <w:b/>
          <w:bCs/>
          <w:u w:val="single"/>
          <w:rtl/>
        </w:rPr>
      </w:pPr>
    </w:p>
    <w:tbl>
      <w:tblPr>
        <w:bidiVisual/>
        <w:tblW w:w="8363" w:type="dxa"/>
        <w:tblLook w:val="04A0" w:firstRow="1" w:lastRow="0" w:firstColumn="1" w:lastColumn="0" w:noHBand="0" w:noVBand="1"/>
      </w:tblPr>
      <w:tblGrid>
        <w:gridCol w:w="8363"/>
      </w:tblGrid>
      <w:tr w:rsidR="00D54C92" w:rsidTr="00D54C92">
        <w:trPr>
          <w:trHeight w:val="342"/>
        </w:trPr>
        <w:tc>
          <w:tcPr>
            <w:tcW w:w="9828" w:type="dxa"/>
            <w:hideMark/>
          </w:tcPr>
          <w:p w:rsidR="00D54C92" w:rsidRDefault="00D54C92" w:rsidP="00C93AD8">
            <w:pPr>
              <w:pStyle w:val="FileNumber"/>
              <w:spacing w:line="240" w:lineRule="auto"/>
              <w:rPr>
                <w:sz w:val="28"/>
                <w:szCs w:val="28"/>
              </w:rPr>
            </w:pPr>
            <w:bookmarkStart w:id="0" w:name="casename_body"/>
            <w:r>
              <w:rPr>
                <w:rFonts w:hint="cs"/>
                <w:sz w:val="28"/>
                <w:szCs w:val="28"/>
                <w:rtl/>
              </w:rPr>
              <w:t>ע"א  3012/18</w:t>
            </w:r>
          </w:p>
        </w:tc>
      </w:tr>
      <w:bookmarkEnd w:id="0"/>
    </w:tbl>
    <w:p w:rsidR="00D54C92" w:rsidRDefault="00D54C92" w:rsidP="00C93AD8">
      <w:pPr>
        <w:jc w:val="right"/>
        <w:rPr>
          <w:rFonts w:cs="Miriam"/>
          <w:b/>
          <w:bCs/>
          <w:u w:val="single"/>
        </w:rPr>
      </w:pPr>
    </w:p>
    <w:p w:rsidR="00D54C92" w:rsidRDefault="00D54C92" w:rsidP="00C93AD8">
      <w:pPr>
        <w:jc w:val="right"/>
        <w:rPr>
          <w:rFonts w:cs="Miriam"/>
          <w:b/>
          <w:bCs/>
          <w:u w:val="single"/>
          <w:rtl/>
        </w:rPr>
      </w:pPr>
    </w:p>
    <w:p w:rsidR="00D54C92" w:rsidRDefault="00D54C92" w:rsidP="00C93AD8">
      <w:pPr>
        <w:jc w:val="right"/>
        <w:rPr>
          <w:rFonts w:cs="Miriam"/>
          <w:b/>
          <w:bCs/>
          <w:u w:val="single"/>
          <w:rtl/>
        </w:rPr>
      </w:pPr>
    </w:p>
    <w:tbl>
      <w:tblPr>
        <w:bidiVisual/>
        <w:tblW w:w="0" w:type="dxa"/>
        <w:tblLayout w:type="fixed"/>
        <w:tblLook w:val="04A0" w:firstRow="1" w:lastRow="0" w:firstColumn="1" w:lastColumn="0" w:noHBand="0" w:noVBand="1"/>
      </w:tblPr>
      <w:tblGrid>
        <w:gridCol w:w="3261"/>
        <w:gridCol w:w="5239"/>
      </w:tblGrid>
      <w:tr w:rsidR="00D54C92" w:rsidTr="00D54C92">
        <w:trPr>
          <w:trHeight w:val="287"/>
        </w:trPr>
        <w:tc>
          <w:tcPr>
            <w:tcW w:w="3261" w:type="dxa"/>
            <w:hideMark/>
          </w:tcPr>
          <w:p w:rsidR="00D54C92" w:rsidRDefault="00D54C92" w:rsidP="00C93AD8">
            <w:pPr>
              <w:pStyle w:val="BodyRuller"/>
              <w:rPr>
                <w:rFonts w:cs="Miriam"/>
                <w:b/>
                <w:bCs/>
                <w:u w:val="single"/>
              </w:rPr>
            </w:pPr>
            <w:r>
              <w:rPr>
                <w:rFonts w:hint="cs"/>
                <w:rtl/>
              </w:rPr>
              <w:t>לפני:</w:t>
            </w:r>
            <w:r>
              <w:rPr>
                <w:rFonts w:hint="cs"/>
                <w:rtl/>
              </w:rPr>
              <w:tab/>
            </w:r>
          </w:p>
        </w:tc>
        <w:tc>
          <w:tcPr>
            <w:tcW w:w="5239" w:type="dxa"/>
            <w:hideMark/>
          </w:tcPr>
          <w:p w:rsidR="00D54C92" w:rsidRDefault="00D54C92" w:rsidP="00C93AD8">
            <w:pPr>
              <w:pStyle w:val="BodyRuller"/>
            </w:pPr>
            <w:r>
              <w:rPr>
                <w:rFonts w:hint="cs"/>
                <w:rtl/>
              </w:rPr>
              <w:t>כבוד הנשיאה א' חיות</w:t>
            </w:r>
          </w:p>
        </w:tc>
      </w:tr>
      <w:tr w:rsidR="00D54C92" w:rsidTr="00D54C92">
        <w:trPr>
          <w:trHeight w:val="287"/>
        </w:trPr>
        <w:tc>
          <w:tcPr>
            <w:tcW w:w="3261" w:type="dxa"/>
          </w:tcPr>
          <w:p w:rsidR="00D54C92" w:rsidRDefault="00D54C92" w:rsidP="00C93AD8">
            <w:pPr>
              <w:pStyle w:val="BodyRuller"/>
            </w:pPr>
          </w:p>
        </w:tc>
        <w:tc>
          <w:tcPr>
            <w:tcW w:w="5239" w:type="dxa"/>
            <w:hideMark/>
          </w:tcPr>
          <w:p w:rsidR="00D54C92" w:rsidRDefault="00D54C92" w:rsidP="00C93AD8">
            <w:pPr>
              <w:pStyle w:val="BodyRuller"/>
              <w:rPr>
                <w:rtl/>
              </w:rPr>
            </w:pPr>
            <w:r>
              <w:rPr>
                <w:rFonts w:hint="cs"/>
                <w:rtl/>
              </w:rPr>
              <w:t>כבוד המשנה לנשיאה ח' מלצר</w:t>
            </w:r>
          </w:p>
        </w:tc>
      </w:tr>
      <w:tr w:rsidR="00D54C92" w:rsidTr="00D54C92">
        <w:trPr>
          <w:trHeight w:val="287"/>
        </w:trPr>
        <w:tc>
          <w:tcPr>
            <w:tcW w:w="3261" w:type="dxa"/>
          </w:tcPr>
          <w:p w:rsidR="00D54C92" w:rsidRDefault="00D54C92" w:rsidP="00C93AD8">
            <w:pPr>
              <w:pStyle w:val="BodyRuller"/>
              <w:rPr>
                <w:rtl/>
              </w:rPr>
            </w:pPr>
          </w:p>
        </w:tc>
        <w:tc>
          <w:tcPr>
            <w:tcW w:w="5239" w:type="dxa"/>
            <w:hideMark/>
          </w:tcPr>
          <w:p w:rsidR="00D54C92" w:rsidRDefault="00D54C92" w:rsidP="00C93AD8">
            <w:pPr>
              <w:pStyle w:val="BodyRuller"/>
              <w:rPr>
                <w:rtl/>
              </w:rPr>
            </w:pPr>
            <w:r>
              <w:rPr>
                <w:rFonts w:hint="cs"/>
                <w:rtl/>
              </w:rPr>
              <w:t>כבוד השופט א' שטיין</w:t>
            </w:r>
          </w:p>
        </w:tc>
      </w:tr>
    </w:tbl>
    <w:p w:rsidR="00D54C92" w:rsidRDefault="00D54C92" w:rsidP="00C93AD8">
      <w:pPr>
        <w:pStyle w:val="Ruller3"/>
        <w:spacing w:line="240" w:lineRule="auto"/>
        <w:rPr>
          <w:rFonts w:cs="Miriam"/>
          <w:b/>
          <w:bCs/>
          <w:u w:val="single"/>
          <w:rtl/>
        </w:rPr>
      </w:pPr>
    </w:p>
    <w:tbl>
      <w:tblPr>
        <w:bidiVisual/>
        <w:tblW w:w="0" w:type="dxa"/>
        <w:tblLayout w:type="fixed"/>
        <w:tblLook w:val="04A0" w:firstRow="1" w:lastRow="0" w:firstColumn="1" w:lastColumn="0" w:noHBand="0" w:noVBand="1"/>
      </w:tblPr>
      <w:tblGrid>
        <w:gridCol w:w="3261"/>
        <w:gridCol w:w="5239"/>
      </w:tblGrid>
      <w:tr w:rsidR="00D54C92" w:rsidTr="00D54C92">
        <w:trPr>
          <w:trHeight w:val="287"/>
        </w:trPr>
        <w:tc>
          <w:tcPr>
            <w:tcW w:w="3261" w:type="dxa"/>
            <w:hideMark/>
          </w:tcPr>
          <w:p w:rsidR="00D54C92" w:rsidRDefault="00D54C92" w:rsidP="00C93AD8">
            <w:pPr>
              <w:pStyle w:val="BodyRuller"/>
              <w:rPr>
                <w:rFonts w:ascii="David" w:hAnsi="David"/>
                <w:rtl/>
              </w:rPr>
            </w:pPr>
            <w:r>
              <w:rPr>
                <w:rFonts w:ascii="David" w:hAnsi="David" w:hint="cs"/>
                <w:rtl/>
              </w:rPr>
              <w:t>המערער:</w:t>
            </w:r>
          </w:p>
        </w:tc>
        <w:tc>
          <w:tcPr>
            <w:tcW w:w="5239" w:type="dxa"/>
            <w:hideMark/>
          </w:tcPr>
          <w:p w:rsidR="00D54C92" w:rsidRDefault="00D54C92" w:rsidP="00C93AD8">
            <w:pPr>
              <w:pStyle w:val="BodyRuller"/>
            </w:pPr>
            <w:r>
              <w:rPr>
                <w:rFonts w:hint="cs"/>
                <w:rtl/>
              </w:rPr>
              <w:t>מנהל מיסוי מקרקעין חיפה</w:t>
            </w:r>
          </w:p>
        </w:tc>
      </w:tr>
    </w:tbl>
    <w:p w:rsidR="00D54C92" w:rsidRDefault="00D54C92" w:rsidP="00C93AD8">
      <w:pPr>
        <w:pStyle w:val="Ruller3"/>
        <w:spacing w:line="240" w:lineRule="auto"/>
      </w:pPr>
    </w:p>
    <w:tbl>
      <w:tblPr>
        <w:bidiVisual/>
        <w:tblW w:w="8363" w:type="dxa"/>
        <w:tblLook w:val="04A0" w:firstRow="1" w:lastRow="0" w:firstColumn="1" w:lastColumn="0" w:noHBand="0" w:noVBand="1"/>
      </w:tblPr>
      <w:tblGrid>
        <w:gridCol w:w="3222"/>
        <w:gridCol w:w="5141"/>
      </w:tblGrid>
      <w:tr w:rsidR="00D54C92" w:rsidTr="00D54C92">
        <w:tc>
          <w:tcPr>
            <w:tcW w:w="3284" w:type="dxa"/>
          </w:tcPr>
          <w:p w:rsidR="00D54C92" w:rsidRDefault="00D54C92" w:rsidP="00C93AD8">
            <w:pPr>
              <w:pStyle w:val="BodyRuller"/>
            </w:pPr>
          </w:p>
        </w:tc>
        <w:tc>
          <w:tcPr>
            <w:tcW w:w="5238" w:type="dxa"/>
            <w:hideMark/>
          </w:tcPr>
          <w:p w:rsidR="00D54C92" w:rsidRDefault="00D54C92" w:rsidP="00C93AD8">
            <w:pPr>
              <w:pStyle w:val="BodyRuller"/>
            </w:pPr>
            <w:r>
              <w:rPr>
                <w:rFonts w:hint="cs"/>
                <w:rtl/>
              </w:rPr>
              <w:t>נ</w:t>
            </w:r>
            <w:r>
              <w:t xml:space="preserve">  </w:t>
            </w:r>
            <w:r>
              <w:rPr>
                <w:rFonts w:hint="cs"/>
                <w:rtl/>
              </w:rPr>
              <w:t>ג</w:t>
            </w:r>
            <w:r>
              <w:t xml:space="preserve">  </w:t>
            </w:r>
            <w:r>
              <w:rPr>
                <w:rFonts w:hint="cs"/>
                <w:rtl/>
              </w:rPr>
              <w:t>ד</w:t>
            </w:r>
          </w:p>
        </w:tc>
      </w:tr>
    </w:tbl>
    <w:p w:rsidR="00D54C92" w:rsidRDefault="00D54C92" w:rsidP="00C93AD8">
      <w:pPr>
        <w:pStyle w:val="Ruller3"/>
        <w:spacing w:line="240" w:lineRule="auto"/>
      </w:pPr>
    </w:p>
    <w:tbl>
      <w:tblPr>
        <w:bidiVisual/>
        <w:tblW w:w="0" w:type="dxa"/>
        <w:tblLayout w:type="fixed"/>
        <w:tblLook w:val="04A0" w:firstRow="1" w:lastRow="0" w:firstColumn="1" w:lastColumn="0" w:noHBand="0" w:noVBand="1"/>
      </w:tblPr>
      <w:tblGrid>
        <w:gridCol w:w="3261"/>
        <w:gridCol w:w="5239"/>
      </w:tblGrid>
      <w:tr w:rsidR="00D54C92" w:rsidTr="00D54C92">
        <w:trPr>
          <w:trHeight w:val="287"/>
        </w:trPr>
        <w:tc>
          <w:tcPr>
            <w:tcW w:w="3261" w:type="dxa"/>
            <w:hideMark/>
          </w:tcPr>
          <w:p w:rsidR="00D54C92" w:rsidRDefault="00D54C92" w:rsidP="00C93AD8">
            <w:pPr>
              <w:pStyle w:val="BodyRuller"/>
              <w:rPr>
                <w:rFonts w:ascii="David" w:hAnsi="David"/>
                <w:rtl/>
              </w:rPr>
            </w:pPr>
            <w:r>
              <w:rPr>
                <w:rFonts w:ascii="David" w:hAnsi="David" w:hint="cs"/>
                <w:rtl/>
              </w:rPr>
              <w:t>המשיבות:</w:t>
            </w:r>
          </w:p>
        </w:tc>
        <w:tc>
          <w:tcPr>
            <w:tcW w:w="5239" w:type="dxa"/>
            <w:hideMark/>
          </w:tcPr>
          <w:p w:rsidR="00D54C92" w:rsidRDefault="00D54C92" w:rsidP="00C93AD8">
            <w:pPr>
              <w:pStyle w:val="BodyRuller"/>
            </w:pPr>
            <w:r>
              <w:rPr>
                <w:rFonts w:hint="cs"/>
                <w:rtl/>
              </w:rPr>
              <w:t xml:space="preserve">1. </w:t>
            </w:r>
            <w:proofErr w:type="spellStart"/>
            <w:r>
              <w:rPr>
                <w:rFonts w:hint="cs"/>
                <w:rtl/>
              </w:rPr>
              <w:t>טוונטי</w:t>
            </w:r>
            <w:proofErr w:type="spellEnd"/>
            <w:r>
              <w:rPr>
                <w:rFonts w:hint="cs"/>
                <w:rtl/>
              </w:rPr>
              <w:t xml:space="preserve"> </w:t>
            </w:r>
            <w:proofErr w:type="spellStart"/>
            <w:r>
              <w:rPr>
                <w:rFonts w:hint="cs"/>
                <w:rtl/>
              </w:rPr>
              <w:t>האנדר</w:t>
            </w:r>
            <w:r w:rsidR="00A855A1">
              <w:rPr>
                <w:rFonts w:hint="cs"/>
                <w:rtl/>
              </w:rPr>
              <w:t>ד</w:t>
            </w:r>
            <w:proofErr w:type="spellEnd"/>
            <w:r>
              <w:rPr>
                <w:rFonts w:hint="cs"/>
                <w:rtl/>
              </w:rPr>
              <w:t xml:space="preserve"> נהריה בע"מ</w:t>
            </w:r>
          </w:p>
        </w:tc>
      </w:tr>
      <w:tr w:rsidR="00D54C92" w:rsidTr="00D54C92">
        <w:trPr>
          <w:trHeight w:val="287"/>
        </w:trPr>
        <w:tc>
          <w:tcPr>
            <w:tcW w:w="3261" w:type="dxa"/>
          </w:tcPr>
          <w:p w:rsidR="00D54C92" w:rsidRDefault="00D54C92" w:rsidP="00C93AD8">
            <w:pPr>
              <w:pStyle w:val="BodyRuller"/>
              <w:rPr>
                <w:rFonts w:ascii="David" w:hAnsi="David"/>
              </w:rPr>
            </w:pPr>
          </w:p>
        </w:tc>
        <w:tc>
          <w:tcPr>
            <w:tcW w:w="5239" w:type="dxa"/>
            <w:hideMark/>
          </w:tcPr>
          <w:p w:rsidR="00D54C92" w:rsidRDefault="00D54C92" w:rsidP="00C93AD8">
            <w:pPr>
              <w:pStyle w:val="BodyRuller"/>
              <w:rPr>
                <w:rtl/>
              </w:rPr>
            </w:pPr>
            <w:r>
              <w:rPr>
                <w:rFonts w:hint="cs"/>
                <w:rtl/>
              </w:rPr>
              <w:t xml:space="preserve">2. ח. נחמן </w:t>
            </w:r>
            <w:proofErr w:type="spellStart"/>
            <w:r>
              <w:rPr>
                <w:rFonts w:hint="cs"/>
                <w:rtl/>
              </w:rPr>
              <w:t>גרופ</w:t>
            </w:r>
            <w:proofErr w:type="spellEnd"/>
            <w:r>
              <w:rPr>
                <w:rFonts w:hint="cs"/>
                <w:rtl/>
              </w:rPr>
              <w:t xml:space="preserve"> בע"מ</w:t>
            </w:r>
          </w:p>
        </w:tc>
      </w:tr>
      <w:tr w:rsidR="00D54C92" w:rsidTr="00D54C92">
        <w:trPr>
          <w:trHeight w:val="287"/>
        </w:trPr>
        <w:tc>
          <w:tcPr>
            <w:tcW w:w="3261" w:type="dxa"/>
          </w:tcPr>
          <w:p w:rsidR="00D54C92" w:rsidRDefault="00D54C92" w:rsidP="00C93AD8">
            <w:pPr>
              <w:pStyle w:val="BodyRuller"/>
              <w:rPr>
                <w:rFonts w:ascii="David" w:hAnsi="David"/>
                <w:rtl/>
              </w:rPr>
            </w:pPr>
          </w:p>
        </w:tc>
        <w:tc>
          <w:tcPr>
            <w:tcW w:w="5239" w:type="dxa"/>
            <w:hideMark/>
          </w:tcPr>
          <w:p w:rsidR="00D54C92" w:rsidRDefault="00D54C92" w:rsidP="00C93AD8">
            <w:pPr>
              <w:pStyle w:val="BodyRuller"/>
              <w:rPr>
                <w:rtl/>
              </w:rPr>
            </w:pPr>
            <w:r>
              <w:rPr>
                <w:rFonts w:hint="cs"/>
                <w:rtl/>
              </w:rPr>
              <w:t xml:space="preserve">3. </w:t>
            </w:r>
            <w:proofErr w:type="spellStart"/>
            <w:r>
              <w:rPr>
                <w:rFonts w:hint="cs"/>
                <w:rtl/>
              </w:rPr>
              <w:t>גיניו</w:t>
            </w:r>
            <w:proofErr w:type="spellEnd"/>
            <w:r>
              <w:rPr>
                <w:rFonts w:hint="cs"/>
                <w:rtl/>
              </w:rPr>
              <w:t xml:space="preserve"> ניהול בע"מ</w:t>
            </w:r>
          </w:p>
        </w:tc>
      </w:tr>
    </w:tbl>
    <w:p w:rsidR="00D54C92" w:rsidRDefault="00D54C92" w:rsidP="00C93AD8">
      <w:pPr>
        <w:pStyle w:val="Ruller3"/>
        <w:spacing w:line="240" w:lineRule="auto"/>
        <w:jc w:val="both"/>
        <w:rPr>
          <w:rtl/>
        </w:rPr>
      </w:pPr>
    </w:p>
    <w:tbl>
      <w:tblPr>
        <w:bidiVisual/>
        <w:tblW w:w="0" w:type="auto"/>
        <w:tblInd w:w="3209" w:type="dxa"/>
        <w:tblLook w:val="04A0" w:firstRow="1" w:lastRow="0" w:firstColumn="1" w:lastColumn="0" w:noHBand="0" w:noVBand="1"/>
      </w:tblPr>
      <w:tblGrid>
        <w:gridCol w:w="5103"/>
      </w:tblGrid>
      <w:tr w:rsidR="00D54C92" w:rsidTr="00D54C92">
        <w:tc>
          <w:tcPr>
            <w:tcW w:w="5103" w:type="dxa"/>
            <w:hideMark/>
          </w:tcPr>
          <w:p w:rsidR="00D54C92" w:rsidRDefault="00D54C92" w:rsidP="00C93AD8">
            <w:pPr>
              <w:pStyle w:val="BodyRuller"/>
              <w:jc w:val="both"/>
              <w:rPr>
                <w:sz w:val="24"/>
                <w:szCs w:val="24"/>
              </w:rPr>
            </w:pPr>
            <w:r>
              <w:rPr>
                <w:rFonts w:hint="cs"/>
                <w:sz w:val="24"/>
                <w:szCs w:val="24"/>
                <w:rtl/>
              </w:rPr>
              <w:t xml:space="preserve">ערעור על פסק הדין של ועדת הערר לפי חוק מיסוי מקרקעין שליד בית המשפט המחוזי חיפה </w:t>
            </w:r>
            <w:proofErr w:type="spellStart"/>
            <w:r>
              <w:rPr>
                <w:rFonts w:hint="cs"/>
                <w:sz w:val="24"/>
                <w:szCs w:val="24"/>
                <w:rtl/>
              </w:rPr>
              <w:t>בו"ע</w:t>
            </w:r>
            <w:proofErr w:type="spellEnd"/>
            <w:r>
              <w:rPr>
                <w:rFonts w:hint="cs"/>
                <w:sz w:val="24"/>
                <w:szCs w:val="24"/>
                <w:rtl/>
              </w:rPr>
              <w:t xml:space="preserve">           44202-05-16 מיום 19.1.2018 שניתן על ידי השופט ר' </w:t>
            </w:r>
            <w:proofErr w:type="spellStart"/>
            <w:r>
              <w:rPr>
                <w:rFonts w:hint="cs"/>
                <w:sz w:val="24"/>
                <w:szCs w:val="24"/>
                <w:rtl/>
              </w:rPr>
              <w:t>סוקול</w:t>
            </w:r>
            <w:proofErr w:type="spellEnd"/>
            <w:r>
              <w:rPr>
                <w:rFonts w:hint="cs"/>
                <w:sz w:val="24"/>
                <w:szCs w:val="24"/>
                <w:rtl/>
              </w:rPr>
              <w:t xml:space="preserve">, </w:t>
            </w:r>
            <w:proofErr w:type="spellStart"/>
            <w:r>
              <w:rPr>
                <w:rFonts w:hint="cs"/>
                <w:sz w:val="24"/>
                <w:szCs w:val="24"/>
                <w:rtl/>
              </w:rPr>
              <w:t>ס"נ</w:t>
            </w:r>
            <w:proofErr w:type="spellEnd"/>
            <w:r>
              <w:rPr>
                <w:rFonts w:hint="cs"/>
                <w:sz w:val="24"/>
                <w:szCs w:val="24"/>
                <w:rtl/>
              </w:rPr>
              <w:t xml:space="preserve">, וחברי הוועדה עו"ד ד' מרגליות ועו"ד ד' </w:t>
            </w:r>
            <w:proofErr w:type="spellStart"/>
            <w:r>
              <w:rPr>
                <w:rFonts w:hint="cs"/>
                <w:sz w:val="24"/>
                <w:szCs w:val="24"/>
                <w:rtl/>
              </w:rPr>
              <w:t>שמואלביץ</w:t>
            </w:r>
            <w:proofErr w:type="spellEnd"/>
            <w:r>
              <w:rPr>
                <w:rFonts w:hint="cs"/>
                <w:sz w:val="24"/>
                <w:szCs w:val="24"/>
                <w:rtl/>
              </w:rPr>
              <w:t>'</w:t>
            </w:r>
          </w:p>
        </w:tc>
      </w:tr>
    </w:tbl>
    <w:p w:rsidR="00D54C92" w:rsidRDefault="00D54C92" w:rsidP="00C93AD8">
      <w:pPr>
        <w:pStyle w:val="Ruller3"/>
        <w:spacing w:line="240" w:lineRule="auto"/>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423"/>
        <w:gridCol w:w="2710"/>
      </w:tblGrid>
      <w:tr w:rsidR="00D54C92" w:rsidTr="00D54C92">
        <w:tc>
          <w:tcPr>
            <w:tcW w:w="3212" w:type="dxa"/>
            <w:tcBorders>
              <w:top w:val="nil"/>
              <w:left w:val="nil"/>
              <w:bottom w:val="nil"/>
              <w:right w:val="nil"/>
            </w:tcBorders>
            <w:hideMark/>
          </w:tcPr>
          <w:p w:rsidR="00D54C92" w:rsidRDefault="00D54C92" w:rsidP="00C93AD8">
            <w:pPr>
              <w:pStyle w:val="BodyRuller"/>
              <w:rPr>
                <w:sz w:val="24"/>
                <w:szCs w:val="24"/>
                <w:rtl/>
              </w:rPr>
            </w:pPr>
            <w:r>
              <w:rPr>
                <w:rFonts w:hint="cs"/>
                <w:sz w:val="24"/>
                <w:szCs w:val="24"/>
                <w:rtl/>
              </w:rPr>
              <w:t>תאריך הישיבה:</w:t>
            </w:r>
          </w:p>
        </w:tc>
        <w:tc>
          <w:tcPr>
            <w:tcW w:w="2409" w:type="dxa"/>
            <w:tcBorders>
              <w:top w:val="nil"/>
              <w:left w:val="nil"/>
              <w:bottom w:val="nil"/>
              <w:right w:val="nil"/>
            </w:tcBorders>
            <w:hideMark/>
          </w:tcPr>
          <w:p w:rsidR="00D54C92" w:rsidRDefault="00D54C92" w:rsidP="00C93AD8">
            <w:pPr>
              <w:pStyle w:val="BodyRuller"/>
            </w:pPr>
            <w:r>
              <w:rPr>
                <w:rFonts w:hint="cs"/>
                <w:sz w:val="24"/>
                <w:szCs w:val="24"/>
                <w:rtl/>
              </w:rPr>
              <w:t xml:space="preserve">ט"ו בשבט </w:t>
            </w:r>
            <w:proofErr w:type="spellStart"/>
            <w:r>
              <w:rPr>
                <w:rFonts w:hint="cs"/>
                <w:sz w:val="24"/>
                <w:szCs w:val="24"/>
                <w:rtl/>
              </w:rPr>
              <w:t>התשע"ט</w:t>
            </w:r>
            <w:proofErr w:type="spellEnd"/>
            <w:r>
              <w:t xml:space="preserve">       </w:t>
            </w:r>
          </w:p>
        </w:tc>
        <w:tc>
          <w:tcPr>
            <w:tcW w:w="2694" w:type="dxa"/>
            <w:tcBorders>
              <w:top w:val="nil"/>
              <w:left w:val="nil"/>
              <w:bottom w:val="nil"/>
              <w:right w:val="nil"/>
            </w:tcBorders>
            <w:hideMark/>
          </w:tcPr>
          <w:p w:rsidR="00D54C92" w:rsidRDefault="00D54C92" w:rsidP="00C93AD8">
            <w:pPr>
              <w:pStyle w:val="BodyRuller"/>
              <w:rPr>
                <w:sz w:val="24"/>
                <w:szCs w:val="24"/>
                <w:rtl/>
              </w:rPr>
            </w:pPr>
            <w:r>
              <w:t xml:space="preserve">(21.01.2019) </w:t>
            </w:r>
          </w:p>
        </w:tc>
      </w:tr>
    </w:tbl>
    <w:p w:rsidR="00D54C92" w:rsidRDefault="00D54C92" w:rsidP="00C93AD8">
      <w:pPr>
        <w:pStyle w:val="Ruller3"/>
        <w:spacing w:line="240" w:lineRule="auto"/>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5149"/>
      </w:tblGrid>
      <w:tr w:rsidR="00D54C92" w:rsidTr="00D54C92">
        <w:tc>
          <w:tcPr>
            <w:tcW w:w="3257" w:type="dxa"/>
            <w:tcBorders>
              <w:top w:val="nil"/>
              <w:left w:val="nil"/>
              <w:bottom w:val="nil"/>
              <w:right w:val="nil"/>
            </w:tcBorders>
            <w:hideMark/>
          </w:tcPr>
          <w:p w:rsidR="00D54C92" w:rsidRDefault="00D54C92" w:rsidP="00C93AD8">
            <w:pPr>
              <w:pStyle w:val="BodyRuller"/>
            </w:pPr>
            <w:r>
              <w:rPr>
                <w:rFonts w:hint="cs"/>
                <w:rtl/>
              </w:rPr>
              <w:t>בשם המערער:</w:t>
            </w:r>
          </w:p>
        </w:tc>
        <w:tc>
          <w:tcPr>
            <w:tcW w:w="5238" w:type="dxa"/>
            <w:tcBorders>
              <w:top w:val="nil"/>
              <w:left w:val="nil"/>
              <w:bottom w:val="nil"/>
              <w:right w:val="nil"/>
            </w:tcBorders>
            <w:hideMark/>
          </w:tcPr>
          <w:p w:rsidR="00D54C92" w:rsidRDefault="00D54C92" w:rsidP="00C93AD8">
            <w:pPr>
              <w:pStyle w:val="BodyRuller"/>
            </w:pPr>
            <w:r>
              <w:rPr>
                <w:rFonts w:hint="cs"/>
                <w:rtl/>
              </w:rPr>
              <w:t xml:space="preserve">עו"ד עודד </w:t>
            </w:r>
            <w:proofErr w:type="spellStart"/>
            <w:r>
              <w:rPr>
                <w:rFonts w:hint="cs"/>
                <w:rtl/>
              </w:rPr>
              <w:t>טאובר</w:t>
            </w:r>
            <w:proofErr w:type="spellEnd"/>
          </w:p>
        </w:tc>
      </w:tr>
    </w:tbl>
    <w:p w:rsidR="00D54C92" w:rsidRDefault="00D54C92" w:rsidP="00C93AD8">
      <w:pPr>
        <w:pStyle w:val="Ruller3"/>
        <w:spacing w:line="240" w:lineRule="auto"/>
      </w:pP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3216"/>
        <w:gridCol w:w="5120"/>
        <w:gridCol w:w="27"/>
      </w:tblGrid>
      <w:tr w:rsidR="00D54C92" w:rsidTr="00D54C92">
        <w:trPr>
          <w:gridBefore w:val="1"/>
          <w:wBefore w:w="27" w:type="dxa"/>
        </w:trPr>
        <w:tc>
          <w:tcPr>
            <w:tcW w:w="3216" w:type="dxa"/>
            <w:tcBorders>
              <w:top w:val="nil"/>
              <w:left w:val="nil"/>
              <w:bottom w:val="nil"/>
              <w:right w:val="nil"/>
            </w:tcBorders>
            <w:hideMark/>
          </w:tcPr>
          <w:p w:rsidR="00D54C92" w:rsidRDefault="00D54C92" w:rsidP="00C93AD8">
            <w:pPr>
              <w:pStyle w:val="BodyRuller"/>
              <w:rPr>
                <w:rtl/>
              </w:rPr>
            </w:pPr>
            <w:r>
              <w:rPr>
                <w:rFonts w:hint="cs"/>
                <w:rtl/>
              </w:rPr>
              <w:t>בשם המשיבות:</w:t>
            </w:r>
          </w:p>
        </w:tc>
        <w:tc>
          <w:tcPr>
            <w:tcW w:w="5147" w:type="dxa"/>
            <w:gridSpan w:val="2"/>
            <w:tcBorders>
              <w:top w:val="nil"/>
              <w:left w:val="nil"/>
              <w:bottom w:val="nil"/>
              <w:right w:val="nil"/>
            </w:tcBorders>
            <w:hideMark/>
          </w:tcPr>
          <w:p w:rsidR="00D54C92" w:rsidRDefault="00D54C92" w:rsidP="00C93AD8">
            <w:pPr>
              <w:pStyle w:val="BodyRuller"/>
            </w:pPr>
            <w:r>
              <w:rPr>
                <w:rFonts w:hint="cs"/>
                <w:rtl/>
              </w:rPr>
              <w:t>עו"ד גד שילה</w:t>
            </w:r>
          </w:p>
        </w:tc>
      </w:tr>
      <w:tr w:rsidR="00D54C92" w:rsidTr="00D54C92">
        <w:trPr>
          <w:gridBefore w:val="1"/>
          <w:wBefore w:w="27" w:type="dxa"/>
        </w:trPr>
        <w:tc>
          <w:tcPr>
            <w:tcW w:w="3216" w:type="dxa"/>
            <w:tcBorders>
              <w:top w:val="nil"/>
              <w:left w:val="nil"/>
              <w:bottom w:val="nil"/>
              <w:right w:val="nil"/>
            </w:tcBorders>
          </w:tcPr>
          <w:p w:rsidR="00D54C92" w:rsidRDefault="00D54C92">
            <w:pPr>
              <w:pStyle w:val="BodyRuller"/>
              <w:rPr>
                <w:rtl/>
              </w:rPr>
            </w:pPr>
          </w:p>
          <w:p w:rsidR="00C93AD8" w:rsidRDefault="00C93AD8">
            <w:pPr>
              <w:pStyle w:val="BodyRuller"/>
              <w:rPr>
                <w:rtl/>
              </w:rPr>
            </w:pPr>
          </w:p>
        </w:tc>
        <w:tc>
          <w:tcPr>
            <w:tcW w:w="5147" w:type="dxa"/>
            <w:gridSpan w:val="2"/>
            <w:tcBorders>
              <w:top w:val="nil"/>
              <w:left w:val="nil"/>
              <w:bottom w:val="nil"/>
              <w:right w:val="nil"/>
            </w:tcBorders>
          </w:tcPr>
          <w:p w:rsidR="00D54C92" w:rsidRDefault="00D54C92">
            <w:pPr>
              <w:pStyle w:val="BodyRuller"/>
              <w:rPr>
                <w:rtl/>
              </w:rPr>
            </w:pPr>
          </w:p>
        </w:tc>
      </w:tr>
      <w:tr w:rsidR="00D54C92" w:rsidTr="00D54C92">
        <w:trPr>
          <w:gridAfter w:val="1"/>
          <w:wAfter w:w="27" w:type="dxa"/>
        </w:trPr>
        <w:tc>
          <w:tcPr>
            <w:tcW w:w="8363" w:type="dxa"/>
            <w:gridSpan w:val="3"/>
            <w:tcBorders>
              <w:top w:val="nil"/>
              <w:left w:val="nil"/>
              <w:bottom w:val="nil"/>
              <w:right w:val="nil"/>
            </w:tcBorders>
            <w:hideMark/>
          </w:tcPr>
          <w:p w:rsidR="00D54C92" w:rsidRDefault="00D54C92">
            <w:pPr>
              <w:pStyle w:val="DocumentHead"/>
              <w:rPr>
                <w:rtl/>
              </w:rPr>
            </w:pPr>
            <w:bookmarkStart w:id="1" w:name="BeginProtocol"/>
            <w:bookmarkStart w:id="2" w:name="secretary"/>
            <w:bookmarkEnd w:id="1"/>
            <w:bookmarkEnd w:id="2"/>
            <w:r>
              <w:rPr>
                <w:rFonts w:hint="cs"/>
                <w:rtl/>
              </w:rPr>
              <w:t>פסק-דין</w:t>
            </w:r>
          </w:p>
        </w:tc>
      </w:tr>
    </w:tbl>
    <w:p w:rsidR="00D54C92" w:rsidRDefault="00D54C92" w:rsidP="00D54C92">
      <w:pPr>
        <w:pStyle w:val="BODYVERDICT"/>
        <w:rPr>
          <w:rtl/>
        </w:rPr>
      </w:pPr>
    </w:p>
    <w:p w:rsidR="00D54C92" w:rsidRDefault="00D54C92" w:rsidP="00D54C92">
      <w:pPr>
        <w:pStyle w:val="BODYVERDICT"/>
        <w:rPr>
          <w:rFonts w:cs="Miriam"/>
          <w:sz w:val="24"/>
          <w:szCs w:val="24"/>
          <w:u w:val="single"/>
        </w:rPr>
      </w:pPr>
      <w:bookmarkStart w:id="3" w:name="Writer_Name"/>
      <w:bookmarkEnd w:id="3"/>
      <w:r>
        <w:rPr>
          <w:rFonts w:cs="Miriam" w:hint="cs"/>
          <w:sz w:val="24"/>
          <w:szCs w:val="24"/>
          <w:u w:val="single"/>
          <w:rtl/>
        </w:rPr>
        <w:t>השופט א' שטיין:</w:t>
      </w:r>
    </w:p>
    <w:p w:rsidR="00D54C92" w:rsidRDefault="00D54C92" w:rsidP="00D54C92">
      <w:pPr>
        <w:pStyle w:val="Ruller41"/>
        <w:rPr>
          <w:rtl/>
        </w:rPr>
      </w:pPr>
      <w:bookmarkStart w:id="4" w:name="Start_Write"/>
      <w:bookmarkEnd w:id="4"/>
    </w:p>
    <w:p w:rsidR="00D54C92" w:rsidRDefault="00D54C92" w:rsidP="00D54C92">
      <w:pPr>
        <w:pStyle w:val="Ruller41"/>
        <w:rPr>
          <w:rFonts w:ascii="Century" w:hAnsi="Century" w:cs="Miriam"/>
          <w:b/>
          <w:spacing w:val="0"/>
          <w:szCs w:val="24"/>
          <w:rtl/>
        </w:rPr>
      </w:pPr>
      <w:r>
        <w:rPr>
          <w:rFonts w:ascii="Century" w:hAnsi="Century" w:cs="Miriam" w:hint="cs"/>
          <w:b/>
          <w:spacing w:val="0"/>
          <w:szCs w:val="24"/>
          <w:rtl/>
        </w:rPr>
        <w:t>השאלה המשפטית</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 xml:space="preserve">סעיף 48א(ה)(1) לחוק מיסוי מקרקעין (שבח ורכישה), התשכ"ג-1963 (להלן: </w:t>
      </w:r>
      <w:r>
        <w:rPr>
          <w:rFonts w:ascii="Century" w:hAnsi="Century" w:cs="Miriam" w:hint="cs"/>
          <w:b/>
          <w:spacing w:val="0"/>
          <w:sz w:val="22"/>
          <w:szCs w:val="24"/>
          <w:rtl/>
        </w:rPr>
        <w:t>חוק מס שבח</w:t>
      </w:r>
      <w:r>
        <w:rPr>
          <w:rFonts w:hint="cs"/>
          <w:rtl/>
        </w:rPr>
        <w:t xml:space="preserve"> או </w:t>
      </w:r>
      <w:r>
        <w:rPr>
          <w:rFonts w:ascii="Century" w:hAnsi="Century" w:cs="Miriam" w:hint="cs"/>
          <w:b/>
          <w:spacing w:val="0"/>
          <w:sz w:val="22"/>
          <w:szCs w:val="24"/>
          <w:rtl/>
        </w:rPr>
        <w:t>החוק</w:t>
      </w:r>
      <w:r>
        <w:rPr>
          <w:rFonts w:hint="cs"/>
          <w:rtl/>
        </w:rPr>
        <w:t xml:space="preserve">) מאפשר למוכר מקרקעין לפרוס את השבח הריאלי, אשר נצמח בין המועד בו רכש את המקרקעין לבין המועד בו מכרם, על פני תקופה שלא תעלה על ארבע שנות מס או על תקופת הבעלות בנכס, לפי הקצרה שבהן. פריסה כאמור מאפשרת למוכר לשלם מס על השבח בחלקים שנתיים שווים שתואמים את שיעורי המס אשר חלים עליו בכל שנה ושנה, במקום לזקוף את השבח כולו לשנת המס בה מכר את המקרקעין ולשלם מס בשיעור גבוה יותר. </w:t>
      </w:r>
    </w:p>
    <w:p w:rsidR="00D54C92" w:rsidRDefault="00D54C92" w:rsidP="00D54C92">
      <w:pPr>
        <w:pStyle w:val="Ruller41"/>
        <w:rPr>
          <w:rtl/>
        </w:rPr>
      </w:pPr>
    </w:p>
    <w:p w:rsidR="00D54C92" w:rsidRDefault="00D54C92" w:rsidP="00D54C92">
      <w:pPr>
        <w:pStyle w:val="Ruller4"/>
        <w:numPr>
          <w:ilvl w:val="0"/>
          <w:numId w:val="0"/>
        </w:numPr>
      </w:pPr>
      <w:r>
        <w:rPr>
          <w:rFonts w:hint="cs"/>
          <w:rtl/>
        </w:rPr>
        <w:tab/>
        <w:t xml:space="preserve">השאלה שניצבת לפנינו בערעור דנן הינה: האם זכות זו (להלן: </w:t>
      </w:r>
      <w:r>
        <w:rPr>
          <w:rFonts w:ascii="Century" w:hAnsi="Century" w:cs="Miriam" w:hint="cs"/>
          <w:b/>
          <w:spacing w:val="0"/>
          <w:sz w:val="22"/>
          <w:szCs w:val="24"/>
          <w:rtl/>
        </w:rPr>
        <w:t xml:space="preserve">זכות הפריסה </w:t>
      </w:r>
      <w:r>
        <w:rPr>
          <w:rFonts w:hint="cs"/>
          <w:rtl/>
        </w:rPr>
        <w:t xml:space="preserve">או </w:t>
      </w:r>
      <w:r>
        <w:rPr>
          <w:rFonts w:ascii="Century" w:hAnsi="Century" w:cs="Miriam" w:hint="cs"/>
          <w:b/>
          <w:spacing w:val="0"/>
          <w:sz w:val="22"/>
          <w:szCs w:val="24"/>
          <w:rtl/>
        </w:rPr>
        <w:t>הזכאות לפריסה</w:t>
      </w:r>
      <w:r>
        <w:rPr>
          <w:rFonts w:hint="cs"/>
          <w:rtl/>
        </w:rPr>
        <w:t>) נתונה רק לנישום יחיד בשר-ודם או שמא גם לחברה?</w:t>
      </w:r>
    </w:p>
    <w:p w:rsidR="00D54C92" w:rsidRDefault="00D54C92" w:rsidP="00D54C92">
      <w:pPr>
        <w:pStyle w:val="Ruller41"/>
        <w:rPr>
          <w:rtl/>
        </w:rPr>
      </w:pPr>
    </w:p>
    <w:p w:rsidR="00D54C92" w:rsidRDefault="00D54C92" w:rsidP="00D54C92">
      <w:pPr>
        <w:pStyle w:val="Ruller41"/>
        <w:rPr>
          <w:rtl/>
        </w:rPr>
      </w:pPr>
      <w:r>
        <w:rPr>
          <w:rFonts w:hint="cs"/>
          <w:rtl/>
        </w:rPr>
        <w:tab/>
        <w:t xml:space="preserve">פסק הדין מושא הערעור, </w:t>
      </w:r>
      <w:proofErr w:type="spellStart"/>
      <w:r>
        <w:rPr>
          <w:rFonts w:hint="cs"/>
          <w:rtl/>
        </w:rPr>
        <w:t>ו"ע</w:t>
      </w:r>
      <w:proofErr w:type="spellEnd"/>
      <w:r>
        <w:rPr>
          <w:rFonts w:hint="cs"/>
          <w:rtl/>
        </w:rPr>
        <w:t xml:space="preserve"> (חי') 44202-05-16 </w:t>
      </w:r>
      <w:proofErr w:type="spellStart"/>
      <w:r>
        <w:rPr>
          <w:rFonts w:ascii="Century" w:hAnsi="Century" w:cs="Miriam" w:hint="cs"/>
          <w:b/>
          <w:spacing w:val="0"/>
          <w:szCs w:val="24"/>
          <w:rtl/>
        </w:rPr>
        <w:t>טוונטי</w:t>
      </w:r>
      <w:proofErr w:type="spellEnd"/>
      <w:r>
        <w:rPr>
          <w:rFonts w:ascii="Century" w:hAnsi="Century" w:cs="Miriam" w:hint="cs"/>
          <w:b/>
          <w:spacing w:val="0"/>
          <w:szCs w:val="24"/>
          <w:rtl/>
        </w:rPr>
        <w:t xml:space="preserve"> </w:t>
      </w:r>
      <w:proofErr w:type="spellStart"/>
      <w:r>
        <w:rPr>
          <w:rFonts w:ascii="Century" w:hAnsi="Century" w:cs="Miriam" w:hint="cs"/>
          <w:b/>
          <w:spacing w:val="0"/>
          <w:szCs w:val="24"/>
          <w:rtl/>
        </w:rPr>
        <w:t>האנדרד</w:t>
      </w:r>
      <w:proofErr w:type="spellEnd"/>
      <w:r>
        <w:rPr>
          <w:rFonts w:ascii="Century" w:hAnsi="Century" w:cs="Miriam" w:hint="cs"/>
          <w:b/>
          <w:spacing w:val="0"/>
          <w:szCs w:val="24"/>
          <w:rtl/>
        </w:rPr>
        <w:t xml:space="preserve"> נהריה בע"מ נ' מנהל מיסוי מקרקעין חיפה</w:t>
      </w:r>
      <w:r>
        <w:rPr>
          <w:rFonts w:hint="cs"/>
          <w:rtl/>
        </w:rPr>
        <w:t xml:space="preserve">, שניתן ביום 19.1.2018 על ידי ועדת הערר לפי חוק מס שבח שליד בית המשפט המחוזי חיפה (יו"ר הוועדה, סגן הנשיא </w:t>
      </w:r>
      <w:r>
        <w:rPr>
          <w:rFonts w:ascii="Century" w:hAnsi="Century" w:cs="Miriam" w:hint="cs"/>
          <w:b/>
          <w:spacing w:val="0"/>
          <w:szCs w:val="24"/>
          <w:rtl/>
        </w:rPr>
        <w:t xml:space="preserve">ר' </w:t>
      </w:r>
      <w:proofErr w:type="spellStart"/>
      <w:r>
        <w:rPr>
          <w:rFonts w:ascii="Century" w:hAnsi="Century" w:cs="Miriam" w:hint="cs"/>
          <w:b/>
          <w:spacing w:val="0"/>
          <w:szCs w:val="24"/>
          <w:rtl/>
        </w:rPr>
        <w:t>סוקול</w:t>
      </w:r>
      <w:proofErr w:type="spellEnd"/>
      <w:r>
        <w:rPr>
          <w:rFonts w:hint="cs"/>
          <w:rtl/>
        </w:rPr>
        <w:t xml:space="preserve">; וחברי הוועדה עו"ד </w:t>
      </w:r>
      <w:r>
        <w:rPr>
          <w:rFonts w:ascii="Century" w:hAnsi="Century" w:cs="Miriam" w:hint="cs"/>
          <w:b/>
          <w:spacing w:val="0"/>
          <w:szCs w:val="24"/>
          <w:rtl/>
        </w:rPr>
        <w:t>ד' מרגליות</w:t>
      </w:r>
      <w:r>
        <w:rPr>
          <w:rFonts w:hint="cs"/>
          <w:rtl/>
        </w:rPr>
        <w:t xml:space="preserve"> </w:t>
      </w:r>
      <w:r>
        <w:rPr>
          <w:rFonts w:ascii="Century" w:hAnsi="Century" w:hint="cs"/>
          <w:rtl/>
        </w:rPr>
        <w:t>ועו"ד</w:t>
      </w:r>
      <w:r>
        <w:rPr>
          <w:rFonts w:ascii="Century" w:hAnsi="Century" w:cs="Miriam" w:hint="cs"/>
          <w:b/>
          <w:spacing w:val="0"/>
          <w:szCs w:val="24"/>
          <w:rtl/>
        </w:rPr>
        <w:t xml:space="preserve"> ד' </w:t>
      </w:r>
      <w:proofErr w:type="spellStart"/>
      <w:r>
        <w:rPr>
          <w:rFonts w:ascii="Century" w:hAnsi="Century" w:cs="Miriam" w:hint="cs"/>
          <w:b/>
          <w:spacing w:val="0"/>
          <w:szCs w:val="24"/>
          <w:rtl/>
        </w:rPr>
        <w:t>שמואלביץ</w:t>
      </w:r>
      <w:proofErr w:type="spellEnd"/>
      <w:r>
        <w:rPr>
          <w:rFonts w:hint="cs"/>
          <w:rtl/>
        </w:rPr>
        <w:t xml:space="preserve">) (להלן: </w:t>
      </w:r>
      <w:r>
        <w:rPr>
          <w:rFonts w:ascii="Century" w:hAnsi="Century" w:cs="Miriam" w:hint="cs"/>
          <w:b/>
          <w:spacing w:val="0"/>
          <w:szCs w:val="24"/>
          <w:rtl/>
        </w:rPr>
        <w:t>ועדת הערר</w:t>
      </w:r>
      <w:r>
        <w:rPr>
          <w:rFonts w:hint="cs"/>
          <w:rtl/>
        </w:rPr>
        <w:t xml:space="preserve"> או </w:t>
      </w:r>
      <w:r>
        <w:rPr>
          <w:rFonts w:ascii="Century" w:hAnsi="Century" w:cs="Miriam" w:hint="cs"/>
          <w:b/>
          <w:spacing w:val="0"/>
          <w:szCs w:val="24"/>
          <w:rtl/>
        </w:rPr>
        <w:t>הוועדה</w:t>
      </w:r>
      <w:r>
        <w:rPr>
          <w:rFonts w:hint="cs"/>
          <w:rtl/>
        </w:rPr>
        <w:t>)</w:t>
      </w:r>
      <w:r w:rsidR="00A855A1">
        <w:rPr>
          <w:rFonts w:hint="cs"/>
          <w:rtl/>
        </w:rPr>
        <w:t>,</w:t>
      </w:r>
      <w:r>
        <w:rPr>
          <w:rFonts w:hint="cs"/>
          <w:rtl/>
        </w:rPr>
        <w:t xml:space="preserve"> קבע כי הזכאות לפריסה נתונה גם לחברות. המערער מבקש כי נשנה פסק דין זה ונקבע שהזכות כאמור מצויה רק בידי נישומים בשר-ודם.</w:t>
      </w:r>
    </w:p>
    <w:p w:rsidR="00D54C92" w:rsidRDefault="00D54C92" w:rsidP="00D54C92">
      <w:pPr>
        <w:pStyle w:val="Ruller41"/>
        <w:rPr>
          <w:rtl/>
        </w:rPr>
      </w:pPr>
    </w:p>
    <w:p w:rsidR="00D54C92" w:rsidRDefault="00D54C92" w:rsidP="00D54C92">
      <w:pPr>
        <w:pStyle w:val="Ruller41"/>
        <w:rPr>
          <w:rFonts w:ascii="Century" w:hAnsi="Century" w:cs="Miriam"/>
          <w:b/>
          <w:spacing w:val="0"/>
          <w:szCs w:val="24"/>
          <w:rtl/>
        </w:rPr>
      </w:pPr>
      <w:r>
        <w:rPr>
          <w:rFonts w:ascii="Century" w:hAnsi="Century" w:cs="Miriam" w:hint="cs"/>
          <w:b/>
          <w:spacing w:val="0"/>
          <w:szCs w:val="24"/>
          <w:rtl/>
        </w:rPr>
        <w:t>ההליכים הקודמים</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עובדות המקרה שלגביו ניתן פסק הדין קמא אינן במחלוקת. שלוש חברות</w:t>
      </w:r>
      <w:r w:rsidR="00A855A1">
        <w:rPr>
          <w:rFonts w:hint="cs"/>
          <w:rtl/>
        </w:rPr>
        <w:t xml:space="preserve"> (להלן: </w:t>
      </w:r>
      <w:r w:rsidR="00A855A1" w:rsidRPr="00A855A1">
        <w:rPr>
          <w:rFonts w:ascii="Century" w:hAnsi="Century" w:cs="Miriam" w:hint="cs"/>
          <w:b/>
          <w:spacing w:val="0"/>
          <w:sz w:val="22"/>
          <w:szCs w:val="24"/>
          <w:rtl/>
        </w:rPr>
        <w:t>החברות</w:t>
      </w:r>
      <w:r w:rsidR="00A855A1">
        <w:rPr>
          <w:rFonts w:hint="cs"/>
          <w:rtl/>
        </w:rPr>
        <w:t>)</w:t>
      </w:r>
      <w:r>
        <w:rPr>
          <w:rFonts w:hint="cs"/>
          <w:rtl/>
        </w:rPr>
        <w:t xml:space="preserve"> רכשו יחדיו יחידת מקרקעין ביום 12.5.2010 והחזיקו בה עד ליום 15.1.2015 (להלן: </w:t>
      </w:r>
      <w:r>
        <w:rPr>
          <w:rFonts w:ascii="Century" w:hAnsi="Century" w:cs="Miriam" w:hint="cs"/>
          <w:b/>
          <w:spacing w:val="0"/>
          <w:sz w:val="22"/>
          <w:szCs w:val="24"/>
          <w:rtl/>
        </w:rPr>
        <w:t>תקופת הבעלות</w:t>
      </w:r>
      <w:r>
        <w:rPr>
          <w:rFonts w:hint="cs"/>
          <w:rtl/>
        </w:rPr>
        <w:t xml:space="preserve">, ביחס למקרה דנן ולמקרים דומים). ביום 15.1.2015, מכרה כל אחת מהחברות הללו את זכויותיה במקרקעין והצהירה על המכירה לשלטונות המס כדת וכדין. בד-בבד, ביקשה כל אחת מהחברות לפרוס את השבח הריאלי אשר נצמח בתקופת הבעלות על פני ארבע שנים החל משנת המס 2011. החברות טענו כי זכות הפריסה לפי סעיף 48א(ה)(1) לחוק מס שבח נתונה לכל "מוכר" מקרקעין, כהגדרתו באותו סעיף, דהיינו לכל "מוכר שהוא תושב ישראל". החברות הוסיפו וטענו, כי הביטוי "מוכר שהוא תושב ישראל" כולל בתוכו כל חברה המאוגדת בישראל, וזאת מהטעם הפשוט כדלקמן: סעיף 1 לחוק מס שבח קובע כי "תושב ישראל" לעניין החוק הוא מי שמוגדר ככזה בסעיף 1 לפקודת מס הכנסה [נוסח חדש] (להלן: </w:t>
      </w:r>
      <w:r>
        <w:rPr>
          <w:rFonts w:ascii="Century" w:hAnsi="Century" w:cs="Miriam" w:hint="cs"/>
          <w:b/>
          <w:spacing w:val="0"/>
          <w:sz w:val="22"/>
          <w:szCs w:val="24"/>
          <w:rtl/>
        </w:rPr>
        <w:t xml:space="preserve">פקודת מס הכנסה </w:t>
      </w:r>
      <w:r>
        <w:rPr>
          <w:rFonts w:ascii="Century" w:hAnsi="Century" w:hint="cs"/>
          <w:sz w:val="22"/>
          <w:rtl/>
        </w:rPr>
        <w:t xml:space="preserve">או </w:t>
      </w:r>
      <w:r>
        <w:rPr>
          <w:rFonts w:ascii="Century" w:hAnsi="Century" w:cs="Miriam" w:hint="cs"/>
          <w:b/>
          <w:spacing w:val="0"/>
          <w:sz w:val="22"/>
          <w:szCs w:val="24"/>
          <w:rtl/>
        </w:rPr>
        <w:t>הפקודה</w:t>
      </w:r>
      <w:r>
        <w:rPr>
          <w:rFonts w:hint="cs"/>
          <w:rtl/>
        </w:rPr>
        <w:t xml:space="preserve">) כאשר סעיף 1(ב)(1) לפקודה מורה במפורש כי חבר-בני-אדם שהתאגד בישראל הוא "תושב ישראל". מנהל מיסוי מקרקעין חיפה (שהינו המערער דכאן, אשר יקרא להלן: </w:t>
      </w:r>
      <w:r>
        <w:rPr>
          <w:rFonts w:ascii="Century" w:hAnsi="Century" w:cs="Miriam" w:hint="cs"/>
          <w:b/>
          <w:spacing w:val="0"/>
          <w:sz w:val="22"/>
          <w:szCs w:val="24"/>
          <w:rtl/>
        </w:rPr>
        <w:t>המדינה</w:t>
      </w:r>
      <w:r>
        <w:rPr>
          <w:rFonts w:hint="cs"/>
          <w:rtl/>
        </w:rPr>
        <w:t>) לא התרשם מטענה זו וכן מהעובדה שמדובר בחברות המאוגדות בישראל, ודחה את טענתן. לפי עמדת המדינה, זכות הפריסה נתונה רק לנישום יחיד בשר-ודם, ולא לחברה. המדינה קבעה עמדה זו בהתבסס על התכלית הכלכלית של הזכאות לפריסה ועל תנאי מימושה אשר נקבעו בסעיפי-משנה (א) ו-(ב) של סעיף 48א(ה)(1) לחוק מס שבח. החברות הגישו השגה על החלטת המדינה, אולם ההשגה נדחתה וההחלטה לא שונתה.</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lastRenderedPageBreak/>
        <w:t xml:space="preserve">לאחר דחיית ההשגה, הגישו החברות ערר לוועדת הערר וזו הפכה את הקערה על פיה. הוועדה הכריעה במחלוקת המשפטית לטובת החברות בקבעה כי לשונו ותכליתו של סעיף 48א(ה)(1) לחוק מס שבח אינן מחריגות חברות מן הזכאות לפריסה. באשר ללשון החוק, קבעה הוועדה כי הביטוי "מוכר שהוא תושב ישראל" מכיל בחובו מוכר מקרקעין שהוא חברה המאוגדת בישראל. באשר לתכליתה של זכות הפריסה, קבעה הוועדה כי זכות זו נועדה למתן את העיוות </w:t>
      </w:r>
      <w:proofErr w:type="spellStart"/>
      <w:r>
        <w:rPr>
          <w:rFonts w:hint="cs"/>
          <w:rtl/>
        </w:rPr>
        <w:t>המיסויי</w:t>
      </w:r>
      <w:proofErr w:type="spellEnd"/>
      <w:r>
        <w:rPr>
          <w:rFonts w:hint="cs"/>
          <w:rtl/>
        </w:rPr>
        <w:t xml:space="preserve"> המכונה "אפקט הדחיסה" אצל כלל הנישומים. הטלת מס על השבח הריאלי של מקרקעין אשר נצמח בהדרגה במשך תקופה ארוכה רק במועד המימוש – זוקפת את מלוא הרווח ההוני של המוכר לשנת המס בה נמכרו המקרקעין. שיעור המס שחל על המוכר באותה שנה עלול להיות – ובהרבה מקרים גם יהיה – גבוה יותר משיעור המס שקביעתו מתבססת על העלייה בשווי המקרקעין בכל שנה ושנה. הבדל זה הוא בגדר עיוות מיסויי. אצל המוכר בשר-ודם, עיוות כאמור עלול להיווצר בשל ההבדלים בין מדרגות המס החלות על הכנסותיו בכל שנה ושנה. אצל חברות, עיוות דומה עלול להיווצר עקב שינויים סטטוטוריים בשיעורו הקבוע של המס אשר חל על רווחיהן השונים (להלן: </w:t>
      </w:r>
      <w:r>
        <w:rPr>
          <w:rFonts w:ascii="Century" w:hAnsi="Century" w:cs="Miriam" w:hint="cs"/>
          <w:b/>
          <w:spacing w:val="0"/>
          <w:sz w:val="22"/>
          <w:szCs w:val="24"/>
          <w:rtl/>
        </w:rPr>
        <w:t>מס חברות</w:t>
      </w:r>
      <w:r>
        <w:rPr>
          <w:rFonts w:hint="cs"/>
          <w:rtl/>
        </w:rPr>
        <w:t>). מטעמים אלה, קבעה הוועדה כי לעניינה של הזכאות לפריסה, נישום יחיד ונישום שהוא חברה חד הם. הוועדה קיבלה אפוא את הערר והורתה כי החברות תוכלנה לפרוס את השבח הריאלי אשר נצמח בתקופה בה היו  בעלות המקרקעין על פני ארבע שנים החל משנת המס 2011.</w:t>
      </w:r>
    </w:p>
    <w:p w:rsidR="00D54C92" w:rsidRDefault="00D54C92" w:rsidP="00D54C92">
      <w:pPr>
        <w:pStyle w:val="Ruller41"/>
        <w:rPr>
          <w:rtl/>
        </w:rPr>
      </w:pPr>
    </w:p>
    <w:p w:rsidR="00D54C92" w:rsidRDefault="00D54C92" w:rsidP="00A466E9">
      <w:pPr>
        <w:pStyle w:val="Ruller41"/>
        <w:rPr>
          <w:rtl/>
        </w:rPr>
      </w:pPr>
      <w:r>
        <w:rPr>
          <w:rFonts w:hint="cs"/>
          <w:rtl/>
        </w:rPr>
        <w:tab/>
        <w:t xml:space="preserve">על פסק דין זה הגישה המדינה את הערעור שלפנינו. </w:t>
      </w:r>
      <w:proofErr w:type="spellStart"/>
      <w:r>
        <w:rPr>
          <w:rFonts w:hint="cs"/>
          <w:rtl/>
        </w:rPr>
        <w:t>יצויין</w:t>
      </w:r>
      <w:proofErr w:type="spellEnd"/>
      <w:r>
        <w:rPr>
          <w:rFonts w:hint="cs"/>
          <w:rtl/>
        </w:rPr>
        <w:t xml:space="preserve"> כי ועדת הערר לפי חוק מיסוי מקרקעין שליד בית המשפט המחוזי מרכז-לוד הוציאה מלפניה פסק דין זהה </w:t>
      </w:r>
      <w:proofErr w:type="spellStart"/>
      <w:r>
        <w:rPr>
          <w:rFonts w:hint="cs"/>
          <w:rtl/>
        </w:rPr>
        <w:t>ב</w:t>
      </w:r>
      <w:r w:rsidR="00A466E9">
        <w:rPr>
          <w:rFonts w:hint="cs"/>
          <w:rtl/>
        </w:rPr>
        <w:t>ו</w:t>
      </w:r>
      <w:r>
        <w:rPr>
          <w:rFonts w:hint="cs"/>
          <w:rtl/>
        </w:rPr>
        <w:t>"ע</w:t>
      </w:r>
      <w:proofErr w:type="spellEnd"/>
      <w:r>
        <w:rPr>
          <w:rFonts w:hint="cs"/>
          <w:rtl/>
        </w:rPr>
        <w:t xml:space="preserve"> 14375-12-17 </w:t>
      </w:r>
      <w:r>
        <w:rPr>
          <w:rFonts w:ascii="Century" w:hAnsi="Century" w:cs="Miriam" w:hint="cs"/>
          <w:b/>
          <w:spacing w:val="0"/>
          <w:szCs w:val="24"/>
          <w:rtl/>
        </w:rPr>
        <w:t>יוניון נכסים בע"מ נ' מס שבח נתניה</w:t>
      </w:r>
      <w:r>
        <w:rPr>
          <w:rFonts w:hint="cs"/>
          <w:rtl/>
        </w:rPr>
        <w:t xml:space="preserve"> (12.5.2019) בהתבסס על נימוקים משפטיים שעיקרם זהה לאלו של הערכאה קמא.</w:t>
      </w:r>
    </w:p>
    <w:p w:rsidR="00D54C92" w:rsidRDefault="00D54C92" w:rsidP="00D54C92">
      <w:pPr>
        <w:pStyle w:val="Ruller41"/>
        <w:rPr>
          <w:rtl/>
        </w:rPr>
      </w:pPr>
    </w:p>
    <w:p w:rsidR="00A933B3" w:rsidRDefault="00A933B3" w:rsidP="00D54C92">
      <w:pPr>
        <w:pStyle w:val="Ruller41"/>
        <w:rPr>
          <w:rtl/>
        </w:rPr>
      </w:pPr>
    </w:p>
    <w:p w:rsidR="00D54C92" w:rsidRDefault="00D54C92" w:rsidP="00D54C92">
      <w:pPr>
        <w:pStyle w:val="Ruller41"/>
        <w:rPr>
          <w:rFonts w:ascii="Century" w:hAnsi="Century" w:cs="Miriam"/>
          <w:b/>
          <w:spacing w:val="0"/>
          <w:szCs w:val="24"/>
          <w:rtl/>
        </w:rPr>
      </w:pPr>
      <w:r>
        <w:rPr>
          <w:rFonts w:ascii="Century" w:hAnsi="Century" w:cs="Miriam" w:hint="cs"/>
          <w:b/>
          <w:spacing w:val="0"/>
          <w:szCs w:val="24"/>
          <w:rtl/>
        </w:rPr>
        <w:t>טענות הצדדים</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 xml:space="preserve">בסיכומיהם וכן בטעון בעל-פה, בדיון שנערך לפנינו ביום 21.1.2019, חזרו הצדדים על טענותיהם. החברות הביעו תמיכה בהחלטת הוועדה; חזרו על כך שהביטוי "מוכר", כהגדרתו בסעיף 48א(ה)(1) לחוק מס שבח, מתייחס גם לחברה; טענו להעדרם של הבדלים עקרוניים בין יחיד לחברה לעניין מס שבח; וביקשו כי נפתור את העמימות המצויה בסעיף לטובת הנישום. המדינה, מנגד, טענה כי תכליתה של הזכאות לפריסה ותנאי מימושה שנקבעו בחוק מייחדים את הזכאות לפריסה לנישום יחיד בשר-ודם. כמו-כן טענה המדינה כי הסדר הפריסה הקבוע בסעיף 48א(ה)(1) לחוק ביחס לשבח ריאלי של מקרקעין הינו זהה להסדר הפריסה ביחס לרווחי הון ריאליים אחרים אשר נקבע </w:t>
      </w:r>
      <w:r>
        <w:rPr>
          <w:rFonts w:hint="cs"/>
          <w:rtl/>
        </w:rPr>
        <w:lastRenderedPageBreak/>
        <w:t xml:space="preserve">בסעיף 91(ה)(1) לפקודת מס הכנסה, שאף הוא נועד להיטיב עם נישום יחיד, להבדיל מחברה. </w:t>
      </w:r>
    </w:p>
    <w:p w:rsidR="00D54C92" w:rsidRDefault="00D54C92" w:rsidP="00D54C92">
      <w:pPr>
        <w:pStyle w:val="Ruller41"/>
        <w:rPr>
          <w:rtl/>
        </w:rPr>
      </w:pPr>
    </w:p>
    <w:p w:rsidR="00D54C92" w:rsidRDefault="00D54C92" w:rsidP="00D54C92">
      <w:pPr>
        <w:pStyle w:val="Ruller41"/>
        <w:rPr>
          <w:rFonts w:ascii="Century" w:hAnsi="Century" w:cs="Miriam"/>
          <w:b/>
          <w:spacing w:val="0"/>
          <w:szCs w:val="24"/>
        </w:rPr>
      </w:pPr>
      <w:r>
        <w:rPr>
          <w:rFonts w:ascii="Century" w:hAnsi="Century" w:cs="Miriam" w:hint="cs"/>
          <w:b/>
          <w:spacing w:val="0"/>
          <w:szCs w:val="24"/>
          <w:rtl/>
        </w:rPr>
        <w:t>דיון והכרעה</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סבורני כי דין הערעור ל</w:t>
      </w:r>
      <w:r w:rsidR="002C2582">
        <w:rPr>
          <w:rFonts w:hint="cs"/>
          <w:rtl/>
        </w:rPr>
        <w:t>התקבל. לאחר עיון בחוקים, בהלכות</w:t>
      </w:r>
      <w:r>
        <w:rPr>
          <w:rFonts w:hint="cs"/>
          <w:rtl/>
        </w:rPr>
        <w:t xml:space="preserve"> ובספרות המשפטית הנוגעת לעניין, הגעתי למסקנה כי המחוקק העניק את זכות הפריסה אך ורק לנישום יחיד בשר-ודם וכי חברה איננה זכאית לפריסת השבח הריאלי במסגרתו של סעיף 48א(ה)(1) לחוק מס שבח (להוציא חברה משפחתית וחברה שקופה, אליהן לא אדרש במסגרת הדיון הנוכחי: ראו סעיפים 64א(א) ו-64א1(ב) לפקודת מס הכנסה). מסקנה זו עומדת על שלושה נדבכים: (1) תכליתה הכלכלית של הזכאות לפריסה; (2) תנאי מימושה הבלעדיים, כהגדרתם בסעיף 48א(ה)(1) לחוק; וכן (3) מהותו של מס חברות והיחס שבינו לבין מס יחיד. בדיון שלהלן, אפרט ואסביר את כל אלה לפי סדרם. בדוני בנדבך הראשון, אראה כי "אפקט הדחיסה", שהזכאות לפריסה נועדה למתן, יוצר עיוות מיסויי רק אצל יחידים ולא אצל חברות. בדוני בנדבך השני, אראה כי תנאי המימוש של זכות הפריסה, כהגדרתם בסעיף 48א(ה)(1) לחוק מס שבח, הם תנאים בלעדיים נטולי חלופות, אשר חלים אך ורק על נישומים בשר-ודם, להבדיל מחברות. בדוני בנדבך השלישי, אראה כי מס חברות, לפי מהותו הכלכלית, הינו תשלום ראשון בשיעור נמוך יחסית, המשולם במסגרת גביית מס דו-שלבית, כאשר אחריו בא תשלום המס השני – הפרוגרסיבי במהותו – בו יחויבו, בבוא העת, נישומים בשר-ודם המחזיקים במניות החברה (בין כמס הכנסה, אשר יחול בעקבות קבלת דיבידנד, ובין כמס רווח הון אשר יוטל בעקבות מימוש המניות בדרך של מכירה או קבלת עודפי הפירוק של החברה). מס חברות מהווה אפוא סוג של מקדמת מס, שמעצם היותה מקדמה, עומדת לתשלום כמות שהיא ואיננה פתוחה להתחשבנויות ולשינויים. מסיבה זו, שבח ריאלי אשר מתווסף לרווחי החברה בעקבות מכירתו של נכס מקרקעין בשנת מס נתונה, יהא טעון תשלום מס אחד שיחול על השבח כולו.</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לאחר דיון מפורט בשלושה עניינים אלה, אתייחס למחלוקת הנוגעת לפרשנותם של חוקי מס אשר נתגלעה בין בעלי הדין דכאן ואשר עולה, מעת לעת, גם במשפטי מס אחרים. כפי שכבר ציינתי, המדינה טוענת כי את הסוגיה שהונחה על שולחננו ניתן וראוי לפתור בפשטות על ידי מתן פרשנות תכליתית לזכות הפריסה ולסעיף 48א(ה)(1) לחוק מס שבח, אשר מקים את הזכות. מנגד, טוענות החברות כי אכן מדובר בסוגיה פשוטה למדי, אולם פתרונה צריך להיות הפוך מזה שהוצע על ידי המדינה. זאת, בהתבסס על </w:t>
      </w:r>
      <w:r>
        <w:rPr>
          <w:rFonts w:hint="cs"/>
          <w:rtl/>
        </w:rPr>
        <w:lastRenderedPageBreak/>
        <w:t xml:space="preserve">פרשנותו המילולית-דווקנית של הביטוי ״המוכר״ אשר מופיע בסעיף 48א(ה)(1) הנ״ל, ובשים לב לכלל שמורנו לפרש חוקי מס בלתי-ברורים לטובת הנישום. </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אקדים ואומר, כי שתי הגישות הפרשניות הללו אינן מקובלות עלי כלל ועיקר. זאת, משום שכל אחת מגישות-קצה אלו מנוגדת – בדרכה שלה – למהותם של חוקי המס והדרך שבה ראוי לפרשם. לחוקי מס, כמו להרבה חוקים אחרים, יש יותר מתכלית חברתית אחת. חוקי מס נועדו, בראש ובראשונה, לאפשר למדינה לגבות מסים המותאמים למהותן של פעילויות כלכליות שונות של תושביה, וזאת כדי לממן את רווחת התושבים אשר כוללת (בין היתר) בריאות, חינוך, שירותי קהילה ודת, צמיחה חברתית וביטחון. לצדה של תכלית ראשונית זו עומדת תכלית נוספת, חשובה לא פחות, המתפצלת לשלוש תכליות-משנה: חוקי מס נועדו גם ליצור משטר מיסוי יציב וברור ככל שניתן, אשר תוחם את סמכויותיהם של שלטונות המס ביחסיהם עם הנישומים, מגן על קניינם של הנישומים ומאפשר להם להסתמך על כללי המס במסגרת פעילותם הכלכלית. מכאן עולה, כי פרשנות תכליתית נכונה של חוקי המס היא זו שממזגת את התכליות הללו ומאזנת ביניהן. פרשנות חד-צדדית שמגשימה רק את התכלית הראשונית, הפיסקאלית, של חוקי המס – מבלי לייחס חשיבות למילות החוק, אשר תוחמות את סמכויותיהם של שלטונות המס ומגנות על קניינם ועל אינטרס ההסתמכות של הנישומים – איננה פרשנות נכונה. פרשנות חד-צדדית אחרת, אשר רואה בעמימות מילולית שיקול שמכריע את הכף לטובת הנישום, אף היא איננה נכונה. תפיסה פרשנית נכונה היא תפיסה אשר דוגלת בפרשנות רב-תכליתית, מאזנת ומאוזנת. תפיסה זו, כך אראה בהמשך דבריי, תומכת בפרשנות אשר מגבילה את הזכאות לפריסה לפי סעיף 48א(ה)(1) לחוק מס שבח ליחידים, להבדיל מחברות. פרשנות כאמור איננה רק ממתנת את ״אפקט הדחיסה״ ועל ידי כך מקדמת את מטרתה הכלכלית של הזכאות לפריסה, אלא גם עולה בקנה אחד עם אינטרס ההסתמכות של הנישומים, מגנה על קניינם ומציבה גבולות קשיחים לסמכויותיהם של שלטונות המס. פרשנות זו הינה קרובה יותר למילות החוק מאשר פרשנות מרחיבה, שאינה מחריגה חברות מן הזכאות. ודוק: אילו המצב היה הפוך ולשון החוק </w:t>
      </w:r>
      <w:proofErr w:type="spellStart"/>
      <w:r>
        <w:rPr>
          <w:rFonts w:hint="cs"/>
          <w:rtl/>
        </w:rPr>
        <w:t>היתה</w:t>
      </w:r>
      <w:proofErr w:type="spellEnd"/>
      <w:r>
        <w:rPr>
          <w:rFonts w:hint="cs"/>
          <w:rtl/>
        </w:rPr>
        <w:t xml:space="preserve"> ברורה לחלוטין, לא הייתי מקבל את עמדת המדינה ביחס לסעיף 48א(ה)(1) לחוק (כמותווה על ידי השופטת </w:t>
      </w:r>
      <w:r>
        <w:rPr>
          <w:rFonts w:ascii="Century" w:hAnsi="Century" w:cs="Miriam" w:hint="cs"/>
          <w:b/>
          <w:spacing w:val="0"/>
          <w:sz w:val="22"/>
          <w:szCs w:val="24"/>
          <w:rtl/>
        </w:rPr>
        <w:t>מ' נאור</w:t>
      </w:r>
      <w:r>
        <w:rPr>
          <w:rFonts w:hint="cs"/>
          <w:rtl/>
        </w:rPr>
        <w:t xml:space="preserve"> (כתוארה אז) בע"א 8569/06 </w:t>
      </w:r>
      <w:r>
        <w:rPr>
          <w:rFonts w:ascii="Century" w:hAnsi="Century" w:cs="Miriam" w:hint="cs"/>
          <w:b/>
          <w:spacing w:val="0"/>
          <w:sz w:val="22"/>
          <w:szCs w:val="24"/>
          <w:rtl/>
        </w:rPr>
        <w:t>מנהל מיסוי מקרקעין חיפה נ' פוליטי</w:t>
      </w:r>
      <w:r>
        <w:rPr>
          <w:rFonts w:ascii="Century" w:hAnsi="Century" w:hint="cs"/>
          <w:sz w:val="22"/>
          <w:rtl/>
        </w:rPr>
        <w:t>,</w:t>
      </w:r>
      <w:r>
        <w:rPr>
          <w:rFonts w:hint="cs"/>
          <w:rtl/>
        </w:rPr>
        <w:t xml:space="preserve"> פ"ד סב(4) 280, פסקה 26 לפסק דינה (2007) ("אין ליתן למילות החוק משמעות שאין הן יכולות לשאת")).</w:t>
      </w:r>
    </w:p>
    <w:p w:rsidR="00D54C92" w:rsidRDefault="00D54C92" w:rsidP="00D54C92">
      <w:pPr>
        <w:pStyle w:val="Ruller4"/>
        <w:numPr>
          <w:ilvl w:val="0"/>
          <w:numId w:val="0"/>
        </w:numPr>
        <w:rPr>
          <w:rtl/>
        </w:rPr>
      </w:pPr>
    </w:p>
    <w:p w:rsidR="00631D42" w:rsidRDefault="00631D42" w:rsidP="00631D42">
      <w:pPr>
        <w:pStyle w:val="Ruller41"/>
        <w:rPr>
          <w:rtl/>
        </w:rPr>
      </w:pPr>
    </w:p>
    <w:p w:rsidR="00631D42" w:rsidRPr="00631D42" w:rsidRDefault="00631D42" w:rsidP="00631D42">
      <w:pPr>
        <w:pStyle w:val="Ruller41"/>
      </w:pPr>
    </w:p>
    <w:p w:rsidR="00D54C92" w:rsidRDefault="00D54C92" w:rsidP="00D54C92">
      <w:pPr>
        <w:pStyle w:val="Ruller41"/>
        <w:rPr>
          <w:rFonts w:ascii="Century" w:hAnsi="Century" w:cs="Miriam"/>
          <w:b/>
          <w:spacing w:val="0"/>
          <w:szCs w:val="24"/>
          <w:rtl/>
        </w:rPr>
      </w:pPr>
      <w:r>
        <w:rPr>
          <w:rFonts w:ascii="Century" w:hAnsi="Century" w:cs="Miriam" w:hint="cs"/>
          <w:b/>
          <w:spacing w:val="0"/>
          <w:szCs w:val="24"/>
          <w:rtl/>
        </w:rPr>
        <w:lastRenderedPageBreak/>
        <w:t xml:space="preserve">תכלית הזכאות לפריסת השבח הריאלי לפי סעיף 48א(ה)(1) לחוק מס שבח: הקטנתו של ״אפקט הדחיסה״ אצל נישומים יחידים </w:t>
      </w:r>
    </w:p>
    <w:p w:rsidR="00D54C92" w:rsidRDefault="00D54C92" w:rsidP="00D54C92">
      <w:pPr>
        <w:pStyle w:val="Ruller4"/>
        <w:numPr>
          <w:ilvl w:val="0"/>
          <w:numId w:val="0"/>
        </w:numPr>
        <w:rPr>
          <w:rtl/>
        </w:rPr>
      </w:pPr>
      <w:r>
        <w:rPr>
          <w:rFonts w:hint="cs"/>
          <w:rtl/>
        </w:rPr>
        <w:t xml:space="preserve"> </w:t>
      </w:r>
    </w:p>
    <w:p w:rsidR="00D54C92" w:rsidRDefault="00D54C92" w:rsidP="00D54C92">
      <w:pPr>
        <w:pStyle w:val="Ruller4"/>
        <w:numPr>
          <w:ilvl w:val="0"/>
          <w:numId w:val="13"/>
        </w:numPr>
        <w:textAlignment w:val="auto"/>
      </w:pPr>
      <w:r>
        <w:rPr>
          <w:rFonts w:hint="cs"/>
          <w:rtl/>
        </w:rPr>
        <w:t>זכות הפריסה אשר הוענקה למוכר מקרקעין מכוחו של סעיף 48א(ה)(1) לחוק מס שבח באה להגשים תכלית כלכלית חשובה. מדובר בהקטנה, ולעתים אף בנטרול מוחלט, של ״אפקט הדחיסה״ אשר עלול לפגוע בשתי מטרות-העל של דיני המסים: צדק אופקי (</w:t>
      </w:r>
      <w:r>
        <w:rPr>
          <w:rFonts w:ascii="Times New Roman" w:hAnsi="Times New Roman" w:cs="Times New Roman"/>
        </w:rPr>
        <w:t>horizontal equity</w:t>
      </w:r>
      <w:r>
        <w:rPr>
          <w:rFonts w:hint="cs"/>
          <w:rtl/>
        </w:rPr>
        <w:t>) וצדק אנכי (</w:t>
      </w:r>
      <w:r>
        <w:rPr>
          <w:rFonts w:ascii="Times New Roman" w:hAnsi="Times New Roman" w:cs="Times New Roman"/>
        </w:rPr>
        <w:t>vertical equity</w:t>
      </w:r>
      <w:r>
        <w:rPr>
          <w:rFonts w:hint="cs"/>
          <w:rtl/>
        </w:rPr>
        <w:t>).</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  לפי הדין הנוהג, בעלים של מקרקעין אינו מתחייב במס שבח אלא בעקבות מימוש זכויותיו במקרקעין. כלל יסוד זה, הידוע בשם "דרישת המימוש", מעוגן בסעיף 6(א) לחוק מס שבח. לדרישת המימוש יש רציונל פשוט: מבחינת תחושת הצדק של הנישום, הנוחות האדמיניסטרטיבית והדיוק בשיעור המס, ראוי הוא שהמדינה תגבה מס מהרווח שהנישום הפיק בפועל, להבדיל מרווחים הנמצאים רק ״על הנייר״ (ראו </w:t>
      </w:r>
      <w:proofErr w:type="spellStart"/>
      <w:r>
        <w:rPr>
          <w:rFonts w:ascii="Times New Roman" w:hAnsi="Times New Roman" w:cs="Times New Roman"/>
          <w:szCs w:val="24"/>
        </w:rPr>
        <w:t>Ilan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Benshalom</w:t>
      </w:r>
      <w:proofErr w:type="spellEnd"/>
      <w:r>
        <w:rPr>
          <w:rFonts w:ascii="Times New Roman" w:hAnsi="Times New Roman" w:cs="Times New Roman"/>
          <w:szCs w:val="24"/>
        </w:rPr>
        <w:t xml:space="preserve"> &amp; Kendra Stead, </w:t>
      </w:r>
      <w:r>
        <w:rPr>
          <w:rFonts w:ascii="Times New Roman" w:hAnsi="Times New Roman" w:cs="Times New Roman"/>
          <w:i/>
          <w:iCs/>
          <w:szCs w:val="24"/>
        </w:rPr>
        <w:t>Realization and Progressivity</w:t>
      </w:r>
      <w:r>
        <w:rPr>
          <w:rFonts w:ascii="Times New Roman" w:hAnsi="Times New Roman" w:cs="Times New Roman"/>
          <w:szCs w:val="24"/>
        </w:rPr>
        <w:t xml:space="preserve">, 3 </w:t>
      </w:r>
      <w:r>
        <w:rPr>
          <w:rFonts w:ascii="Times New Roman" w:hAnsi="Times New Roman" w:cs="Times New Roman"/>
          <w:smallCaps/>
          <w:szCs w:val="24"/>
        </w:rPr>
        <w:t>Colum. J. Tax. L.</w:t>
      </w:r>
      <w:r>
        <w:rPr>
          <w:rFonts w:ascii="Times New Roman" w:hAnsi="Times New Roman" w:cs="Times New Roman"/>
          <w:szCs w:val="24"/>
        </w:rPr>
        <w:t xml:space="preserve"> 43 (2011); </w:t>
      </w:r>
      <w:r>
        <w:rPr>
          <w:rFonts w:ascii="Times New Roman" w:hAnsi="Times New Roman" w:cs="Times New Roman"/>
          <w:spacing w:val="0"/>
          <w:szCs w:val="24"/>
          <w:shd w:val="clear" w:color="auto" w:fill="FFFFFF"/>
        </w:rPr>
        <w:t xml:space="preserve">Edward A. </w:t>
      </w:r>
      <w:proofErr w:type="spellStart"/>
      <w:r>
        <w:rPr>
          <w:rFonts w:ascii="Times New Roman" w:hAnsi="Times New Roman" w:cs="Times New Roman"/>
          <w:spacing w:val="0"/>
          <w:szCs w:val="24"/>
          <w:shd w:val="clear" w:color="auto" w:fill="FFFFFF"/>
        </w:rPr>
        <w:t>Zelinsky</w:t>
      </w:r>
      <w:proofErr w:type="spellEnd"/>
      <w:r>
        <w:rPr>
          <w:rFonts w:ascii="Times New Roman" w:hAnsi="Times New Roman" w:cs="Times New Roman"/>
          <w:spacing w:val="0"/>
          <w:szCs w:val="24"/>
          <w:shd w:val="clear" w:color="auto" w:fill="FFFFFF"/>
        </w:rPr>
        <w:t>, </w:t>
      </w:r>
      <w:r>
        <w:rPr>
          <w:rFonts w:ascii="Times New Roman" w:hAnsi="Times New Roman" w:cs="Times New Roman"/>
          <w:i/>
          <w:iCs/>
          <w:spacing w:val="0"/>
          <w:szCs w:val="24"/>
        </w:rPr>
        <w:t xml:space="preserve">For Realization: Income Taxation, </w:t>
      </w:r>
      <w:proofErr w:type="spellStart"/>
      <w:r>
        <w:rPr>
          <w:rFonts w:ascii="Times New Roman" w:hAnsi="Times New Roman" w:cs="Times New Roman"/>
          <w:i/>
          <w:iCs/>
          <w:spacing w:val="0"/>
          <w:szCs w:val="24"/>
        </w:rPr>
        <w:t>Sectoral</w:t>
      </w:r>
      <w:proofErr w:type="spellEnd"/>
      <w:r>
        <w:rPr>
          <w:rFonts w:ascii="Times New Roman" w:hAnsi="Times New Roman" w:cs="Times New Roman"/>
          <w:i/>
          <w:iCs/>
          <w:spacing w:val="0"/>
          <w:szCs w:val="24"/>
        </w:rPr>
        <w:t xml:space="preserve"> </w:t>
      </w:r>
      <w:proofErr w:type="spellStart"/>
      <w:r>
        <w:rPr>
          <w:rFonts w:ascii="Times New Roman" w:hAnsi="Times New Roman" w:cs="Times New Roman"/>
          <w:i/>
          <w:iCs/>
          <w:spacing w:val="0"/>
          <w:szCs w:val="24"/>
        </w:rPr>
        <w:t>Accretionism</w:t>
      </w:r>
      <w:proofErr w:type="spellEnd"/>
      <w:r>
        <w:rPr>
          <w:rFonts w:ascii="Times New Roman" w:hAnsi="Times New Roman" w:cs="Times New Roman"/>
          <w:i/>
          <w:iCs/>
          <w:spacing w:val="0"/>
          <w:szCs w:val="24"/>
        </w:rPr>
        <w:t>, and the Virtue of Attainable Virtues</w:t>
      </w:r>
      <w:r>
        <w:rPr>
          <w:rFonts w:ascii="Times New Roman" w:hAnsi="Times New Roman" w:cs="Times New Roman"/>
          <w:spacing w:val="0"/>
          <w:szCs w:val="24"/>
          <w:shd w:val="clear" w:color="auto" w:fill="FFFFFF"/>
        </w:rPr>
        <w:t xml:space="preserve">, 19 </w:t>
      </w:r>
      <w:r>
        <w:rPr>
          <w:rFonts w:ascii="Times New Roman" w:hAnsi="Times New Roman" w:cs="Times New Roman"/>
          <w:smallCaps/>
          <w:spacing w:val="0"/>
          <w:szCs w:val="24"/>
          <w:shd w:val="clear" w:color="auto" w:fill="FFFFFF"/>
        </w:rPr>
        <w:t>Cardozo L. Rev.</w:t>
      </w:r>
      <w:r>
        <w:rPr>
          <w:rFonts w:ascii="Times New Roman" w:hAnsi="Times New Roman" w:cs="Times New Roman"/>
          <w:spacing w:val="0"/>
          <w:szCs w:val="24"/>
          <w:shd w:val="clear" w:color="auto" w:fill="FFFFFF"/>
        </w:rPr>
        <w:t xml:space="preserve"> 861 (1997)</w:t>
      </w:r>
      <w:r>
        <w:rPr>
          <w:rFonts w:hint="cs"/>
          <w:rtl/>
        </w:rPr>
        <w:t xml:space="preserve">). בד-בבד, דרישה זו יוצרת עיוותים חברתיים וכלכליים שונים, אשר כוללים פגיעה בצדק חלוקתי (ראו </w:t>
      </w:r>
      <w:r>
        <w:rPr>
          <w:rFonts w:ascii="Times New Roman" w:hAnsi="Times New Roman" w:cs="Times New Roman"/>
        </w:rPr>
        <w:t xml:space="preserve">David M. </w:t>
      </w:r>
      <w:proofErr w:type="spellStart"/>
      <w:r>
        <w:rPr>
          <w:rFonts w:ascii="Times New Roman" w:hAnsi="Times New Roman" w:cs="Times New Roman"/>
        </w:rPr>
        <w:t>Schizer</w:t>
      </w:r>
      <w:proofErr w:type="spellEnd"/>
      <w:r>
        <w:rPr>
          <w:rFonts w:ascii="Times New Roman" w:hAnsi="Times New Roman" w:cs="Times New Roman"/>
        </w:rPr>
        <w:t xml:space="preserve">, </w:t>
      </w:r>
      <w:r>
        <w:rPr>
          <w:rFonts w:ascii="Times New Roman" w:hAnsi="Times New Roman" w:cs="Times New Roman"/>
          <w:i/>
          <w:iCs/>
        </w:rPr>
        <w:t>Realization as Subsidy</w:t>
      </w:r>
      <w:r>
        <w:rPr>
          <w:rFonts w:ascii="Times New Roman" w:hAnsi="Times New Roman" w:cs="Times New Roman"/>
        </w:rPr>
        <w:t xml:space="preserve">, 73 </w:t>
      </w:r>
      <w:r>
        <w:rPr>
          <w:rFonts w:ascii="Times New Roman" w:hAnsi="Times New Roman" w:cs="Times New Roman"/>
          <w:smallCaps/>
        </w:rPr>
        <w:t>N.Y.U. L. Rev.</w:t>
      </w:r>
      <w:r>
        <w:rPr>
          <w:rFonts w:ascii="Times New Roman" w:hAnsi="Times New Roman" w:cs="Times New Roman"/>
        </w:rPr>
        <w:t xml:space="preserve"> 1549 (1998)</w:t>
      </w:r>
      <w:r>
        <w:rPr>
          <w:rFonts w:hint="cs"/>
          <w:rtl/>
        </w:rPr>
        <w:t xml:space="preserve"> (להלן: </w:t>
      </w:r>
      <w:proofErr w:type="spellStart"/>
      <w:r>
        <w:rPr>
          <w:rFonts w:ascii="Century" w:hAnsi="Century" w:cs="Miriam" w:hint="cs"/>
          <w:b/>
          <w:spacing w:val="0"/>
          <w:sz w:val="22"/>
          <w:szCs w:val="24"/>
          <w:rtl/>
        </w:rPr>
        <w:t>שיזר</w:t>
      </w:r>
      <w:proofErr w:type="spellEnd"/>
      <w:r>
        <w:rPr>
          <w:rFonts w:hint="cs"/>
          <w:rtl/>
        </w:rPr>
        <w:t xml:space="preserve">)). אחד מעיוותים אלו הוא ״אפקט הדחיסה״. דרישת המימוש דוחסת את מלוא הרווח ההוני – ״השבח הריאלי״, כשמדובר במקרקעין – לתוך שנת המס שבה נמכר הנכס. כפועל יוצא מכך, במשטר של מס פרוגרסיבי הנהוג בישראל, מוכר הנכס עלול למצוא את עצמו במדרגת מס גבוהה יותר מהרגיל ולשלם מס שולי גבוה יותר בהשוואה למס שהיה עליו לשלם אילו רווח ההון שלו מוסה על בסיס עליית הערך ההדרגתית של הנכס בכל שנה ושנה בתוך תקופת הבעלות (ראו דוד </w:t>
      </w:r>
      <w:proofErr w:type="spellStart"/>
      <w:r>
        <w:rPr>
          <w:rFonts w:hint="cs"/>
          <w:rtl/>
        </w:rPr>
        <w:t>גליקסברג</w:t>
      </w:r>
      <w:proofErr w:type="spellEnd"/>
      <w:r>
        <w:rPr>
          <w:rFonts w:hint="cs"/>
          <w:rtl/>
        </w:rPr>
        <w:t xml:space="preserve"> "מיצוע שבח-המקרקעין ופריסת רווח-ההון" </w:t>
      </w:r>
      <w:r>
        <w:rPr>
          <w:rFonts w:ascii="Century" w:hAnsi="Century" w:cs="Miriam" w:hint="cs"/>
          <w:b/>
          <w:spacing w:val="0"/>
          <w:sz w:val="22"/>
          <w:szCs w:val="24"/>
          <w:rtl/>
        </w:rPr>
        <w:t>משפטים</w:t>
      </w:r>
      <w:r>
        <w:rPr>
          <w:rFonts w:hint="cs"/>
          <w:rtl/>
        </w:rPr>
        <w:t xml:space="preserve"> </w:t>
      </w:r>
      <w:proofErr w:type="spellStart"/>
      <w:r>
        <w:rPr>
          <w:rFonts w:hint="cs"/>
          <w:rtl/>
        </w:rPr>
        <w:t>כא</w:t>
      </w:r>
      <w:proofErr w:type="spellEnd"/>
      <w:r>
        <w:rPr>
          <w:rFonts w:hint="cs"/>
          <w:rtl/>
        </w:rPr>
        <w:t xml:space="preserve"> 371, 377 (</w:t>
      </w:r>
      <w:proofErr w:type="spellStart"/>
      <w:r>
        <w:rPr>
          <w:rFonts w:hint="cs"/>
          <w:rtl/>
        </w:rPr>
        <w:t>התשנ"ב</w:t>
      </w:r>
      <w:proofErr w:type="spellEnd"/>
      <w:r>
        <w:rPr>
          <w:rFonts w:hint="cs"/>
          <w:rtl/>
        </w:rPr>
        <w:t xml:space="preserve">) (להלן: </w:t>
      </w:r>
      <w:proofErr w:type="spellStart"/>
      <w:r>
        <w:rPr>
          <w:rFonts w:ascii="Century" w:hAnsi="Century" w:cs="Miriam" w:hint="cs"/>
          <w:b/>
          <w:spacing w:val="0"/>
          <w:sz w:val="22"/>
          <w:szCs w:val="24"/>
          <w:rtl/>
        </w:rPr>
        <w:t>גליקסברג</w:t>
      </w:r>
      <w:proofErr w:type="spellEnd"/>
      <w:r>
        <w:rPr>
          <w:rFonts w:ascii="Century" w:hAnsi="Century" w:cs="Miriam" w:hint="cs"/>
          <w:b/>
          <w:spacing w:val="0"/>
          <w:sz w:val="22"/>
          <w:szCs w:val="24"/>
          <w:rtl/>
        </w:rPr>
        <w:t xml:space="preserve"> "מיצוע שבח המקרקעין</w:t>
      </w:r>
      <w:r>
        <w:rPr>
          <w:rFonts w:hint="cs"/>
          <w:rtl/>
        </w:rPr>
        <w:t xml:space="preserve">")). </w:t>
      </w:r>
    </w:p>
    <w:p w:rsidR="00D54C92" w:rsidRDefault="00D54C92" w:rsidP="00D54C92">
      <w:pPr>
        <w:pStyle w:val="Ruller41"/>
      </w:pPr>
    </w:p>
    <w:p w:rsidR="00D54C92" w:rsidRDefault="00D54C92" w:rsidP="00D54C92">
      <w:pPr>
        <w:pStyle w:val="Ruller4"/>
        <w:numPr>
          <w:ilvl w:val="0"/>
          <w:numId w:val="13"/>
        </w:numPr>
        <w:textAlignment w:val="auto"/>
      </w:pPr>
      <w:r>
        <w:rPr>
          <w:rFonts w:hint="cs"/>
          <w:rtl/>
        </w:rPr>
        <w:t xml:space="preserve">כמשקל-נגד לעיוות זה, חוקק מחוקקנו שתי הוראות מס: סעיף 48א(ה)(1) לחוק מס שבח וסעיף 91(ה)(1) לפקודת מס הכנסה. הסעיף האחרון, שעוד אדון בו בהמשך, מורה, בין היתר, כי ״לפי בקשת הנישום יחושב המס על ריווח ההון הריאלי כאילו נבע הריווח בחלקים שנתיים שווים תוך תקופה שאינה עולה על ארבע שנות מס או על תקופת הבעלות בנכס, לפי הקצרה שבהן, והמסתיימת בשנת המס שבה נבע הריווח״. הסעיף הראשון, שעומד במרכז דיוננו, קובע הוראה דומה ביחס לפריסתו של השבח הריאלי על פני ארבע שנות מס או תקופה קצרה יותר, לפי בקשת הנישום שמכר נכס מקרקעין. </w:t>
      </w:r>
      <w:r>
        <w:rPr>
          <w:rFonts w:hint="cs"/>
          <w:rtl/>
        </w:rPr>
        <w:lastRenderedPageBreak/>
        <w:t xml:space="preserve">סעיפים אלו נועדו ״למנוע קפיצה נחשונית בשיעור המס השולי״ (לפי דבריו של אמנון רפאל </w:t>
      </w:r>
      <w:r>
        <w:rPr>
          <w:rFonts w:ascii="Century" w:hAnsi="Century" w:cs="Miriam" w:hint="cs"/>
          <w:b/>
          <w:spacing w:val="0"/>
          <w:sz w:val="22"/>
          <w:szCs w:val="24"/>
          <w:rtl/>
        </w:rPr>
        <w:t>מס הכנסה</w:t>
      </w:r>
      <w:r>
        <w:rPr>
          <w:rFonts w:hint="cs"/>
          <w:rtl/>
        </w:rPr>
        <w:t xml:space="preserve"> כרך שלישי 54 (1991), אשר צוטטו בהסכמה על ידי השופט </w:t>
      </w:r>
      <w:r>
        <w:rPr>
          <w:rFonts w:ascii="Century" w:hAnsi="Century" w:cs="Miriam" w:hint="cs"/>
          <w:b/>
          <w:spacing w:val="0"/>
          <w:sz w:val="22"/>
          <w:szCs w:val="24"/>
          <w:rtl/>
        </w:rPr>
        <w:t>ח׳ מלצר</w:t>
      </w:r>
      <w:r>
        <w:rPr>
          <w:rFonts w:hint="cs"/>
          <w:rtl/>
        </w:rPr>
        <w:t xml:space="preserve"> (כתוארו אז) בע״א 8958/07 וע"א 8960/07 </w:t>
      </w:r>
      <w:r>
        <w:rPr>
          <w:rFonts w:ascii="Century" w:hAnsi="Century" w:cs="Miriam" w:hint="cs"/>
          <w:b/>
          <w:spacing w:val="0"/>
          <w:sz w:val="22"/>
          <w:szCs w:val="24"/>
          <w:rtl/>
        </w:rPr>
        <w:t>פקיד שומה תל אביב יפו 5 נ׳ שבטון</w:t>
      </w:r>
      <w:r>
        <w:rPr>
          <w:rFonts w:hint="cs"/>
          <w:rtl/>
        </w:rPr>
        <w:t xml:space="preserve">, פסקה 30 לפסק דינו (18.8.2011) (להלן: </w:t>
      </w:r>
      <w:r>
        <w:rPr>
          <w:rFonts w:ascii="Century" w:hAnsi="Century" w:hint="cs"/>
          <w:sz w:val="22"/>
          <w:rtl/>
        </w:rPr>
        <w:t xml:space="preserve">עניין </w:t>
      </w:r>
      <w:r>
        <w:rPr>
          <w:rFonts w:ascii="Century" w:hAnsi="Century" w:cs="Miriam" w:hint="cs"/>
          <w:b/>
          <w:spacing w:val="0"/>
          <w:sz w:val="22"/>
          <w:szCs w:val="24"/>
          <w:rtl/>
        </w:rPr>
        <w:t>שבטון</w:t>
      </w:r>
      <w:r>
        <w:rPr>
          <w:rFonts w:hint="cs"/>
          <w:rtl/>
        </w:rPr>
        <w:t xml:space="preserve">)) ועל ידי כך להקטין, ולעתים אף לנטרל, את ״אפקט הדחיסה״. </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הקטנתו של ״אפקט הדחיסה״ מקדמת את הצדק האופקי, שכאמור נמנה עם מטרות-העל של המיסוי הפרוגרסיבי המקודם על ידי חוק מס שבח ופקודת מס הכנסה. הצדק האופקי מחייב הטלת מס זהה על נישומים בעלי הכנסות זהות. ״אפקט הדחיסה״ מכשיל את השגתה של מטרה זו, מאחר שהוא מעלה את הנישום במדרגות המס ללא הצדקה כלכלית וגורם לו לשלם מס שולי גבוה יותר מזה שמוטל על נישומים אחרים שהכנסותיהם על פני אותה תקופה היו זהות לשלו. משכך, ראוי להקטין אפקט זה ככל שניתן, כפי שעשה המחוקק בהעמידו את זכות הפריסה לטובת הנישום בתנאים האמורים בסעיף 48א(ה)(1) לחוק מס שבח ובסעיף 91(ה)(1) לפקודת מס הכנסה (ראו </w:t>
      </w:r>
      <w:proofErr w:type="spellStart"/>
      <w:r>
        <w:rPr>
          <w:rFonts w:ascii="Century" w:hAnsi="Century" w:hint="cs"/>
          <w:sz w:val="22"/>
          <w:rtl/>
        </w:rPr>
        <w:t>גליקסברג</w:t>
      </w:r>
      <w:proofErr w:type="spellEnd"/>
      <w:r>
        <w:rPr>
          <w:rFonts w:ascii="Century" w:hAnsi="Century" w:hint="cs"/>
          <w:sz w:val="22"/>
          <w:rtl/>
        </w:rPr>
        <w:t xml:space="preserve"> "מיצוע שבח המקרקעין",</w:t>
      </w:r>
      <w:r>
        <w:rPr>
          <w:rFonts w:hint="cs"/>
          <w:rtl/>
        </w:rPr>
        <w:t xml:space="preserve"> עמ' 379-377).</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הקטנתו של ״אפקט הדחיסה״ מקדמת גם את הצדק האנכי, שאף הוא נמנה עם יעדי המיסוי הפרוגרסיבי. מבחינת הצדק האנכי, שוני ברמת היכולת הכלכלית בין הנישומים צריך לבוא לידי ביטוי בשיעורי המס המוטלים עליהם (ראו דוד </w:t>
      </w:r>
      <w:proofErr w:type="spellStart"/>
      <w:r>
        <w:rPr>
          <w:rFonts w:hint="cs"/>
          <w:rtl/>
        </w:rPr>
        <w:t>גליקסברג</w:t>
      </w:r>
      <w:proofErr w:type="spellEnd"/>
      <w:r>
        <w:rPr>
          <w:rFonts w:hint="cs"/>
          <w:rtl/>
        </w:rPr>
        <w:t xml:space="preserve"> </w:t>
      </w:r>
      <w:r>
        <w:rPr>
          <w:rFonts w:ascii="Century" w:hAnsi="Century" w:cs="Miriam" w:hint="cs"/>
          <w:b/>
          <w:spacing w:val="0"/>
          <w:sz w:val="22"/>
          <w:szCs w:val="24"/>
          <w:rtl/>
        </w:rPr>
        <w:t>גבולות תכנון המס</w:t>
      </w:r>
      <w:r>
        <w:rPr>
          <w:rFonts w:hint="cs"/>
          <w:rtl/>
        </w:rPr>
        <w:t xml:space="preserve"> 34 (1990)). ״אפקט הדחיסה״ מכשיל השגת יעד זה על ידי הפיכת הנישום שהפיק רווח ממכירת נכס </w:t>
      </w:r>
      <w:proofErr w:type="spellStart"/>
      <w:r>
        <w:rPr>
          <w:rFonts w:hint="cs"/>
          <w:rtl/>
        </w:rPr>
        <w:t>ל״עשיר</w:t>
      </w:r>
      <w:proofErr w:type="spellEnd"/>
      <w:r>
        <w:rPr>
          <w:rFonts w:hint="cs"/>
          <w:rtl/>
        </w:rPr>
        <w:t xml:space="preserve">״ לצרכיה של שנת המס בה בוצעה המכירה, בשעה שרמת יכולתו הכלכלית – שאותה ראוי לאמוד בהתייחס לכל תקופת הבעלות בנכס – נופלת מזו של העשירים </w:t>
      </w:r>
      <w:proofErr w:type="spellStart"/>
      <w:r>
        <w:rPr>
          <w:rFonts w:hint="cs"/>
          <w:rtl/>
        </w:rPr>
        <w:t>האמיתיים</w:t>
      </w:r>
      <w:proofErr w:type="spellEnd"/>
      <w:r>
        <w:rPr>
          <w:rFonts w:hint="cs"/>
          <w:rtl/>
        </w:rPr>
        <w:t xml:space="preserve"> אשר משלמים מס שולי הזהה לשלו (ראו </w:t>
      </w:r>
      <w:proofErr w:type="spellStart"/>
      <w:r>
        <w:rPr>
          <w:rFonts w:ascii="Century" w:hAnsi="Century" w:hint="cs"/>
          <w:sz w:val="22"/>
          <w:rtl/>
        </w:rPr>
        <w:t>גליקסברג</w:t>
      </w:r>
      <w:proofErr w:type="spellEnd"/>
      <w:r>
        <w:rPr>
          <w:rFonts w:ascii="Century" w:hAnsi="Century" w:hint="cs"/>
          <w:sz w:val="22"/>
          <w:rtl/>
        </w:rPr>
        <w:t xml:space="preserve"> "מיצוע שבח המקרקעין",</w:t>
      </w:r>
      <w:r>
        <w:rPr>
          <w:rFonts w:hint="cs"/>
          <w:rtl/>
        </w:rPr>
        <w:t xml:space="preserve"> עמ' 377). הזכאות לפריסת השבח ורווחי הון ריאליים אחרים מצמצמת עיוות זה, ולעתים אף מנטרלת אותו כליל.</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״אפקט הדחיסה״ והקטנתו באמצעות הזכאות לפריסה הם נחלתו של נישום יחיד בשר-ודם, ולא של חברה. הסיבה לכך הינה פשוטה בתכלית: </w:t>
      </w:r>
      <w:r>
        <w:rPr>
          <w:rFonts w:ascii="Century" w:hAnsi="Century" w:hint="cs"/>
          <w:sz w:val="22"/>
          <w:rtl/>
        </w:rPr>
        <w:t>מסים המוטלים על רווחי חברות הם מסים בשיעור קבוע, ולא מסים פרוגרסיביים</w:t>
      </w:r>
      <w:r>
        <w:rPr>
          <w:rFonts w:ascii="Century" w:hAnsi="Century" w:cs="Miriam" w:hint="cs"/>
          <w:b/>
          <w:spacing w:val="0"/>
          <w:sz w:val="22"/>
          <w:szCs w:val="24"/>
          <w:rtl/>
        </w:rPr>
        <w:t xml:space="preserve"> </w:t>
      </w:r>
      <w:r>
        <w:rPr>
          <w:rFonts w:hint="cs"/>
          <w:rtl/>
        </w:rPr>
        <w:t xml:space="preserve">(ראו סעיף 126(א) בהשוואה לסעיף 121 לפקודת מס הכנסה). אשר על כן, כאשר המחוקק משאיר את שיעור המס המוטל על רווחי חברות בלא שינוי במשך ארבע שנים, לזכות הפריסה ממילא לא תהא שום משמעות. לדוגמא, כאשר מס חברות עומד על שיעור קבוע של 25% במשך כל תקופת הבעלות של החברה בנכס מקרקעין, אשר נמשכת ארבע שנים, ובתום התקופה החברה מוכרת את הנכס במחיר שמשאיר בידה שבח ריאלי בסך של 16,000,000 ₪, </w:t>
      </w:r>
      <w:r>
        <w:rPr>
          <w:rFonts w:hint="cs"/>
          <w:rtl/>
        </w:rPr>
        <w:lastRenderedPageBreak/>
        <w:t xml:space="preserve">זכאות החברה לפריסת השבח לא תשנה דבר. עם ובלי זכאות כאמור, יעמוד מס השבח אשר יוטל על החברה בגין מכירת המקרקעין על סך של 4,000,000 ₪. הזכאות לפריסה יוצרת הבדלי מיסוי אצל חברות רק כאשר המחוקק משנה את שיעורו של מס חברות. בדוגמא שבה עסקינן, אם תקופת הבעלות של החברה החלה בשנת 2015 והסתיימה בשנת 2018, ובמהלכה עמד מס חברות על 26.5%, 25%, 24% ו-23%, זכאות החברה לפריסת השבח תקטין את המס שלה מסך של 4,000,000 ₪ לסך של 3,940,000 ₪ (1,060,000 + 1,000,000 + 960,000 + 920,000). ודוק: ההבדל בחבות המס, אשר נוצר בדוגמא זו בעקבות הפעלת הזכאות לפריסה, נובע אך ורק מהעדכונים של שיעור המס שנעשו באמצעות חקיקה, ולא ממבנה המס גופו. </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 xml:space="preserve">לטענת החברות דכאן, חרף ההבדל הגדול בין מס חברות לשיטת המיסוי הפרוגרסיבי, הדוגמא האחרונה מוכיחה כי גם חברה עלולה לסבול </w:t>
      </w:r>
      <w:proofErr w:type="spellStart"/>
      <w:r>
        <w:rPr>
          <w:rFonts w:hint="cs"/>
          <w:rtl/>
        </w:rPr>
        <w:t>מ״אפקט</w:t>
      </w:r>
      <w:proofErr w:type="spellEnd"/>
      <w:r>
        <w:rPr>
          <w:rFonts w:hint="cs"/>
          <w:rtl/>
        </w:rPr>
        <w:t xml:space="preserve"> הדחיסה״ אם לא יתאפשר לה לפרוס את השבח על פני תקופת הבעלות או, למצער, על פני תקופה קצרה יותר הזהה לזו שניתנה לנישום יחיד. ועדת הערר קיבלה טענה זו, אולם אני לא רואה מקום לקבלה. ״אפקט הדחיסה״ אכן יכול להתרחש גם אצל חברה, אבל בהתרחשותו אין שום רע מאחר שזו איננה מסכלת את מדיניות המסים של המחוקק. במקרה של נישום יחיד, ״אפקט הדחיסה״ מעוות את המיסוי הפרוגרסיבי ועל כן ראוי להימנע ממנו. במקרה של חברה, ״אפקט הדחיסה״ מתמזג עם מס אחיד אשר חל על כל החברות, ללא יוצא מן הכלל, ואשר נמצא מחוץ למסגרת המיסוי הפרוגרסיבי של יחידים. ״אפקט דחיסה״ זה איננו אפוא טעון תיקון. כפי שכבר הסברתי, שלילת הזכאות לפריסה מנישום יחיד יוצרת אפליית מס בינו לבין נישומים אחרים אשר משלמים מס שולי פרוגרסיבי. אפליה זו הינה פועל יוצא של פגיעה בצדק אופקי ובצדק אנכי אשר מגיעים לנישומים בשר-ודם. מיסוי חברות לפי שיעורי מס אחידים, אשר משתנים מדי שנה או מדי מספר שנים, איננו יוצר אפליה בין חברות וממילא לא יוצר שום אפליה בין בעלי המניות בחברות. בעלי מניות אלו יקבלו הגנה מפני איפה ואיפה ויזכו לצדק אופקי ואנכי כאשר יחויבו במס בגין מימוש אחזקותיהם בחברה.</w:t>
      </w:r>
    </w:p>
    <w:p w:rsidR="00631D42" w:rsidRPr="00631D42" w:rsidRDefault="00631D42" w:rsidP="00631D42">
      <w:pPr>
        <w:pStyle w:val="Ruller41"/>
        <w:rPr>
          <w:rtl/>
        </w:rPr>
      </w:pPr>
    </w:p>
    <w:p w:rsidR="00D54C92" w:rsidRDefault="00D54C92" w:rsidP="00D54C92">
      <w:pPr>
        <w:pStyle w:val="Ruller4"/>
        <w:numPr>
          <w:ilvl w:val="0"/>
          <w:numId w:val="13"/>
        </w:numPr>
        <w:textAlignment w:val="auto"/>
        <w:rPr>
          <w:rtl/>
        </w:rPr>
      </w:pPr>
      <w:r>
        <w:rPr>
          <w:rFonts w:hint="cs"/>
          <w:rtl/>
        </w:rPr>
        <w:t>המסקנה שעולה מן המקובץ אינה אלא זו: הרציונל הכלכלי-חברתי של הזכאות לפריסת השבח הריאלי לפי סעיף 48א(ה)(1) לחוק מס שבח תומך באי-מתן זכאות זו לחברות ובהגבלתה לנישומים יחידים בשר-ודם.</w:t>
      </w:r>
    </w:p>
    <w:p w:rsidR="00D54C92" w:rsidRDefault="00D54C92" w:rsidP="00D54C92">
      <w:pPr>
        <w:pStyle w:val="Ruller41"/>
        <w:rPr>
          <w:rtl/>
        </w:rPr>
      </w:pPr>
    </w:p>
    <w:p w:rsidR="00631D42" w:rsidRDefault="00631D42" w:rsidP="00D54C92">
      <w:pPr>
        <w:pStyle w:val="Ruller41"/>
        <w:rPr>
          <w:rtl/>
        </w:rPr>
      </w:pPr>
    </w:p>
    <w:p w:rsidR="00631D42" w:rsidRDefault="00631D42" w:rsidP="00D54C92">
      <w:pPr>
        <w:pStyle w:val="Ruller41"/>
        <w:rPr>
          <w:rtl/>
        </w:rPr>
      </w:pPr>
    </w:p>
    <w:p w:rsidR="00D54C92" w:rsidRDefault="00D54C92" w:rsidP="00D54C92">
      <w:pPr>
        <w:pStyle w:val="Ruller41"/>
        <w:rPr>
          <w:rFonts w:ascii="Century" w:hAnsi="Century" w:cs="Miriam"/>
          <w:b/>
          <w:spacing w:val="0"/>
          <w:szCs w:val="24"/>
          <w:rtl/>
        </w:rPr>
      </w:pPr>
      <w:r>
        <w:rPr>
          <w:rFonts w:ascii="Century" w:hAnsi="Century" w:cs="Miriam" w:hint="cs"/>
          <w:b/>
          <w:spacing w:val="0"/>
          <w:szCs w:val="24"/>
          <w:rtl/>
        </w:rPr>
        <w:lastRenderedPageBreak/>
        <w:t>לשון החוק: התנאים הבלעדיים למימוש הזכאות לפריסת השבח הריאלי לפי סעיף 48א(ה)(1) לחוק מס שבח מייחדים את הזכאות לנישומים יחידים</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סעיף 48א(ה)(1) לחוק איננו מגדיר את הזכאות לפריסה כזכות שהנישום זכאי לממשה בכל דרך. ההיפך הוא הנכון: סעיף זה קובע כיצד ניתן לממש זכאות זו מבלי להציע לנישומים שום חלופות. הדבר עולה מהמילה </w:t>
      </w:r>
      <w:r>
        <w:rPr>
          <w:rFonts w:cs="Miriam" w:hint="cs"/>
          <w:b/>
          <w:spacing w:val="0"/>
          <w:sz w:val="22"/>
          <w:szCs w:val="24"/>
          <w:rtl/>
        </w:rPr>
        <w:t>"כדלקמן"</w:t>
      </w:r>
      <w:r>
        <w:rPr>
          <w:rFonts w:hint="cs"/>
          <w:rtl/>
        </w:rPr>
        <w:t>, שהיא, לדעתי מילת המפתח להבנת האמור בסעיף. מילה זו והמשפטים שבאים אחריה קובעים את הדרך הבלעדית והיחידה למימוש הזכאות לפריסת השבח הריאלי. כדי להבהיר נקודה חשובה זו, אצטט את חלקו הרלוונטי של הסעיף במלואו:</w:t>
      </w:r>
    </w:p>
    <w:p w:rsidR="00D54C92" w:rsidRDefault="00D54C92" w:rsidP="00D54C92">
      <w:pPr>
        <w:pStyle w:val="Ruller41"/>
        <w:rPr>
          <w:rtl/>
        </w:rPr>
      </w:pPr>
    </w:p>
    <w:p w:rsidR="00D54C92" w:rsidRDefault="00D54C92" w:rsidP="00D54C92">
      <w:pPr>
        <w:pStyle w:val="Ruller5"/>
        <w:rPr>
          <w:rtl/>
        </w:rPr>
      </w:pPr>
      <w:r>
        <w:rPr>
          <w:rFonts w:hint="cs"/>
          <w:rtl/>
        </w:rPr>
        <w:t>"המוכר רשאי לבקש כי המס על השבח הריאלי יחושב [...] כדלקמן:</w:t>
      </w:r>
    </w:p>
    <w:p w:rsidR="00D54C92" w:rsidRDefault="00D54C92" w:rsidP="00D54C92">
      <w:pPr>
        <w:pStyle w:val="Ruller5"/>
        <w:rPr>
          <w:rtl/>
        </w:rPr>
      </w:pPr>
    </w:p>
    <w:p w:rsidR="00D54C92" w:rsidRDefault="00D54C92" w:rsidP="00D54C92">
      <w:pPr>
        <w:pStyle w:val="Ruller5"/>
        <w:rPr>
          <w:rtl/>
        </w:rPr>
      </w:pPr>
      <w:r>
        <w:rPr>
          <w:rFonts w:hint="cs"/>
          <w:rtl/>
        </w:rPr>
        <w:t>(א)</w:t>
      </w:r>
      <w:r>
        <w:rPr>
          <w:rFonts w:hint="cs"/>
          <w:rtl/>
        </w:rPr>
        <w:tab/>
        <w:t xml:space="preserve">בכל אחת משנות המס בתקופת הפריסה – חלק השבח הריאלי יצורף להכנסה החייבת הקובעת של המוכר באותה שנת המס, וחישוב המס ייעשה בהתחשב בשיעור המס הקבוע </w:t>
      </w:r>
      <w:r>
        <w:rPr>
          <w:rFonts w:ascii="Century" w:hAnsi="Century" w:cs="Miriam" w:hint="cs"/>
          <w:b/>
          <w:spacing w:val="0"/>
          <w:szCs w:val="24"/>
          <w:rtl/>
        </w:rPr>
        <w:t>בסעיף קטן (ב)</w:t>
      </w:r>
      <w:r>
        <w:rPr>
          <w:rFonts w:hint="cs"/>
          <w:rtl/>
        </w:rPr>
        <w:t>, בשיעורי המס החלים על כלל הכנסתו החייבת של המוכר לפי הוראות הפקודה וביתרת נקודות הזיכוי שזכאי להן המוכר בכל אחת משנות המס בתקופה האמורה;</w:t>
      </w:r>
    </w:p>
    <w:p w:rsidR="00D54C92" w:rsidRDefault="00D54C92" w:rsidP="00D54C92">
      <w:pPr>
        <w:pStyle w:val="Ruller5"/>
        <w:rPr>
          <w:rtl/>
        </w:rPr>
      </w:pPr>
    </w:p>
    <w:p w:rsidR="00D54C92" w:rsidRDefault="00D54C92" w:rsidP="00D54C92">
      <w:pPr>
        <w:pStyle w:val="Ruller5"/>
        <w:rPr>
          <w:rtl/>
        </w:rPr>
      </w:pPr>
      <w:r>
        <w:rPr>
          <w:rFonts w:hint="cs"/>
          <w:rtl/>
        </w:rPr>
        <w:t>(ב)</w:t>
      </w:r>
      <w:r>
        <w:rPr>
          <w:rFonts w:hint="cs"/>
          <w:rtl/>
        </w:rPr>
        <w:tab/>
        <w:t xml:space="preserve">על אף הוראות פסקת משנה (א), בשנה שבה נבע הרווח – יחושב המס על חלק השבח המיוחס לה, לפי האמור </w:t>
      </w:r>
      <w:r>
        <w:rPr>
          <w:rFonts w:ascii="Century" w:hAnsi="Century" w:cs="Miriam" w:hint="cs"/>
          <w:b/>
          <w:spacing w:val="0"/>
          <w:szCs w:val="24"/>
          <w:rtl/>
        </w:rPr>
        <w:t>בסעיף קטן (ב)</w:t>
      </w:r>
      <w:r>
        <w:rPr>
          <w:rFonts w:hint="cs"/>
          <w:rtl/>
        </w:rPr>
        <w:t>" (ראו סעיפים 48א(ה)(1)(א)-48א(ה)(1)(ב) לחוק; ההדגשות הוספו – א.ש.).</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הווה אומר: לפי לשון הסעיף, הדרך היחידה לממש את הזכאות לפריסה היא צירוף השבח הריאלי להכנסתו החייבת של מוכר המקרקעין בכל אחת משנות הפריסה וחישוב המס, בין היתר, בהתאם לשיעור המס הקבוע בסעיף 48א(ב) לחוק – כך ולא אחרת. חישוב כאמור הוא בגדר תנאי-שאין-בלתו להפעלתה של זכות הפריסה, שכן המילה "כדלקמן" ומה שבא אחריה אינם משאירים מקום לחישובי מס חלופיים.</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כאן המקום לבחון את אותה הדרך הבלעדית, נטולת החלופות, למימוש הזכאות לפריסה – סעיף 48א(ב) לחוק. סעיף זה מורה כדלקמן:</w:t>
      </w:r>
    </w:p>
    <w:p w:rsidR="00D54C92" w:rsidRDefault="00D54C92" w:rsidP="00D54C92">
      <w:pPr>
        <w:pStyle w:val="Ruller41"/>
        <w:rPr>
          <w:rtl/>
        </w:rPr>
      </w:pPr>
    </w:p>
    <w:p w:rsidR="00D54C92" w:rsidRDefault="00D54C92" w:rsidP="00D54C92">
      <w:pPr>
        <w:pStyle w:val="Ruller5"/>
        <w:rPr>
          <w:rtl/>
        </w:rPr>
      </w:pPr>
      <w:r>
        <w:rPr>
          <w:rFonts w:hint="cs"/>
          <w:rtl/>
        </w:rPr>
        <w:t>"(1)</w:t>
      </w:r>
      <w:r>
        <w:rPr>
          <w:rFonts w:hint="cs"/>
          <w:rtl/>
        </w:rPr>
        <w:tab/>
      </w:r>
      <w:r>
        <w:rPr>
          <w:rFonts w:ascii="Century" w:hAnsi="Century" w:cs="Miriam" w:hint="cs"/>
          <w:b/>
          <w:spacing w:val="0"/>
          <w:szCs w:val="24"/>
          <w:rtl/>
        </w:rPr>
        <w:t>יחיד</w:t>
      </w:r>
      <w:r>
        <w:rPr>
          <w:rFonts w:hint="cs"/>
          <w:rtl/>
        </w:rPr>
        <w:t xml:space="preserve"> יהיה חייב במס על שבח ריאלי כאמור </w:t>
      </w:r>
      <w:r>
        <w:rPr>
          <w:rFonts w:ascii="Century" w:hAnsi="Century" w:hint="cs"/>
          <w:rtl/>
        </w:rPr>
        <w:t>ב</w:t>
      </w:r>
      <w:r>
        <w:rPr>
          <w:rFonts w:ascii="Century" w:hAnsi="Century" w:cs="Miriam" w:hint="cs"/>
          <w:b/>
          <w:spacing w:val="0"/>
          <w:szCs w:val="24"/>
          <w:rtl/>
        </w:rPr>
        <w:t>סעיף 121 לפקודה</w:t>
      </w:r>
      <w:r>
        <w:rPr>
          <w:rFonts w:hint="cs"/>
          <w:rtl/>
        </w:rPr>
        <w:t>, [פקודת מס הכנסה – א.ש.] בשיעור של עד 25%;</w:t>
      </w:r>
    </w:p>
    <w:p w:rsidR="00D54C92" w:rsidRDefault="00D54C92" w:rsidP="00D54C92">
      <w:pPr>
        <w:pStyle w:val="Ruller5"/>
        <w:rPr>
          <w:rtl/>
        </w:rPr>
      </w:pPr>
    </w:p>
    <w:p w:rsidR="00D54C92" w:rsidRDefault="00D54C92" w:rsidP="00D54C92">
      <w:pPr>
        <w:pStyle w:val="Ruller5"/>
        <w:rPr>
          <w:rtl/>
        </w:rPr>
      </w:pPr>
      <w:r>
        <w:rPr>
          <w:rFonts w:hint="cs"/>
          <w:rtl/>
        </w:rPr>
        <w:t>(1א)</w:t>
      </w:r>
      <w:r>
        <w:rPr>
          <w:rFonts w:hint="cs"/>
          <w:rtl/>
        </w:rPr>
        <w:tab/>
        <w:t xml:space="preserve">על אף האמור בפסקה (1), יחיד יהיה חייב במס על שבח ריאלי כאמור בסעיף 121 לפקודה בשיעור של עד </w:t>
      </w:r>
      <w:r>
        <w:rPr>
          <w:rFonts w:hint="cs"/>
          <w:rtl/>
        </w:rPr>
        <w:lastRenderedPageBreak/>
        <w:t>30%, בפעולה באיגוד מקרקעין, אם הוא בעל מניות מהותי באיגוד המקרקעין במועד הפעולה באותו איגוד, או במועד כלשהו בשנים עשר החודשים שקדמו לפעולה כאמור; לעניין זה, "בעל מניות מהותי" – כהגדרתו בסעיף 88 לפקודה;</w:t>
      </w:r>
    </w:p>
    <w:p w:rsidR="00D54C92" w:rsidRDefault="00D54C92" w:rsidP="00D54C92">
      <w:pPr>
        <w:pStyle w:val="Ruller5"/>
        <w:rPr>
          <w:rtl/>
        </w:rPr>
      </w:pPr>
    </w:p>
    <w:p w:rsidR="00D54C92" w:rsidRDefault="00D54C92" w:rsidP="00D54C92">
      <w:pPr>
        <w:pStyle w:val="Ruller5"/>
        <w:rPr>
          <w:rtl/>
        </w:rPr>
      </w:pPr>
      <w:r>
        <w:rPr>
          <w:rFonts w:hint="cs"/>
          <w:rtl/>
        </w:rPr>
        <w:t>(2)</w:t>
      </w:r>
      <w:r>
        <w:rPr>
          <w:rFonts w:hint="cs"/>
          <w:rtl/>
        </w:rPr>
        <w:tab/>
        <w:t>על אף הוראות פסקאות (1) ו-(1א) רשאי המנהל להתיר בכתב, חיוב במס על השבח הריאלי, בשיעור הנמוך מהקבוע בפסקה (1) או בפסקה (1א), לפי העניין, אם הוא סבור כי המס שיחול לגביו לא יגיע לשיעור האמור" (ההדגשות הוספו – א.ש.).</w:t>
      </w:r>
    </w:p>
    <w:p w:rsidR="00D54C92" w:rsidRDefault="00D54C92" w:rsidP="00D54C92">
      <w:pPr>
        <w:pStyle w:val="Ruller41"/>
        <w:ind w:right="567"/>
        <w:rPr>
          <w:rFonts w:ascii="Century" w:hAnsi="Century"/>
          <w:rtl/>
        </w:rPr>
      </w:pPr>
    </w:p>
    <w:p w:rsidR="00D54C92" w:rsidRDefault="00D54C92" w:rsidP="00D54C92">
      <w:pPr>
        <w:pStyle w:val="Ruller4"/>
        <w:numPr>
          <w:ilvl w:val="0"/>
          <w:numId w:val="13"/>
        </w:numPr>
        <w:textAlignment w:val="auto"/>
        <w:rPr>
          <w:rtl/>
        </w:rPr>
      </w:pPr>
      <w:r>
        <w:rPr>
          <w:rFonts w:hint="cs"/>
          <w:rtl/>
        </w:rPr>
        <w:t xml:space="preserve">מהוראות הסעיף עולה בבירור כי רק נישום יחיד יכול – ורשאי – לממש את הזכאות לפריסת השבח. הוראות אלה מדברות על </w:t>
      </w:r>
      <w:r>
        <w:rPr>
          <w:rFonts w:ascii="Century" w:hAnsi="Century" w:hint="cs"/>
          <w:sz w:val="22"/>
          <w:rtl/>
        </w:rPr>
        <w:t>"יחיד"</w:t>
      </w:r>
      <w:r>
        <w:rPr>
          <w:rFonts w:hint="cs"/>
          <w:rtl/>
        </w:rPr>
        <w:t xml:space="preserve">, להבדיל מחברה, תוך שהן מפנות לאמור בסעיף 121 לפקודת מס הכנסה אשר – כפי שמעידה עליו כותרתו, "שיעור המס ליחיד" – קובע את מדרגות המס הפרוגרסיבי לנישומים בשר-ודם, להבדיל מחברות. באשר לחברות, סעיף 48א(א) לחוק מס שבח קובע בעניינן כי "חבר-בני-אדם יהיה חייב במס על שבח ריאלי, בשיעור הקבוע בסעיף 126(א) [לפקודת מס הכנסה – א.ש.]". סעיף 126(א) לפקודת מס הכנסה – כפי שמעידה עליו כותרתו, "מס חברות" – קובע כי "על הכנסתו החייבת של חבר-בני-אדם יוטל מס שייקרא "מס חברות", בשיעור של 23%". הווה אומר: גם מלשון החוק עולה כי לעניינה של הזכאות לפריסת השבח הריאלי, לא הרי נישום יחיד כהרי נישום שהוא חברה. רק נישום יחיד יכול לממש את הזכאות לפריסה בהתאם לתנאי מימושה אשר נקבעו בחוק כמסגרת של מיסוי פרוגרסיבי. חברות אינן יכולות לממש את הזכאות בתנאים אלה – דבר שמלמד על כך שהמחוקק הוציאן מכלל הזכאים לפריסה.  </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 xml:space="preserve">אודה ולא אכחד: מסקנה פרשנית זו איננה מתיישבת בקלות עם הגדרתו הרחבה של המונח "המוכר" שבסעיף 48א(ה)(1) לחוק מס שבח, אשר, כאמור, מתייחסת לכל מוכר מקרקעין שמקום מושבו בישראל, ובכלל זה תאגיד. אם חברות מוחרגות מן הזכאות לפריסה במסגרתו של סעיף חוק זה, כיצד ייתכן שהן נכללות בביטוי "המוכר"? לשאלה זו אין תשובה מספקת, שכן ברי הוא, כי מדובר בניסוח בלתי </w:t>
      </w:r>
      <w:proofErr w:type="spellStart"/>
      <w:r>
        <w:rPr>
          <w:rFonts w:hint="cs"/>
          <w:rtl/>
        </w:rPr>
        <w:t>מדוייק</w:t>
      </w:r>
      <w:proofErr w:type="spellEnd"/>
      <w:r>
        <w:rPr>
          <w:rFonts w:hint="cs"/>
          <w:rtl/>
        </w:rPr>
        <w:t xml:space="preserve"> של הסעיף. אם לא כל מוכרי המקרקעין נולדו שווים לעניינה של הזכאות לפריסה, מן הדין היה לומר זאת בלשון ברורה שאינה משתמעת לשתי פנים. יחד עם זאת, אין מנוס מן המסקנה שמוכר מקרקעין יחיד ומוכר מקרקעין המאוגד כחברה אכן לא נולדו שווים לעניינה של הזכאות לפריסה. חברה אינה יכולה לעמוד בתנאי המימוש של הזכאות ואלה הוגדרו בסעיף 48א(ה)(1) לחוק כתנאים שאין </w:t>
      </w:r>
      <w:proofErr w:type="spellStart"/>
      <w:r>
        <w:rPr>
          <w:rFonts w:hint="cs"/>
          <w:rtl/>
        </w:rPr>
        <w:t>בלתם</w:t>
      </w:r>
      <w:proofErr w:type="spellEnd"/>
      <w:r>
        <w:rPr>
          <w:rFonts w:hint="cs"/>
          <w:rtl/>
        </w:rPr>
        <w:t>. כפי שכבר הראיתי, הזכאות לפריסה והרציונל הכלכלי-חברתי שלה משתלבים היטב עם המיסוי הפרוגרסיבי אשר חל על נישומים בשר-</w:t>
      </w:r>
      <w:r>
        <w:rPr>
          <w:rFonts w:hint="cs"/>
          <w:rtl/>
        </w:rPr>
        <w:lastRenderedPageBreak/>
        <w:t xml:space="preserve">ודם ואינם משתלבים עם מס חברות. הנני סבור על כן, כי המחוקק יצר, שלא במתכוון, חוסר התאמה לשונית בין זכות הפריסה כמכניזם מיסויי שאמור לעבוד בדרך שהותוותה לו לבין סעיפי ההגדרות הכלליות אשר קובעים את משמעות הביטוי "המוכר" (כדבריה של הנשיאה </w:t>
      </w:r>
      <w:r>
        <w:rPr>
          <w:rFonts w:ascii="Century" w:hAnsi="Century" w:cs="Miriam" w:hint="cs"/>
          <w:b/>
          <w:spacing w:val="0"/>
          <w:sz w:val="22"/>
          <w:szCs w:val="24"/>
          <w:rtl/>
        </w:rPr>
        <w:t>מ' נאור</w:t>
      </w:r>
      <w:r>
        <w:rPr>
          <w:rFonts w:hint="cs"/>
          <w:rtl/>
        </w:rPr>
        <w:t xml:space="preserve"> בע"א 5206/15 </w:t>
      </w:r>
      <w:proofErr w:type="spellStart"/>
      <w:r>
        <w:rPr>
          <w:rFonts w:ascii="Century" w:hAnsi="Century" w:cs="Miriam" w:hint="cs"/>
          <w:b/>
          <w:spacing w:val="0"/>
          <w:sz w:val="22"/>
          <w:szCs w:val="24"/>
          <w:rtl/>
        </w:rPr>
        <w:t>אכתילאת</w:t>
      </w:r>
      <w:proofErr w:type="spellEnd"/>
      <w:r>
        <w:rPr>
          <w:rFonts w:ascii="Century" w:hAnsi="Century" w:cs="Miriam" w:hint="cs"/>
          <w:b/>
          <w:spacing w:val="0"/>
          <w:sz w:val="22"/>
          <w:szCs w:val="24"/>
          <w:rtl/>
        </w:rPr>
        <w:t xml:space="preserve"> נ' פקיד שומה נצרת</w:t>
      </w:r>
      <w:r>
        <w:rPr>
          <w:rFonts w:hint="cs"/>
          <w:rtl/>
        </w:rPr>
        <w:t>, פסקה 1 לפסק דינה (26.12.2016) (להלן:</w:t>
      </w:r>
      <w:r>
        <w:rPr>
          <w:rFonts w:ascii="Century" w:hAnsi="Century" w:hint="cs"/>
          <w:sz w:val="22"/>
          <w:rtl/>
        </w:rPr>
        <w:t xml:space="preserve"> עניין</w:t>
      </w:r>
      <w:r>
        <w:rPr>
          <w:rFonts w:ascii="Century" w:hAnsi="Century" w:cs="Miriam" w:hint="cs"/>
          <w:b/>
          <w:spacing w:val="0"/>
          <w:sz w:val="22"/>
          <w:szCs w:val="24"/>
          <w:rtl/>
        </w:rPr>
        <w:t xml:space="preserve"> </w:t>
      </w:r>
      <w:proofErr w:type="spellStart"/>
      <w:r>
        <w:rPr>
          <w:rFonts w:ascii="Century" w:hAnsi="Century" w:cs="Miriam" w:hint="cs"/>
          <w:b/>
          <w:spacing w:val="0"/>
          <w:sz w:val="22"/>
          <w:szCs w:val="24"/>
          <w:rtl/>
        </w:rPr>
        <w:t>אכתילאת</w:t>
      </w:r>
      <w:proofErr w:type="spellEnd"/>
      <w:r>
        <w:rPr>
          <w:rFonts w:hint="cs"/>
          <w:rtl/>
        </w:rPr>
        <w:t>): "</w:t>
      </w:r>
      <w:r>
        <w:rPr>
          <w:rFonts w:hint="cs"/>
          <w:sz w:val="28"/>
          <w:rtl/>
        </w:rPr>
        <w:t>נָסָח החקיקה הוא אנושי ואין לצפות בהכרח לדבר-חקיקה מושלם"</w:t>
      </w:r>
      <w:r>
        <w:rPr>
          <w:rFonts w:hint="cs"/>
          <w:rtl/>
        </w:rPr>
        <w:t xml:space="preserve">). במקרה דנן, נוכל לתקן טעות זו שכן הדבר מתאפשר לנוכח לשון החוק, שכאמור מייחדת את יכולת המימוש של הזכאות לפריסה לנישומים בשר-ודם (ראו </w:t>
      </w:r>
      <w:r>
        <w:rPr>
          <w:rFonts w:ascii="Century" w:hAnsi="Century" w:hint="cs"/>
          <w:sz w:val="22"/>
          <w:rtl/>
        </w:rPr>
        <w:t xml:space="preserve">אהרן ברק </w:t>
      </w:r>
      <w:r>
        <w:rPr>
          <w:rFonts w:ascii="Century" w:hAnsi="Century" w:cs="Miriam" w:hint="cs"/>
          <w:b/>
          <w:spacing w:val="0"/>
          <w:sz w:val="22"/>
          <w:szCs w:val="24"/>
          <w:rtl/>
        </w:rPr>
        <w:t>פרשנות במשפט</w:t>
      </w:r>
      <w:r>
        <w:rPr>
          <w:rFonts w:ascii="Century" w:hAnsi="Century" w:hint="cs"/>
          <w:sz w:val="22"/>
          <w:rtl/>
        </w:rPr>
        <w:t xml:space="preserve"> – </w:t>
      </w:r>
      <w:r>
        <w:rPr>
          <w:rFonts w:cs="Miriam" w:hint="cs"/>
          <w:szCs w:val="24"/>
          <w:rtl/>
        </w:rPr>
        <w:t>תורת הפרשנות הכללית</w:t>
      </w:r>
      <w:r>
        <w:rPr>
          <w:rFonts w:hint="cs"/>
          <w:sz w:val="28"/>
          <w:rtl/>
        </w:rPr>
        <w:t xml:space="preserve"> </w:t>
      </w:r>
      <w:r>
        <w:rPr>
          <w:rFonts w:ascii="Century" w:hAnsi="Century" w:hint="cs"/>
          <w:sz w:val="22"/>
          <w:rtl/>
        </w:rPr>
        <w:t>כרך ראשון</w:t>
      </w:r>
      <w:r>
        <w:rPr>
          <w:rFonts w:cs="Miriam" w:hint="cs"/>
          <w:szCs w:val="24"/>
          <w:rtl/>
        </w:rPr>
        <w:t xml:space="preserve"> </w:t>
      </w:r>
      <w:r>
        <w:rPr>
          <w:rFonts w:hint="cs"/>
          <w:sz w:val="28"/>
          <w:rtl/>
        </w:rPr>
        <w:t>596-594 (1992)</w:t>
      </w:r>
      <w:r>
        <w:rPr>
          <w:rFonts w:hint="cs"/>
          <w:rtl/>
        </w:rPr>
        <w:t xml:space="preserve">). מה יקרה במקרים דומים אחרים לא ניתן לקבוע מראש, מאחר שאלו אינם לפנינו (השוו </w:t>
      </w:r>
      <w:proofErr w:type="spellStart"/>
      <w:r>
        <w:rPr>
          <w:rFonts w:hint="cs"/>
          <w:rtl/>
        </w:rPr>
        <w:t>לבר"ם</w:t>
      </w:r>
      <w:proofErr w:type="spellEnd"/>
      <w:r>
        <w:rPr>
          <w:rFonts w:hint="cs"/>
          <w:rtl/>
        </w:rPr>
        <w:t xml:space="preserve"> 2283/18 </w:t>
      </w:r>
      <w:r>
        <w:rPr>
          <w:rFonts w:ascii="Century" w:hAnsi="Century" w:cs="Miriam" w:hint="cs"/>
          <w:b/>
          <w:spacing w:val="0"/>
          <w:sz w:val="22"/>
          <w:szCs w:val="24"/>
          <w:rtl/>
        </w:rPr>
        <w:t xml:space="preserve">הוועדה המקומית לתכנון ובניה תל אביב נ' נכסי יד חרוצים בע"מ </w:t>
      </w:r>
      <w:r>
        <w:rPr>
          <w:rFonts w:hint="cs"/>
          <w:rtl/>
        </w:rPr>
        <w:t xml:space="preserve">(1.1.2019) – פסק דין שבגדרו נעשה תיקון פרשני לחוסר התאמה בין הגדרתו של "שימוש חורג" בסעיף 1 לחוק התכנון והבניה, התשכ"ה-1965, כמתייחס לשימושים חורגים מתכנית ומהיתרי בניה כאחד, באופן שלצרכי חיוב בהיטל השבחה לפי סעיפים 1(א) ו-2(א) לתוספת השלישית לחוק הנ"ל, ההגדרה תוגבל לשימוש חורג מתכנית, בהתאמה לשאר המצבים של </w:t>
      </w:r>
      <w:r>
        <w:rPr>
          <w:rFonts w:ascii="Century" w:hAnsi="Century" w:cs="Miriam" w:hint="cs"/>
          <w:b/>
          <w:spacing w:val="0"/>
          <w:sz w:val="22"/>
          <w:szCs w:val="24"/>
          <w:rtl/>
        </w:rPr>
        <w:t>הוספת זכויות בניה</w:t>
      </w:r>
      <w:r>
        <w:rPr>
          <w:rFonts w:hint="cs"/>
          <w:rtl/>
        </w:rPr>
        <w:t xml:space="preserve"> אשר טעונות היטל השבחה). </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תמיכה לפרשנות שאותה אני מציע לאמץ מופיעה בהוראות בדבר פריסת רווח הון ריאלי, אשר נקבעו בפקודת מס הכנסה. סעיף 91(ה)(1) לפקודה קובע בעניין זה לאמור:</w:t>
      </w:r>
    </w:p>
    <w:p w:rsidR="00D54C92" w:rsidRDefault="00D54C92" w:rsidP="00D54C92">
      <w:pPr>
        <w:pStyle w:val="Ruller4"/>
        <w:numPr>
          <w:ilvl w:val="0"/>
          <w:numId w:val="0"/>
        </w:numPr>
      </w:pPr>
    </w:p>
    <w:p w:rsidR="00D54C92" w:rsidRDefault="00D54C92" w:rsidP="00D54C92">
      <w:pPr>
        <w:pStyle w:val="Ruller5"/>
        <w:spacing w:after="240"/>
        <w:rPr>
          <w:rFonts w:cs="Miriam"/>
          <w:b/>
          <w:spacing w:val="0"/>
          <w:szCs w:val="24"/>
          <w:rtl/>
        </w:rPr>
      </w:pPr>
      <w:r>
        <w:rPr>
          <w:rFonts w:hint="cs"/>
          <w:rtl/>
        </w:rPr>
        <w:t xml:space="preserve">"לפי בקשת הנישום יחושב המס על ריווח ההון הריאלי כאילו נבע הריווח בחלקים שנתיים שווים תוך תקופה שאינה עולה על ארבע שנות מס או על תקופת הבעלות בנכס, לפי הקצרה שבהן, והמסתיימת בשנת המס שבה נבע הריווח. [...] </w:t>
      </w:r>
      <w:r>
        <w:rPr>
          <w:rFonts w:cs="Miriam" w:hint="cs"/>
          <w:b/>
          <w:spacing w:val="0"/>
          <w:szCs w:val="24"/>
          <w:rtl/>
        </w:rPr>
        <w:t>חישוב המס ייעשה בהתחשב בשיעור המס הקבוע בסעיף קטן (ב)</w:t>
      </w:r>
      <w:r>
        <w:rPr>
          <w:rFonts w:hint="cs"/>
          <w:rtl/>
        </w:rPr>
        <w:t xml:space="preserve">, ולעניין מס שבח – </w:t>
      </w:r>
      <w:r>
        <w:rPr>
          <w:rFonts w:cs="Miriam" w:hint="cs"/>
          <w:b/>
          <w:spacing w:val="0"/>
          <w:szCs w:val="24"/>
          <w:rtl/>
        </w:rPr>
        <w:t>בהתחשב בשיעור המס הקבוע בסעיף 48א(ב) לחוק מיסוי מקרקעין, וכן בהתחשב בשיעורי המס החלים על כלל הכנסתו החייבת של הנישום וביתרת נקודות הזיכוי שזכאי להן הנישום</w:t>
      </w:r>
      <w:r>
        <w:rPr>
          <w:rFonts w:hint="cs"/>
          <w:rtl/>
        </w:rPr>
        <w:t xml:space="preserve"> בכל אחת משנות המס בתקופה האמורה"</w:t>
      </w:r>
      <w:r>
        <w:rPr>
          <w:rFonts w:cs="Miriam" w:hint="cs"/>
          <w:b/>
          <w:spacing w:val="0"/>
          <w:szCs w:val="24"/>
          <w:rtl/>
        </w:rPr>
        <w:t xml:space="preserve"> </w:t>
      </w:r>
      <w:r>
        <w:rPr>
          <w:rFonts w:hint="cs"/>
          <w:rtl/>
        </w:rPr>
        <w:t>(ההדגשות הוספו – א.ש.).</w:t>
      </w:r>
    </w:p>
    <w:p w:rsidR="00D54C92" w:rsidRDefault="00D54C92" w:rsidP="00D54C92">
      <w:pPr>
        <w:pStyle w:val="Ruller41"/>
        <w:rPr>
          <w:rtl/>
        </w:rPr>
      </w:pPr>
    </w:p>
    <w:p w:rsidR="00D54C92" w:rsidRDefault="00D54C92" w:rsidP="00D54C92">
      <w:pPr>
        <w:pStyle w:val="Ruller41"/>
        <w:rPr>
          <w:rtl/>
        </w:rPr>
      </w:pPr>
      <w:r>
        <w:rPr>
          <w:rFonts w:hint="cs"/>
          <w:rtl/>
        </w:rPr>
        <w:tab/>
        <w:t xml:space="preserve">ניכר הוא, כי בנסחו סעיף זה בחר המחוקק בטכניקת ניסוח הזהה לזו שבה ניסח את סעיף 48א(ה)(1) לחוק מס שבח, ואפרט. ראשית, סעיף 91(ה)(1) לפקודת מס הכנסה, אף הוא קובע תנאי מימוש בלעדיים, נטולי חלופות, לזכאות לפרוס את רווח ההון הריאלי. לפי האמור בסעיף זה, ישנה רק דרך אחת לחשב את החיוב במס בעקבות הפריסה: חישוב המס כאמור "ייעשה בהתחשב בשיעור המס הקבוע בסעיף קטן (ב)". </w:t>
      </w:r>
      <w:r>
        <w:rPr>
          <w:rFonts w:hint="cs"/>
          <w:rtl/>
        </w:rPr>
        <w:lastRenderedPageBreak/>
        <w:t xml:space="preserve">סעיף קטן (ב)(1) לפקודה, שלפיו יש לחשב את המס, קובע, בין היתר, כי "יחיד יהיה חייב במס על רווח הון ריאלי כאמור בסעיף 121, בשיעור שלא יעלה על 25%, ויראו את רווח ההון כשלב הגבוה ביותר בסולם הכנסתו החייבת". הווה אומר: גם כאן מדובר בנישום יחיד הנתון למשטר של מיסוי פרוגרסיבי, שכן, כפי שכבר ראינו, כך מורה סעיף 121 לפקודה, שאליו מפנה סעיף קטן (ב)(1) הנ"ל.   </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כך הוא גם לגבי ההפניה לאמור בסעיף 48א(ב) לחוק מס שבח אשר מופיעה בסעיף 91(ה)(1) לפקודת מס הכנסה. סעיף 48א(ב) הנ"ל, שכבר הזכרתיו, אף הוא מדבר על מס של יחיד, תוך שהוא מפנה למדרגות המס הפרוגרסיביות שנקבעו בסעיף 121 לפקודת מס הכנסה. ההפניה ל"שיעורי המס" בלשון רבים, שאף היא מופיעה בסעיף 91(ה)(1) הנ"ל, מתייחסת ליחיד ולא לחברה, שכן למס חברות יש רק שיעור אחד: 23%, נכון להיום, כאמור בסעיף 126(א) לפקודה. כמו-כן, לית מאן דפליג, שהביטוי "נקודות הזיכוי שזכאי להן הנישום" מתייחס אף הוא לנישום יחיד, ולא חברה, שכן דיני המס שלנו מעניקים נקודות זיכוי רק לנישומים בשר-ודם (למעט קבלת זיכוי בגין תרומה למוסד ציבורי לפי </w:t>
      </w:r>
      <w:r>
        <w:rPr>
          <w:rFonts w:ascii="Century" w:hAnsi="Century" w:hint="cs"/>
          <w:sz w:val="22"/>
          <w:rtl/>
        </w:rPr>
        <w:t xml:space="preserve">סעיף 46 לפקודת מס הכנסה) (ראו אהרן </w:t>
      </w:r>
      <w:proofErr w:type="spellStart"/>
      <w:r>
        <w:rPr>
          <w:rFonts w:ascii="Century" w:hAnsi="Century" w:hint="cs"/>
          <w:sz w:val="22"/>
          <w:rtl/>
        </w:rPr>
        <w:t>נמדר</w:t>
      </w:r>
      <w:proofErr w:type="spellEnd"/>
      <w:r>
        <w:rPr>
          <w:rFonts w:ascii="Century" w:hAnsi="Century" w:hint="cs"/>
          <w:sz w:val="22"/>
          <w:rtl/>
        </w:rPr>
        <w:t xml:space="preserve"> </w:t>
      </w:r>
      <w:r>
        <w:rPr>
          <w:rFonts w:ascii="Century" w:hAnsi="Century" w:cs="Miriam" w:hint="cs"/>
          <w:b/>
          <w:spacing w:val="0"/>
          <w:sz w:val="22"/>
          <w:szCs w:val="24"/>
          <w:rtl/>
        </w:rPr>
        <w:t>מס הכנסה [יסודות ועיקרים]</w:t>
      </w:r>
      <w:r>
        <w:rPr>
          <w:rFonts w:ascii="Century" w:hAnsi="Century" w:hint="cs"/>
          <w:sz w:val="22"/>
          <w:rtl/>
        </w:rPr>
        <w:t xml:space="preserve"> 485-484, 487 (מהדורה רביעית, 2013); אמנון רפאל ושלומי לזר </w:t>
      </w:r>
      <w:r>
        <w:rPr>
          <w:rFonts w:ascii="Century" w:hAnsi="Century" w:cs="Miriam" w:hint="cs"/>
          <w:b/>
          <w:spacing w:val="0"/>
          <w:sz w:val="22"/>
          <w:szCs w:val="24"/>
          <w:rtl/>
        </w:rPr>
        <w:t>מס הכנסה</w:t>
      </w:r>
      <w:r>
        <w:rPr>
          <w:rFonts w:ascii="Century" w:hAnsi="Century" w:hint="cs"/>
          <w:sz w:val="22"/>
          <w:rtl/>
        </w:rPr>
        <w:t xml:space="preserve"> כרך שני 198 (מהדורה שניה, 2014)</w:t>
      </w:r>
      <w:r>
        <w:rPr>
          <w:rFonts w:hint="cs"/>
          <w:rtl/>
        </w:rPr>
        <w:t xml:space="preserve">; וראו גם את דבריהם של אבי גורמן ושי אהרונוביץ' בספרם </w:t>
      </w:r>
      <w:r>
        <w:rPr>
          <w:rFonts w:ascii="Century" w:hAnsi="Century" w:cs="Miriam" w:hint="cs"/>
          <w:b/>
          <w:spacing w:val="0"/>
          <w:sz w:val="22"/>
          <w:szCs w:val="24"/>
          <w:rtl/>
        </w:rPr>
        <w:t xml:space="preserve">מיסוי מקרקעין </w:t>
      </w:r>
      <w:r>
        <w:rPr>
          <w:rFonts w:ascii="Century" w:hAnsi="Century" w:hint="cs"/>
          <w:sz w:val="22"/>
          <w:rtl/>
        </w:rPr>
        <w:t>כרך א</w:t>
      </w:r>
      <w:r>
        <w:rPr>
          <w:rFonts w:hint="cs"/>
          <w:rtl/>
        </w:rPr>
        <w:t xml:space="preserve"> 507 (2017), כי "על פי לשון הסעיף האפשרות לבצע פריסה תחול רק על יחיד ואינה חלה על תאגיד, זאת היות וסעיף 48א(ה)(1)(א) לחוק מפנה לשיעורי המס הקבועים בסעיף 48א(ב) לחוק אשר עוסקים בשיעורי המס על השבח הריאלי אצל יחיד, בעוד שיעור המס אשר חל על תאגיד קבוע בסעיף 48א(א) לחוק").</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 xml:space="preserve">הפועל היוצא של ניתוח הוראות החוק הנוגעות לענייננו הינו ברור: הזכאות לפריסת השבח הריאלי לפי סעיף 48א(ה)(1) לחוק מס שבח, היא זכות שנתונה לנישומים יחידים ואינה נתונה לחברות. </w:t>
      </w:r>
    </w:p>
    <w:p w:rsidR="00BB0A67" w:rsidRPr="00BB0A67" w:rsidRDefault="00BB0A67" w:rsidP="00BB0A67">
      <w:pPr>
        <w:pStyle w:val="Ruller41"/>
      </w:pPr>
    </w:p>
    <w:p w:rsidR="00160F17" w:rsidRDefault="00160F17">
      <w:pPr>
        <w:overflowPunct/>
        <w:autoSpaceDE/>
        <w:autoSpaceDN/>
        <w:bidi w:val="0"/>
        <w:adjustRightInd/>
        <w:textAlignment w:val="auto"/>
        <w:rPr>
          <w:rFonts w:ascii="Century" w:hAnsi="Century" w:cs="Miriam"/>
          <w:b/>
          <w:sz w:val="22"/>
          <w:rtl/>
        </w:rPr>
      </w:pPr>
    </w:p>
    <w:p w:rsidR="00D54C92" w:rsidRDefault="00D54C92" w:rsidP="00D54C92">
      <w:pPr>
        <w:pStyle w:val="Ruller41"/>
        <w:rPr>
          <w:rFonts w:ascii="Century" w:hAnsi="Century" w:cs="Miriam"/>
          <w:b/>
          <w:spacing w:val="0"/>
          <w:szCs w:val="24"/>
          <w:rtl/>
        </w:rPr>
      </w:pPr>
      <w:r>
        <w:rPr>
          <w:rFonts w:ascii="Century" w:hAnsi="Century" w:cs="Miriam" w:hint="cs"/>
          <w:b/>
          <w:spacing w:val="0"/>
          <w:szCs w:val="24"/>
          <w:rtl/>
        </w:rPr>
        <w:t>מהותו של מס חברות כ"מקדמת מס" שלא ניתן לשנותה על ידי פריסת רווח הון</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המסקנה שאליה הגעתי עד כה מקבלת תמיכה גם מהוראות מס כלליות שחלות על חברות. מתן הזכאות לפריסה לחברות אינו עולה בקנה אחד עם מהותו של מס חברות הקבוע בסעיף 126(א) לפקודת מס הכנסה. כפי שכבר ציינתי, מדובר במס בשיעור אחיד, נמוך יחסית, העומד כיום על 23% מהכנסתה החייבת של חברה. מס זה גם מהווה תשלום ראשון – מעין מקדמה, לפי מהותו הכלכלית – במודל מיסוי דו-שלבי של החברה ושל </w:t>
      </w:r>
      <w:r>
        <w:rPr>
          <w:rFonts w:hint="cs"/>
          <w:rtl/>
        </w:rPr>
        <w:lastRenderedPageBreak/>
        <w:t xml:space="preserve">היחיד. כחלק ממנגנון זה, אחרי התשלום הראשון מטעם החברה, בדמות מקדמה כאמור לעיל, עתידים אלו שמחזיקים במניות החברה לשלם מס הכנסה על דיבידנד וכן, במקרה של פירוק החברה או מכירת המניות, מס על רווחי הון. שיעור המס שישולם על ידי יחידים אלו ישקף הקלה אשר תינתן להם בשל העובדה שהחברה כבר שילמה את מס החברות שחל עליה (ראו </w:t>
      </w:r>
      <w:proofErr w:type="spellStart"/>
      <w:r>
        <w:rPr>
          <w:rFonts w:hint="cs"/>
          <w:rtl/>
        </w:rPr>
        <w:t>נמדר</w:t>
      </w:r>
      <w:proofErr w:type="spellEnd"/>
      <w:r>
        <w:rPr>
          <w:rFonts w:hint="cs"/>
          <w:rtl/>
        </w:rPr>
        <w:t xml:space="preserve">, עמ' 487-486; דוד </w:t>
      </w:r>
      <w:proofErr w:type="spellStart"/>
      <w:r>
        <w:rPr>
          <w:rFonts w:hint="cs"/>
          <w:rtl/>
        </w:rPr>
        <w:t>גליקסברג</w:t>
      </w:r>
      <w:proofErr w:type="spellEnd"/>
      <w:r>
        <w:rPr>
          <w:rFonts w:hint="cs"/>
          <w:rtl/>
        </w:rPr>
        <w:t xml:space="preserve"> "ה'מיני-רפורמה', מודל השילוב המלא ומיסוי התאגידים בישראל" </w:t>
      </w:r>
      <w:r>
        <w:rPr>
          <w:rFonts w:ascii="Century" w:hAnsi="Century" w:cs="Miriam" w:hint="cs"/>
          <w:b/>
          <w:spacing w:val="0"/>
          <w:sz w:val="22"/>
          <w:szCs w:val="24"/>
          <w:rtl/>
        </w:rPr>
        <w:t>משפטים</w:t>
      </w:r>
      <w:r>
        <w:rPr>
          <w:rFonts w:hint="cs"/>
          <w:rtl/>
        </w:rPr>
        <w:t xml:space="preserve"> כ 185, 197-196 (</w:t>
      </w:r>
      <w:proofErr w:type="spellStart"/>
      <w:r>
        <w:rPr>
          <w:rFonts w:hint="cs"/>
          <w:rtl/>
        </w:rPr>
        <w:t>התש"ן</w:t>
      </w:r>
      <w:proofErr w:type="spellEnd"/>
      <w:r>
        <w:rPr>
          <w:rFonts w:hint="cs"/>
          <w:rtl/>
        </w:rPr>
        <w:t>)).</w:t>
      </w:r>
    </w:p>
    <w:p w:rsidR="00D54C92" w:rsidRDefault="00D54C92" w:rsidP="00D54C92">
      <w:pPr>
        <w:pStyle w:val="Ruller41"/>
        <w:rPr>
          <w:rtl/>
        </w:rPr>
      </w:pPr>
    </w:p>
    <w:p w:rsidR="00BB0A67" w:rsidRDefault="00BB0A67" w:rsidP="00D54C92">
      <w:pPr>
        <w:pStyle w:val="Ruller41"/>
        <w:rPr>
          <w:rtl/>
        </w:rPr>
      </w:pPr>
    </w:p>
    <w:p w:rsidR="00D54C92" w:rsidRDefault="00D54C92" w:rsidP="00D54C92">
      <w:pPr>
        <w:pStyle w:val="Ruller4"/>
        <w:numPr>
          <w:ilvl w:val="0"/>
          <w:numId w:val="13"/>
        </w:numPr>
        <w:textAlignment w:val="auto"/>
      </w:pPr>
      <w:r>
        <w:rPr>
          <w:rFonts w:hint="cs"/>
          <w:rtl/>
        </w:rPr>
        <w:t xml:space="preserve">פרופ׳ דוד </w:t>
      </w:r>
      <w:proofErr w:type="spellStart"/>
      <w:r>
        <w:rPr>
          <w:rFonts w:hint="cs"/>
          <w:rtl/>
        </w:rPr>
        <w:t>אלקינס</w:t>
      </w:r>
      <w:proofErr w:type="spellEnd"/>
      <w:r>
        <w:rPr>
          <w:rFonts w:hint="cs"/>
          <w:rtl/>
        </w:rPr>
        <w:t xml:space="preserve"> היטיב לתאר מנגנון דו-שלבי זה בספרו, </w:t>
      </w:r>
      <w:r>
        <w:rPr>
          <w:rFonts w:ascii="Century" w:hAnsi="Century" w:cs="Miriam" w:hint="cs"/>
          <w:b/>
          <w:spacing w:val="0"/>
          <w:sz w:val="22"/>
          <w:szCs w:val="24"/>
          <w:rtl/>
        </w:rPr>
        <w:t xml:space="preserve">מיסוי חברות ובעלי מניותיהן </w:t>
      </w:r>
      <w:r>
        <w:rPr>
          <w:rFonts w:ascii="Century" w:hAnsi="Century" w:hint="cs"/>
          <w:sz w:val="22"/>
          <w:rtl/>
        </w:rPr>
        <w:t>כרך א 69 (2009)</w:t>
      </w:r>
      <w:r>
        <w:rPr>
          <w:rFonts w:hint="cs"/>
          <w:rtl/>
        </w:rPr>
        <w:t xml:space="preserve"> במילים אלה:</w:t>
      </w:r>
    </w:p>
    <w:p w:rsidR="00D54C92" w:rsidRDefault="00D54C92" w:rsidP="00D54C92">
      <w:pPr>
        <w:pStyle w:val="Ruller41"/>
        <w:rPr>
          <w:rtl/>
        </w:rPr>
      </w:pPr>
    </w:p>
    <w:p w:rsidR="00D54C92" w:rsidRDefault="00D54C92" w:rsidP="00D54C92">
      <w:pPr>
        <w:pStyle w:val="Ruller5"/>
        <w:rPr>
          <w:rtl/>
        </w:rPr>
      </w:pPr>
      <w:r>
        <w:rPr>
          <w:rFonts w:hint="cs"/>
          <w:rtl/>
        </w:rPr>
        <w:t xml:space="preserve">״המודל המקובל בישראל למיסוי חברות הוא המודל הדו-שלבי. מודל זה מושתת על מיסוי רווחי החברה בשני שלבים: בשלב הראשון מוטל מס חברות על ההכנסה החייבת של החברה. בשלב השני מוטל מס הכנסה על הדיבידנד בידיו של בעל המניות. </w:t>
      </w:r>
    </w:p>
    <w:p w:rsidR="00D54C92" w:rsidRDefault="00D54C92" w:rsidP="00D54C92">
      <w:pPr>
        <w:pStyle w:val="Ruller5"/>
        <w:rPr>
          <w:rtl/>
        </w:rPr>
      </w:pPr>
    </w:p>
    <w:p w:rsidR="00D54C92" w:rsidRDefault="00D54C92" w:rsidP="00D54C92">
      <w:pPr>
        <w:pStyle w:val="Ruller5"/>
        <w:rPr>
          <w:rtl/>
        </w:rPr>
      </w:pPr>
      <w:r>
        <w:rPr>
          <w:rFonts w:hint="cs"/>
          <w:rtl/>
        </w:rPr>
        <w:t xml:space="preserve">ההבדל בין המודל הדו-שלבי המתואר ובין מודל המיסוי הכפול טמון בשיעורי המס. במשטר של מיסוי כפול החברה ובעלי המניות משלמים כל אחד שיעור מס מלא, כך שנטל המס הכולל החל על רווחים המופקים באמצעות חברה גבוה בהרבה משיעורי המס הרגילים. לעומת זאת, במשטר הדו-שלבי שיעורי המס החלים על החברה ועל בעלי המניות נמוכים יותר משיעור המס הרגיל. במילים אחרות: מס חברות הוא השלב הראשון, ומס הכנסה על הדיבידנד הוא השלב השני במיסוי רווחיה של החברה. נטל המס </w:t>
      </w:r>
      <w:proofErr w:type="spellStart"/>
      <w:r>
        <w:rPr>
          <w:rFonts w:hint="cs"/>
          <w:rtl/>
        </w:rPr>
        <w:t>האמיתי</w:t>
      </w:r>
      <w:proofErr w:type="spellEnd"/>
      <w:r>
        <w:rPr>
          <w:rFonts w:hint="cs"/>
          <w:rtl/>
        </w:rPr>
        <w:t xml:space="preserve"> נגזר מהשילוב שבין מס חברות ובין מס ההכנסה המשולם בעקבות חלוקת דיבידנד״. </w:t>
      </w:r>
    </w:p>
    <w:p w:rsidR="00D54C92" w:rsidRDefault="00D54C92" w:rsidP="00D54C92">
      <w:pPr>
        <w:pStyle w:val="Ruller41"/>
        <w:rPr>
          <w:rtl/>
        </w:rPr>
      </w:pPr>
    </w:p>
    <w:p w:rsidR="00BB0A67" w:rsidRDefault="00BB0A67" w:rsidP="00D54C92">
      <w:pPr>
        <w:pStyle w:val="Ruller41"/>
        <w:rPr>
          <w:rtl/>
        </w:rPr>
      </w:pPr>
    </w:p>
    <w:p w:rsidR="00D54C92" w:rsidRDefault="00D54C92" w:rsidP="00D54C92">
      <w:pPr>
        <w:pStyle w:val="Ruller4"/>
        <w:numPr>
          <w:ilvl w:val="0"/>
          <w:numId w:val="13"/>
        </w:numPr>
        <w:textAlignment w:val="auto"/>
        <w:rPr>
          <w:rtl/>
        </w:rPr>
      </w:pPr>
      <w:r>
        <w:rPr>
          <w:rFonts w:hint="cs"/>
          <w:rtl/>
        </w:rPr>
        <w:t xml:space="preserve">פועלו של מס חברות כמקדמת מס מהבחינה הכלכלית שולל את מתן זכות הפריסה לחברות, וזאת משני טעמים: אדמיניסטרטיבי ופיסקלי. במישור האדמיניסטרטיבי, מס חברות משמש, כאמור, תשלום של מעין-מקדמה בשיעור קבוע שאחריו באים ההתחשבנות והתשלום הסופי. מקדמת מס, ככל מקדמה, היא תשלום של סכום כסף קצוב או סכום שניתן לחשבו בפשטות וללא מחלוקת (ראו הגדרת המונח "מקדמה" </w:t>
      </w:r>
      <w:r>
        <w:rPr>
          <w:rFonts w:ascii="Century" w:hAnsi="Century" w:hint="cs"/>
          <w:sz w:val="22"/>
          <w:rtl/>
        </w:rPr>
        <w:t>באברהם אבן שושן</w:t>
      </w:r>
      <w:r>
        <w:rPr>
          <w:rFonts w:ascii="Century" w:hAnsi="Century" w:cs="Miriam" w:hint="cs"/>
          <w:b/>
          <w:spacing w:val="0"/>
          <w:sz w:val="22"/>
          <w:szCs w:val="24"/>
          <w:rtl/>
        </w:rPr>
        <w:t xml:space="preserve"> מילון אבן-שושן </w:t>
      </w:r>
      <w:r>
        <w:rPr>
          <w:rFonts w:hint="cs"/>
          <w:rtl/>
        </w:rPr>
        <w:t>כרך שלישי (2003)). ברי הוא, אם כן, כי מתן זכאות לפריסה לחברות תסכל את רצון המחוקק לעצב את מס החברות כמקדמת מס שדרך חישובה היא פשוטה, אינה משתנה ממקרה למקרה ואינה מעוררת מחלוקות (אשר יכולות להתעורר בקשר לעניינים מורכבים יותר, כמו שבח ריאלי של מקרקעין ופריסתו).</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במישור הפיסקלי, מס חברות מעוצב כמס בשיעור נמוך יחסית, כדרכן של הרבה מקדמות (ראו </w:t>
      </w:r>
      <w:proofErr w:type="spellStart"/>
      <w:r>
        <w:rPr>
          <w:rFonts w:hint="cs"/>
          <w:rtl/>
        </w:rPr>
        <w:t>אלקינס</w:t>
      </w:r>
      <w:proofErr w:type="spellEnd"/>
      <w:r>
        <w:rPr>
          <w:rFonts w:hint="cs"/>
          <w:rtl/>
        </w:rPr>
        <w:t xml:space="preserve">, עמ' 70-69). אם חברות תהיינה זכאיות לפריסת רווח ההון והשבח הריאלי, מקדמה זו תוקטן – דבר שיניב להן רווחי ריבית, בנוסף לריבית הרעיונית ממנה הן נהנות ממילא מכוח דרישת המימוש (ראו </w:t>
      </w:r>
      <w:proofErr w:type="spellStart"/>
      <w:r>
        <w:rPr>
          <w:rFonts w:ascii="Century" w:hAnsi="Century" w:hint="cs"/>
          <w:sz w:val="22"/>
          <w:rtl/>
        </w:rPr>
        <w:t>גליקסברג</w:t>
      </w:r>
      <w:proofErr w:type="spellEnd"/>
      <w:r>
        <w:rPr>
          <w:rFonts w:ascii="Century" w:hAnsi="Century" w:hint="cs"/>
          <w:sz w:val="22"/>
          <w:rtl/>
        </w:rPr>
        <w:t xml:space="preserve"> "מיצוע שבח המקרקעין",</w:t>
      </w:r>
      <w:r>
        <w:rPr>
          <w:rFonts w:hint="cs"/>
          <w:rtl/>
        </w:rPr>
        <w:t xml:space="preserve"> עמ' 388-387). ריבית רעיונית זו – המכונה על ידי פרופ' </w:t>
      </w:r>
      <w:proofErr w:type="spellStart"/>
      <w:r>
        <w:rPr>
          <w:rFonts w:hint="cs"/>
          <w:rtl/>
        </w:rPr>
        <w:t>גליקסברג</w:t>
      </w:r>
      <w:proofErr w:type="spellEnd"/>
      <w:r>
        <w:rPr>
          <w:rFonts w:hint="cs"/>
          <w:rtl/>
        </w:rPr>
        <w:t xml:space="preserve"> "אפקט הדחייה" – היא הטבה שנושאת אופי רגרסיבי המיטיבה עם גופים עתירי נכסים (ראו שם, עמ' 388). במקרה של נישום יחיד, להטבה זו יש אולי הצדקה חברתית חלקית בדמותו של עידוד חיסכון (ראו </w:t>
      </w:r>
      <w:proofErr w:type="spellStart"/>
      <w:r>
        <w:rPr>
          <w:rFonts w:hint="cs"/>
          <w:rtl/>
        </w:rPr>
        <w:t>שיזר</w:t>
      </w:r>
      <w:proofErr w:type="spellEnd"/>
      <w:r>
        <w:rPr>
          <w:rFonts w:hint="cs"/>
          <w:rtl/>
        </w:rPr>
        <w:t xml:space="preserve">, עמ' 1569-1565). במקרה של חברות, להצדקה זו אין משקל דומה. לזאת אוסיף, כי בעלי מניות בחברה מורשים לפרוס את רווחיהם ממימוש המניות על פני תקופה בת ארבע שנים, כאמור בסעיף 91(ה)(1) לפקודת מס הכנסה. קיומה של זכאות כאמור אצל בעלי מניות מציב סימני שאלה עצמאיים ביחס למתן הטבה דומה גם לחברה.  </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לנוכח מהותו הכלכלית של המס אשר מוטל על חברה, לא יהא זה סביר וראוי בעיניי לייחס למחוקק כוונה להקנות את הזכאות לפריסה לחברות, להבדיל מנישומים יחידים.</w:t>
      </w:r>
    </w:p>
    <w:p w:rsidR="00D54C92" w:rsidRDefault="00D54C92" w:rsidP="00D54C92">
      <w:pPr>
        <w:pStyle w:val="Ruller41"/>
        <w:rPr>
          <w:rtl/>
        </w:rPr>
      </w:pPr>
    </w:p>
    <w:p w:rsidR="00D54C92" w:rsidRDefault="00D54C92" w:rsidP="00D54C92">
      <w:pPr>
        <w:pStyle w:val="Ruller41"/>
        <w:rPr>
          <w:rFonts w:ascii="Century" w:hAnsi="Century" w:cs="Miriam"/>
          <w:b/>
          <w:spacing w:val="0"/>
          <w:szCs w:val="24"/>
          <w:rtl/>
        </w:rPr>
      </w:pPr>
      <w:r>
        <w:rPr>
          <w:rFonts w:ascii="Century" w:hAnsi="Century" w:cs="Miriam" w:hint="cs"/>
          <w:b/>
          <w:spacing w:val="0"/>
          <w:szCs w:val="24"/>
          <w:rtl/>
        </w:rPr>
        <w:t>פרשנות חוקי המס – הכיצד?</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החברות טוענות כי נתונה להן הזכות לאחוז במילותיו של סעיף 48א(ה)(1) לחוק מס שבח, שכאמור מקנות את הזכאות לפריסה לכל "מוכר", לרבות מוכר שהוא תאגיד. זכאות זו, לטענת החברות, נגזרת מהכלל הפרשני אשר מחייב לפרש הוראות מס בלתי ברורות לטובת הנישום. טענה זו אינה נקיה מכשלים לוגיים, שכן מי שבוחר ללכת בדרכה של פרשנות דווקנית צריך לצעוד את כל המסלול ואינו יכול לעצור באמצע הדרך ולהגיד "עד כאן". אם החברות אכן דורשות לעצמן את המעמד של "מוכר" מטעמים מילוליים, שומה עליהן לכבול את עצמן גם למימוש הזכאות לפריסה בדרך שנקבעה על ידי המילה "כדלקמן" ומה שבא אחריה בסעיף 48א(ה)(1) לחוק. נטל זה, מבחינת החברות, הוא כבד מנשוא, שכן מה שבא אחרי המילה "כדלקמן" מתייחס לנישום יחיד, ולא לחברה. הדבר מחייב את החברות, ככל שהן חפצות בזכאות, לזנוח את המסלול המילולי ולעבור אל הטענות שבמהות, אך טענות אלו, כפי שכבר הסברתי, אינן משכנעות. </w:t>
      </w:r>
    </w:p>
    <w:p w:rsidR="00D54C92" w:rsidRDefault="00D54C92" w:rsidP="00D54C92">
      <w:pPr>
        <w:pStyle w:val="Ruller4"/>
        <w:numPr>
          <w:ilvl w:val="0"/>
          <w:numId w:val="0"/>
        </w:numPr>
      </w:pPr>
      <w:r>
        <w:rPr>
          <w:rFonts w:hint="cs"/>
          <w:rtl/>
        </w:rPr>
        <w:t xml:space="preserve">  </w:t>
      </w:r>
    </w:p>
    <w:p w:rsidR="00D54C92" w:rsidRDefault="00D54C92" w:rsidP="00D54C92">
      <w:pPr>
        <w:pStyle w:val="Ruller4"/>
        <w:numPr>
          <w:ilvl w:val="0"/>
          <w:numId w:val="13"/>
        </w:numPr>
        <w:textAlignment w:val="auto"/>
        <w:rPr>
          <w:rtl/>
        </w:rPr>
      </w:pPr>
      <w:r>
        <w:rPr>
          <w:rFonts w:hint="cs"/>
          <w:rtl/>
        </w:rPr>
        <w:t xml:space="preserve">הנני סבור כי מן הדין לדחות את טענתן הפרשנית של החברות גם במישור העקרוני. פרשנות דווקנית לטובת הנישום איננה חלק מדיני המס שלנו, וזאת יש לומר בפה מלא ובאופן פסקני. הדין הישראלי אימץ לעצמו, כבר בראשית דרכו, כלל פרשנות </w:t>
      </w:r>
      <w:r>
        <w:rPr>
          <w:rFonts w:hint="cs"/>
          <w:rtl/>
        </w:rPr>
        <w:lastRenderedPageBreak/>
        <w:t xml:space="preserve">אחר ביחס לחוקי המס. השופט </w:t>
      </w:r>
      <w:r>
        <w:rPr>
          <w:rFonts w:ascii="Century" w:hAnsi="Century" w:cs="Miriam" w:hint="cs"/>
          <w:b/>
          <w:spacing w:val="0"/>
          <w:sz w:val="22"/>
          <w:szCs w:val="24"/>
          <w:rtl/>
        </w:rPr>
        <w:t>ש' אגרנט</w:t>
      </w:r>
      <w:r>
        <w:rPr>
          <w:rFonts w:hint="cs"/>
          <w:rtl/>
        </w:rPr>
        <w:t xml:space="preserve"> (כתוארו אז) לימדנו כי </w:t>
      </w:r>
      <w:r>
        <w:rPr>
          <w:rFonts w:ascii="Century" w:hAnsi="Century" w:hint="cs"/>
          <w:rtl/>
        </w:rPr>
        <w:t xml:space="preserve">"חוקים שיש בהם משום הטלת חיוב כספי על האזרח [...] אינם מחייבים </w:t>
      </w:r>
      <w:proofErr w:type="spellStart"/>
      <w:r>
        <w:rPr>
          <w:rFonts w:ascii="Century" w:hAnsi="Century" w:hint="cs"/>
          <w:rtl/>
        </w:rPr>
        <w:t>דוקא</w:t>
      </w:r>
      <w:proofErr w:type="spellEnd"/>
      <w:r>
        <w:rPr>
          <w:rFonts w:ascii="Century" w:hAnsi="Century" w:hint="cs"/>
          <w:rtl/>
        </w:rPr>
        <w:t xml:space="preserve"> פירוש מצמצם ושיש בו כדי לפעול לטובתו של זה"</w:t>
      </w:r>
      <w:r>
        <w:rPr>
          <w:rFonts w:hint="cs"/>
          <w:rtl/>
        </w:rPr>
        <w:t xml:space="preserve"> וכי הנטייה המודרנית </w:t>
      </w:r>
      <w:r>
        <w:rPr>
          <w:rFonts w:ascii="Century" w:hAnsi="Century" w:hint="cs"/>
          <w:rtl/>
        </w:rPr>
        <w:t>"</w:t>
      </w:r>
      <w:r>
        <w:rPr>
          <w:rFonts w:ascii="Century" w:hAnsi="Century" w:cs="Miriam" w:hint="cs"/>
          <w:b/>
          <w:spacing w:val="0"/>
          <w:sz w:val="22"/>
          <w:szCs w:val="24"/>
          <w:rtl/>
        </w:rPr>
        <w:t xml:space="preserve">מעדיפה לקיים את מגמת המחוקק, אף אם נקט לשון שאינה </w:t>
      </w:r>
      <w:proofErr w:type="spellStart"/>
      <w:r>
        <w:rPr>
          <w:rFonts w:ascii="Century" w:hAnsi="Century" w:cs="Miriam" w:hint="cs"/>
          <w:b/>
          <w:spacing w:val="0"/>
          <w:sz w:val="22"/>
          <w:szCs w:val="24"/>
          <w:rtl/>
        </w:rPr>
        <w:t>מדוייקת</w:t>
      </w:r>
      <w:proofErr w:type="spellEnd"/>
      <w:r>
        <w:rPr>
          <w:rFonts w:ascii="Century" w:hAnsi="Century" w:cs="Miriam" w:hint="cs"/>
          <w:b/>
          <w:spacing w:val="0"/>
          <w:sz w:val="22"/>
          <w:szCs w:val="24"/>
          <w:rtl/>
        </w:rPr>
        <w:t xml:space="preserve"> מבחינה משפטית-טכנית</w:t>
      </w:r>
      <w:r>
        <w:rPr>
          <w:rFonts w:ascii="Century" w:hAnsi="Century" w:hint="cs"/>
          <w:rtl/>
        </w:rPr>
        <w:t xml:space="preserve">" (ראו בג"ץ 69/49 </w:t>
      </w:r>
      <w:r>
        <w:rPr>
          <w:rFonts w:ascii="Century" w:hAnsi="Century" w:cs="Miriam" w:hint="cs"/>
          <w:b/>
          <w:spacing w:val="0"/>
          <w:szCs w:val="24"/>
          <w:rtl/>
        </w:rPr>
        <w:t>רוזן נ' רשם בית המשפט המחוזי, תל אביב</w:t>
      </w:r>
      <w:r>
        <w:rPr>
          <w:rFonts w:ascii="Century" w:hAnsi="Century" w:hint="cs"/>
          <w:rtl/>
        </w:rPr>
        <w:t xml:space="preserve">, פ"ד ד 623, 630 (1950) (ההדגשה הוספה – א.ש.)). בכמה מקרים בודדים (ראו, למשל, </w:t>
      </w:r>
      <w:r>
        <w:rPr>
          <w:rFonts w:hint="cs"/>
          <w:rtl/>
        </w:rPr>
        <w:t xml:space="preserve">בג"ץ 107/58 </w:t>
      </w:r>
      <w:r>
        <w:rPr>
          <w:rFonts w:ascii="Century" w:hAnsi="Century" w:cs="Miriam" w:hint="cs"/>
          <w:b/>
          <w:spacing w:val="0"/>
          <w:sz w:val="22"/>
          <w:szCs w:val="24"/>
          <w:rtl/>
        </w:rPr>
        <w:t>"אבני לשם" חברי בנין בע"מ נ' גובה המכס</w:t>
      </w:r>
      <w:r>
        <w:rPr>
          <w:rFonts w:hint="cs"/>
          <w:rtl/>
        </w:rPr>
        <w:t xml:space="preserve">, </w:t>
      </w:r>
      <w:r>
        <w:rPr>
          <w:rFonts w:ascii="Century" w:hAnsi="Century" w:cs="Miriam" w:hint="cs"/>
          <w:b/>
          <w:spacing w:val="0"/>
          <w:sz w:val="22"/>
          <w:szCs w:val="24"/>
          <w:rtl/>
        </w:rPr>
        <w:t>תל-אביב-יפו</w:t>
      </w:r>
      <w:r>
        <w:rPr>
          <w:rFonts w:ascii="Century" w:hAnsi="Century" w:hint="cs"/>
          <w:sz w:val="22"/>
          <w:rtl/>
        </w:rPr>
        <w:t>,</w:t>
      </w:r>
      <w:r>
        <w:rPr>
          <w:rFonts w:hint="cs"/>
          <w:rtl/>
        </w:rPr>
        <w:t xml:space="preserve"> פ"ד </w:t>
      </w:r>
      <w:proofErr w:type="spellStart"/>
      <w:r>
        <w:rPr>
          <w:rFonts w:hint="cs"/>
          <w:rtl/>
        </w:rPr>
        <w:t>יג</w:t>
      </w:r>
      <w:proofErr w:type="spellEnd"/>
      <w:r>
        <w:rPr>
          <w:rFonts w:hint="cs"/>
          <w:rtl/>
        </w:rPr>
        <w:t xml:space="preserve"> 353, 357 (1959);</w:t>
      </w:r>
      <w:r>
        <w:rPr>
          <w:rFonts w:ascii="Century" w:hAnsi="Century" w:hint="cs"/>
          <w:rtl/>
        </w:rPr>
        <w:t xml:space="preserve"> ע"א 898/79 </w:t>
      </w:r>
      <w:r>
        <w:rPr>
          <w:rFonts w:ascii="Century" w:hAnsi="Century" w:cs="Miriam" w:hint="cs"/>
          <w:b/>
          <w:spacing w:val="0"/>
          <w:sz w:val="22"/>
          <w:szCs w:val="24"/>
          <w:rtl/>
        </w:rPr>
        <w:t>כהן נ' מנהל מס שבח מקרקעין – המרכז</w:t>
      </w:r>
      <w:r>
        <w:rPr>
          <w:rFonts w:ascii="Century" w:hAnsi="Century" w:hint="cs"/>
          <w:sz w:val="22"/>
          <w:rtl/>
        </w:rPr>
        <w:t>,</w:t>
      </w:r>
      <w:r>
        <w:rPr>
          <w:rFonts w:ascii="Century" w:hAnsi="Century" w:cs="Miriam" w:hint="cs"/>
          <w:b/>
          <w:spacing w:val="0"/>
          <w:sz w:val="22"/>
          <w:szCs w:val="24"/>
          <w:rtl/>
        </w:rPr>
        <w:t xml:space="preserve"> </w:t>
      </w:r>
      <w:r>
        <w:rPr>
          <w:rFonts w:ascii="Century" w:hAnsi="Century" w:hint="cs"/>
          <w:rtl/>
        </w:rPr>
        <w:t xml:space="preserve">פ"ד לה(4) 815, 822 (1981); וע"א 364/80 </w:t>
      </w:r>
      <w:r>
        <w:rPr>
          <w:rFonts w:ascii="Century" w:hAnsi="Century" w:cs="Miriam" w:hint="cs"/>
          <w:b/>
          <w:spacing w:val="0"/>
          <w:szCs w:val="24"/>
          <w:rtl/>
        </w:rPr>
        <w:t xml:space="preserve">מנהל מס רכוש וקרן פיצויים, חיפה נ' </w:t>
      </w:r>
      <w:proofErr w:type="spellStart"/>
      <w:r>
        <w:rPr>
          <w:rFonts w:ascii="Century" w:hAnsi="Century" w:cs="Miriam" w:hint="cs"/>
          <w:b/>
          <w:spacing w:val="0"/>
          <w:szCs w:val="24"/>
          <w:rtl/>
        </w:rPr>
        <w:t>פרוסקאואר</w:t>
      </w:r>
      <w:proofErr w:type="spellEnd"/>
      <w:r>
        <w:rPr>
          <w:rFonts w:ascii="Century" w:hAnsi="Century" w:hint="cs"/>
          <w:rtl/>
        </w:rPr>
        <w:t xml:space="preserve">, פ"ד לד(3) 579, 581 (1980)), עדים היינו לאמירות שהעדיפו </w:t>
      </w:r>
      <w:r>
        <w:rPr>
          <w:rFonts w:hint="cs"/>
          <w:rtl/>
        </w:rPr>
        <w:t xml:space="preserve">לאמץ פרשנות דווקנית לטובת הנישום, </w:t>
      </w:r>
      <w:r>
        <w:rPr>
          <w:rFonts w:ascii="Century" w:hAnsi="Century" w:hint="cs"/>
          <w:rtl/>
        </w:rPr>
        <w:t xml:space="preserve">אשר סטתה מן הכלל המקובל – שכאמור נותן מעמד בכורה לכוונת המחוקק גם כשניסוחיו לא במיטבם – אולם אמירות אלו היו בגדר חריג שאינו מעיד על הכלל (ראו אהרן ברק "פרשנות דיני המסים" </w:t>
      </w:r>
      <w:r>
        <w:rPr>
          <w:rFonts w:ascii="Century" w:hAnsi="Century" w:cs="Miriam" w:hint="cs"/>
          <w:b/>
          <w:spacing w:val="0"/>
          <w:szCs w:val="24"/>
          <w:rtl/>
        </w:rPr>
        <w:t>משפטים</w:t>
      </w:r>
      <w:r>
        <w:rPr>
          <w:rFonts w:ascii="Century" w:hAnsi="Century" w:hint="cs"/>
          <w:rtl/>
        </w:rPr>
        <w:t xml:space="preserve"> </w:t>
      </w:r>
      <w:proofErr w:type="spellStart"/>
      <w:r>
        <w:rPr>
          <w:rFonts w:ascii="Century" w:hAnsi="Century" w:hint="cs"/>
          <w:rtl/>
        </w:rPr>
        <w:t>כח</w:t>
      </w:r>
      <w:proofErr w:type="spellEnd"/>
      <w:r>
        <w:rPr>
          <w:rFonts w:ascii="Century" w:hAnsi="Century" w:hint="cs"/>
          <w:rtl/>
        </w:rPr>
        <w:t xml:space="preserve"> 425, 431-427 (</w:t>
      </w:r>
      <w:proofErr w:type="spellStart"/>
      <w:r>
        <w:rPr>
          <w:rFonts w:ascii="Century" w:hAnsi="Century" w:hint="cs"/>
          <w:rtl/>
        </w:rPr>
        <w:t>התשנ"ז</w:t>
      </w:r>
      <w:proofErr w:type="spellEnd"/>
      <w:r>
        <w:rPr>
          <w:rFonts w:ascii="Century" w:hAnsi="Century" w:hint="cs"/>
          <w:rtl/>
        </w:rPr>
        <w:t xml:space="preserve">) (להלן: </w:t>
      </w:r>
      <w:r>
        <w:rPr>
          <w:rFonts w:ascii="Century" w:hAnsi="Century" w:cs="Miriam" w:hint="cs"/>
          <w:b/>
          <w:spacing w:val="0"/>
          <w:sz w:val="22"/>
          <w:szCs w:val="24"/>
          <w:rtl/>
        </w:rPr>
        <w:t>ברק "פרשנות דיני המסים</w:t>
      </w:r>
      <w:r>
        <w:rPr>
          <w:rFonts w:ascii="Century" w:hAnsi="Century" w:hint="cs"/>
          <w:rtl/>
        </w:rPr>
        <w:t>")).</w:t>
      </w:r>
    </w:p>
    <w:p w:rsidR="00D54C92" w:rsidRDefault="00D54C92" w:rsidP="00D54C92">
      <w:pPr>
        <w:pStyle w:val="Ruller41"/>
        <w:rPr>
          <w:rtl/>
        </w:rPr>
      </w:pPr>
    </w:p>
    <w:p w:rsidR="00D54C92" w:rsidRDefault="00D54C92" w:rsidP="00D54C92">
      <w:pPr>
        <w:pStyle w:val="Ruller4"/>
        <w:numPr>
          <w:ilvl w:val="0"/>
          <w:numId w:val="13"/>
        </w:numPr>
        <w:textAlignment w:val="auto"/>
        <w:rPr>
          <w:rFonts w:ascii="Century" w:hAnsi="Century"/>
          <w:sz w:val="22"/>
        </w:rPr>
      </w:pPr>
      <w:r>
        <w:rPr>
          <w:rFonts w:hint="cs"/>
          <w:rtl/>
        </w:rPr>
        <w:t>פסקי דין אשר מתפרסים על פני תקופה העולה על חצי יובל חזרו על כלל זה, שיננוהו ויישמוהו (ראו, למשל, ע"א 421/78 </w:t>
      </w:r>
      <w:r>
        <w:rPr>
          <w:rFonts w:cs="Miriam" w:hint="cs"/>
          <w:b/>
          <w:spacing w:val="0"/>
          <w:szCs w:val="24"/>
          <w:rtl/>
        </w:rPr>
        <w:t xml:space="preserve">פקיד השמה תל- אביב 1 נ' חברת מ' </w:t>
      </w:r>
      <w:proofErr w:type="spellStart"/>
      <w:r>
        <w:rPr>
          <w:rFonts w:cs="Miriam" w:hint="cs"/>
          <w:b/>
          <w:spacing w:val="0"/>
          <w:szCs w:val="24"/>
          <w:rtl/>
        </w:rPr>
        <w:t>מורצקי</w:t>
      </w:r>
      <w:proofErr w:type="spellEnd"/>
      <w:r>
        <w:rPr>
          <w:rFonts w:cs="Miriam" w:hint="cs"/>
          <w:b/>
          <w:spacing w:val="0"/>
          <w:szCs w:val="24"/>
          <w:rtl/>
        </w:rPr>
        <w:t>- רוזן מהנדסים יועצים בע"מ</w:t>
      </w:r>
      <w:r>
        <w:rPr>
          <w:rFonts w:hint="cs"/>
          <w:rtl/>
        </w:rPr>
        <w:t xml:space="preserve">, </w:t>
      </w:r>
      <w:proofErr w:type="spellStart"/>
      <w:r>
        <w:rPr>
          <w:rFonts w:hint="cs"/>
          <w:rtl/>
        </w:rPr>
        <w:t>פ''ד</w:t>
      </w:r>
      <w:proofErr w:type="spellEnd"/>
      <w:r>
        <w:rPr>
          <w:rFonts w:hint="cs"/>
          <w:rtl/>
        </w:rPr>
        <w:t xml:space="preserve"> לג(2) 454, 456 (1979) ("למעשה אין כללים מיוחדים החלים על פירוש חוקים המטילים מיסים [...] יש לפרש כל חוק באופן סביר והוגן על מנת לבצע את כוונת המחוקק כפי שהיא קיבלה ביטוי בדברי חקיקתו, ובית המשפט לא </w:t>
      </w:r>
      <w:proofErr w:type="spellStart"/>
      <w:r>
        <w:rPr>
          <w:rFonts w:hint="cs"/>
          <w:rtl/>
        </w:rPr>
        <w:t>יתן</w:t>
      </w:r>
      <w:proofErr w:type="spellEnd"/>
      <w:r>
        <w:rPr>
          <w:rFonts w:hint="cs"/>
          <w:rtl/>
        </w:rPr>
        <w:t xml:space="preserve"> לחוק פירוש שאינו משתמע – במפורש או מכללא – מדברי החיקוק עצמו"); </w:t>
      </w:r>
      <w:hyperlink w:history="1">
        <w:r>
          <w:rPr>
            <w:rFonts w:hint="cs"/>
            <w:sz w:val="22"/>
            <w:rtl/>
          </w:rPr>
          <w:t>ע"א 534/79</w:t>
        </w:r>
      </w:hyperlink>
      <w:r>
        <w:rPr>
          <w:rFonts w:hint="cs"/>
          <w:sz w:val="22"/>
          <w:rtl/>
        </w:rPr>
        <w:t xml:space="preserve"> </w:t>
      </w:r>
      <w:r>
        <w:rPr>
          <w:rFonts w:cs="Miriam" w:hint="cs"/>
          <w:b/>
          <w:spacing w:val="0"/>
          <w:sz w:val="22"/>
          <w:szCs w:val="24"/>
          <w:rtl/>
        </w:rPr>
        <w:t>אפרת נ' מדינת ישראל – אגף המכס והבלו</w:t>
      </w:r>
      <w:r>
        <w:rPr>
          <w:rFonts w:hint="cs"/>
          <w:sz w:val="22"/>
          <w:rtl/>
        </w:rPr>
        <w:t>, פ"ד לה(4) 729, 735</w:t>
      </w:r>
      <w:r>
        <w:rPr>
          <w:rStyle w:val="default"/>
          <w:rFonts w:hint="cs"/>
          <w:rtl/>
        </w:rPr>
        <w:t xml:space="preserve"> (1981) ("</w:t>
      </w:r>
      <w:r>
        <w:rPr>
          <w:rFonts w:hint="cs"/>
          <w:sz w:val="22"/>
          <w:rtl/>
        </w:rPr>
        <w:t xml:space="preserve">גישה זו לפיה קיים כלל פרשני מיוחד לפרשנות חוקי מסים בהבדל מפרשנותם של חוקים אחרים, שוב אינה מקובלת בפסיקתו של בית-משפט זה – לא כאשר מדובר בהוראה המחייבת במס, ומכל שכן שלא בהוראה הבאה לפטור מחיוב במס [...] אף כאשר משמעות ההוראה או המונח, העומדים לדיון, אינה ברורה כל צורכה [...]"); </w:t>
      </w:r>
      <w:r>
        <w:rPr>
          <w:rStyle w:val="default"/>
          <w:rFonts w:hint="cs"/>
          <w:sz w:val="28"/>
          <w:rtl/>
        </w:rPr>
        <w:t>עניין</w:t>
      </w:r>
      <w:r>
        <w:rPr>
          <w:rStyle w:val="default"/>
          <w:rFonts w:ascii="Century" w:hAnsi="Century" w:cs="Miriam" w:hint="cs"/>
          <w:b/>
          <w:spacing w:val="0"/>
          <w:szCs w:val="24"/>
          <w:rtl/>
        </w:rPr>
        <w:t xml:space="preserve"> שבטון</w:t>
      </w:r>
      <w:r>
        <w:rPr>
          <w:rStyle w:val="default"/>
          <w:rFonts w:hint="cs"/>
          <w:sz w:val="28"/>
          <w:rtl/>
        </w:rPr>
        <w:t xml:space="preserve">, פסקה 20 לפסק דינו של השופט </w:t>
      </w:r>
      <w:r>
        <w:rPr>
          <w:rStyle w:val="default"/>
          <w:rFonts w:ascii="Century" w:hAnsi="Century" w:cs="Miriam" w:hint="cs"/>
          <w:b/>
          <w:spacing w:val="0"/>
          <w:sz w:val="22"/>
          <w:szCs w:val="24"/>
          <w:rtl/>
        </w:rPr>
        <w:t>מלצר</w:t>
      </w:r>
      <w:r>
        <w:rPr>
          <w:rStyle w:val="default"/>
          <w:rFonts w:hint="cs"/>
          <w:sz w:val="28"/>
          <w:rtl/>
        </w:rPr>
        <w:t xml:space="preserve"> (כתוארו אז) ("בעבר נהג הכלל כי יש לפרש את דיני המס בצורה דווקנית וכי אין לחייב את הנישום </w:t>
      </w:r>
      <w:proofErr w:type="spellStart"/>
      <w:r>
        <w:rPr>
          <w:rStyle w:val="default"/>
          <w:rFonts w:hint="cs"/>
          <w:sz w:val="28"/>
          <w:rtl/>
        </w:rPr>
        <w:t>מכח</w:t>
      </w:r>
      <w:proofErr w:type="spellEnd"/>
      <w:r>
        <w:rPr>
          <w:rStyle w:val="default"/>
          <w:rFonts w:hint="cs"/>
          <w:sz w:val="28"/>
          <w:rtl/>
        </w:rPr>
        <w:t xml:space="preserve"> גזירה שווה, או היקש [...]. עמדה זו נקשרה עם עקרון פרשני נוסף והוא הכלל שבמקרה של ספק – על ההוראה הפיסקלית להתפרש לטובת הנישום</w:t>
      </w:r>
      <w:r>
        <w:rPr>
          <w:rStyle w:val="default"/>
          <w:rFonts w:hint="cs"/>
          <w:rtl/>
        </w:rPr>
        <w:t xml:space="preserve"> [אולם] תפיסה זו שונתה [...] ומאז מקובלת גם בתחום דיני המיסים </w:t>
      </w:r>
      <w:r>
        <w:rPr>
          <w:rStyle w:val="default"/>
          <w:rFonts w:ascii="Century" w:hAnsi="Century" w:cs="Miriam" w:hint="cs"/>
          <w:b/>
          <w:spacing w:val="0"/>
          <w:sz w:val="22"/>
          <w:szCs w:val="24"/>
          <w:rtl/>
        </w:rPr>
        <w:t>גישת הפרשנות התכליתית</w:t>
      </w:r>
      <w:r>
        <w:rPr>
          <w:rStyle w:val="default"/>
          <w:rFonts w:hint="cs"/>
          <w:rtl/>
        </w:rPr>
        <w:t xml:space="preserve">" (ההדגשה במקור – א.ש.)); </w:t>
      </w:r>
      <w:r>
        <w:rPr>
          <w:rStyle w:val="default"/>
          <w:rFonts w:ascii="Century" w:hAnsi="Century" w:hint="cs"/>
          <w:rtl/>
        </w:rPr>
        <w:t xml:space="preserve">ע"א 165/82 </w:t>
      </w:r>
      <w:r>
        <w:rPr>
          <w:rStyle w:val="default"/>
          <w:rFonts w:ascii="Century" w:hAnsi="Century" w:cs="Miriam" w:hint="cs"/>
          <w:b/>
          <w:spacing w:val="0"/>
          <w:szCs w:val="24"/>
          <w:rtl/>
        </w:rPr>
        <w:t>קיבוץ חצור נ' פקיד שומה רחובות</w:t>
      </w:r>
      <w:r>
        <w:rPr>
          <w:rStyle w:val="default"/>
          <w:rFonts w:ascii="Century" w:hAnsi="Century" w:hint="cs"/>
          <w:rtl/>
        </w:rPr>
        <w:t>, פ"ד לט(</w:t>
      </w:r>
      <w:r>
        <w:rPr>
          <w:rStyle w:val="default"/>
          <w:rFonts w:hint="cs"/>
          <w:sz w:val="28"/>
          <w:rtl/>
        </w:rPr>
        <w:t>2) 70, 75 (1985)</w:t>
      </w:r>
      <w:r>
        <w:rPr>
          <w:rFonts w:hint="cs"/>
          <w:rtl/>
        </w:rPr>
        <w:t xml:space="preserve"> (להלן:</w:t>
      </w:r>
      <w:r>
        <w:rPr>
          <w:rFonts w:ascii="Century" w:hAnsi="Century" w:hint="cs"/>
          <w:sz w:val="22"/>
          <w:rtl/>
        </w:rPr>
        <w:t xml:space="preserve"> עניין</w:t>
      </w:r>
      <w:r>
        <w:rPr>
          <w:rFonts w:cs="Miriam" w:hint="cs"/>
          <w:b/>
          <w:spacing w:val="0"/>
          <w:sz w:val="22"/>
          <w:szCs w:val="24"/>
          <w:rtl/>
        </w:rPr>
        <w:t xml:space="preserve"> קיבוץ חצור</w:t>
      </w:r>
      <w:r>
        <w:rPr>
          <w:rFonts w:hint="cs"/>
          <w:rtl/>
        </w:rPr>
        <w:t xml:space="preserve">) ("אין להם לחוקי המסים כללי פרשנות משלהם [...]. כמו כל חוק אחר, גם לעניין חוק [מס] נקודת המוצא היא לשון החוק, והשאלה היא, אם לאפשרויות השונות יש עיגון, ולו מינימאלי, בלשון ההוראה. מבין האפשרויות הלשוניות השונות יש לבחור אותה </w:t>
      </w:r>
      <w:r>
        <w:rPr>
          <w:rFonts w:hint="cs"/>
          <w:rtl/>
        </w:rPr>
        <w:lastRenderedPageBreak/>
        <w:t xml:space="preserve">אפשרות, המגשימה את מטרתה של חקיקת המס. לעתים מטרת החקיקה היא הטלת מס, ולעתים מטרתה היא פטור ממס. בזו כבזו על הפרשן ליתן אותו פירוש, המביא להגשמת תכלית החקיקה. אין עליו לפרש את החוק לטובת הנישום [...], כשם שאין עליו לפרשו לרעתו. טובתו של נישום אחד היא לעתים רעתו של נישום אחר. אין עליו לפרש את החוק באופן דווקני, כשם שאין עליו לפרשו באופן ליבראלי"); </w:t>
      </w:r>
      <w:r>
        <w:rPr>
          <w:rFonts w:hint="cs"/>
          <w:sz w:val="28"/>
          <w:rtl/>
        </w:rPr>
        <w:t>דנ"א 3962/93 </w:t>
      </w:r>
      <w:r>
        <w:rPr>
          <w:rFonts w:cs="Miriam" w:hint="cs"/>
          <w:b/>
          <w:spacing w:val="0"/>
          <w:szCs w:val="24"/>
          <w:rtl/>
        </w:rPr>
        <w:t>מינץ נ' פקיד השומה למפעלים גדולים</w:t>
      </w:r>
      <w:r>
        <w:rPr>
          <w:rFonts w:hint="cs"/>
          <w:sz w:val="28"/>
          <w:rtl/>
        </w:rPr>
        <w:t xml:space="preserve">, </w:t>
      </w:r>
      <w:proofErr w:type="spellStart"/>
      <w:r>
        <w:rPr>
          <w:rFonts w:hint="cs"/>
          <w:sz w:val="28"/>
          <w:rtl/>
        </w:rPr>
        <w:t>פ''ד</w:t>
      </w:r>
      <w:proofErr w:type="spellEnd"/>
      <w:r>
        <w:rPr>
          <w:rFonts w:hint="cs"/>
          <w:sz w:val="28"/>
          <w:rtl/>
        </w:rPr>
        <w:t xml:space="preserve"> נ(4) 817, 831 (1996) (</w:t>
      </w:r>
      <w:r>
        <w:rPr>
          <w:rFonts w:hint="cs"/>
          <w:rtl/>
        </w:rPr>
        <w:t xml:space="preserve">"מלאכת הפרשנות מתחילה במילות החוק אבל אינה מסתיימת בכך. הפרשנות שאותה יש לאמץ היא הפרשנות התכליתית. תכליתה של הפקודה היא ליצור מנגנונים מתאימים לגביית מס מהכנסתו של נישום הנקבעת על-פי כללים מהותיים ולא על-פי צורות פורמאליות חיצוניות. כבר לפני קרוב לשני עשורים מתח השופט </w:t>
      </w:r>
      <w:r>
        <w:rPr>
          <w:rFonts w:ascii="Century" w:hAnsi="Century" w:hint="cs"/>
          <w:sz w:val="22"/>
          <w:rtl/>
        </w:rPr>
        <w:t>א' ויתקון</w:t>
      </w:r>
      <w:r>
        <w:rPr>
          <w:rFonts w:hint="cs"/>
          <w:rtl/>
        </w:rPr>
        <w:t xml:space="preserve"> ביקורת על שני כללי פרשנות שהיו מקובלים עד אז ולדבריו אבד עליהם כלח: האחד, שיש לפרש דברי מחוקק פיסקאלי פירוש דווקני; והשני, שבמקרה של ספק בדבר משמעותו של החיקוק, חייב הפירוש להיות לטובת הנישום. עמדתו הייתה כבר אז כי יש לקדם בברכה את כלל הפרשנות התר אחר המגמה החקיקתית שבהוראה כולה [...]"); בר"מ 4832/07 </w:t>
      </w:r>
      <w:r>
        <w:rPr>
          <w:rFonts w:ascii="Century" w:hAnsi="Century" w:cs="Miriam" w:hint="cs"/>
          <w:b/>
          <w:spacing w:val="0"/>
          <w:sz w:val="22"/>
          <w:szCs w:val="24"/>
          <w:rtl/>
        </w:rPr>
        <w:t xml:space="preserve">רכבת ישראל בע"מ נ' מנהל הארנונה – מועצה </w:t>
      </w:r>
      <w:proofErr w:type="spellStart"/>
      <w:r>
        <w:rPr>
          <w:rFonts w:ascii="Century" w:hAnsi="Century" w:cs="Miriam" w:hint="cs"/>
          <w:b/>
          <w:spacing w:val="0"/>
          <w:sz w:val="22"/>
          <w:szCs w:val="24"/>
          <w:rtl/>
        </w:rPr>
        <w:t>איזורית</w:t>
      </w:r>
      <w:proofErr w:type="spellEnd"/>
      <w:r>
        <w:rPr>
          <w:rFonts w:ascii="Century" w:hAnsi="Century" w:cs="Miriam" w:hint="cs"/>
          <w:b/>
          <w:spacing w:val="0"/>
          <w:sz w:val="22"/>
          <w:szCs w:val="24"/>
          <w:rtl/>
        </w:rPr>
        <w:t xml:space="preserve"> דרום השרון</w:t>
      </w:r>
      <w:r>
        <w:rPr>
          <w:rFonts w:hint="cs"/>
          <w:rtl/>
        </w:rPr>
        <w:t xml:space="preserve">, פסקה 10 (22.2.2010) ("כפי שנקבע בהלכה הפסוקה פעמים רבות, לא קיים הבדל בין פרשנות חקיקה ככלל, לבין פרשנותם של דיני המס. נקודת המוצא הינה לשון החוק, כשמבין החלופות השונות שלהן קיים עיגון בטקסט, יש לבחור את זו המגשימה את תכליתה של החקיקה [...]"); </w:t>
      </w:r>
      <w:r>
        <w:rPr>
          <w:rFonts w:ascii="Century" w:hAnsi="Century" w:hint="cs"/>
          <w:sz w:val="22"/>
          <w:rtl/>
        </w:rPr>
        <w:t xml:space="preserve">כמו-כן ראו חזרות על הכלל הנדון </w:t>
      </w:r>
      <w:r>
        <w:rPr>
          <w:rFonts w:hint="cs"/>
          <w:rtl/>
        </w:rPr>
        <w:t xml:space="preserve">בפסקי הדין הבאים: </w:t>
      </w:r>
      <w:bookmarkStart w:id="5" w:name="RESPONDERS"/>
      <w:r>
        <w:rPr>
          <w:rFonts w:ascii="Century" w:hAnsi="Century" w:hint="cs"/>
          <w:sz w:val="22"/>
          <w:rtl/>
        </w:rPr>
        <w:t xml:space="preserve">רע"א 3527/96 </w:t>
      </w:r>
      <w:proofErr w:type="spellStart"/>
      <w:r>
        <w:rPr>
          <w:rFonts w:ascii="Century" w:hAnsi="Century" w:hint="cs"/>
          <w:sz w:val="22"/>
          <w:rtl/>
        </w:rPr>
        <w:t>ורע"א</w:t>
      </w:r>
      <w:proofErr w:type="spellEnd"/>
      <w:r>
        <w:rPr>
          <w:rFonts w:ascii="Century" w:hAnsi="Century" w:hint="cs"/>
          <w:sz w:val="22"/>
          <w:rtl/>
        </w:rPr>
        <w:t xml:space="preserve"> 4539/96 </w:t>
      </w:r>
      <w:proofErr w:type="spellStart"/>
      <w:r>
        <w:rPr>
          <w:rFonts w:ascii="Century" w:hAnsi="Century" w:cs="Miriam" w:hint="cs"/>
          <w:b/>
          <w:spacing w:val="0"/>
          <w:sz w:val="22"/>
          <w:szCs w:val="24"/>
          <w:rtl/>
        </w:rPr>
        <w:t>אקסלברד</w:t>
      </w:r>
      <w:proofErr w:type="spellEnd"/>
      <w:r>
        <w:rPr>
          <w:rFonts w:ascii="Century" w:hAnsi="Century" w:cs="Miriam" w:hint="cs"/>
          <w:b/>
          <w:spacing w:val="0"/>
          <w:sz w:val="22"/>
          <w:szCs w:val="24"/>
          <w:rtl/>
        </w:rPr>
        <w:t xml:space="preserve"> נ' מנהל מס רכוש – אזור חדרה‏</w:t>
      </w:r>
      <w:r>
        <w:rPr>
          <w:rFonts w:ascii="Century" w:hAnsi="Century" w:hint="cs"/>
          <w:sz w:val="22"/>
          <w:rtl/>
        </w:rPr>
        <w:t xml:space="preserve">, </w:t>
      </w:r>
      <w:proofErr w:type="spellStart"/>
      <w:r>
        <w:rPr>
          <w:rFonts w:ascii="Century" w:hAnsi="Century" w:hint="cs"/>
          <w:sz w:val="22"/>
          <w:rtl/>
        </w:rPr>
        <w:t>פ''ד</w:t>
      </w:r>
      <w:proofErr w:type="spellEnd"/>
      <w:r>
        <w:rPr>
          <w:rFonts w:ascii="Century" w:hAnsi="Century" w:hint="cs"/>
          <w:sz w:val="22"/>
          <w:rtl/>
        </w:rPr>
        <w:t xml:space="preserve"> נב(5) 385</w:t>
      </w:r>
      <w:bookmarkEnd w:id="5"/>
      <w:r>
        <w:rPr>
          <w:rFonts w:ascii="Century" w:hAnsi="Century" w:hint="cs"/>
          <w:sz w:val="22"/>
          <w:rtl/>
        </w:rPr>
        <w:t xml:space="preserve">, פסקאות 9 ו-12 לפסק דינה של השופטת </w:t>
      </w:r>
      <w:r>
        <w:rPr>
          <w:rFonts w:ascii="Century" w:hAnsi="Century" w:cs="Miriam" w:hint="cs"/>
          <w:b/>
          <w:spacing w:val="0"/>
          <w:sz w:val="22"/>
          <w:szCs w:val="24"/>
          <w:rtl/>
        </w:rPr>
        <w:t xml:space="preserve">ד' </w:t>
      </w:r>
      <w:proofErr w:type="spellStart"/>
      <w:r>
        <w:rPr>
          <w:rFonts w:ascii="Century" w:hAnsi="Century" w:cs="Miriam" w:hint="cs"/>
          <w:b/>
          <w:spacing w:val="0"/>
          <w:sz w:val="22"/>
          <w:szCs w:val="24"/>
          <w:rtl/>
        </w:rPr>
        <w:t>בינייש</w:t>
      </w:r>
      <w:proofErr w:type="spellEnd"/>
      <w:r>
        <w:rPr>
          <w:rFonts w:ascii="Century" w:hAnsi="Century" w:hint="cs"/>
          <w:sz w:val="22"/>
          <w:rtl/>
        </w:rPr>
        <w:t xml:space="preserve"> (כתוארה אז) (1998) (להלן: עניין</w:t>
      </w:r>
      <w:r>
        <w:rPr>
          <w:rFonts w:ascii="Century" w:hAnsi="Century" w:cs="Miriam" w:hint="cs"/>
          <w:b/>
          <w:spacing w:val="0"/>
          <w:sz w:val="22"/>
          <w:szCs w:val="24"/>
          <w:rtl/>
        </w:rPr>
        <w:t xml:space="preserve"> </w:t>
      </w:r>
      <w:proofErr w:type="spellStart"/>
      <w:r>
        <w:rPr>
          <w:rFonts w:ascii="Century" w:hAnsi="Century" w:cs="Miriam" w:hint="cs"/>
          <w:b/>
          <w:spacing w:val="0"/>
          <w:sz w:val="22"/>
          <w:szCs w:val="24"/>
          <w:rtl/>
        </w:rPr>
        <w:t>אקסלברד</w:t>
      </w:r>
      <w:proofErr w:type="spellEnd"/>
      <w:r>
        <w:rPr>
          <w:rFonts w:ascii="Century" w:hAnsi="Century" w:hint="cs"/>
          <w:sz w:val="22"/>
          <w:rtl/>
        </w:rPr>
        <w:t>); ע"א 2755/08</w:t>
      </w:r>
      <w:r>
        <w:rPr>
          <w:rFonts w:ascii="FrankRuehl" w:hAnsi="FrankRuehl" w:hint="cs"/>
          <w:bCs/>
          <w:sz w:val="28"/>
          <w:rtl/>
        </w:rPr>
        <w:t xml:space="preserve"> </w:t>
      </w:r>
      <w:r>
        <w:rPr>
          <w:rFonts w:ascii="Century" w:hAnsi="Century" w:cs="Miriam" w:hint="cs"/>
          <w:b/>
          <w:spacing w:val="0"/>
          <w:sz w:val="22"/>
          <w:szCs w:val="24"/>
          <w:rtl/>
        </w:rPr>
        <w:t>פלח נ' מס הכנסה-פקיד שומה תל אביב 3,</w:t>
      </w:r>
      <w:r>
        <w:rPr>
          <w:rFonts w:ascii="FrankRuehl" w:hAnsi="FrankRuehl" w:hint="cs"/>
          <w:bCs/>
          <w:sz w:val="28"/>
          <w:rtl/>
        </w:rPr>
        <w:t xml:space="preserve"> </w:t>
      </w:r>
      <w:r>
        <w:rPr>
          <w:rFonts w:ascii="Century" w:hAnsi="Century" w:hint="cs"/>
          <w:sz w:val="22"/>
          <w:rtl/>
        </w:rPr>
        <w:t>פסקה 5 והאסמכתאות המובאות שם (10.8.2010)</w:t>
      </w:r>
      <w:r>
        <w:rPr>
          <w:rFonts w:hint="cs"/>
          <w:rtl/>
        </w:rPr>
        <w:t xml:space="preserve">; </w:t>
      </w:r>
      <w:bookmarkStart w:id="6" w:name="Text1"/>
      <w:r>
        <w:rPr>
          <w:rFonts w:ascii="FrankRuehl" w:hAnsi="FrankRuehl" w:hint="cs"/>
          <w:sz w:val="28"/>
          <w:rtl/>
        </w:rPr>
        <w:t>ע"א 74/15 ‏</w:t>
      </w:r>
      <w:r>
        <w:rPr>
          <w:rFonts w:ascii="Century" w:hAnsi="Century" w:cs="Miriam" w:hint="cs"/>
          <w:b/>
          <w:spacing w:val="0"/>
          <w:sz w:val="22"/>
          <w:szCs w:val="24"/>
          <w:rtl/>
        </w:rPr>
        <w:t xml:space="preserve">מנהל מיסוי מקרקעין רחובות נ' גזית גלוב ישראל (פיתוח) בע"מ, </w:t>
      </w:r>
      <w:r>
        <w:rPr>
          <w:rFonts w:ascii="Century" w:hAnsi="Century" w:hint="cs"/>
          <w:sz w:val="22"/>
          <w:rtl/>
        </w:rPr>
        <w:t>פסקה 14 לפסק דינה של הנשיאה (</w:t>
      </w:r>
      <w:proofErr w:type="spellStart"/>
      <w:r>
        <w:rPr>
          <w:rFonts w:ascii="Century" w:hAnsi="Century" w:hint="cs"/>
          <w:sz w:val="22"/>
          <w:rtl/>
        </w:rPr>
        <w:t>בדימ</w:t>
      </w:r>
      <w:proofErr w:type="spellEnd"/>
      <w:r>
        <w:rPr>
          <w:rFonts w:ascii="Century" w:hAnsi="Century" w:hint="cs"/>
          <w:sz w:val="22"/>
          <w:rtl/>
        </w:rPr>
        <w:t xml:space="preserve">') </w:t>
      </w:r>
      <w:r>
        <w:rPr>
          <w:rFonts w:ascii="Century" w:hAnsi="Century" w:cs="Miriam" w:hint="cs"/>
          <w:b/>
          <w:spacing w:val="0"/>
          <w:sz w:val="22"/>
          <w:szCs w:val="24"/>
          <w:rtl/>
        </w:rPr>
        <w:t xml:space="preserve">מ' נאור </w:t>
      </w:r>
      <w:r>
        <w:rPr>
          <w:rFonts w:ascii="Century" w:hAnsi="Century" w:hint="cs"/>
          <w:sz w:val="22"/>
          <w:rtl/>
        </w:rPr>
        <w:t xml:space="preserve">(14.12.2017); </w:t>
      </w:r>
      <w:r>
        <w:rPr>
          <w:rFonts w:ascii="FrankRuehl" w:hAnsi="FrankRuehl" w:hint="cs"/>
          <w:sz w:val="28"/>
          <w:rtl/>
        </w:rPr>
        <w:t xml:space="preserve">ע"א 9453/10 </w:t>
      </w:r>
      <w:r>
        <w:rPr>
          <w:rFonts w:ascii="Century" w:hAnsi="Century" w:cs="Miriam" w:hint="cs"/>
          <w:b/>
          <w:spacing w:val="0"/>
          <w:sz w:val="22"/>
          <w:szCs w:val="24"/>
          <w:rtl/>
        </w:rPr>
        <w:t>ישראייר תעופה ותיירות בע"מ נ' פקיד שומה אילת</w:t>
      </w:r>
      <w:r>
        <w:rPr>
          <w:rFonts w:hint="cs"/>
          <w:sz w:val="22"/>
          <w:rtl/>
        </w:rPr>
        <w:t>, פסקה 37 (10.6.2014)</w:t>
      </w:r>
      <w:r>
        <w:rPr>
          <w:rFonts w:hint="cs"/>
          <w:rtl/>
        </w:rPr>
        <w:t xml:space="preserve">; </w:t>
      </w:r>
      <w:r>
        <w:rPr>
          <w:rFonts w:ascii="FrankRuehl" w:hAnsi="FrankRuehl" w:hint="cs"/>
          <w:sz w:val="28"/>
          <w:rtl/>
        </w:rPr>
        <w:t xml:space="preserve">ע"א 4157/13 </w:t>
      </w:r>
      <w:r>
        <w:rPr>
          <w:rFonts w:cs="Miriam" w:hint="cs"/>
          <w:b/>
          <w:spacing w:val="0"/>
          <w:sz w:val="22"/>
          <w:szCs w:val="24"/>
          <w:rtl/>
        </w:rPr>
        <w:t>דמארי נ' פקיד שומה רחובות</w:t>
      </w:r>
      <w:bookmarkEnd w:id="6"/>
      <w:r>
        <w:rPr>
          <w:rFonts w:ascii="FrankRuehl" w:eastAsia="Calibri" w:hAnsi="FrankRuehl" w:hint="cs"/>
          <w:sz w:val="28"/>
          <w:rtl/>
        </w:rPr>
        <w:t xml:space="preserve">, פסקאות </w:t>
      </w:r>
      <w:proofErr w:type="spellStart"/>
      <w:r>
        <w:rPr>
          <w:rFonts w:ascii="FrankRuehl" w:eastAsia="Calibri" w:hAnsi="FrankRuehl" w:hint="cs"/>
          <w:sz w:val="28"/>
          <w:rtl/>
        </w:rPr>
        <w:t>כא-כב</w:t>
      </w:r>
      <w:proofErr w:type="spellEnd"/>
      <w:r>
        <w:rPr>
          <w:rFonts w:ascii="FrankRuehl" w:eastAsia="Calibri" w:hAnsi="FrankRuehl" w:hint="cs"/>
          <w:sz w:val="28"/>
          <w:rtl/>
        </w:rPr>
        <w:t xml:space="preserve"> לפסק דינו של השופט </w:t>
      </w:r>
      <w:r>
        <w:rPr>
          <w:rFonts w:eastAsia="Calibri" w:cs="Miriam" w:hint="cs"/>
          <w:b/>
          <w:spacing w:val="0"/>
          <w:sz w:val="22"/>
          <w:szCs w:val="24"/>
          <w:rtl/>
        </w:rPr>
        <w:t>א' רובינשטיין</w:t>
      </w:r>
      <w:r>
        <w:rPr>
          <w:rFonts w:ascii="FrankRuehl" w:eastAsia="Calibri" w:hAnsi="FrankRuehl" w:hint="cs"/>
          <w:sz w:val="28"/>
          <w:rtl/>
        </w:rPr>
        <w:t xml:space="preserve"> (כתוארו אז) והאסמכתאות המובאות שם (3.2.2015) (להלן: </w:t>
      </w:r>
      <w:r>
        <w:rPr>
          <w:rFonts w:ascii="Century" w:eastAsia="Calibri" w:hAnsi="Century" w:hint="cs"/>
          <w:sz w:val="22"/>
          <w:rtl/>
        </w:rPr>
        <w:t>עניין</w:t>
      </w:r>
      <w:r>
        <w:rPr>
          <w:rFonts w:ascii="Century" w:eastAsia="Calibri" w:hAnsi="Century" w:cs="Miriam" w:hint="cs"/>
          <w:b/>
          <w:spacing w:val="0"/>
          <w:sz w:val="22"/>
          <w:szCs w:val="24"/>
          <w:rtl/>
        </w:rPr>
        <w:t xml:space="preserve"> דמארי</w:t>
      </w:r>
      <w:r>
        <w:rPr>
          <w:rFonts w:ascii="FrankRuehl" w:eastAsia="Calibri" w:hAnsi="FrankRuehl" w:hint="cs"/>
          <w:sz w:val="28"/>
          <w:rtl/>
        </w:rPr>
        <w:t xml:space="preserve">); </w:t>
      </w:r>
      <w:r>
        <w:rPr>
          <w:rFonts w:ascii="Century" w:hAnsi="Century" w:hint="cs"/>
          <w:rtl/>
        </w:rPr>
        <w:t xml:space="preserve">ע"א 181/14 </w:t>
      </w:r>
      <w:r>
        <w:rPr>
          <w:rFonts w:ascii="Century" w:hAnsi="Century" w:cs="Miriam" w:hint="cs"/>
          <w:b/>
          <w:spacing w:val="0"/>
          <w:szCs w:val="24"/>
          <w:rtl/>
        </w:rPr>
        <w:t>פגי נ' פקיד שומה חיפה</w:t>
      </w:r>
      <w:r>
        <w:rPr>
          <w:rFonts w:hint="cs"/>
          <w:sz w:val="28"/>
          <w:rtl/>
        </w:rPr>
        <w:t xml:space="preserve">, פסקה 26 והאסמכתאות המובאות שם (13.3.2016) (להלן: </w:t>
      </w:r>
      <w:r>
        <w:rPr>
          <w:rFonts w:ascii="Century" w:hAnsi="Century" w:hint="cs"/>
          <w:sz w:val="22"/>
          <w:rtl/>
        </w:rPr>
        <w:t>עניין</w:t>
      </w:r>
      <w:r>
        <w:rPr>
          <w:rFonts w:ascii="Century" w:hAnsi="Century" w:cs="Miriam" w:hint="cs"/>
          <w:b/>
          <w:spacing w:val="0"/>
          <w:sz w:val="22"/>
          <w:szCs w:val="24"/>
          <w:rtl/>
        </w:rPr>
        <w:t xml:space="preserve"> פגי</w:t>
      </w:r>
      <w:r>
        <w:rPr>
          <w:rFonts w:hint="cs"/>
          <w:sz w:val="28"/>
          <w:rtl/>
        </w:rPr>
        <w:t xml:space="preserve">); </w:t>
      </w:r>
      <w:r>
        <w:rPr>
          <w:rFonts w:ascii="Century" w:hAnsi="Century" w:hint="cs"/>
          <w:rtl/>
        </w:rPr>
        <w:t xml:space="preserve">ע"א 7084/13 </w:t>
      </w:r>
      <w:r>
        <w:rPr>
          <w:rFonts w:ascii="Century" w:hAnsi="Century" w:cs="Miriam" w:hint="cs"/>
          <w:b/>
          <w:spacing w:val="0"/>
          <w:szCs w:val="24"/>
          <w:rtl/>
        </w:rPr>
        <w:t>בר יהודה בע"מ נ' הוועדה המקומית לתכנון ובניה שומרון</w:t>
      </w:r>
      <w:r>
        <w:rPr>
          <w:rFonts w:ascii="Century" w:hAnsi="Century" w:hint="cs"/>
          <w:rtl/>
        </w:rPr>
        <w:t>, פסקה 50 והאסמכתאות המובאות שם (10.5.2016</w:t>
      </w:r>
      <w:r>
        <w:rPr>
          <w:rFonts w:ascii="FrankRuehl" w:hAnsi="FrankRuehl" w:hint="cs"/>
          <w:b/>
          <w:bCs/>
          <w:sz w:val="28"/>
          <w:rtl/>
        </w:rPr>
        <w:t>)</w:t>
      </w:r>
      <w:r>
        <w:rPr>
          <w:rFonts w:hint="cs"/>
          <w:rtl/>
        </w:rPr>
        <w:t xml:space="preserve"> (להלן: </w:t>
      </w:r>
      <w:r>
        <w:rPr>
          <w:rFonts w:ascii="Century" w:hAnsi="Century" w:hint="cs"/>
          <w:sz w:val="22"/>
          <w:rtl/>
        </w:rPr>
        <w:t>עניין</w:t>
      </w:r>
      <w:r>
        <w:rPr>
          <w:rFonts w:ascii="Century" w:hAnsi="Century" w:cs="Miriam" w:hint="cs"/>
          <w:b/>
          <w:spacing w:val="0"/>
          <w:sz w:val="22"/>
          <w:szCs w:val="24"/>
          <w:rtl/>
        </w:rPr>
        <w:t xml:space="preserve"> בר יהודה</w:t>
      </w:r>
      <w:r>
        <w:rPr>
          <w:rFonts w:hint="cs"/>
          <w:rtl/>
        </w:rPr>
        <w:t xml:space="preserve">); </w:t>
      </w:r>
      <w:r>
        <w:rPr>
          <w:rFonts w:ascii="Century" w:hAnsi="Century" w:hint="cs"/>
          <w:rtl/>
        </w:rPr>
        <w:t>ע"א 4526/14‏ ‏</w:t>
      </w:r>
      <w:r>
        <w:rPr>
          <w:rFonts w:ascii="Century" w:hAnsi="Century" w:cs="Miriam" w:hint="cs"/>
          <w:b/>
          <w:spacing w:val="0"/>
          <w:szCs w:val="24"/>
          <w:rtl/>
        </w:rPr>
        <w:t>פקיד שומה ירושלים נ' רז</w:t>
      </w:r>
      <w:r>
        <w:rPr>
          <w:rFonts w:ascii="Century" w:hAnsi="Century" w:hint="cs"/>
          <w:rtl/>
        </w:rPr>
        <w:t>, פסקאות 22 ו-29 והאסמכתאות המובאות שם (9.5.2016</w:t>
      </w:r>
      <w:r>
        <w:rPr>
          <w:rFonts w:hint="cs"/>
          <w:rtl/>
        </w:rPr>
        <w:t xml:space="preserve">); </w:t>
      </w:r>
      <w:r>
        <w:rPr>
          <w:rFonts w:hint="cs"/>
          <w:sz w:val="22"/>
          <w:rtl/>
        </w:rPr>
        <w:t xml:space="preserve">ע"א 8847/13 וע"א 5888/14 </w:t>
      </w:r>
      <w:r>
        <w:rPr>
          <w:rFonts w:cs="Miriam" w:hint="cs"/>
          <w:b/>
          <w:spacing w:val="0"/>
          <w:sz w:val="22"/>
          <w:szCs w:val="24"/>
          <w:rtl/>
        </w:rPr>
        <w:t>שפירא נ' פקיד שומה גוש דן</w:t>
      </w:r>
      <w:r>
        <w:rPr>
          <w:rFonts w:ascii="Arimo" w:hAnsi="Arimo" w:hint="cs"/>
          <w:sz w:val="21"/>
          <w:szCs w:val="21"/>
          <w:rtl/>
        </w:rPr>
        <w:t xml:space="preserve">, </w:t>
      </w:r>
      <w:r>
        <w:rPr>
          <w:rFonts w:ascii="Arial TUR" w:hAnsi="Arial TUR" w:hint="cs"/>
          <w:sz w:val="28"/>
          <w:rtl/>
        </w:rPr>
        <w:t xml:space="preserve">פסקה 16 והאסמכתאות המובאות שם (5.9.2016); </w:t>
      </w:r>
      <w:r>
        <w:rPr>
          <w:rFonts w:hint="cs"/>
          <w:sz w:val="22"/>
          <w:rtl/>
        </w:rPr>
        <w:t xml:space="preserve">עניין </w:t>
      </w:r>
      <w:proofErr w:type="spellStart"/>
      <w:r>
        <w:rPr>
          <w:rFonts w:cs="Miriam" w:hint="cs"/>
          <w:b/>
          <w:spacing w:val="0"/>
          <w:sz w:val="22"/>
          <w:szCs w:val="24"/>
          <w:rtl/>
        </w:rPr>
        <w:t>אכתילאת</w:t>
      </w:r>
      <w:proofErr w:type="spellEnd"/>
      <w:r>
        <w:rPr>
          <w:rFonts w:hint="cs"/>
          <w:sz w:val="22"/>
          <w:rtl/>
        </w:rPr>
        <w:t xml:space="preserve">, פסקה 9 לפסק דינה של השופטת </w:t>
      </w:r>
      <w:r>
        <w:rPr>
          <w:rFonts w:ascii="Century" w:hAnsi="Century" w:cs="Miriam" w:hint="cs"/>
          <w:b/>
          <w:spacing w:val="0"/>
          <w:sz w:val="22"/>
          <w:szCs w:val="24"/>
          <w:rtl/>
        </w:rPr>
        <w:t>ע' ברון</w:t>
      </w:r>
      <w:r>
        <w:rPr>
          <w:rFonts w:hint="cs"/>
          <w:sz w:val="22"/>
          <w:rtl/>
        </w:rPr>
        <w:t xml:space="preserve">; </w:t>
      </w:r>
      <w:r>
        <w:rPr>
          <w:rFonts w:ascii="Century" w:hAnsi="Century" w:hint="cs"/>
          <w:sz w:val="22"/>
          <w:rtl/>
        </w:rPr>
        <w:t xml:space="preserve">ע"א 7957/13‏ </w:t>
      </w:r>
      <w:r>
        <w:rPr>
          <w:rFonts w:ascii="Century" w:hAnsi="Century" w:cs="Miriam" w:hint="cs"/>
          <w:b/>
          <w:spacing w:val="0"/>
          <w:sz w:val="22"/>
          <w:szCs w:val="24"/>
          <w:rtl/>
        </w:rPr>
        <w:t>מדרך עוז בע"מ נ' פקיד שומה תל אביב</w:t>
      </w:r>
      <w:r>
        <w:rPr>
          <w:rFonts w:ascii="Century" w:hAnsi="Century" w:hint="cs"/>
          <w:sz w:val="22"/>
          <w:rtl/>
        </w:rPr>
        <w:t>, פסקאות 36-35 והאסמכתאות המובאות שם (1.11.2018); ו</w:t>
      </w:r>
      <w:r>
        <w:rPr>
          <w:rFonts w:hint="cs"/>
          <w:sz w:val="28"/>
          <w:rtl/>
        </w:rPr>
        <w:t>ע"א 1609/16 ‏</w:t>
      </w:r>
      <w:r>
        <w:rPr>
          <w:rFonts w:ascii="Century" w:hAnsi="Century" w:cs="Miriam" w:hint="cs"/>
          <w:b/>
          <w:spacing w:val="0"/>
          <w:szCs w:val="24"/>
          <w:rtl/>
        </w:rPr>
        <w:t xml:space="preserve">חברת </w:t>
      </w:r>
      <w:r>
        <w:rPr>
          <w:rFonts w:ascii="Century" w:hAnsi="Century" w:cs="Miriam" w:hint="cs"/>
          <w:b/>
          <w:spacing w:val="0"/>
          <w:szCs w:val="24"/>
          <w:rtl/>
        </w:rPr>
        <w:lastRenderedPageBreak/>
        <w:t>שי צמרות (</w:t>
      </w:r>
      <w:proofErr w:type="spellStart"/>
      <w:r>
        <w:rPr>
          <w:rFonts w:ascii="Century" w:hAnsi="Century" w:cs="Miriam" w:hint="cs"/>
          <w:b/>
          <w:spacing w:val="0"/>
          <w:szCs w:val="24"/>
          <w:rtl/>
        </w:rPr>
        <w:t>אורנית</w:t>
      </w:r>
      <w:proofErr w:type="spellEnd"/>
      <w:r>
        <w:rPr>
          <w:rFonts w:ascii="Century" w:hAnsi="Century" w:cs="Miriam" w:hint="cs"/>
          <w:b/>
          <w:spacing w:val="0"/>
          <w:szCs w:val="24"/>
          <w:rtl/>
        </w:rPr>
        <w:t>) נ' מנהל מס ערך מוסף פתח תקוה</w:t>
      </w:r>
      <w:r>
        <w:rPr>
          <w:rFonts w:hint="cs"/>
          <w:sz w:val="28"/>
          <w:rtl/>
        </w:rPr>
        <w:t xml:space="preserve">, פסקאות 36-35 והאסמכתאות המובאות שם (1.11.2018) (להלן: </w:t>
      </w:r>
      <w:r>
        <w:rPr>
          <w:rFonts w:ascii="Century" w:hAnsi="Century" w:hint="cs"/>
          <w:sz w:val="22"/>
          <w:rtl/>
        </w:rPr>
        <w:t xml:space="preserve">עניין </w:t>
      </w:r>
      <w:r>
        <w:rPr>
          <w:rFonts w:ascii="Century" w:hAnsi="Century" w:cs="Miriam" w:hint="cs"/>
          <w:b/>
          <w:spacing w:val="0"/>
          <w:sz w:val="22"/>
          <w:szCs w:val="24"/>
          <w:rtl/>
        </w:rPr>
        <w:t>שי צמרות</w:t>
      </w:r>
      <w:r>
        <w:rPr>
          <w:rFonts w:hint="cs"/>
          <w:sz w:val="28"/>
          <w:rtl/>
        </w:rPr>
        <w:t>)</w:t>
      </w:r>
      <w:r>
        <w:rPr>
          <w:rFonts w:ascii="Century" w:hAnsi="Century" w:hint="cs"/>
          <w:sz w:val="22"/>
          <w:rtl/>
        </w:rPr>
        <w:t>.</w:t>
      </w:r>
    </w:p>
    <w:p w:rsidR="00D54C92" w:rsidRDefault="00D54C92" w:rsidP="00D54C92">
      <w:pPr>
        <w:pStyle w:val="Ruller41"/>
        <w:rPr>
          <w:rtl/>
        </w:rPr>
      </w:pPr>
    </w:p>
    <w:p w:rsidR="00D54C92" w:rsidRDefault="00D54C92" w:rsidP="007F17E6">
      <w:pPr>
        <w:pStyle w:val="Ruller4"/>
        <w:numPr>
          <w:ilvl w:val="0"/>
          <w:numId w:val="13"/>
        </w:numPr>
        <w:textAlignment w:val="auto"/>
      </w:pPr>
      <w:r>
        <w:rPr>
          <w:rFonts w:hint="cs"/>
          <w:rtl/>
        </w:rPr>
        <w:t xml:space="preserve">ההלכה לפיה אנו פועלים חודדה וסוכמה באופן ברור בפסק הדין בעניין </w:t>
      </w:r>
      <w:r w:rsidR="007F17E6">
        <w:rPr>
          <w:rFonts w:ascii="Century" w:hAnsi="Century" w:cs="Miriam" w:hint="cs"/>
          <w:b/>
          <w:spacing w:val="0"/>
          <w:sz w:val="22"/>
          <w:szCs w:val="24"/>
          <w:rtl/>
        </w:rPr>
        <w:t>קיבוץ חצור</w:t>
      </w:r>
      <w:r w:rsidR="007F17E6">
        <w:rPr>
          <w:rFonts w:ascii="Century" w:hAnsi="Century" w:hint="cs"/>
          <w:sz w:val="22"/>
          <w:rtl/>
        </w:rPr>
        <w:t>.</w:t>
      </w:r>
      <w:r>
        <w:rPr>
          <w:rFonts w:ascii="Century" w:hAnsi="Century" w:cs="Miriam" w:hint="cs"/>
          <w:b/>
          <w:spacing w:val="0"/>
          <w:sz w:val="22"/>
          <w:szCs w:val="24"/>
          <w:rtl/>
        </w:rPr>
        <w:t xml:space="preserve"> </w:t>
      </w:r>
      <w:r>
        <w:rPr>
          <w:rFonts w:hint="cs"/>
          <w:rtl/>
        </w:rPr>
        <w:t xml:space="preserve">הלכה זו מורה לפרשן להתמקד בלשונו של חוק המס ובאפשרויות הלשוניות שעולות ממנה. חוק שיש לו משמעות לשונית אחת בלבד מדבר בעד עצמו ואיננו טעון פירוש. חוק מס שניתן לשוות לו, מהבחינה הלשונית, יותר ממשמעות אחת יתפרש באופן הבא: מבין האפשרויות הלשוניות הקיימות חייב הפרשן לבחור את זו אשר תואמת את תכליתו של החוק, דהיינו, את מדיניות המס שהחוק בא להוציא אל הפועל. כאשר מדיניות זו איננה ברורה אף היא, חייב הפרשן לבכר את הפרשנות אשר משווה לחוק את המשמעות המיטיבה עם הנישום (ראו אלפרד ויתקון ויעקוב נאמן </w:t>
      </w:r>
      <w:r>
        <w:rPr>
          <w:rFonts w:ascii="Century" w:hAnsi="Century" w:cs="Miriam" w:hint="cs"/>
          <w:b/>
          <w:spacing w:val="0"/>
          <w:sz w:val="22"/>
          <w:szCs w:val="24"/>
          <w:rtl/>
        </w:rPr>
        <w:t>דיני מסים</w:t>
      </w:r>
      <w:r>
        <w:rPr>
          <w:rFonts w:hint="cs"/>
          <w:rtl/>
        </w:rPr>
        <w:t xml:space="preserve"> 44 (מהדורה רביעית מורחבת ומתוקנת, </w:t>
      </w:r>
      <w:proofErr w:type="spellStart"/>
      <w:r>
        <w:rPr>
          <w:rFonts w:hint="cs"/>
          <w:rtl/>
        </w:rPr>
        <w:t>התשכ"ט</w:t>
      </w:r>
      <w:proofErr w:type="spellEnd"/>
      <w:r>
        <w:rPr>
          <w:rFonts w:hint="cs"/>
          <w:rtl/>
        </w:rPr>
        <w:t xml:space="preserve">)). כפי שנאמר על ידי השופט </w:t>
      </w:r>
      <w:r>
        <w:rPr>
          <w:rFonts w:ascii="Century" w:hAnsi="Century" w:cs="Miriam" w:hint="cs"/>
          <w:b/>
          <w:spacing w:val="0"/>
          <w:sz w:val="22"/>
          <w:szCs w:val="24"/>
          <w:rtl/>
        </w:rPr>
        <w:t>א' ויתקון</w:t>
      </w:r>
      <w:r>
        <w:rPr>
          <w:rFonts w:hint="cs"/>
          <w:rtl/>
        </w:rPr>
        <w:t xml:space="preserve"> ב</w:t>
      </w:r>
      <w:r>
        <w:rPr>
          <w:rFonts w:ascii="Century" w:hAnsi="Century" w:hint="cs"/>
          <w:rtl/>
        </w:rPr>
        <w:t xml:space="preserve">ע"א 39/61 </w:t>
      </w:r>
      <w:r>
        <w:rPr>
          <w:rFonts w:ascii="Century" w:hAnsi="Century" w:cs="Miriam" w:hint="cs"/>
          <w:b/>
          <w:spacing w:val="0"/>
          <w:szCs w:val="24"/>
          <w:rtl/>
        </w:rPr>
        <w:t>המשביר, חברה מאושרת לייבוא וייצוא בע"מ נ' מנהל הארנונה לפיצוי נזקי מלחמה</w:t>
      </w:r>
      <w:r>
        <w:rPr>
          <w:rStyle w:val="default"/>
          <w:rFonts w:ascii="Century" w:hAnsi="Century" w:hint="cs"/>
          <w:rtl/>
        </w:rPr>
        <w:t>, פ"ד טו 1765, 1769 (1961)</w:t>
      </w:r>
      <w:r>
        <w:rPr>
          <w:rFonts w:hint="cs"/>
          <w:rtl/>
        </w:rPr>
        <w:t xml:space="preserve"> (להלן: </w:t>
      </w:r>
      <w:r>
        <w:rPr>
          <w:rFonts w:ascii="Century" w:hAnsi="Century" w:hint="cs"/>
          <w:sz w:val="22"/>
          <w:rtl/>
        </w:rPr>
        <w:t xml:space="preserve">עניין </w:t>
      </w:r>
      <w:r>
        <w:rPr>
          <w:rFonts w:ascii="Century" w:hAnsi="Century" w:cs="Miriam" w:hint="cs"/>
          <w:b/>
          <w:spacing w:val="0"/>
          <w:sz w:val="22"/>
          <w:szCs w:val="24"/>
          <w:rtl/>
        </w:rPr>
        <w:t>המשביר</w:t>
      </w:r>
      <w:r>
        <w:rPr>
          <w:rFonts w:hint="cs"/>
          <w:rtl/>
        </w:rPr>
        <w:t xml:space="preserve">): </w:t>
      </w:r>
    </w:p>
    <w:p w:rsidR="00D54C92" w:rsidRDefault="00D54C92" w:rsidP="00D54C92">
      <w:pPr>
        <w:pStyle w:val="Ruller4"/>
        <w:numPr>
          <w:ilvl w:val="0"/>
          <w:numId w:val="0"/>
        </w:numPr>
      </w:pPr>
    </w:p>
    <w:p w:rsidR="00D54C92" w:rsidRDefault="00D54C92" w:rsidP="00D54C92">
      <w:pPr>
        <w:pStyle w:val="Ruller5"/>
        <w:rPr>
          <w:rtl/>
        </w:rPr>
      </w:pPr>
      <w:r>
        <w:rPr>
          <w:rStyle w:val="default"/>
          <w:rFonts w:hint="cs"/>
          <w:rtl/>
        </w:rPr>
        <w:t xml:space="preserve">"[...] לדעתי גם לגבי מס כלל גדול הוא, שעל בית-המשפט להשתדל לרדת לסוף דעתו של המחוקק ולברר את כוונתו, ורק אם יעלה חרס בידו ואחרי ככלות </w:t>
      </w:r>
      <w:proofErr w:type="spellStart"/>
      <w:r>
        <w:rPr>
          <w:rStyle w:val="default"/>
          <w:rFonts w:hint="cs"/>
          <w:rtl/>
        </w:rPr>
        <w:t>הכל</w:t>
      </w:r>
      <w:proofErr w:type="spellEnd"/>
      <w:r>
        <w:rPr>
          <w:rStyle w:val="default"/>
          <w:rFonts w:hint="cs"/>
          <w:rtl/>
        </w:rPr>
        <w:t xml:space="preserve"> נשארת ההוראה סתומה וניתנת להתפרש לכאן ולכאן, יעדיף את הפירוש הדווקני המיטיב עם הנישום [...] אין ההבדל גדול כל כך בין כללי הפרשנות החלים על חוק פיסקלי לבין הכללים המנחים אותנו בפירוש כל חוק אחר. הטענה שלעולם יפורש חוק פיסקלי לטובת הנישום, יש בה הרבה מן ההפרזה, ומוטב להשתמש בה בזהירות". </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אימוצה של פרשנות המיטיבה עם הנישום במצב הדברים שתואר לעיל משרת שלוש מטרות: הבטחת ודאות משפטית והגנה על אינטרס ההסתמכות של הנישום; הגנה על קניינו של הנישום; ותחימת סמכויותיהם של שלטונות המס. מדובר במטרות חשובות שניתן – ולדידי אף ראוי – לראותן כמטרות-משנה של חוקי המס אשר מתלוות אל מדיניות המס שחוקים אלה באים לקדם. לנקודה זו עוד אתייחס בהמשך הדברים. בשלב זה, אשוב ואדגיש את ההבדל הגדול בין העדפת הפרשנות המיטיבה עם הנישום, שכאמור תעשה רק ביחס לחוקי מס שאין להם רציונל ברור אחד, לבין פרשנות מילולית-דווקנית – שאינה מקובלת במקומותינו – אשר באה להיטיב עם הנישום שנאחז במילה זו או אחרת של חוק מס מבלי לתמוך את פירושו ברציונל כלשהו שניתן באופן סביר לייחס למחוקק.  </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lastRenderedPageBreak/>
        <w:t xml:space="preserve">הרעיון שאת חוקי המס ראוי לפרש באופן דווקני-מילולי אשר מיטיב עם הנישום הינו שגוי מיסודו. רעיון זה מדמה את חוקי המס לדיני העונשין שאותם נצטווינו לפרש בצמצום כדי לא לפגוע יתר על המידה בחירותו של אדם. ספק רב בעיניי אם היקש זה עודנו תקף לנוכח האמור בסעיף 34כא לחוק העונשין, התשל"ז-1977, אשר קובע כי העניין יוכרע "לפי הפירוש המקל ביותר" עם הנאשם רק כשמדובר בהוראת דין הניתנת </w:t>
      </w:r>
      <w:r>
        <w:rPr>
          <w:rFonts w:ascii="Century" w:hAnsi="Century" w:cs="Miriam" w:hint="cs"/>
          <w:b/>
          <w:spacing w:val="0"/>
          <w:sz w:val="22"/>
          <w:szCs w:val="24"/>
          <w:rtl/>
        </w:rPr>
        <w:t>"לפירושים סבירים אחדים לפי תכליתו"</w:t>
      </w:r>
      <w:r>
        <w:rPr>
          <w:rFonts w:hint="cs"/>
          <w:rtl/>
        </w:rPr>
        <w:t xml:space="preserve"> –</w:t>
      </w:r>
      <w:r w:rsidR="00193821">
        <w:rPr>
          <w:rFonts w:hint="cs"/>
          <w:rtl/>
        </w:rPr>
        <w:t xml:space="preserve"> </w:t>
      </w:r>
      <w:r>
        <w:rPr>
          <w:rFonts w:hint="cs"/>
          <w:rtl/>
        </w:rPr>
        <w:t xml:space="preserve">בדומה לנהוג במלאכת פרשנותם של חוקי מס. ההיקש לדין הפלילי ממילא איננו תקף, מאחר שדיני המסים שלנו – בשונה מן הדין הפלילי – אינם פועלים לפי המתכונת של איסור, הזהרה ועונש. השופט המנוח אלפרד ויתקון, שהיה מגדולי המומחים בתחום המס, הסביר זאת היטב במאמרו "בעיית הפרשנות בדיני מסים" </w:t>
      </w:r>
      <w:r>
        <w:rPr>
          <w:rFonts w:ascii="Century" w:hAnsi="Century" w:cs="Miriam" w:hint="cs"/>
          <w:b/>
          <w:spacing w:val="0"/>
          <w:sz w:val="22"/>
          <w:szCs w:val="24"/>
          <w:rtl/>
        </w:rPr>
        <w:t>משפטים</w:t>
      </w:r>
      <w:r>
        <w:rPr>
          <w:rFonts w:hint="cs"/>
          <w:rtl/>
        </w:rPr>
        <w:t xml:space="preserve"> ג 10, 10 (</w:t>
      </w:r>
      <w:proofErr w:type="spellStart"/>
      <w:r>
        <w:rPr>
          <w:rFonts w:hint="cs"/>
          <w:rtl/>
        </w:rPr>
        <w:t>התשל"א</w:t>
      </w:r>
      <w:proofErr w:type="spellEnd"/>
      <w:r>
        <w:rPr>
          <w:rFonts w:hint="cs"/>
          <w:rtl/>
        </w:rPr>
        <w:t xml:space="preserve">) ("אם בכל זאת </w:t>
      </w:r>
      <w:proofErr w:type="spellStart"/>
      <w:r>
        <w:rPr>
          <w:rFonts w:hint="cs"/>
          <w:rtl/>
        </w:rPr>
        <w:t>היתה</w:t>
      </w:r>
      <w:proofErr w:type="spellEnd"/>
      <w:r>
        <w:rPr>
          <w:rFonts w:hint="cs"/>
          <w:rtl/>
        </w:rPr>
        <w:t xml:space="preserve"> בעבר יד הפרשנים הדווקניים על העליונה, נראה לי שעלינו לחפש את הסיבה לכך בעובדה שכלל הפרשנות הדווקנית קשור קשר אמיץ עם כלל פרשנות אחר, הוא הכלל שבמקרה של ספק דין ההוראה הפיסקלית להתפרש לטובת הנישום. [...] ללמדנו שכשם שנאשם במשפט פלילי ראוי שיקפידו לטובתו כחוט השערה, כך זכותו של נישום שלא יחויב במס אלא על בסיס בטוח ויציב. עצם העובדה שהנישום משול לנאשם במשפט הפלילי מגלה לנו את הרקע הסוציולוגי שבדבר. בתקופה שכלל הפרשנות הדווקנית עלה לגדולה, במאה ה-19 ובתחילת המאה ה-20, בתקופת </w:t>
      </w:r>
      <w:proofErr w:type="spellStart"/>
      <w:r>
        <w:rPr>
          <w:rFonts w:hint="cs"/>
          <w:rtl/>
        </w:rPr>
        <w:t>הליברליסם</w:t>
      </w:r>
      <w:proofErr w:type="spellEnd"/>
      <w:r>
        <w:rPr>
          <w:rFonts w:hint="cs"/>
          <w:rtl/>
        </w:rPr>
        <w:t xml:space="preserve"> וה-</w:t>
      </w:r>
      <w:r>
        <w:rPr>
          <w:rFonts w:ascii="Times New Roman" w:hAnsi="Times New Roman" w:cs="Times New Roman"/>
        </w:rPr>
        <w:t>laissez faire</w:t>
      </w:r>
      <w:r>
        <w:rPr>
          <w:rFonts w:hint="cs"/>
          <w:rtl/>
        </w:rPr>
        <w:t xml:space="preserve">, לא ראו את המיסוי בעין יפה. מוגזם לומר שראו בו עונש, אך מותר לומר שראו בו משום פגיעה בחופש הפרט, שצרכים חיוניים בלבד של התקציב יכלו להצדיקו. שמירה זו על רשות היחיד בפני השררה העמידו בתי המשפט בראש דאגתם, ולשם כך נוח היה להם להיזקק לכלל הפרשנות הדווקנית"); וראו גם אמנון רפאל </w:t>
      </w:r>
      <w:r>
        <w:rPr>
          <w:rFonts w:ascii="Century" w:hAnsi="Century" w:cs="Miriam" w:hint="cs"/>
          <w:b/>
          <w:spacing w:val="0"/>
          <w:sz w:val="22"/>
          <w:szCs w:val="24"/>
          <w:rtl/>
        </w:rPr>
        <w:t>מס הכנסה</w:t>
      </w:r>
      <w:r>
        <w:rPr>
          <w:rFonts w:hint="cs"/>
          <w:rtl/>
        </w:rPr>
        <w:t xml:space="preserve"> כרך ו 15 (2005) ("לפני שנים רבות קנתה לה שביתה דעה, ולפיה בפרשנות חוקים פיסקאליים יש לפרש את החוק "</w:t>
      </w:r>
      <w:r>
        <w:rPr>
          <w:rFonts w:ascii="Century" w:hAnsi="Century" w:cs="Miriam" w:hint="cs"/>
          <w:b/>
          <w:spacing w:val="0"/>
          <w:sz w:val="22"/>
          <w:szCs w:val="24"/>
          <w:rtl/>
        </w:rPr>
        <w:t>לטובת הנישום</w:t>
      </w:r>
      <w:r>
        <w:rPr>
          <w:rFonts w:hint="cs"/>
          <w:rtl/>
        </w:rPr>
        <w:t xml:space="preserve">". השקפה זו יצאה כנראה מההנחה שנכון לעשות אנלוגיה מגישה, שהייתה רווחת אותה שעה לגבי דיני העונשין, לדיני המס, ועל-פיה היה מתפרש החוק לטובת הנאשם, כאילו היה המס בגדר סנקציה </w:t>
      </w:r>
      <w:proofErr w:type="spellStart"/>
      <w:r>
        <w:rPr>
          <w:rFonts w:hint="cs"/>
          <w:rtl/>
        </w:rPr>
        <w:t>עונשית</w:t>
      </w:r>
      <w:proofErr w:type="spellEnd"/>
      <w:r>
        <w:rPr>
          <w:rFonts w:hint="cs"/>
          <w:rtl/>
        </w:rPr>
        <w:t xml:space="preserve">. דומה שאין צורך להכביר במילים כדי להפריך הנחה שגויה זו. כידוע, מערכת המס, חוקי המס והתקנות שמכוחם לא נועדו לענישה או להטלתם של קנסות </w:t>
      </w:r>
      <w:proofErr w:type="spellStart"/>
      <w:r>
        <w:rPr>
          <w:rFonts w:hint="cs"/>
          <w:rtl/>
        </w:rPr>
        <w:t>עונשיים</w:t>
      </w:r>
      <w:proofErr w:type="spellEnd"/>
      <w:r>
        <w:rPr>
          <w:rFonts w:hint="cs"/>
          <w:rtl/>
        </w:rPr>
        <w:t xml:space="preserve">. עניינם של אלה הוא במימון צורכי המדינה, פעילותה והשירותים הציבוריים המוענקים על ידיה" (ההדגשה במקור – א.ש.)). </w:t>
      </w:r>
    </w:p>
    <w:p w:rsidR="00D54C92" w:rsidRDefault="00D54C92" w:rsidP="00D54C92">
      <w:pPr>
        <w:pStyle w:val="Ruller41"/>
        <w:rPr>
          <w:rtl/>
        </w:rPr>
      </w:pPr>
    </w:p>
    <w:p w:rsidR="00D54C92" w:rsidRDefault="00D54C92" w:rsidP="00D54C92">
      <w:pPr>
        <w:pStyle w:val="Ruller4"/>
        <w:numPr>
          <w:ilvl w:val="0"/>
          <w:numId w:val="13"/>
        </w:numPr>
        <w:textAlignment w:val="auto"/>
        <w:rPr>
          <w:rtl/>
        </w:rPr>
      </w:pPr>
      <w:r>
        <w:rPr>
          <w:rFonts w:hint="cs"/>
          <w:rtl/>
        </w:rPr>
        <w:t>דיני המסים שלנו פועלים אפוא במתכונת שונה לגמרי מהדין הפלילי. כוונתי למתכונת של "אמנה חברתית": הסכם-על בין אזרחי המדינה אשר קובע את מידת השיתוף של כל אזרחית ואזרח בהוצאות המדינה אשר מספקת לאזרחיה ביטחון, בריאות, חינוך, והרבה דברים אחרים במטרה להבטיח להם רמת חיים נאותה, צמיחה ומימוש עצמי. כפי שהגדיר זאת השופט</w:t>
      </w:r>
      <w:r>
        <w:rPr>
          <w:rFonts w:ascii="Century" w:hAnsi="Century" w:cs="Miriam" w:hint="cs"/>
          <w:b/>
          <w:spacing w:val="0"/>
          <w:sz w:val="22"/>
          <w:szCs w:val="24"/>
          <w:rtl/>
        </w:rPr>
        <w:t xml:space="preserve"> רובינשטיין</w:t>
      </w:r>
      <w:r>
        <w:rPr>
          <w:rFonts w:hint="cs"/>
          <w:rtl/>
        </w:rPr>
        <w:t xml:space="preserve"> (כתוארו אז) בעניין </w:t>
      </w:r>
      <w:r>
        <w:rPr>
          <w:rFonts w:ascii="Century" w:hAnsi="Century" w:cs="Miriam" w:hint="cs"/>
          <w:b/>
          <w:spacing w:val="0"/>
          <w:sz w:val="22"/>
          <w:szCs w:val="24"/>
          <w:rtl/>
        </w:rPr>
        <w:t>דמארי</w:t>
      </w:r>
      <w:r>
        <w:rPr>
          <w:rFonts w:hint="cs"/>
          <w:rtl/>
        </w:rPr>
        <w:t xml:space="preserve">, </w:t>
      </w:r>
      <w:r>
        <w:rPr>
          <w:rFonts w:ascii="Century" w:hAnsi="Century" w:hint="cs"/>
          <w:sz w:val="22"/>
          <w:rtl/>
        </w:rPr>
        <w:t>"</w:t>
      </w:r>
      <w:r>
        <w:rPr>
          <w:rFonts w:ascii="Century" w:hAnsi="Century" w:cs="Miriam" w:hint="cs"/>
          <w:b/>
          <w:spacing w:val="0"/>
          <w:szCs w:val="24"/>
          <w:rtl/>
        </w:rPr>
        <w:t xml:space="preserve">בחברה המודרנית </w:t>
      </w:r>
      <w:r>
        <w:rPr>
          <w:rFonts w:ascii="Century" w:hAnsi="Century" w:cs="Miriam" w:hint="cs"/>
          <w:b/>
          <w:spacing w:val="0"/>
          <w:szCs w:val="24"/>
          <w:rtl/>
        </w:rPr>
        <w:lastRenderedPageBreak/>
        <w:t>המס מבטא אמנה חברתית</w:t>
      </w:r>
      <w:r>
        <w:rPr>
          <w:rFonts w:ascii="Century" w:hAnsi="Century" w:hint="cs"/>
          <w:rtl/>
        </w:rPr>
        <w:t>, הסכמה עקרונית של כל אזרח לשלם – כמובן, לפי יכולתו הכלכלית – בתמורה לשירותים ולהון חברתי, כלכלי ותרבותי משותף</w:t>
      </w:r>
      <w:r>
        <w:rPr>
          <w:rFonts w:hint="cs"/>
          <w:rtl/>
        </w:rPr>
        <w:t xml:space="preserve"> [...]" (ראו שם, </w:t>
      </w:r>
      <w:r>
        <w:rPr>
          <w:rFonts w:ascii="Century" w:hAnsi="Century" w:hint="cs"/>
          <w:rtl/>
        </w:rPr>
        <w:t xml:space="preserve">פסקה לט לפסק דינו; ההדגשה הוספה – א.ש.). בהקשר זה, </w:t>
      </w:r>
      <w:r>
        <w:rPr>
          <w:rFonts w:hint="cs"/>
          <w:rtl/>
        </w:rPr>
        <w:t xml:space="preserve">ראוי גם שנעמיד לנגד עינינו את דבריו הקולעים של פרופ' יוסף מ' </w:t>
      </w:r>
      <w:proofErr w:type="spellStart"/>
      <w:r>
        <w:rPr>
          <w:rFonts w:hint="cs"/>
          <w:rtl/>
        </w:rPr>
        <w:t>אדרעי</w:t>
      </w:r>
      <w:proofErr w:type="spellEnd"/>
      <w:r>
        <w:rPr>
          <w:rFonts w:hint="cs"/>
          <w:rtl/>
        </w:rPr>
        <w:t xml:space="preserve">, אשר הופיעו בספרו </w:t>
      </w:r>
      <w:r>
        <w:rPr>
          <w:rFonts w:ascii="Century" w:hAnsi="Century" w:cs="Miriam" w:hint="cs"/>
          <w:b/>
          <w:spacing w:val="0"/>
          <w:sz w:val="22"/>
          <w:szCs w:val="24"/>
          <w:rtl/>
        </w:rPr>
        <w:t>מבוא לתורת המסים</w:t>
      </w:r>
      <w:r>
        <w:rPr>
          <w:rFonts w:hint="cs"/>
          <w:rtl/>
        </w:rPr>
        <w:t xml:space="preserve"> (2008): </w:t>
      </w:r>
    </w:p>
    <w:p w:rsidR="00D54C92" w:rsidRDefault="00D54C92" w:rsidP="00D54C92">
      <w:pPr>
        <w:pStyle w:val="Ruller41"/>
        <w:rPr>
          <w:rtl/>
        </w:rPr>
      </w:pPr>
    </w:p>
    <w:p w:rsidR="00D54C92" w:rsidRDefault="00D54C92" w:rsidP="00D54C92">
      <w:pPr>
        <w:pStyle w:val="Ruller5"/>
        <w:rPr>
          <w:rtl/>
        </w:rPr>
      </w:pPr>
      <w:r>
        <w:rPr>
          <w:rFonts w:hint="cs"/>
          <w:rtl/>
        </w:rPr>
        <w:t xml:space="preserve">"[...] </w:t>
      </w:r>
      <w:r>
        <w:rPr>
          <w:rFonts w:ascii="Century" w:hAnsi="Century" w:cs="Miriam" w:hint="cs"/>
          <w:b/>
          <w:spacing w:val="0"/>
          <w:szCs w:val="24"/>
          <w:rtl/>
        </w:rPr>
        <w:t>המס הוא הביטוי הכלכלי לאמנה החברתית שלנו</w:t>
      </w:r>
      <w:r>
        <w:rPr>
          <w:rFonts w:hint="cs"/>
          <w:rtl/>
        </w:rPr>
        <w:t xml:space="preserve">. הוא המחיר שאנו מוכנים לשלם לממשל שאותו בחרנו תמורת הסחורות והשירותים הציבוריים שאנו מבקשים ממנו לספק לנו. המס אינו עונש, לא קנס ולא מכשיר המאפשר לממשל להפקיע את קניינינו. על כן ההקבלה שהייתה מקובלת בעבר בין דיני מסים לדיני עונשין אינה מקובלת עוד" (ראו שם, עמ' 327-326; ההדגשה הוספה – א.ש.).     </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פרשנותם ויישומם של חוקי מס כחלק מהאמנה החברתית, שעליה חתומים כלל אזרחי המדינה, מחייבים את בתי המשפט לאתר את התכליות שהמחוקק ביקש להשיג. אמרתי "תכליות", ולא "תכלית", מאחר שלכל חוק מס – כפי שכבר </w:t>
      </w:r>
      <w:proofErr w:type="spellStart"/>
      <w:r>
        <w:rPr>
          <w:rFonts w:hint="cs"/>
          <w:rtl/>
        </w:rPr>
        <w:t>צויין</w:t>
      </w:r>
      <w:proofErr w:type="spellEnd"/>
      <w:r>
        <w:rPr>
          <w:rFonts w:hint="cs"/>
          <w:rtl/>
        </w:rPr>
        <w:t xml:space="preserve"> לעיל – יש יותר מתכלית אחת (ראו אהרן ברק </w:t>
      </w:r>
      <w:r>
        <w:rPr>
          <w:rFonts w:ascii="Century" w:hAnsi="Century" w:cs="Miriam" w:hint="cs"/>
          <w:b/>
          <w:spacing w:val="0"/>
          <w:sz w:val="22"/>
          <w:szCs w:val="24"/>
          <w:rtl/>
        </w:rPr>
        <w:t>פרשנות במשפט – פרשנות החקיקה</w:t>
      </w:r>
      <w:r>
        <w:rPr>
          <w:rFonts w:hint="cs"/>
          <w:rtl/>
        </w:rPr>
        <w:t xml:space="preserve"> 207-205 (</w:t>
      </w:r>
      <w:proofErr w:type="spellStart"/>
      <w:r>
        <w:rPr>
          <w:rFonts w:hint="cs"/>
          <w:rtl/>
        </w:rPr>
        <w:t>התשנ"ג</w:t>
      </w:r>
      <w:proofErr w:type="spellEnd"/>
      <w:r>
        <w:rPr>
          <w:rFonts w:hint="cs"/>
          <w:rtl/>
        </w:rPr>
        <w:t xml:space="preserve">); וכן עניין </w:t>
      </w:r>
      <w:proofErr w:type="spellStart"/>
      <w:r>
        <w:rPr>
          <w:rFonts w:ascii="Century" w:hAnsi="Century" w:cs="Miriam" w:hint="cs"/>
          <w:b/>
          <w:spacing w:val="0"/>
          <w:sz w:val="22"/>
          <w:szCs w:val="24"/>
          <w:rtl/>
        </w:rPr>
        <w:t>אקסלברד</w:t>
      </w:r>
      <w:proofErr w:type="spellEnd"/>
      <w:r>
        <w:rPr>
          <w:rFonts w:ascii="Century" w:hAnsi="Century" w:hint="cs"/>
          <w:sz w:val="22"/>
          <w:rtl/>
        </w:rPr>
        <w:t>,</w:t>
      </w:r>
      <w:r>
        <w:rPr>
          <w:rFonts w:hint="cs"/>
          <w:rtl/>
        </w:rPr>
        <w:t xml:space="preserve"> פסקה 12 לפסק דינה של השופטת </w:t>
      </w:r>
      <w:proofErr w:type="spellStart"/>
      <w:r>
        <w:rPr>
          <w:rFonts w:cs="Miriam" w:hint="cs"/>
          <w:b/>
          <w:spacing w:val="0"/>
          <w:szCs w:val="24"/>
          <w:rtl/>
        </w:rPr>
        <w:t>בינייש</w:t>
      </w:r>
      <w:proofErr w:type="spellEnd"/>
      <w:r>
        <w:rPr>
          <w:rFonts w:hint="cs"/>
          <w:rtl/>
        </w:rPr>
        <w:t xml:space="preserve"> (כתוארה אז)). בראש סולם התכליות עומדת, כמובן, התכלית הפיסקאלית או הרגולטורית: מיסוי פרוגרסיבי, כמו במקרה של פקודת מס הכנסה וחוק מס שבח, או הכוונת התנהגות, כמו במקרה של בלו ומיסי קניה (ראו </w:t>
      </w:r>
      <w:r>
        <w:rPr>
          <w:rFonts w:ascii="Century" w:hAnsi="Century" w:hint="cs"/>
          <w:sz w:val="22"/>
          <w:rtl/>
        </w:rPr>
        <w:t>ברק "פרשנות דיני המסים"</w:t>
      </w:r>
      <w:r>
        <w:rPr>
          <w:rFonts w:ascii="Century" w:hAnsi="Century" w:hint="cs"/>
          <w:rtl/>
        </w:rPr>
        <w:t>,</w:t>
      </w:r>
      <w:r>
        <w:rPr>
          <w:rFonts w:ascii="Century" w:hAnsi="Century" w:hint="cs"/>
          <w:sz w:val="22"/>
          <w:rtl/>
        </w:rPr>
        <w:t xml:space="preserve"> עמ' </w:t>
      </w:r>
      <w:r>
        <w:rPr>
          <w:rFonts w:ascii="Century" w:hAnsi="Century" w:hint="cs"/>
          <w:rtl/>
        </w:rPr>
        <w:t>434</w:t>
      </w:r>
      <w:r>
        <w:rPr>
          <w:rFonts w:hint="cs"/>
          <w:rtl/>
        </w:rPr>
        <w:t xml:space="preserve">; וכן, למשל, </w:t>
      </w:r>
      <w:r>
        <w:rPr>
          <w:rFonts w:hint="cs"/>
          <w:sz w:val="28"/>
          <w:rtl/>
        </w:rPr>
        <w:t>עניין</w:t>
      </w:r>
      <w:r>
        <w:rPr>
          <w:rFonts w:cs="Miriam" w:hint="cs"/>
          <w:b/>
          <w:spacing w:val="0"/>
          <w:sz w:val="22"/>
          <w:szCs w:val="24"/>
          <w:rtl/>
        </w:rPr>
        <w:t xml:space="preserve"> שי צמרות</w:t>
      </w:r>
      <w:r>
        <w:rPr>
          <w:rFonts w:ascii="Century" w:hAnsi="Century" w:hint="cs"/>
          <w:sz w:val="22"/>
          <w:rtl/>
        </w:rPr>
        <w:t>,</w:t>
      </w:r>
      <w:r>
        <w:rPr>
          <w:rFonts w:cs="Miriam" w:hint="cs"/>
          <w:b/>
          <w:spacing w:val="0"/>
          <w:sz w:val="22"/>
          <w:szCs w:val="24"/>
          <w:rtl/>
        </w:rPr>
        <w:t xml:space="preserve"> </w:t>
      </w:r>
      <w:r>
        <w:rPr>
          <w:rFonts w:hint="cs"/>
          <w:rtl/>
        </w:rPr>
        <w:t>פסקה 39 והאסמכתאות המובאות שם; ובג"ץ 4862/18 ‏</w:t>
      </w:r>
      <w:r>
        <w:rPr>
          <w:rFonts w:ascii="Century" w:hAnsi="Century" w:cs="Miriam" w:hint="cs"/>
          <w:b/>
          <w:spacing w:val="0"/>
          <w:sz w:val="22"/>
          <w:szCs w:val="24"/>
          <w:rtl/>
        </w:rPr>
        <w:t>המיזם הרב מגזרי למיגור העישון נ' שר האוצר</w:t>
      </w:r>
      <w:r>
        <w:rPr>
          <w:rFonts w:hint="cs"/>
          <w:rtl/>
        </w:rPr>
        <w:t>, פסקה 20 (‏4.2.2019)). לצדה של תכלית זו, ישנן תכליות אחרות, שאותן כבר הזכרתי וכיניתי בשם מטרות-משנה של חוקי המס. תכליות אלו צומחות מתוך עקרונות היסוד של השיטה והן כוללות: יצירת ודאות משפטית והגנה על אינטרס ההסתמכות של האזרח; הגנה על קניינו של האזרח; וכן תיחום ברור ככל שניתן של כוחות השררה אשר ניתנו לשלטונות המס (</w:t>
      </w:r>
      <w:r>
        <w:rPr>
          <w:rFonts w:ascii="Century" w:hAnsi="Century" w:hint="cs"/>
          <w:sz w:val="22"/>
          <w:rtl/>
        </w:rPr>
        <w:t xml:space="preserve">ראו, למשל, </w:t>
      </w:r>
      <w:r>
        <w:rPr>
          <w:rFonts w:hint="cs"/>
          <w:rtl/>
        </w:rPr>
        <w:t xml:space="preserve">דברי השופט </w:t>
      </w:r>
      <w:r>
        <w:rPr>
          <w:rFonts w:ascii="Century" w:hAnsi="Century" w:cs="Miriam" w:hint="cs"/>
          <w:b/>
          <w:spacing w:val="0"/>
          <w:sz w:val="22"/>
          <w:szCs w:val="24"/>
          <w:rtl/>
        </w:rPr>
        <w:t xml:space="preserve">א' ברק </w:t>
      </w:r>
      <w:r>
        <w:rPr>
          <w:rFonts w:hint="cs"/>
          <w:rtl/>
        </w:rPr>
        <w:t xml:space="preserve">(כתוארו אז) בעניין </w:t>
      </w:r>
      <w:r>
        <w:rPr>
          <w:rFonts w:ascii="Century" w:hAnsi="Century" w:cs="Miriam" w:hint="cs"/>
          <w:b/>
          <w:spacing w:val="0"/>
          <w:sz w:val="22"/>
          <w:szCs w:val="24"/>
          <w:rtl/>
        </w:rPr>
        <w:t>קיבוץ חצור</w:t>
      </w:r>
      <w:r>
        <w:rPr>
          <w:rFonts w:hint="cs"/>
          <w:rtl/>
        </w:rPr>
        <w:t>, עמ' 77-76 ("</w:t>
      </w:r>
      <w:r>
        <w:rPr>
          <w:rFonts w:ascii="Century" w:hAnsi="Century" w:hint="cs"/>
          <w:sz w:val="22"/>
          <w:rtl/>
        </w:rPr>
        <w:t xml:space="preserve">אחד מאותם עקרונות כלליים, שהוא רלוואנטי לחקיקת מס, הוא השמירה על חופש הפרטי ועל הקניין הפרטי וההגנה עליהם מפני התערבות שלטונית"); </w:t>
      </w:r>
      <w:r>
        <w:rPr>
          <w:rFonts w:hint="cs"/>
          <w:rtl/>
        </w:rPr>
        <w:t xml:space="preserve">דברי השופטת </w:t>
      </w:r>
      <w:r>
        <w:rPr>
          <w:rFonts w:ascii="Century" w:hAnsi="Century" w:cs="Miriam" w:hint="cs"/>
          <w:b/>
          <w:spacing w:val="0"/>
          <w:sz w:val="22"/>
          <w:szCs w:val="24"/>
          <w:rtl/>
        </w:rPr>
        <w:t>ד' ברק-ארז</w:t>
      </w:r>
      <w:r>
        <w:rPr>
          <w:rFonts w:hint="cs"/>
          <w:rtl/>
        </w:rPr>
        <w:t xml:space="preserve"> בעניין </w:t>
      </w:r>
      <w:r>
        <w:rPr>
          <w:rFonts w:ascii="Century" w:hAnsi="Century" w:cs="Miriam" w:hint="cs"/>
          <w:b/>
          <w:spacing w:val="0"/>
          <w:sz w:val="22"/>
          <w:szCs w:val="24"/>
          <w:rtl/>
        </w:rPr>
        <w:t>בר יהודה</w:t>
      </w:r>
      <w:r>
        <w:rPr>
          <w:rFonts w:hint="cs"/>
          <w:rtl/>
        </w:rPr>
        <w:t xml:space="preserve">, פסקה 53 לפסק דינה ("עקרון חשוב נוסף בפרשנותם של דיני המס הוא החתירה לוודאות משפטית, לפשטות וליעילות ביישום – הן מבחינת ציבור הנישומים והן מבחינתה של רשות המסים [...]. ודאות משפטית בדיני המס תורמת לצמצומן של ההתדיינויות המשפטיות בין הרשויות הרלוונטיות לבין הנישומים. היא גם מאפשרת לנישום לכלכל את צעדיו מראש </w:t>
      </w:r>
      <w:r>
        <w:rPr>
          <w:rFonts w:hint="cs"/>
          <w:rtl/>
        </w:rPr>
        <w:lastRenderedPageBreak/>
        <w:t xml:space="preserve">ובתבונה"); </w:t>
      </w:r>
      <w:r>
        <w:rPr>
          <w:rFonts w:ascii="Century" w:hAnsi="Century" w:hint="cs"/>
          <w:sz w:val="22"/>
          <w:rtl/>
        </w:rPr>
        <w:t xml:space="preserve">ע"א 3568/16 </w:t>
      </w:r>
      <w:r>
        <w:rPr>
          <w:rFonts w:ascii="Century" w:hAnsi="Century" w:cs="Miriam" w:hint="cs"/>
          <w:b/>
          <w:spacing w:val="0"/>
          <w:sz w:val="22"/>
          <w:szCs w:val="24"/>
          <w:rtl/>
        </w:rPr>
        <w:t>‏תיעוש אחזקה ותפעול מערכות בע"מ נ' פקיד שומה כפר סבא</w:t>
      </w:r>
      <w:r>
        <w:rPr>
          <w:rFonts w:ascii="Century" w:hAnsi="Century" w:hint="cs"/>
          <w:sz w:val="22"/>
          <w:rtl/>
        </w:rPr>
        <w:t>, פסקה 63 (16.8.2018) ("הזכות לתכנון מס הוכרה כחלק מזכות הקניין של הנישום, על רקע תפיסת ההגנה על הקניין הפרטי [...]</w:t>
      </w:r>
      <w:r>
        <w:rPr>
          <w:rFonts w:hint="cs"/>
          <w:rtl/>
        </w:rPr>
        <w:t xml:space="preserve">"); </w:t>
      </w:r>
      <w:r>
        <w:rPr>
          <w:rFonts w:ascii="Century" w:hAnsi="Century" w:hint="cs"/>
          <w:sz w:val="22"/>
          <w:rtl/>
        </w:rPr>
        <w:t>עניין</w:t>
      </w:r>
      <w:r>
        <w:rPr>
          <w:rFonts w:hint="cs"/>
          <w:rtl/>
        </w:rPr>
        <w:t xml:space="preserve"> </w:t>
      </w:r>
      <w:r>
        <w:rPr>
          <w:rFonts w:ascii="Century" w:hAnsi="Century" w:cs="Miriam" w:hint="cs"/>
          <w:b/>
          <w:spacing w:val="0"/>
          <w:sz w:val="22"/>
          <w:szCs w:val="24"/>
          <w:rtl/>
        </w:rPr>
        <w:t>פגי</w:t>
      </w:r>
      <w:r>
        <w:rPr>
          <w:rFonts w:hint="cs"/>
          <w:rtl/>
        </w:rPr>
        <w:t xml:space="preserve">, </w:t>
      </w:r>
      <w:r>
        <w:rPr>
          <w:rFonts w:hint="cs"/>
          <w:sz w:val="28"/>
          <w:rtl/>
        </w:rPr>
        <w:t xml:space="preserve">פסקה 26 לפסק דינו של השופט </w:t>
      </w:r>
      <w:r>
        <w:rPr>
          <w:rFonts w:ascii="Century" w:hAnsi="Century" w:cs="Miriam" w:hint="cs"/>
          <w:b/>
          <w:spacing w:val="0"/>
          <w:sz w:val="22"/>
          <w:szCs w:val="24"/>
          <w:rtl/>
        </w:rPr>
        <w:t xml:space="preserve">י' </w:t>
      </w:r>
      <w:proofErr w:type="spellStart"/>
      <w:r>
        <w:rPr>
          <w:rFonts w:ascii="Century" w:hAnsi="Century" w:cs="Miriam" w:hint="cs"/>
          <w:b/>
          <w:spacing w:val="0"/>
          <w:sz w:val="22"/>
          <w:szCs w:val="24"/>
          <w:rtl/>
        </w:rPr>
        <w:t>דנציגר</w:t>
      </w:r>
      <w:proofErr w:type="spellEnd"/>
      <w:r>
        <w:rPr>
          <w:rFonts w:hint="cs"/>
          <w:sz w:val="28"/>
          <w:rtl/>
        </w:rPr>
        <w:t xml:space="preserve"> (שלפיה פרשנות מקובלת של חוקי מס מונעת, בין היתר, על ידי הגנה מפני "פגיעה בזכותו החוקתית [של הנישום] לקניין"); </w:t>
      </w:r>
      <w:proofErr w:type="spellStart"/>
      <w:r>
        <w:rPr>
          <w:rFonts w:ascii="Century" w:hAnsi="Century" w:hint="cs"/>
          <w:sz w:val="22"/>
          <w:rtl/>
        </w:rPr>
        <w:t>עע"מ</w:t>
      </w:r>
      <w:proofErr w:type="spellEnd"/>
      <w:r>
        <w:rPr>
          <w:rFonts w:ascii="Century" w:hAnsi="Century" w:hint="cs"/>
          <w:sz w:val="22"/>
          <w:rtl/>
        </w:rPr>
        <w:t xml:space="preserve"> 4562/15 </w:t>
      </w:r>
      <w:r>
        <w:rPr>
          <w:rFonts w:ascii="Century" w:hAnsi="Century" w:cs="Miriam" w:hint="cs"/>
          <w:b/>
          <w:spacing w:val="0"/>
          <w:sz w:val="22"/>
          <w:szCs w:val="24"/>
          <w:rtl/>
        </w:rPr>
        <w:t>‏עיריית תל אביב נ' א.ש. נכסים ובנין (1989) בע"מ</w:t>
      </w:r>
      <w:r>
        <w:rPr>
          <w:rFonts w:hint="cs"/>
          <w:sz w:val="22"/>
          <w:rtl/>
        </w:rPr>
        <w:t>,</w:t>
      </w:r>
      <w:r>
        <w:rPr>
          <w:rFonts w:ascii="Century" w:hAnsi="Century" w:hint="cs"/>
          <w:sz w:val="22"/>
          <w:rtl/>
        </w:rPr>
        <w:t xml:space="preserve"> פסקה 19</w:t>
      </w:r>
      <w:r>
        <w:rPr>
          <w:rFonts w:hint="cs"/>
          <w:sz w:val="22"/>
          <w:rtl/>
        </w:rPr>
        <w:t xml:space="preserve"> לפסק דינו של השופט </w:t>
      </w:r>
      <w:r>
        <w:rPr>
          <w:rFonts w:ascii="Century" w:hAnsi="Century" w:cs="Miriam" w:hint="cs"/>
          <w:b/>
          <w:spacing w:val="0"/>
          <w:sz w:val="22"/>
          <w:szCs w:val="24"/>
          <w:rtl/>
        </w:rPr>
        <w:t>י' עמית</w:t>
      </w:r>
      <w:r>
        <w:rPr>
          <w:rFonts w:hint="cs"/>
          <w:sz w:val="22"/>
          <w:rtl/>
        </w:rPr>
        <w:t xml:space="preserve"> (</w:t>
      </w:r>
      <w:r>
        <w:rPr>
          <w:rFonts w:ascii="Century" w:hAnsi="Century" w:hint="cs"/>
          <w:sz w:val="22"/>
          <w:rtl/>
        </w:rPr>
        <w:t>31.1.2017</w:t>
      </w:r>
      <w:r>
        <w:rPr>
          <w:rFonts w:hint="cs"/>
          <w:sz w:val="22"/>
          <w:rtl/>
        </w:rPr>
        <w:t xml:space="preserve">); </w:t>
      </w:r>
      <w:r>
        <w:rPr>
          <w:rFonts w:hint="cs"/>
          <w:rtl/>
        </w:rPr>
        <w:t xml:space="preserve">וכן ע"א 10071/16 </w:t>
      </w:r>
      <w:r>
        <w:rPr>
          <w:rFonts w:ascii="Century" w:hAnsi="Century" w:cs="Miriam" w:hint="cs"/>
          <w:b/>
          <w:spacing w:val="0"/>
          <w:sz w:val="22"/>
          <w:szCs w:val="24"/>
          <w:rtl/>
        </w:rPr>
        <w:t xml:space="preserve">‏מנהל מס ערך מוסף – תל אביב 3 נ' </w:t>
      </w:r>
      <w:proofErr w:type="spellStart"/>
      <w:r>
        <w:rPr>
          <w:rFonts w:ascii="Century" w:hAnsi="Century" w:cs="Miriam" w:hint="cs"/>
          <w:b/>
          <w:spacing w:val="0"/>
          <w:sz w:val="22"/>
          <w:szCs w:val="24"/>
          <w:rtl/>
        </w:rPr>
        <w:t>טי.גי.די</w:t>
      </w:r>
      <w:proofErr w:type="spellEnd"/>
      <w:r>
        <w:rPr>
          <w:rFonts w:ascii="Century" w:hAnsi="Century" w:cs="Miriam" w:hint="cs"/>
          <w:b/>
          <w:spacing w:val="0"/>
          <w:sz w:val="22"/>
          <w:szCs w:val="24"/>
          <w:rtl/>
        </w:rPr>
        <w:t xml:space="preserve"> הובלות בע"מ</w:t>
      </w:r>
      <w:r>
        <w:rPr>
          <w:rFonts w:hint="cs"/>
          <w:rtl/>
        </w:rPr>
        <w:t xml:space="preserve">, פסק דינה של השופטת </w:t>
      </w:r>
      <w:r>
        <w:rPr>
          <w:rFonts w:ascii="Century" w:hAnsi="Century" w:cs="Miriam" w:hint="cs"/>
          <w:b/>
          <w:spacing w:val="0"/>
          <w:sz w:val="22"/>
          <w:szCs w:val="24"/>
          <w:rtl/>
        </w:rPr>
        <w:t>ברק-ארז</w:t>
      </w:r>
      <w:r>
        <w:rPr>
          <w:rFonts w:hint="cs"/>
          <w:rtl/>
        </w:rPr>
        <w:t xml:space="preserve"> (9.5.2018), אשר מונה "הוגנות, [...] ודאות ויעילות </w:t>
      </w:r>
      <w:proofErr w:type="spellStart"/>
      <w:r>
        <w:rPr>
          <w:rFonts w:hint="cs"/>
          <w:rtl/>
        </w:rPr>
        <w:t>מינהלית</w:t>
      </w:r>
      <w:proofErr w:type="spellEnd"/>
      <w:r>
        <w:rPr>
          <w:rFonts w:hint="cs"/>
          <w:rtl/>
        </w:rPr>
        <w:t xml:space="preserve">" בין </w:t>
      </w:r>
      <w:proofErr w:type="spellStart"/>
      <w:r>
        <w:rPr>
          <w:rFonts w:hint="cs"/>
          <w:rtl/>
        </w:rPr>
        <w:t>הרציונלים</w:t>
      </w:r>
      <w:proofErr w:type="spellEnd"/>
      <w:r>
        <w:rPr>
          <w:rFonts w:hint="cs"/>
          <w:rtl/>
        </w:rPr>
        <w:t xml:space="preserve"> של חוקי המס). תכליות אלו באות לידי ביטוי גם בהחלטתו העקרונית של המחוקק לעצב את דיני המסים שלנו באמצעות כללים וקטלוגים פרטניים, שאינם משאירים שיקול-דעת רחב בידי הרשויות ובתי המשפט, ולא באמצעות סטנדרטים כלליים (ראו </w:t>
      </w:r>
      <w:r>
        <w:rPr>
          <w:rFonts w:asciiTheme="majorBidi" w:hAnsiTheme="majorBidi" w:cstheme="majorBidi"/>
        </w:rPr>
        <w:t xml:space="preserve">Gideon </w:t>
      </w:r>
      <w:proofErr w:type="spellStart"/>
      <w:r>
        <w:rPr>
          <w:rFonts w:asciiTheme="majorBidi" w:hAnsiTheme="majorBidi" w:cstheme="majorBidi"/>
        </w:rPr>
        <w:t>Parchomovsky</w:t>
      </w:r>
      <w:proofErr w:type="spellEnd"/>
      <w:r>
        <w:rPr>
          <w:rFonts w:asciiTheme="majorBidi" w:hAnsiTheme="majorBidi" w:cstheme="majorBidi"/>
        </w:rPr>
        <w:t xml:space="preserve"> &amp; Alex Stein, </w:t>
      </w:r>
      <w:r>
        <w:rPr>
          <w:rFonts w:asciiTheme="majorBidi" w:hAnsiTheme="majorBidi" w:cstheme="majorBidi"/>
          <w:i/>
          <w:iCs/>
        </w:rPr>
        <w:t>Catalogs</w:t>
      </w:r>
      <w:r>
        <w:rPr>
          <w:rFonts w:asciiTheme="majorBidi" w:hAnsiTheme="majorBidi" w:cstheme="majorBidi"/>
        </w:rPr>
        <w:t xml:space="preserve">, 115 </w:t>
      </w:r>
      <w:r>
        <w:rPr>
          <w:rFonts w:asciiTheme="majorBidi" w:hAnsiTheme="majorBidi" w:cstheme="majorBidi"/>
          <w:smallCaps/>
        </w:rPr>
        <w:t>Colum. L. Rev.</w:t>
      </w:r>
      <w:r>
        <w:rPr>
          <w:rFonts w:asciiTheme="majorBidi" w:hAnsiTheme="majorBidi" w:cstheme="majorBidi"/>
        </w:rPr>
        <w:t xml:space="preserve"> 165, 205-208 (2015)</w:t>
      </w:r>
      <w:r>
        <w:rPr>
          <w:rFonts w:hint="cs"/>
          <w:rtl/>
        </w:rPr>
        <w:t xml:space="preserve">). </w:t>
      </w:r>
    </w:p>
    <w:p w:rsidR="00D54C92" w:rsidRDefault="00D54C92" w:rsidP="00D54C92">
      <w:pPr>
        <w:pStyle w:val="Ruller41"/>
        <w:rPr>
          <w:rtl/>
        </w:rPr>
      </w:pPr>
    </w:p>
    <w:p w:rsidR="00D54C92" w:rsidRDefault="00D54C92" w:rsidP="00FA49A7">
      <w:pPr>
        <w:pStyle w:val="Ruller4"/>
        <w:numPr>
          <w:ilvl w:val="0"/>
          <w:numId w:val="13"/>
        </w:numPr>
        <w:textAlignment w:val="auto"/>
      </w:pPr>
      <w:r>
        <w:rPr>
          <w:rFonts w:hint="cs"/>
          <w:rtl/>
        </w:rPr>
        <w:t>מן המקובץ עולה, כי על הפרשן של חוק מס ליתן עדיפות לפרשנות אשר מקדמת את כל תכליותיו של החוק: התכלית הפיסקלית או הרגולטורית; ודאות משפטית</w:t>
      </w:r>
      <w:r w:rsidR="006440AD">
        <w:rPr>
          <w:rFonts w:hint="cs"/>
          <w:rtl/>
        </w:rPr>
        <w:t xml:space="preserve"> והגנה על אינטרס ההסתמכות של הנישום</w:t>
      </w:r>
      <w:r>
        <w:rPr>
          <w:rFonts w:hint="cs"/>
          <w:rtl/>
        </w:rPr>
        <w:t xml:space="preserve">; הגנה על קניינו של הנישום; ותיחום סמכויותיהם של שלטונות המס. פרשנות זו תשקף נאמנה את כוונת המחוקק, שכן חזקה היא כי המחוקק חפץ בהגשמתן של כל התכליות שהציב לעצמו (ראו אהרן ברק </w:t>
      </w:r>
      <w:r>
        <w:rPr>
          <w:rFonts w:ascii="Century" w:hAnsi="Century" w:cs="Miriam" w:hint="cs"/>
          <w:b/>
          <w:spacing w:val="0"/>
          <w:sz w:val="22"/>
          <w:szCs w:val="24"/>
          <w:rtl/>
        </w:rPr>
        <w:t xml:space="preserve">פרשנות תכליתית במשפט </w:t>
      </w:r>
      <w:r>
        <w:rPr>
          <w:rFonts w:hint="cs"/>
          <w:rtl/>
        </w:rPr>
        <w:t xml:space="preserve">161 (2003)). לחזקה זו ראוי לקרוא "חזקת התאמה", בהתאם למינוח שטבע הנשיא </w:t>
      </w:r>
      <w:r>
        <w:rPr>
          <w:rFonts w:ascii="Century" w:hAnsi="Century" w:cs="Miriam" w:hint="cs"/>
          <w:b/>
          <w:spacing w:val="0"/>
          <w:sz w:val="22"/>
          <w:szCs w:val="24"/>
          <w:rtl/>
        </w:rPr>
        <w:t>ברק</w:t>
      </w:r>
      <w:r>
        <w:rPr>
          <w:rFonts w:hint="cs"/>
          <w:rtl/>
        </w:rPr>
        <w:t xml:space="preserve"> (שם, עמ' 162-161). בגדרם של חוקי מס, התאמה כאמור – וכן הגשמת כל התכליות של החוק – תתקיים בכל אחד ממקרים אלו:</w:t>
      </w:r>
    </w:p>
    <w:p w:rsidR="00D54C92" w:rsidRDefault="00D54C92" w:rsidP="00D54C92">
      <w:pPr>
        <w:pStyle w:val="Ruller41"/>
        <w:rPr>
          <w:rtl/>
        </w:rPr>
      </w:pPr>
    </w:p>
    <w:p w:rsidR="00D54C92" w:rsidRDefault="00D54C92" w:rsidP="00D54C92">
      <w:pPr>
        <w:pStyle w:val="Ruller41"/>
        <w:numPr>
          <w:ilvl w:val="0"/>
          <w:numId w:val="14"/>
        </w:numPr>
        <w:textAlignment w:val="auto"/>
      </w:pPr>
      <w:r>
        <w:rPr>
          <w:rFonts w:hint="cs"/>
          <w:rtl/>
        </w:rPr>
        <w:t xml:space="preserve"> חוק מס שלשונו הינה חד-משמעית ואינה ניתנת לפירושים סבירים נוספים. במצב דברים זה, חייב הפרשן לאמץ את לשון החוק כמות שהיא.</w:t>
      </w:r>
    </w:p>
    <w:p w:rsidR="00D54C92" w:rsidRDefault="00D54C92" w:rsidP="00D54C92">
      <w:pPr>
        <w:pStyle w:val="Ruller41"/>
        <w:ind w:left="1160"/>
        <w:textAlignment w:val="auto"/>
        <w:rPr>
          <w:rtl/>
        </w:rPr>
      </w:pPr>
    </w:p>
    <w:p w:rsidR="00D54C92" w:rsidRDefault="00D54C92" w:rsidP="00D54C92">
      <w:pPr>
        <w:pStyle w:val="Ruller41"/>
        <w:numPr>
          <w:ilvl w:val="0"/>
          <w:numId w:val="14"/>
        </w:numPr>
        <w:textAlignment w:val="auto"/>
      </w:pPr>
      <w:r>
        <w:rPr>
          <w:rFonts w:hint="cs"/>
          <w:rtl/>
        </w:rPr>
        <w:t xml:space="preserve"> חוק מס שלשונו איננה חד-משמעית, אך יש לו תכלית פיסקלית או רגולטורית ברורה. במצב דברים זה, על הפרשן לאמץ את המשמעות הלשונית של החוק אשר מגשימה את תכליתו הברורה (ראו </w:t>
      </w:r>
      <w:r>
        <w:rPr>
          <w:rFonts w:ascii="Century" w:hAnsi="Century" w:hint="cs"/>
          <w:rtl/>
        </w:rPr>
        <w:t>עניין</w:t>
      </w:r>
      <w:r>
        <w:rPr>
          <w:rFonts w:cs="Miriam" w:hint="cs"/>
          <w:b/>
          <w:spacing w:val="0"/>
          <w:szCs w:val="24"/>
          <w:rtl/>
        </w:rPr>
        <w:t xml:space="preserve"> קיבוץ חצור</w:t>
      </w:r>
      <w:r>
        <w:rPr>
          <w:rFonts w:ascii="FrankRuehl" w:hAnsi="FrankRuehl" w:hint="cs"/>
          <w:b/>
          <w:spacing w:val="0"/>
          <w:sz w:val="28"/>
          <w:rtl/>
        </w:rPr>
        <w:t>, 75).</w:t>
      </w:r>
    </w:p>
    <w:p w:rsidR="00D54C92" w:rsidRDefault="00D54C92" w:rsidP="00D54C92">
      <w:pPr>
        <w:pStyle w:val="Ruller41"/>
        <w:ind w:left="1160"/>
      </w:pPr>
    </w:p>
    <w:p w:rsidR="00D54C92" w:rsidRDefault="00D54C92" w:rsidP="00D54C92">
      <w:pPr>
        <w:pStyle w:val="Ruller41"/>
        <w:numPr>
          <w:ilvl w:val="0"/>
          <w:numId w:val="14"/>
        </w:numPr>
        <w:textAlignment w:val="auto"/>
      </w:pPr>
      <w:r>
        <w:rPr>
          <w:rFonts w:hint="cs"/>
          <w:rtl/>
        </w:rPr>
        <w:lastRenderedPageBreak/>
        <w:t xml:space="preserve">חוק מס שפתוח לכמה פירושים לשוניים ותכליתו הפיסקלית או הרגולטורית אף היא איננה ברורה. במצב דברים זה, על הפרשן לאמץ את המשמעות הלשונית של החוק אשר מיטיבה עם הנישום (ראו </w:t>
      </w:r>
      <w:r>
        <w:rPr>
          <w:rFonts w:ascii="Century" w:hAnsi="Century" w:hint="cs"/>
          <w:rtl/>
        </w:rPr>
        <w:t>עניין</w:t>
      </w:r>
      <w:r>
        <w:rPr>
          <w:rFonts w:ascii="Century" w:hAnsi="Century" w:cs="Miriam" w:hint="cs"/>
          <w:b/>
          <w:spacing w:val="0"/>
          <w:szCs w:val="24"/>
          <w:rtl/>
        </w:rPr>
        <w:t xml:space="preserve"> המשביר</w:t>
      </w:r>
      <w:r>
        <w:rPr>
          <w:rFonts w:ascii="Century" w:hAnsi="Century" w:hint="cs"/>
          <w:rtl/>
        </w:rPr>
        <w:t>, עמ' 1769).</w:t>
      </w:r>
      <w:r>
        <w:rPr>
          <w:rFonts w:hint="cs"/>
          <w:rtl/>
        </w:rPr>
        <w:t xml:space="preserve"> </w:t>
      </w:r>
    </w:p>
    <w:p w:rsidR="00D54C92" w:rsidRDefault="00D54C92" w:rsidP="00D54C92">
      <w:pPr>
        <w:pStyle w:val="Ruller41"/>
        <w:rPr>
          <w:rtl/>
        </w:rPr>
      </w:pPr>
    </w:p>
    <w:p w:rsidR="00D54C92" w:rsidRDefault="00D54C92" w:rsidP="00D54C92">
      <w:pPr>
        <w:pStyle w:val="Ruller41"/>
        <w:rPr>
          <w:rFonts w:ascii="Century" w:hAnsi="Century" w:cs="Miriam"/>
          <w:b/>
          <w:spacing w:val="0"/>
          <w:szCs w:val="24"/>
          <w:rtl/>
        </w:rPr>
      </w:pPr>
      <w:r>
        <w:rPr>
          <w:rFonts w:ascii="Century" w:hAnsi="Century" w:cs="Miriam" w:hint="cs"/>
          <w:b/>
          <w:spacing w:val="0"/>
          <w:szCs w:val="24"/>
          <w:rtl/>
        </w:rPr>
        <w:t>מן הכלל אל הפרט</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במקרה דנן, יישומם של כללי פרשנות אלה מוביל למסקנה ברורה וחד-משמעית: הזכאות לפריסה לפי סעיף 48א(ה)(1) לחוק מס שבח הוענקה אך ורק לנישומים בשר-ודם, ולא לחברות. הקניית זכאות זו לחברות, אשר משלמות מס אחיד, תסכל את התכלית של מיסוי פרוגרסיבי בה בחר המחוקק ותפגע בצדק אופקי ואנכי. הצורך להגן על קניינו של הנישום ועל אינטרס ההסתמכות שלו איננו תומך במתן הזכאות הנ"ל לחברות רק בשל הכללתן בהגדרת הביטוי "המוכר". הסיבה לכך הינה פשוטה: שום תאגיד לא יכול לגבש הסתמכות סבירה על הזכאות הנ"ל בזכות היותו "המוכר" לצרכיו של סעיף 48א(ה)(1) לחוק מס שבח, שכן המילה "כדלקמן" ומה שבא אחריה באותו סעיף ממש יוצרים מנגנון למימוש הזכאות רק עבור נישומים בשר-ודם ולא עבור חברות. העדרו של מנגנון למימוש הזכאות בעבור חברות, וכן העדרו של מנגנון למימושה של זכאות מקבילה לפי סעיף 91(ה)(1) לפקודת מס הכנסה, שוללים על כן את האפשרות שמנהלי חברות ויועציהן יסתמכו על הזכאות בעבור חברות. ייחודו של מנגנון המימוש של הזכאות לנישומים בשר-ודם אמור לשמש אצל מתכנני מס חברות אות אזהרה, אם לא "דגל אדום". מבחינת הוודאות המשפטית ותיחום הסמכויות של שלטונות המס, שני הפירושים – זה שמעניק לחברות את הזכאות לפריסה וזה ששולל מהן את הזכאות – הינם שקולים זה לזה. הפועל היוצא הוא שהפירוש אשר מייחד את הזכאות לפריסה לנישומים בשר-ודם הוא הפירוש הנכון אשר משקף נאמנה את מטרות החוק.</w:t>
      </w:r>
    </w:p>
    <w:p w:rsidR="00D54C92" w:rsidRDefault="00D54C92" w:rsidP="00D54C92">
      <w:pPr>
        <w:pStyle w:val="Ruller41"/>
        <w:rPr>
          <w:rtl/>
        </w:rPr>
      </w:pPr>
    </w:p>
    <w:p w:rsidR="00D54C92" w:rsidRDefault="00D54C92" w:rsidP="00D54C92">
      <w:pPr>
        <w:pStyle w:val="Ruller4"/>
        <w:numPr>
          <w:ilvl w:val="0"/>
          <w:numId w:val="13"/>
        </w:numPr>
        <w:textAlignment w:val="auto"/>
      </w:pPr>
      <w:r>
        <w:rPr>
          <w:rFonts w:hint="cs"/>
          <w:rtl/>
        </w:rPr>
        <w:t xml:space="preserve">סוף דבר: הנני מציע לחבריי כי נקבל את הערעור ונקבע שהזכאות לפריסת השבח הריאלי לפי סעיף 48א(ה)(1) לחוק מיסוי מקרקעין (שבח ורכישה), התשכ"ג-1963, נועדה לנישומים יחידים בשר-ודם, ולא נועדה לחברות. </w:t>
      </w:r>
    </w:p>
    <w:p w:rsidR="00D54C92" w:rsidRDefault="00D54C92" w:rsidP="00D54C92">
      <w:pPr>
        <w:pStyle w:val="Ruller4"/>
        <w:numPr>
          <w:ilvl w:val="0"/>
          <w:numId w:val="0"/>
        </w:numPr>
        <w:rPr>
          <w:rtl/>
        </w:rPr>
      </w:pPr>
    </w:p>
    <w:p w:rsidR="00D54C92" w:rsidRDefault="00D54C92" w:rsidP="00D54C92">
      <w:pPr>
        <w:pStyle w:val="Ruller4"/>
        <w:numPr>
          <w:ilvl w:val="0"/>
          <w:numId w:val="0"/>
        </w:numPr>
        <w:rPr>
          <w:rtl/>
        </w:rPr>
      </w:pPr>
      <w:r>
        <w:rPr>
          <w:rFonts w:hint="cs"/>
          <w:rtl/>
        </w:rPr>
        <w:tab/>
        <w:t>בנסיבות העניין, הנני מציע כי לא נעשה צו להוצאות.</w:t>
      </w:r>
    </w:p>
    <w:p w:rsidR="00BB0A67" w:rsidRPr="00BB0A67" w:rsidRDefault="00BB0A67" w:rsidP="00BB0A67">
      <w:pPr>
        <w:pStyle w:val="Ruller41"/>
      </w:pPr>
    </w:p>
    <w:tbl>
      <w:tblPr>
        <w:bidiVisual/>
        <w:tblW w:w="8363" w:type="dxa"/>
        <w:tblLook w:val="01E0" w:firstRow="1" w:lastRow="1" w:firstColumn="1" w:lastColumn="1" w:noHBand="0" w:noVBand="0"/>
      </w:tblPr>
      <w:tblGrid>
        <w:gridCol w:w="2786"/>
        <w:gridCol w:w="2787"/>
        <w:gridCol w:w="2790"/>
      </w:tblGrid>
      <w:tr w:rsidR="00D54C92" w:rsidTr="00F54C94">
        <w:tc>
          <w:tcPr>
            <w:tcW w:w="2786" w:type="dxa"/>
          </w:tcPr>
          <w:p w:rsidR="00D54C92" w:rsidRDefault="00D54C92">
            <w:pPr>
              <w:pStyle w:val="Ruller41"/>
              <w:rPr>
                <w:rtl/>
              </w:rPr>
            </w:pPr>
          </w:p>
        </w:tc>
        <w:tc>
          <w:tcPr>
            <w:tcW w:w="2787" w:type="dxa"/>
          </w:tcPr>
          <w:p w:rsidR="00D54C92" w:rsidRDefault="00D54C92">
            <w:pPr>
              <w:pStyle w:val="Ruller41"/>
              <w:jc w:val="center"/>
              <w:rPr>
                <w:rtl/>
              </w:rPr>
            </w:pPr>
          </w:p>
        </w:tc>
        <w:tc>
          <w:tcPr>
            <w:tcW w:w="2790" w:type="dxa"/>
            <w:hideMark/>
          </w:tcPr>
          <w:p w:rsidR="00D54C92" w:rsidRDefault="00D54C92">
            <w:pPr>
              <w:pStyle w:val="Ruller41"/>
              <w:jc w:val="right"/>
              <w:rPr>
                <w:rtl/>
              </w:rPr>
            </w:pPr>
            <w:r>
              <w:rPr>
                <w:rFonts w:hint="cs"/>
                <w:rtl/>
              </w:rPr>
              <w:t>ש ו פ ט</w:t>
            </w:r>
          </w:p>
        </w:tc>
      </w:tr>
    </w:tbl>
    <w:p w:rsidR="00D54C92" w:rsidRDefault="00D54C92" w:rsidP="00D54C92">
      <w:pPr>
        <w:pStyle w:val="Ruller41"/>
        <w:rPr>
          <w:rtl/>
        </w:rPr>
      </w:pPr>
    </w:p>
    <w:p w:rsidR="00F10F35" w:rsidRDefault="00F10F35" w:rsidP="00D54C92">
      <w:pPr>
        <w:pStyle w:val="Ruller41"/>
        <w:rPr>
          <w:rtl/>
        </w:rPr>
      </w:pPr>
    </w:p>
    <w:p w:rsidR="00F10F35" w:rsidRDefault="00F10F35" w:rsidP="00D54C92">
      <w:pPr>
        <w:pStyle w:val="Ruller41"/>
        <w:rPr>
          <w:rtl/>
        </w:rPr>
      </w:pPr>
    </w:p>
    <w:p w:rsidR="00090DE8" w:rsidRDefault="00090DE8" w:rsidP="00090DE8">
      <w:pPr>
        <w:pStyle w:val="BODYVERDICT"/>
        <w:rPr>
          <w:rFonts w:cs="Miriam"/>
          <w:sz w:val="24"/>
          <w:szCs w:val="24"/>
          <w:u w:val="single"/>
          <w:rtl/>
        </w:rPr>
      </w:pPr>
      <w:r>
        <w:rPr>
          <w:rFonts w:cs="Miriam"/>
          <w:sz w:val="24"/>
          <w:szCs w:val="24"/>
          <w:u w:val="single"/>
          <w:rtl/>
        </w:rPr>
        <w:lastRenderedPageBreak/>
        <w:t>המשנה לנשיאה ח' מלצר</w:t>
      </w:r>
      <w:r w:rsidRPr="00B66947">
        <w:rPr>
          <w:rFonts w:cs="Miriam"/>
          <w:sz w:val="24"/>
          <w:szCs w:val="24"/>
          <w:rtl/>
        </w:rPr>
        <w:t>:</w:t>
      </w:r>
    </w:p>
    <w:p w:rsidR="00090DE8" w:rsidRDefault="00090DE8" w:rsidP="00090DE8">
      <w:pPr>
        <w:pStyle w:val="BODYVERDICT"/>
        <w:rPr>
          <w:rFonts w:cs="Miriam"/>
          <w:sz w:val="24"/>
          <w:szCs w:val="24"/>
          <w:u w:val="single"/>
          <w:rtl/>
        </w:rPr>
      </w:pPr>
    </w:p>
    <w:p w:rsidR="00090DE8" w:rsidRDefault="00090DE8" w:rsidP="00090DE8">
      <w:pPr>
        <w:pStyle w:val="BODYVERDICT"/>
        <w:rPr>
          <w:rFonts w:cs="Miriam"/>
          <w:sz w:val="24"/>
          <w:szCs w:val="24"/>
          <w:u w:val="single"/>
          <w:rtl/>
        </w:rPr>
      </w:pPr>
    </w:p>
    <w:p w:rsidR="00090DE8" w:rsidRDefault="00090DE8" w:rsidP="00090DE8">
      <w:pPr>
        <w:pStyle w:val="BODYVERDICT"/>
        <w:rPr>
          <w:rFonts w:cs="Miriam"/>
          <w:sz w:val="24"/>
          <w:szCs w:val="24"/>
          <w:u w:val="single"/>
          <w:rtl/>
        </w:rPr>
      </w:pPr>
    </w:p>
    <w:p w:rsidR="00090DE8" w:rsidRDefault="00090DE8" w:rsidP="00090DE8">
      <w:pPr>
        <w:pStyle w:val="af0"/>
        <w:numPr>
          <w:ilvl w:val="0"/>
          <w:numId w:val="15"/>
        </w:numPr>
        <w:bidi/>
        <w:spacing w:line="360" w:lineRule="auto"/>
        <w:ind w:hanging="52"/>
        <w:jc w:val="both"/>
        <w:rPr>
          <w:rFonts w:ascii="Century" w:hAnsi="Century" w:cs="FrankRuehl"/>
          <w:spacing w:val="10"/>
          <w:szCs w:val="28"/>
        </w:rPr>
      </w:pPr>
      <w:r>
        <w:rPr>
          <w:rFonts w:ascii="Century" w:hAnsi="Century" w:cs="FrankRuehl" w:hint="cs"/>
          <w:spacing w:val="10"/>
          <w:szCs w:val="28"/>
          <w:rtl/>
        </w:rPr>
        <w:t xml:space="preserve">בנסיבות העניין </w:t>
      </w:r>
      <w:r>
        <w:rPr>
          <w:rFonts w:ascii="Century" w:hAnsi="Century" w:cs="FrankRuehl"/>
          <w:spacing w:val="10"/>
          <w:szCs w:val="28"/>
          <w:rtl/>
        </w:rPr>
        <w:t>–</w:t>
      </w:r>
      <w:r>
        <w:rPr>
          <w:rFonts w:ascii="Century" w:hAnsi="Century" w:cs="FrankRuehl" w:hint="cs"/>
          <w:spacing w:val="10"/>
          <w:szCs w:val="28"/>
          <w:rtl/>
        </w:rPr>
        <w:t xml:space="preserve"> הנני מצטרף לתוצאה המוצעת על-ידי חברי, השופט</w:t>
      </w:r>
      <w:r>
        <w:rPr>
          <w:rFonts w:ascii="Century" w:hAnsi="Century" w:cs="Miriam" w:hint="cs"/>
          <w:spacing w:val="10"/>
          <w:sz w:val="24"/>
          <w:szCs w:val="24"/>
          <w:rtl/>
        </w:rPr>
        <w:t xml:space="preserve"> </w:t>
      </w:r>
      <w:r w:rsidRPr="007D655B">
        <w:rPr>
          <w:rFonts w:ascii="Century" w:hAnsi="Century" w:cs="Miriam" w:hint="cs"/>
          <w:spacing w:val="10"/>
          <w:sz w:val="24"/>
          <w:szCs w:val="24"/>
          <w:rtl/>
        </w:rPr>
        <w:t>א' שטיין</w:t>
      </w:r>
      <w:r w:rsidRPr="00A85E93">
        <w:rPr>
          <w:rFonts w:ascii="Century" w:hAnsi="Century" w:cs="FrankRuehl" w:hint="cs"/>
          <w:spacing w:val="10"/>
          <w:szCs w:val="28"/>
          <w:rtl/>
        </w:rPr>
        <w:t xml:space="preserve"> </w:t>
      </w:r>
      <w:r>
        <w:rPr>
          <w:rFonts w:ascii="Century" w:hAnsi="Century" w:cs="FrankRuehl" w:hint="cs"/>
          <w:spacing w:val="10"/>
          <w:szCs w:val="28"/>
          <w:rtl/>
        </w:rPr>
        <w:t>בחוות דעתו המקיפה והמעניינת וכן לעיקרי הנמקתו. יחד עם זאת אני מרשה לעצמי להציג מספר הערות, ובייחוד בהקשר לדרכי הפרשנות הכלליות בדיני מס, אותן מציע חברי, שיש להן השלכות מעבר למקרה הנדון.</w:t>
      </w:r>
    </w:p>
    <w:p w:rsidR="00090DE8" w:rsidRPr="008D7DB9" w:rsidRDefault="00090DE8" w:rsidP="00090DE8">
      <w:pPr>
        <w:pStyle w:val="af0"/>
        <w:bidi/>
        <w:rPr>
          <w:rFonts w:ascii="Century" w:hAnsi="Century" w:cs="FrankRuehl"/>
          <w:spacing w:val="10"/>
          <w:szCs w:val="28"/>
        </w:rPr>
      </w:pPr>
    </w:p>
    <w:p w:rsidR="00090DE8" w:rsidRDefault="00090DE8" w:rsidP="00090DE8">
      <w:pPr>
        <w:pStyle w:val="af0"/>
        <w:numPr>
          <w:ilvl w:val="0"/>
          <w:numId w:val="15"/>
        </w:numPr>
        <w:tabs>
          <w:tab w:val="left" w:pos="800"/>
        </w:tabs>
        <w:bidi/>
        <w:spacing w:line="360" w:lineRule="auto"/>
        <w:ind w:hanging="52"/>
        <w:jc w:val="both"/>
        <w:rPr>
          <w:rFonts w:ascii="Century" w:hAnsi="Century" w:cs="FrankRuehl"/>
          <w:spacing w:val="10"/>
          <w:szCs w:val="28"/>
        </w:rPr>
      </w:pPr>
      <w:r w:rsidRPr="00826FAE">
        <w:rPr>
          <w:rFonts w:ascii="Century" w:hAnsi="Century" w:cs="FrankRuehl" w:hint="cs"/>
          <w:spacing w:val="10"/>
          <w:szCs w:val="28"/>
          <w:rtl/>
        </w:rPr>
        <w:t xml:space="preserve">חברי מציין כי הדין הישראלי אימץ, ביחס לחוקי מס, </w:t>
      </w:r>
      <w:r w:rsidRPr="00826FAE">
        <w:rPr>
          <w:rFonts w:ascii="Century" w:hAnsi="Century" w:cs="Miriam" w:hint="cs"/>
          <w:spacing w:val="10"/>
          <w:sz w:val="24"/>
          <w:szCs w:val="24"/>
          <w:rtl/>
        </w:rPr>
        <w:t>כלל</w:t>
      </w:r>
      <w:r>
        <w:rPr>
          <w:rFonts w:ascii="Century" w:hAnsi="Century" w:cs="Miriam" w:hint="cs"/>
          <w:spacing w:val="10"/>
          <w:sz w:val="24"/>
          <w:szCs w:val="24"/>
          <w:rtl/>
        </w:rPr>
        <w:t xml:space="preserve"> של</w:t>
      </w:r>
      <w:r w:rsidRPr="00826FAE">
        <w:rPr>
          <w:rFonts w:ascii="Century" w:hAnsi="Century" w:cs="Miriam" w:hint="cs"/>
          <w:spacing w:val="10"/>
          <w:sz w:val="24"/>
          <w:szCs w:val="24"/>
          <w:rtl/>
        </w:rPr>
        <w:t xml:space="preserve"> פרשנות תכליתי</w:t>
      </w:r>
      <w:r>
        <w:rPr>
          <w:rFonts w:ascii="Century" w:hAnsi="Century" w:cs="Miriam" w:hint="cs"/>
          <w:spacing w:val="10"/>
          <w:sz w:val="24"/>
          <w:szCs w:val="24"/>
          <w:rtl/>
        </w:rPr>
        <w:t>ת</w:t>
      </w:r>
      <w:r w:rsidRPr="00826FAE">
        <w:rPr>
          <w:rFonts w:ascii="Century" w:hAnsi="Century" w:cs="FrankRuehl" w:hint="cs"/>
          <w:spacing w:val="10"/>
          <w:szCs w:val="28"/>
          <w:rtl/>
        </w:rPr>
        <w:t xml:space="preserve">, הנותן מעמד בכורה </w:t>
      </w:r>
      <w:r w:rsidRPr="00EE5286">
        <w:rPr>
          <w:rFonts w:ascii="Century" w:hAnsi="Century" w:cs="FrankRuehl" w:hint="cs"/>
          <w:b/>
          <w:bCs/>
          <w:spacing w:val="10"/>
          <w:szCs w:val="28"/>
          <w:rtl/>
        </w:rPr>
        <w:t>לתכלית החקיקה</w:t>
      </w:r>
      <w:r w:rsidRPr="00826FAE">
        <w:rPr>
          <w:rFonts w:ascii="Century" w:hAnsi="Century" w:cs="FrankRuehl" w:hint="cs"/>
          <w:spacing w:val="10"/>
          <w:szCs w:val="28"/>
          <w:rtl/>
        </w:rPr>
        <w:t xml:space="preserve">, </w:t>
      </w:r>
      <w:r>
        <w:rPr>
          <w:rFonts w:ascii="Century" w:hAnsi="Century" w:cs="FrankRuehl" w:hint="cs"/>
          <w:spacing w:val="10"/>
          <w:szCs w:val="28"/>
          <w:rtl/>
        </w:rPr>
        <w:t>כאשר ניסוחיו של המחוקק</w:t>
      </w:r>
      <w:r w:rsidRPr="00826FAE">
        <w:rPr>
          <w:rFonts w:ascii="Century" w:hAnsi="Century" w:cs="FrankRuehl" w:hint="cs"/>
          <w:spacing w:val="10"/>
          <w:szCs w:val="28"/>
          <w:rtl/>
        </w:rPr>
        <w:t xml:space="preserve"> אינם מיטביים. כל זאת, במובחן מכלל</w:t>
      </w:r>
      <w:r>
        <w:rPr>
          <w:rFonts w:ascii="Century" w:hAnsi="Century" w:cs="FrankRuehl" w:hint="cs"/>
          <w:spacing w:val="10"/>
          <w:szCs w:val="28"/>
          <w:rtl/>
        </w:rPr>
        <w:t xml:space="preserve"> של</w:t>
      </w:r>
      <w:r w:rsidRPr="00826FAE">
        <w:rPr>
          <w:rFonts w:ascii="Century" w:hAnsi="Century" w:cs="FrankRuehl" w:hint="cs"/>
          <w:spacing w:val="10"/>
          <w:szCs w:val="28"/>
          <w:rtl/>
        </w:rPr>
        <w:t xml:space="preserve"> </w:t>
      </w:r>
      <w:r w:rsidRPr="00826FAE">
        <w:rPr>
          <w:rFonts w:ascii="Century" w:hAnsi="Century" w:cs="Miriam" w:hint="cs"/>
          <w:spacing w:val="10"/>
          <w:sz w:val="24"/>
          <w:szCs w:val="24"/>
          <w:rtl/>
        </w:rPr>
        <w:t>פרשנות מילולי</w:t>
      </w:r>
      <w:r>
        <w:rPr>
          <w:rFonts w:ascii="Century" w:hAnsi="Century" w:cs="Miriam" w:hint="cs"/>
          <w:spacing w:val="10"/>
          <w:sz w:val="24"/>
          <w:szCs w:val="24"/>
          <w:rtl/>
        </w:rPr>
        <w:t>ת</w:t>
      </w:r>
      <w:r w:rsidRPr="00826FAE">
        <w:rPr>
          <w:rFonts w:ascii="Century" w:hAnsi="Century" w:cs="Miriam" w:hint="cs"/>
          <w:spacing w:val="10"/>
          <w:sz w:val="24"/>
          <w:szCs w:val="24"/>
          <w:rtl/>
        </w:rPr>
        <w:t>-דווקני</w:t>
      </w:r>
      <w:r>
        <w:rPr>
          <w:rFonts w:ascii="Century" w:hAnsi="Century" w:cs="Miriam" w:hint="cs"/>
          <w:spacing w:val="10"/>
          <w:sz w:val="24"/>
          <w:szCs w:val="24"/>
          <w:rtl/>
        </w:rPr>
        <w:t>ת</w:t>
      </w:r>
      <w:r w:rsidRPr="00826FAE">
        <w:rPr>
          <w:rFonts w:ascii="Century" w:hAnsi="Century" w:cs="FrankRuehl" w:hint="cs"/>
          <w:spacing w:val="10"/>
          <w:szCs w:val="28"/>
          <w:rtl/>
        </w:rPr>
        <w:t xml:space="preserve">, אשר </w:t>
      </w:r>
      <w:r>
        <w:rPr>
          <w:rFonts w:ascii="Century" w:hAnsi="Century" w:cs="FrankRuehl" w:hint="cs"/>
          <w:spacing w:val="10"/>
          <w:szCs w:val="28"/>
          <w:rtl/>
        </w:rPr>
        <w:t>נהג בעבר ו</w:t>
      </w:r>
      <w:r w:rsidRPr="00826FAE">
        <w:rPr>
          <w:rFonts w:ascii="Century" w:hAnsi="Century" w:cs="FrankRuehl" w:hint="cs"/>
          <w:spacing w:val="10"/>
          <w:szCs w:val="28"/>
          <w:rtl/>
        </w:rPr>
        <w:t>חייב לפרש הוראות מס בלתי ברורות</w:t>
      </w:r>
      <w:r>
        <w:rPr>
          <w:rFonts w:ascii="Century" w:hAnsi="Century" w:cs="FrankRuehl" w:hint="cs"/>
          <w:spacing w:val="10"/>
          <w:szCs w:val="28"/>
          <w:rtl/>
        </w:rPr>
        <w:t xml:space="preserve"> תמיד</w:t>
      </w:r>
      <w:r w:rsidRPr="00826FAE">
        <w:rPr>
          <w:rFonts w:ascii="Century" w:hAnsi="Century" w:cs="FrankRuehl" w:hint="cs"/>
          <w:spacing w:val="10"/>
          <w:szCs w:val="28"/>
          <w:rtl/>
        </w:rPr>
        <w:t xml:space="preserve"> לטובת הנישום</w:t>
      </w:r>
      <w:r>
        <w:rPr>
          <w:rFonts w:ascii="Century" w:hAnsi="Century" w:cs="FrankRuehl" w:hint="cs"/>
          <w:spacing w:val="10"/>
          <w:szCs w:val="28"/>
          <w:rtl/>
        </w:rPr>
        <w:t xml:space="preserve"> (בדומה לפרשנות של הוראות פליליות)</w:t>
      </w:r>
      <w:r w:rsidRPr="00826FAE">
        <w:rPr>
          <w:rFonts w:ascii="Century" w:hAnsi="Century" w:cs="FrankRuehl" w:hint="cs"/>
          <w:spacing w:val="10"/>
          <w:szCs w:val="28"/>
          <w:rtl/>
        </w:rPr>
        <w:t>.</w:t>
      </w:r>
      <w:r>
        <w:rPr>
          <w:rFonts w:ascii="Century" w:hAnsi="Century" w:cs="FrankRuehl" w:hint="cs"/>
          <w:spacing w:val="10"/>
          <w:szCs w:val="28"/>
          <w:rtl/>
        </w:rPr>
        <w:t xml:space="preserve"> </w:t>
      </w:r>
      <w:r w:rsidRPr="00826FAE">
        <w:rPr>
          <w:rFonts w:ascii="Century" w:hAnsi="Century" w:cs="FrankRuehl" w:hint="cs"/>
          <w:spacing w:val="10"/>
          <w:szCs w:val="28"/>
          <w:rtl/>
        </w:rPr>
        <w:t>לגישת חברי</w:t>
      </w:r>
      <w:r>
        <w:rPr>
          <w:rFonts w:ascii="Century" w:hAnsi="Century" w:cs="FrankRuehl" w:hint="cs"/>
          <w:spacing w:val="10"/>
          <w:szCs w:val="28"/>
          <w:rtl/>
        </w:rPr>
        <w:t xml:space="preserve"> (שם, </w:t>
      </w:r>
      <w:proofErr w:type="spellStart"/>
      <w:r>
        <w:rPr>
          <w:rFonts w:ascii="Century" w:hAnsi="Century" w:cs="FrankRuehl" w:hint="cs"/>
          <w:spacing w:val="10"/>
          <w:szCs w:val="28"/>
          <w:rtl/>
        </w:rPr>
        <w:t>בפיסקה</w:t>
      </w:r>
      <w:proofErr w:type="spellEnd"/>
      <w:r>
        <w:rPr>
          <w:rFonts w:ascii="Century" w:hAnsi="Century" w:cs="FrankRuehl" w:hint="cs"/>
          <w:spacing w:val="10"/>
          <w:szCs w:val="28"/>
          <w:rtl/>
        </w:rPr>
        <w:t xml:space="preserve"> 7 לחוות דעתו)</w:t>
      </w:r>
      <w:r w:rsidRPr="00826FAE">
        <w:rPr>
          <w:rFonts w:ascii="Century" w:hAnsi="Century" w:cs="FrankRuehl" w:hint="cs"/>
          <w:spacing w:val="10"/>
          <w:szCs w:val="28"/>
          <w:rtl/>
        </w:rPr>
        <w:t>,</w:t>
      </w:r>
      <w:r>
        <w:rPr>
          <w:rFonts w:ascii="Century" w:hAnsi="Century" w:cs="FrankRuehl" w:hint="cs"/>
          <w:spacing w:val="10"/>
          <w:szCs w:val="28"/>
          <w:rtl/>
        </w:rPr>
        <w:t xml:space="preserve"> יש לחדד את </w:t>
      </w:r>
      <w:r w:rsidRPr="00EE5286">
        <w:rPr>
          <w:rFonts w:ascii="Century" w:hAnsi="Century" w:cs="Miriam" w:hint="cs"/>
          <w:b/>
          <w:szCs w:val="24"/>
          <w:rtl/>
        </w:rPr>
        <w:t>הכלל של הפרשנות התכליתית</w:t>
      </w:r>
      <w:r>
        <w:rPr>
          <w:rFonts w:ascii="Century" w:hAnsi="Century" w:cs="FrankRuehl" w:hint="cs"/>
          <w:spacing w:val="10"/>
          <w:szCs w:val="28"/>
          <w:rtl/>
        </w:rPr>
        <w:t xml:space="preserve"> ולדגול בכלל של </w:t>
      </w:r>
      <w:r w:rsidRPr="00EE5286">
        <w:rPr>
          <w:rFonts w:ascii="Century" w:hAnsi="Century" w:cs="Miriam" w:hint="cs"/>
          <w:b/>
          <w:szCs w:val="24"/>
          <w:rtl/>
        </w:rPr>
        <w:t xml:space="preserve">פרשנות </w:t>
      </w:r>
      <w:r w:rsidRPr="007A7E79">
        <w:rPr>
          <w:rFonts w:ascii="Century" w:hAnsi="Century" w:cs="Miriam" w:hint="cs"/>
          <w:bCs/>
          <w:szCs w:val="24"/>
          <w:rtl/>
        </w:rPr>
        <w:t>רב</w:t>
      </w:r>
      <w:r w:rsidRPr="00EE5286">
        <w:rPr>
          <w:rFonts w:ascii="Century" w:hAnsi="Century" w:cs="Miriam" w:hint="cs"/>
          <w:b/>
          <w:szCs w:val="24"/>
          <w:rtl/>
        </w:rPr>
        <w:t xml:space="preserve"> תכליתית</w:t>
      </w:r>
      <w:r>
        <w:rPr>
          <w:rFonts w:ascii="Century" w:hAnsi="Century" w:cs="FrankRuehl" w:hint="cs"/>
          <w:spacing w:val="10"/>
          <w:szCs w:val="28"/>
          <w:rtl/>
        </w:rPr>
        <w:t xml:space="preserve">. לשיטתו </w:t>
      </w:r>
      <w:r>
        <w:rPr>
          <w:rFonts w:ascii="Century" w:hAnsi="Century" w:cs="FrankRuehl"/>
          <w:spacing w:val="10"/>
          <w:szCs w:val="28"/>
          <w:rtl/>
        </w:rPr>
        <w:t>–</w:t>
      </w:r>
      <w:r>
        <w:rPr>
          <w:rFonts w:ascii="Century" w:hAnsi="Century" w:cs="FrankRuehl" w:hint="cs"/>
          <w:spacing w:val="10"/>
          <w:szCs w:val="28"/>
          <w:rtl/>
        </w:rPr>
        <w:t xml:space="preserve"> על פי הכלל המוצע </w:t>
      </w:r>
      <w:r w:rsidRPr="00043211">
        <w:rPr>
          <w:rFonts w:ascii="Century" w:hAnsi="Century" w:cs="FrankRuehl" w:hint="cs"/>
          <w:spacing w:val="10"/>
          <w:szCs w:val="28"/>
          <w:rtl/>
        </w:rPr>
        <w:t>החדש</w:t>
      </w:r>
      <w:r>
        <w:rPr>
          <w:rFonts w:ascii="Century" w:hAnsi="Century" w:cs="FrankRuehl" w:hint="cs"/>
          <w:spacing w:val="10"/>
          <w:szCs w:val="28"/>
          <w:rtl/>
        </w:rPr>
        <w:t xml:space="preserve">, בצד איתור התכלית הראשונית יש להביא בחשבון כבר </w:t>
      </w:r>
      <w:r w:rsidRPr="00043211">
        <w:rPr>
          <w:rFonts w:ascii="Century" w:hAnsi="Century" w:cs="FrankRuehl" w:hint="cs"/>
          <w:b/>
          <w:bCs/>
          <w:spacing w:val="10"/>
          <w:szCs w:val="28"/>
          <w:rtl/>
        </w:rPr>
        <w:t>באותו שלב</w:t>
      </w:r>
      <w:r>
        <w:rPr>
          <w:rFonts w:ascii="Century" w:hAnsi="Century" w:cs="FrankRuehl" w:hint="cs"/>
          <w:spacing w:val="10"/>
          <w:szCs w:val="28"/>
          <w:rtl/>
        </w:rPr>
        <w:t xml:space="preserve"> גם תכליות נוספות של:</w:t>
      </w:r>
      <w:r w:rsidRPr="00EE5286">
        <w:rPr>
          <w:rFonts w:ascii="Century" w:hAnsi="Century" w:cs="FrankRuehl" w:hint="cs"/>
          <w:spacing w:val="10"/>
          <w:szCs w:val="28"/>
          <w:rtl/>
        </w:rPr>
        <w:t xml:space="preserve"> </w:t>
      </w:r>
      <w:r w:rsidRPr="00826FAE">
        <w:rPr>
          <w:rFonts w:ascii="Century" w:hAnsi="Century" w:cs="FrankRuehl" w:hint="cs"/>
          <w:spacing w:val="10"/>
          <w:szCs w:val="28"/>
          <w:rtl/>
        </w:rPr>
        <w:t xml:space="preserve">קידום </w:t>
      </w:r>
      <w:r>
        <w:rPr>
          <w:rFonts w:ascii="Century" w:hAnsi="Century" w:cs="FrankRuehl" w:hint="cs"/>
          <w:spacing w:val="10"/>
          <w:szCs w:val="28"/>
          <w:rtl/>
        </w:rPr>
        <w:t>ה</w:t>
      </w:r>
      <w:r w:rsidRPr="00826FAE">
        <w:rPr>
          <w:rFonts w:ascii="Century" w:hAnsi="Century" w:cs="FrankRuehl" w:hint="cs"/>
          <w:spacing w:val="10"/>
          <w:szCs w:val="28"/>
          <w:rtl/>
        </w:rPr>
        <w:t xml:space="preserve">ודאות </w:t>
      </w:r>
      <w:r>
        <w:rPr>
          <w:rFonts w:ascii="Century" w:hAnsi="Century" w:cs="FrankRuehl" w:hint="cs"/>
          <w:spacing w:val="10"/>
          <w:szCs w:val="28"/>
          <w:rtl/>
        </w:rPr>
        <w:t>ה</w:t>
      </w:r>
      <w:r w:rsidRPr="00826FAE">
        <w:rPr>
          <w:rFonts w:ascii="Century" w:hAnsi="Century" w:cs="FrankRuehl" w:hint="cs"/>
          <w:spacing w:val="10"/>
          <w:szCs w:val="28"/>
          <w:rtl/>
        </w:rPr>
        <w:t>משפטית; ה</w:t>
      </w:r>
      <w:r>
        <w:rPr>
          <w:rFonts w:ascii="Century" w:hAnsi="Century" w:cs="FrankRuehl" w:hint="cs"/>
          <w:spacing w:val="10"/>
          <w:szCs w:val="28"/>
          <w:rtl/>
        </w:rPr>
        <w:t>ה</w:t>
      </w:r>
      <w:r w:rsidRPr="00826FAE">
        <w:rPr>
          <w:rFonts w:ascii="Century" w:hAnsi="Century" w:cs="FrankRuehl" w:hint="cs"/>
          <w:spacing w:val="10"/>
          <w:szCs w:val="28"/>
          <w:rtl/>
        </w:rPr>
        <w:t>גנה על אינטרס ההסתמכות של הנישום ותחימת סמכויותיהם של שלטונות המס.</w:t>
      </w:r>
      <w:r>
        <w:rPr>
          <w:rFonts w:ascii="Century" w:hAnsi="Century" w:cs="FrankRuehl" w:hint="cs"/>
          <w:spacing w:val="10"/>
          <w:szCs w:val="28"/>
          <w:rtl/>
        </w:rPr>
        <w:t xml:space="preserve"> לפיכך</w:t>
      </w:r>
      <w:r w:rsidRPr="00826FAE">
        <w:rPr>
          <w:rFonts w:ascii="Century" w:hAnsi="Century" w:cs="FrankRuehl" w:hint="cs"/>
          <w:spacing w:val="10"/>
          <w:szCs w:val="28"/>
          <w:rtl/>
        </w:rPr>
        <w:t xml:space="preserve">, כאשר </w:t>
      </w:r>
      <w:r>
        <w:rPr>
          <w:rFonts w:ascii="Century" w:hAnsi="Century" w:cs="FrankRuehl" w:hint="cs"/>
          <w:spacing w:val="10"/>
          <w:szCs w:val="28"/>
          <w:rtl/>
        </w:rPr>
        <w:t>שופט</w:t>
      </w:r>
      <w:r w:rsidRPr="00826FAE">
        <w:rPr>
          <w:rFonts w:ascii="Century" w:hAnsi="Century" w:cs="FrankRuehl" w:hint="cs"/>
          <w:spacing w:val="10"/>
          <w:szCs w:val="28"/>
          <w:rtl/>
        </w:rPr>
        <w:t xml:space="preserve"> בא לפרש חוק מס שמילותיו אינן ברורות, הוא חייב, תחילה, ל</w:t>
      </w:r>
      <w:r>
        <w:rPr>
          <w:rFonts w:ascii="Century" w:hAnsi="Century" w:cs="FrankRuehl" w:hint="cs"/>
          <w:spacing w:val="10"/>
          <w:szCs w:val="28"/>
          <w:rtl/>
        </w:rPr>
        <w:t>גישתו של חברי, ל</w:t>
      </w:r>
      <w:r w:rsidRPr="00826FAE">
        <w:rPr>
          <w:rFonts w:ascii="Century" w:hAnsi="Century" w:cs="FrankRuehl" w:hint="cs"/>
          <w:spacing w:val="10"/>
          <w:szCs w:val="28"/>
          <w:rtl/>
        </w:rPr>
        <w:t xml:space="preserve">אתר ולהגדיר את </w:t>
      </w:r>
      <w:r w:rsidRPr="007A7E79">
        <w:rPr>
          <w:rFonts w:ascii="Century" w:hAnsi="Century" w:cs="FrankRuehl" w:hint="cs"/>
          <w:b/>
          <w:bCs/>
          <w:spacing w:val="10"/>
          <w:szCs w:val="28"/>
          <w:rtl/>
        </w:rPr>
        <w:t>מגוון</w:t>
      </w:r>
      <w:r>
        <w:rPr>
          <w:rFonts w:ascii="Century" w:hAnsi="Century" w:cs="FrankRuehl" w:hint="cs"/>
          <w:spacing w:val="10"/>
          <w:szCs w:val="28"/>
          <w:rtl/>
        </w:rPr>
        <w:t xml:space="preserve"> ה</w:t>
      </w:r>
      <w:r w:rsidRPr="00826FAE">
        <w:rPr>
          <w:rFonts w:ascii="Century" w:hAnsi="Century" w:cs="FrankRuehl" w:hint="cs"/>
          <w:spacing w:val="10"/>
          <w:szCs w:val="28"/>
          <w:rtl/>
        </w:rPr>
        <w:t xml:space="preserve">תכליות של החוק הרלבנטי ולאחר מכן לבדוק את ההתאמה בין כל פרשנות לשונית המתקבלת על הדעת לבין כל תכלית ותכלית, כאשר </w:t>
      </w:r>
      <w:r>
        <w:rPr>
          <w:rFonts w:ascii="Century" w:hAnsi="Century" w:cs="FrankRuehl" w:hint="cs"/>
          <w:spacing w:val="10"/>
          <w:szCs w:val="28"/>
          <w:rtl/>
        </w:rPr>
        <w:t xml:space="preserve">רק </w:t>
      </w:r>
      <w:r w:rsidRPr="00826FAE">
        <w:rPr>
          <w:rFonts w:ascii="Century" w:hAnsi="Century" w:cs="FrankRuehl" w:hint="cs"/>
          <w:spacing w:val="10"/>
          <w:szCs w:val="28"/>
          <w:rtl/>
        </w:rPr>
        <w:t>פרשנות שתואמת</w:t>
      </w:r>
      <w:r>
        <w:rPr>
          <w:rFonts w:ascii="Century" w:hAnsi="Century" w:cs="FrankRuehl" w:hint="cs"/>
          <w:spacing w:val="10"/>
          <w:szCs w:val="28"/>
          <w:rtl/>
        </w:rPr>
        <w:t xml:space="preserve"> ומאזנת כראוי</w:t>
      </w:r>
      <w:r w:rsidRPr="00826FAE">
        <w:rPr>
          <w:rFonts w:ascii="Century" w:hAnsi="Century" w:cs="FrankRuehl" w:hint="cs"/>
          <w:spacing w:val="10"/>
          <w:szCs w:val="28"/>
          <w:rtl/>
        </w:rPr>
        <w:t xml:space="preserve"> את </w:t>
      </w:r>
      <w:r w:rsidRPr="00753617">
        <w:rPr>
          <w:rFonts w:ascii="Century" w:hAnsi="Century" w:cs="Miriam" w:hint="cs"/>
          <w:b/>
          <w:szCs w:val="24"/>
          <w:rtl/>
        </w:rPr>
        <w:t>כל</w:t>
      </w:r>
      <w:r w:rsidRPr="00826FAE">
        <w:rPr>
          <w:rFonts w:ascii="Century" w:hAnsi="Century" w:cs="FrankRuehl" w:hint="cs"/>
          <w:spacing w:val="10"/>
          <w:szCs w:val="28"/>
          <w:rtl/>
        </w:rPr>
        <w:t xml:space="preserve"> תכליותיו של החוק היא זו שתשקף נאמנה את כוונת המחוקק.</w:t>
      </w:r>
    </w:p>
    <w:p w:rsidR="00090DE8" w:rsidRDefault="00090DE8" w:rsidP="00090DE8">
      <w:pPr>
        <w:pStyle w:val="af0"/>
        <w:tabs>
          <w:tab w:val="left" w:pos="800"/>
        </w:tabs>
        <w:bidi/>
        <w:spacing w:line="360" w:lineRule="auto"/>
        <w:ind w:left="0"/>
        <w:jc w:val="both"/>
        <w:rPr>
          <w:rFonts w:ascii="Century" w:hAnsi="Century" w:cs="FrankRuehl"/>
          <w:spacing w:val="10"/>
          <w:szCs w:val="28"/>
        </w:rPr>
      </w:pPr>
      <w:r>
        <w:rPr>
          <w:rFonts w:ascii="Century" w:hAnsi="Century" w:cs="FrankRuehl"/>
          <w:spacing w:val="10"/>
          <w:szCs w:val="28"/>
        </w:rPr>
        <w:t xml:space="preserve"> </w:t>
      </w:r>
    </w:p>
    <w:p w:rsidR="00090DE8" w:rsidRDefault="00090DE8" w:rsidP="00090DE8">
      <w:pPr>
        <w:pStyle w:val="af0"/>
        <w:numPr>
          <w:ilvl w:val="0"/>
          <w:numId w:val="15"/>
        </w:numPr>
        <w:tabs>
          <w:tab w:val="left" w:pos="800"/>
        </w:tabs>
        <w:bidi/>
        <w:spacing w:line="360" w:lineRule="auto"/>
        <w:ind w:hanging="52"/>
        <w:jc w:val="both"/>
        <w:rPr>
          <w:rFonts w:ascii="Century" w:hAnsi="Century" w:cs="FrankRuehl"/>
          <w:spacing w:val="10"/>
          <w:szCs w:val="28"/>
        </w:rPr>
      </w:pPr>
      <w:r>
        <w:rPr>
          <w:rFonts w:ascii="Century" w:hAnsi="Century" w:cs="FrankRuehl" w:hint="cs"/>
          <w:spacing w:val="10"/>
          <w:szCs w:val="28"/>
          <w:rtl/>
        </w:rPr>
        <w:t xml:space="preserve">לתפיסתי אין צורך בחידוד, או בעידון של </w:t>
      </w:r>
      <w:r w:rsidRPr="00826FAE">
        <w:rPr>
          <w:rFonts w:ascii="Century" w:hAnsi="Century" w:cs="Miriam" w:hint="cs"/>
          <w:spacing w:val="10"/>
          <w:sz w:val="24"/>
          <w:szCs w:val="24"/>
          <w:rtl/>
        </w:rPr>
        <w:t xml:space="preserve">כלל </w:t>
      </w:r>
      <w:r>
        <w:rPr>
          <w:rFonts w:ascii="Century" w:hAnsi="Century" w:cs="Miriam" w:hint="cs"/>
          <w:spacing w:val="10"/>
          <w:sz w:val="24"/>
          <w:szCs w:val="24"/>
          <w:rtl/>
        </w:rPr>
        <w:t>ה</w:t>
      </w:r>
      <w:r w:rsidRPr="00826FAE">
        <w:rPr>
          <w:rFonts w:ascii="Century" w:hAnsi="Century" w:cs="Miriam" w:hint="cs"/>
          <w:spacing w:val="10"/>
          <w:sz w:val="24"/>
          <w:szCs w:val="24"/>
          <w:rtl/>
        </w:rPr>
        <w:t xml:space="preserve">פרשנות </w:t>
      </w:r>
      <w:r>
        <w:rPr>
          <w:rFonts w:ascii="Century" w:hAnsi="Century" w:cs="Miriam" w:hint="cs"/>
          <w:spacing w:val="10"/>
          <w:sz w:val="24"/>
          <w:szCs w:val="24"/>
          <w:rtl/>
        </w:rPr>
        <w:t>ה</w:t>
      </w:r>
      <w:r w:rsidRPr="00826FAE">
        <w:rPr>
          <w:rFonts w:ascii="Century" w:hAnsi="Century" w:cs="Miriam" w:hint="cs"/>
          <w:spacing w:val="10"/>
          <w:sz w:val="24"/>
          <w:szCs w:val="24"/>
          <w:rtl/>
        </w:rPr>
        <w:t>תכליתי</w:t>
      </w:r>
      <w:r>
        <w:rPr>
          <w:rFonts w:ascii="Century" w:hAnsi="Century" w:cs="Miriam" w:hint="cs"/>
          <w:spacing w:val="10"/>
          <w:sz w:val="24"/>
          <w:szCs w:val="24"/>
          <w:rtl/>
        </w:rPr>
        <w:t>ת</w:t>
      </w:r>
      <w:r>
        <w:rPr>
          <w:rFonts w:ascii="Century" w:hAnsi="Century" w:cs="FrankRuehl" w:hint="cs"/>
          <w:spacing w:val="10"/>
          <w:szCs w:val="28"/>
          <w:rtl/>
        </w:rPr>
        <w:t xml:space="preserve"> הנוהג כיום, ודי בו כדי לספק מענה הולם לסוגיות פרשניות מורכבות בתחום דיני המיסים. יתר על כן </w:t>
      </w:r>
      <w:r>
        <w:rPr>
          <w:rFonts w:ascii="Century" w:hAnsi="Century" w:cs="FrankRuehl"/>
          <w:spacing w:val="10"/>
          <w:szCs w:val="28"/>
          <w:rtl/>
        </w:rPr>
        <w:t>–</w:t>
      </w:r>
      <w:r>
        <w:rPr>
          <w:rFonts w:ascii="Century" w:hAnsi="Century" w:cs="FrankRuehl" w:hint="cs"/>
          <w:spacing w:val="10"/>
          <w:szCs w:val="28"/>
          <w:rtl/>
        </w:rPr>
        <w:t xml:space="preserve"> על החידוש המוצע חלה האמירה: "כל המוסיף </w:t>
      </w:r>
      <w:r>
        <w:rPr>
          <w:rFonts w:ascii="Century" w:hAnsi="Century" w:cs="FrankRuehl"/>
          <w:spacing w:val="10"/>
          <w:szCs w:val="28"/>
          <w:rtl/>
        </w:rPr>
        <w:t>–</w:t>
      </w:r>
      <w:r>
        <w:rPr>
          <w:rFonts w:ascii="Century" w:hAnsi="Century" w:cs="FrankRuehl" w:hint="cs"/>
          <w:spacing w:val="10"/>
          <w:szCs w:val="28"/>
          <w:rtl/>
        </w:rPr>
        <w:t xml:space="preserve"> גורע", זאת מבחינת זכויות הנישום. אבהיר ואדגים גישתי להלן.</w:t>
      </w:r>
    </w:p>
    <w:p w:rsidR="00090DE8" w:rsidRPr="007A7E79" w:rsidRDefault="00090DE8" w:rsidP="00090DE8">
      <w:pPr>
        <w:pStyle w:val="af0"/>
        <w:tabs>
          <w:tab w:val="left" w:pos="800"/>
        </w:tabs>
        <w:bidi/>
        <w:spacing w:line="360" w:lineRule="auto"/>
        <w:ind w:left="0"/>
        <w:jc w:val="both"/>
        <w:rPr>
          <w:rFonts w:ascii="Century" w:hAnsi="Century" w:cs="FrankRuehl"/>
          <w:spacing w:val="10"/>
          <w:szCs w:val="28"/>
        </w:rPr>
      </w:pPr>
    </w:p>
    <w:p w:rsidR="00090DE8" w:rsidRPr="00A347D6" w:rsidRDefault="00090DE8" w:rsidP="00090DE8">
      <w:pPr>
        <w:pStyle w:val="af0"/>
        <w:numPr>
          <w:ilvl w:val="0"/>
          <w:numId w:val="15"/>
        </w:numPr>
        <w:tabs>
          <w:tab w:val="left" w:pos="800"/>
        </w:tabs>
        <w:bidi/>
        <w:spacing w:line="360" w:lineRule="auto"/>
        <w:ind w:hanging="52"/>
        <w:jc w:val="both"/>
        <w:rPr>
          <w:rFonts w:ascii="Century" w:hAnsi="Century" w:cs="FrankRuehl"/>
          <w:spacing w:val="10"/>
          <w:szCs w:val="28"/>
          <w:rtl/>
        </w:rPr>
      </w:pPr>
      <w:r w:rsidRPr="00A347D6">
        <w:rPr>
          <w:rFonts w:ascii="Century" w:hAnsi="Century" w:cs="FrankRuehl" w:hint="cs"/>
          <w:spacing w:val="10"/>
          <w:szCs w:val="28"/>
          <w:rtl/>
        </w:rPr>
        <w:t>החלת</w:t>
      </w:r>
      <w:r w:rsidRPr="00A347D6">
        <w:rPr>
          <w:rFonts w:ascii="Century" w:hAnsi="Century" w:cs="Miriam" w:hint="cs"/>
          <w:b/>
          <w:szCs w:val="24"/>
          <w:rtl/>
        </w:rPr>
        <w:t xml:space="preserve"> </w:t>
      </w:r>
      <w:r>
        <w:rPr>
          <w:rFonts w:ascii="Century" w:hAnsi="Century" w:cs="Miriam" w:hint="cs"/>
          <w:b/>
          <w:szCs w:val="24"/>
          <w:rtl/>
        </w:rPr>
        <w:t>ה</w:t>
      </w:r>
      <w:r w:rsidRPr="00A347D6">
        <w:rPr>
          <w:rFonts w:ascii="Century" w:hAnsi="Century" w:cs="Miriam" w:hint="cs"/>
          <w:b/>
          <w:szCs w:val="24"/>
          <w:rtl/>
        </w:rPr>
        <w:t>כלל</w:t>
      </w:r>
      <w:r>
        <w:rPr>
          <w:rFonts w:ascii="Century" w:hAnsi="Century" w:cs="Miriam" w:hint="cs"/>
          <w:b/>
          <w:szCs w:val="24"/>
          <w:rtl/>
        </w:rPr>
        <w:t xml:space="preserve"> בדבר</w:t>
      </w:r>
      <w:r w:rsidRPr="00A347D6">
        <w:rPr>
          <w:rFonts w:ascii="Century" w:hAnsi="Century" w:cs="Miriam" w:hint="cs"/>
          <w:b/>
          <w:szCs w:val="24"/>
          <w:rtl/>
        </w:rPr>
        <w:t xml:space="preserve"> הפרשנות התכליתית</w:t>
      </w:r>
      <w:r w:rsidRPr="00A347D6">
        <w:rPr>
          <w:rFonts w:ascii="Century" w:hAnsi="Century" w:cs="FrankRuehl" w:hint="cs"/>
          <w:spacing w:val="10"/>
          <w:szCs w:val="28"/>
          <w:rtl/>
        </w:rPr>
        <w:t xml:space="preserve"> בתחום דיני המיסים מבוסס על ההכרה שאין </w:t>
      </w:r>
      <w:r>
        <w:rPr>
          <w:rFonts w:ascii="Century" w:hAnsi="Century" w:cs="FrankRuehl" w:hint="cs"/>
          <w:spacing w:val="10"/>
          <w:szCs w:val="28"/>
          <w:rtl/>
        </w:rPr>
        <w:t>ייחודיות ב</w:t>
      </w:r>
      <w:r w:rsidRPr="00A347D6">
        <w:rPr>
          <w:rFonts w:ascii="Century" w:hAnsi="Century" w:cs="FrankRuehl" w:hint="cs"/>
          <w:spacing w:val="10"/>
          <w:szCs w:val="28"/>
          <w:rtl/>
        </w:rPr>
        <w:t>חוקי</w:t>
      </w:r>
      <w:r>
        <w:rPr>
          <w:rFonts w:ascii="Century" w:hAnsi="Century" w:cs="FrankRuehl" w:hint="cs"/>
          <w:spacing w:val="10"/>
          <w:szCs w:val="28"/>
          <w:rtl/>
        </w:rPr>
        <w:t xml:space="preserve"> המס,</w:t>
      </w:r>
      <w:r w:rsidRPr="00A347D6">
        <w:rPr>
          <w:rFonts w:ascii="Century" w:hAnsi="Century" w:cs="FrankRuehl" w:hint="cs"/>
          <w:spacing w:val="10"/>
          <w:szCs w:val="28"/>
          <w:rtl/>
        </w:rPr>
        <w:t xml:space="preserve"> בהשוואה לשאר החוקים</w:t>
      </w:r>
      <w:r>
        <w:rPr>
          <w:rFonts w:ascii="Century" w:hAnsi="Century" w:cs="FrankRuehl" w:hint="cs"/>
          <w:spacing w:val="10"/>
          <w:szCs w:val="28"/>
          <w:rtl/>
        </w:rPr>
        <w:t xml:space="preserve"> האזרחיים</w:t>
      </w:r>
      <w:r w:rsidRPr="00A347D6">
        <w:rPr>
          <w:rFonts w:ascii="Century" w:hAnsi="Century" w:cs="FrankRuehl" w:hint="cs"/>
          <w:spacing w:val="10"/>
          <w:szCs w:val="28"/>
          <w:rtl/>
        </w:rPr>
        <w:t xml:space="preserve"> (ראו: ע"</w:t>
      </w:r>
      <w:r w:rsidRPr="00A347D6">
        <w:rPr>
          <w:rFonts w:ascii="Century" w:hAnsi="Century" w:cs="FrankRuehl"/>
          <w:spacing w:val="10"/>
          <w:szCs w:val="28"/>
          <w:rtl/>
        </w:rPr>
        <w:t>א 165/82</w:t>
      </w:r>
      <w:r w:rsidRPr="00A347D6">
        <w:rPr>
          <w:rFonts w:ascii="Century" w:hAnsi="Century" w:cs="Miriam" w:hint="cs"/>
          <w:spacing w:val="10"/>
          <w:sz w:val="24"/>
          <w:rtl/>
        </w:rPr>
        <w:t xml:space="preserve"> </w:t>
      </w:r>
      <w:r w:rsidRPr="00A347D6">
        <w:rPr>
          <w:rFonts w:ascii="Century" w:hAnsi="Century" w:cs="Miriam"/>
          <w:b/>
          <w:szCs w:val="24"/>
          <w:rtl/>
        </w:rPr>
        <w:t>קיבוץ חצור נ' פקיד שומה רחובות</w:t>
      </w:r>
      <w:r w:rsidRPr="00A347D6">
        <w:rPr>
          <w:rFonts w:ascii="Century" w:hAnsi="Century" w:cs="FrankRuehl" w:hint="cs"/>
          <w:spacing w:val="10"/>
          <w:szCs w:val="28"/>
          <w:rtl/>
        </w:rPr>
        <w:t>,</w:t>
      </w:r>
      <w:r w:rsidRPr="00A347D6">
        <w:rPr>
          <w:rFonts w:ascii="Century" w:hAnsi="Century" w:cs="Miriam" w:hint="cs"/>
          <w:spacing w:val="10"/>
          <w:sz w:val="24"/>
          <w:rtl/>
        </w:rPr>
        <w:t xml:space="preserve"> </w:t>
      </w:r>
      <w:r w:rsidRPr="00A347D6">
        <w:rPr>
          <w:rFonts w:ascii="Century" w:hAnsi="Century" w:cs="FrankRuehl"/>
          <w:spacing w:val="10"/>
          <w:szCs w:val="28"/>
          <w:rtl/>
        </w:rPr>
        <w:t>פ"ד לט(2) 70</w:t>
      </w:r>
      <w:r w:rsidRPr="00A347D6">
        <w:rPr>
          <w:rFonts w:ascii="Century" w:hAnsi="Century" w:cs="FrankRuehl" w:hint="cs"/>
          <w:spacing w:val="10"/>
          <w:szCs w:val="28"/>
          <w:rtl/>
        </w:rPr>
        <w:t xml:space="preserve"> (1985) (להלן: </w:t>
      </w:r>
      <w:r w:rsidRPr="00A347D6">
        <w:rPr>
          <w:rFonts w:ascii="Century" w:hAnsi="Century" w:cs="Miriam" w:hint="cs"/>
          <w:b/>
          <w:szCs w:val="24"/>
          <w:rtl/>
        </w:rPr>
        <w:t>עניין</w:t>
      </w:r>
      <w:r w:rsidRPr="00A347D6">
        <w:rPr>
          <w:rFonts w:ascii="Century" w:hAnsi="Century" w:cs="Miriam"/>
          <w:b/>
          <w:szCs w:val="24"/>
          <w:rtl/>
        </w:rPr>
        <w:t xml:space="preserve"> </w:t>
      </w:r>
      <w:r w:rsidRPr="00A347D6">
        <w:rPr>
          <w:rFonts w:ascii="Century" w:hAnsi="Century" w:cs="Miriam" w:hint="cs"/>
          <w:b/>
          <w:szCs w:val="24"/>
          <w:rtl/>
        </w:rPr>
        <w:t>קיבוץ חצור</w:t>
      </w:r>
      <w:r w:rsidRPr="00A347D6">
        <w:rPr>
          <w:rFonts w:ascii="Century" w:hAnsi="Century" w:cs="FrankRuehl" w:hint="cs"/>
          <w:spacing w:val="10"/>
          <w:szCs w:val="28"/>
          <w:rtl/>
        </w:rPr>
        <w:t xml:space="preserve">), פיסקה 5 לפסק דינו של השופט (כתוארו אז) </w:t>
      </w:r>
      <w:r w:rsidRPr="00A347D6">
        <w:rPr>
          <w:rFonts w:ascii="Century" w:hAnsi="Century" w:cs="Miriam" w:hint="cs"/>
          <w:b/>
          <w:szCs w:val="24"/>
          <w:rtl/>
        </w:rPr>
        <w:t>א' ברק</w:t>
      </w:r>
      <w:r w:rsidRPr="00A347D6">
        <w:rPr>
          <w:rFonts w:ascii="Century" w:hAnsi="Century" w:cs="FrankRuehl" w:hint="cs"/>
          <w:spacing w:val="10"/>
          <w:szCs w:val="28"/>
          <w:rtl/>
        </w:rPr>
        <w:t xml:space="preserve"> ("</w:t>
      </w:r>
      <w:r w:rsidRPr="00A347D6">
        <w:rPr>
          <w:rFonts w:ascii="Century" w:hAnsi="Century" w:cs="FrankRuehl"/>
          <w:spacing w:val="10"/>
          <w:szCs w:val="28"/>
          <w:rtl/>
        </w:rPr>
        <w:t>אין להם לחוקי המסים כללי פרשנות משלהם</w:t>
      </w:r>
      <w:r w:rsidRPr="00A347D6">
        <w:rPr>
          <w:rFonts w:ascii="Century" w:hAnsi="Century" w:cs="FrankRuehl" w:hint="cs"/>
          <w:spacing w:val="10"/>
          <w:szCs w:val="28"/>
          <w:rtl/>
        </w:rPr>
        <w:t xml:space="preserve">")); פסק דיני ב-ע"א 8958/07 </w:t>
      </w:r>
      <w:r w:rsidRPr="00A347D6">
        <w:rPr>
          <w:rFonts w:ascii="Century" w:hAnsi="Century" w:cs="Miriam" w:hint="cs"/>
          <w:b/>
          <w:szCs w:val="24"/>
          <w:rtl/>
        </w:rPr>
        <w:t xml:space="preserve">פקיד שומה ת"א יפו 5 נ' שרל שבטון </w:t>
      </w:r>
      <w:r w:rsidRPr="00A347D6">
        <w:rPr>
          <w:rFonts w:ascii="Century" w:hAnsi="Century" w:cs="FrankRuehl" w:hint="cs"/>
          <w:spacing w:val="10"/>
          <w:szCs w:val="28"/>
          <w:rtl/>
        </w:rPr>
        <w:t xml:space="preserve">(18.08.2011) (להלן: </w:t>
      </w:r>
      <w:r w:rsidRPr="00A347D6">
        <w:rPr>
          <w:rFonts w:ascii="Century" w:hAnsi="Century" w:cs="Miriam" w:hint="cs"/>
          <w:b/>
          <w:szCs w:val="24"/>
          <w:rtl/>
        </w:rPr>
        <w:t>ענין שבטון</w:t>
      </w:r>
      <w:r w:rsidRPr="00A347D6">
        <w:rPr>
          <w:rFonts w:ascii="Century" w:hAnsi="Century" w:cs="FrankRuehl" w:hint="cs"/>
          <w:spacing w:val="10"/>
          <w:szCs w:val="28"/>
          <w:rtl/>
        </w:rPr>
        <w:t xml:space="preserve">); חן </w:t>
      </w:r>
      <w:proofErr w:type="spellStart"/>
      <w:r w:rsidRPr="00A347D6">
        <w:rPr>
          <w:rFonts w:ascii="Century" w:hAnsi="Century" w:cs="FrankRuehl" w:hint="cs"/>
          <w:spacing w:val="10"/>
          <w:szCs w:val="28"/>
          <w:rtl/>
        </w:rPr>
        <w:t>אבידוב</w:t>
      </w:r>
      <w:proofErr w:type="spellEnd"/>
      <w:r w:rsidRPr="00A347D6">
        <w:rPr>
          <w:rFonts w:ascii="Century" w:hAnsi="Century" w:cs="FrankRuehl" w:hint="cs"/>
          <w:spacing w:val="10"/>
          <w:szCs w:val="28"/>
          <w:rtl/>
        </w:rPr>
        <w:t xml:space="preserve"> "פרשנות חקיקת המס </w:t>
      </w:r>
      <w:r w:rsidRPr="00A347D6">
        <w:rPr>
          <w:rFonts w:ascii="Century" w:hAnsi="Century" w:cs="FrankRuehl"/>
          <w:spacing w:val="10"/>
          <w:szCs w:val="28"/>
          <w:rtl/>
        </w:rPr>
        <w:t>–</w:t>
      </w:r>
      <w:r w:rsidRPr="00A347D6">
        <w:rPr>
          <w:rFonts w:ascii="Century" w:hAnsi="Century" w:cs="FrankRuehl" w:hint="cs"/>
          <w:spacing w:val="10"/>
          <w:szCs w:val="28"/>
          <w:rtl/>
        </w:rPr>
        <w:t xml:space="preserve"> בעקבות פסק הדין </w:t>
      </w:r>
      <w:proofErr w:type="spellStart"/>
      <w:r w:rsidRPr="00A347D6">
        <w:rPr>
          <w:rFonts w:ascii="Century" w:hAnsi="Century" w:cs="FrankRuehl" w:hint="cs"/>
          <w:spacing w:val="10"/>
          <w:szCs w:val="28"/>
          <w:rtl/>
        </w:rPr>
        <w:t>בענין</w:t>
      </w:r>
      <w:proofErr w:type="spellEnd"/>
      <w:r w:rsidRPr="00A347D6">
        <w:rPr>
          <w:rFonts w:ascii="Century" w:hAnsi="Century" w:cs="FrankRuehl" w:hint="cs"/>
          <w:spacing w:val="10"/>
          <w:szCs w:val="28"/>
          <w:rtl/>
        </w:rPr>
        <w:t xml:space="preserve"> חצור </w:t>
      </w:r>
      <w:r w:rsidRPr="00A347D6">
        <w:rPr>
          <w:rFonts w:ascii="Century" w:hAnsi="Century" w:cs="FrankRuehl" w:hint="cs"/>
          <w:spacing w:val="10"/>
          <w:szCs w:val="28"/>
          <w:rtl/>
        </w:rPr>
        <w:lastRenderedPageBreak/>
        <w:t xml:space="preserve">(1985)" </w:t>
      </w:r>
      <w:r w:rsidRPr="00A347D6">
        <w:rPr>
          <w:rFonts w:ascii="Century" w:hAnsi="Century" w:cs="Miriam" w:hint="cs"/>
          <w:b/>
          <w:szCs w:val="24"/>
          <w:rtl/>
        </w:rPr>
        <w:t>שורשים במשפט, שבעים שנות משפט</w:t>
      </w:r>
      <w:r w:rsidRPr="00A347D6">
        <w:rPr>
          <w:rFonts w:ascii="Century" w:hAnsi="Century" w:cs="FrankRuehl" w:hint="cs"/>
          <w:spacing w:val="10"/>
          <w:szCs w:val="28"/>
          <w:rtl/>
        </w:rPr>
        <w:t xml:space="preserve"> (2019)).</w:t>
      </w:r>
      <w:r>
        <w:rPr>
          <w:rFonts w:ascii="Century" w:hAnsi="Century" w:cs="FrankRuehl" w:hint="cs"/>
          <w:spacing w:val="10"/>
          <w:szCs w:val="28"/>
          <w:rtl/>
        </w:rPr>
        <w:t xml:space="preserve"> בשל כך, הנחת המוצא היא כי יש לפרש את חוקי המס לאור עקרונות הפרשנות המוכרים מן הדין הכללי.</w:t>
      </w:r>
    </w:p>
    <w:p w:rsidR="00090DE8" w:rsidRDefault="00090DE8" w:rsidP="00090DE8">
      <w:pPr>
        <w:pStyle w:val="af0"/>
        <w:tabs>
          <w:tab w:val="left" w:pos="-193"/>
        </w:tabs>
        <w:bidi/>
        <w:spacing w:line="360" w:lineRule="auto"/>
        <w:ind w:left="-52" w:firstLine="1560"/>
        <w:jc w:val="both"/>
        <w:rPr>
          <w:rFonts w:ascii="Century" w:hAnsi="Century" w:cs="FrankRuehl"/>
          <w:spacing w:val="10"/>
          <w:szCs w:val="28"/>
          <w:rtl/>
        </w:rPr>
      </w:pPr>
    </w:p>
    <w:p w:rsidR="00090DE8" w:rsidRDefault="00090DE8" w:rsidP="00090DE8">
      <w:pPr>
        <w:pStyle w:val="af0"/>
        <w:tabs>
          <w:tab w:val="left" w:pos="-193"/>
        </w:tabs>
        <w:bidi/>
        <w:spacing w:line="360" w:lineRule="auto"/>
        <w:ind w:left="-52"/>
        <w:jc w:val="both"/>
        <w:rPr>
          <w:rFonts w:ascii="Century" w:hAnsi="Century" w:cs="FrankRuehl"/>
          <w:spacing w:val="10"/>
          <w:szCs w:val="28"/>
          <w:rtl/>
        </w:rPr>
      </w:pPr>
      <w:r>
        <w:rPr>
          <w:rFonts w:ascii="Century" w:hAnsi="Century" w:cs="FrankRuehl"/>
          <w:spacing w:val="10"/>
          <w:szCs w:val="28"/>
          <w:rtl/>
        </w:rPr>
        <w:tab/>
      </w:r>
      <w:r>
        <w:rPr>
          <w:rFonts w:ascii="Century" w:hAnsi="Century" w:cs="FrankRuehl"/>
          <w:spacing w:val="10"/>
          <w:szCs w:val="28"/>
          <w:rtl/>
        </w:rPr>
        <w:tab/>
      </w:r>
      <w:r>
        <w:rPr>
          <w:rFonts w:ascii="Century" w:hAnsi="Century" w:cs="FrankRuehl" w:hint="cs"/>
          <w:spacing w:val="10"/>
          <w:szCs w:val="28"/>
          <w:rtl/>
        </w:rPr>
        <w:t xml:space="preserve">בהתאם לאמור, רק לאחר בחינת לשון הסעיף ותכליתו (הן הסובייקטיבית והן האובייקטיבית) </w:t>
      </w:r>
      <w:r>
        <w:rPr>
          <w:rFonts w:ascii="Century" w:hAnsi="Century" w:cs="FrankRuehl"/>
          <w:spacing w:val="10"/>
          <w:szCs w:val="28"/>
          <w:rtl/>
        </w:rPr>
        <w:t>–</w:t>
      </w:r>
      <w:r>
        <w:rPr>
          <w:rFonts w:ascii="Century" w:hAnsi="Century" w:cs="FrankRuehl" w:hint="cs"/>
          <w:spacing w:val="10"/>
          <w:szCs w:val="28"/>
          <w:rtl/>
        </w:rPr>
        <w:t xml:space="preserve"> אם לא יימצא מזור פרשני להוראת המס שהוראותיה אינן ברורות, תועדף הפרשנות שמעלה הנישום (לטובתו), זאת </w:t>
      </w:r>
      <w:r>
        <w:rPr>
          <w:rFonts w:ascii="Century" w:hAnsi="Century" w:cs="FrankRuehl"/>
          <w:spacing w:val="10"/>
          <w:szCs w:val="28"/>
          <w:rtl/>
        </w:rPr>
        <w:t>–</w:t>
      </w:r>
      <w:r>
        <w:rPr>
          <w:rFonts w:ascii="Century" w:hAnsi="Century" w:cs="FrankRuehl" w:hint="cs"/>
          <w:spacing w:val="10"/>
          <w:szCs w:val="28"/>
          <w:rtl/>
        </w:rPr>
        <w:t xml:space="preserve"> מכוח </w:t>
      </w:r>
      <w:r w:rsidRPr="007D318D">
        <w:rPr>
          <w:rFonts w:ascii="Century" w:hAnsi="Century" w:cs="FrankRuehl" w:hint="cs"/>
          <w:b/>
          <w:bCs/>
          <w:spacing w:val="10"/>
          <w:szCs w:val="28"/>
          <w:rtl/>
        </w:rPr>
        <w:t>עקרון כללי</w:t>
      </w:r>
      <w:r>
        <w:rPr>
          <w:rFonts w:ascii="Century" w:hAnsi="Century" w:cs="FrankRuehl" w:hint="cs"/>
          <w:spacing w:val="10"/>
          <w:szCs w:val="28"/>
          <w:rtl/>
        </w:rPr>
        <w:t xml:space="preserve"> </w:t>
      </w:r>
      <w:r w:rsidRPr="00C81DC2">
        <w:rPr>
          <w:rFonts w:ascii="Century" w:hAnsi="Century" w:cs="FrankRuehl" w:hint="cs"/>
          <w:b/>
          <w:bCs/>
          <w:spacing w:val="10"/>
          <w:szCs w:val="28"/>
          <w:rtl/>
        </w:rPr>
        <w:t>בשיטתנו המשפטית</w:t>
      </w:r>
      <w:r>
        <w:rPr>
          <w:rFonts w:ascii="Century" w:hAnsi="Century" w:cs="FrankRuehl" w:hint="cs"/>
          <w:spacing w:val="10"/>
          <w:szCs w:val="28"/>
          <w:rtl/>
        </w:rPr>
        <w:t xml:space="preserve">, הרלבנטי גם לחקיקת מס, הנותן תוקף לכלל בדבר השמירה על החירות ועל זכות הקניין. לפיכך, לשיטתי, אין צורך בחידוד הכלל הקיים, כמוצע על ידי חברי, ודי בהלכה הקיימת, שנוסחה על ידי השופט (כתוארו אז) </w:t>
      </w:r>
      <w:r w:rsidRPr="00001490">
        <w:rPr>
          <w:rFonts w:ascii="Century" w:hAnsi="Century" w:cs="Miriam" w:hint="cs"/>
          <w:b/>
          <w:szCs w:val="24"/>
          <w:rtl/>
        </w:rPr>
        <w:t xml:space="preserve">א' </w:t>
      </w:r>
      <w:r w:rsidRPr="00304ED3">
        <w:rPr>
          <w:rFonts w:ascii="Century" w:hAnsi="Century" w:cs="Miriam" w:hint="cs"/>
          <w:b/>
          <w:szCs w:val="24"/>
          <w:rtl/>
        </w:rPr>
        <w:t>ברק</w:t>
      </w:r>
      <w:r>
        <w:rPr>
          <w:rFonts w:ascii="Century" w:hAnsi="Century" w:cs="FrankRuehl" w:hint="cs"/>
          <w:spacing w:val="10"/>
          <w:szCs w:val="28"/>
          <w:rtl/>
        </w:rPr>
        <w:t xml:space="preserve"> בפסק דינו </w:t>
      </w:r>
      <w:r w:rsidRPr="009968E1">
        <w:rPr>
          <w:rFonts w:ascii="Century" w:hAnsi="Century" w:cs="FrankRuehl" w:hint="cs"/>
          <w:spacing w:val="10"/>
          <w:szCs w:val="28"/>
          <w:rtl/>
        </w:rPr>
        <w:t>ב</w:t>
      </w:r>
      <w:r w:rsidRPr="00115C7C">
        <w:rPr>
          <w:rFonts w:ascii="Century" w:hAnsi="Century" w:cs="Miriam" w:hint="cs"/>
          <w:spacing w:val="10"/>
          <w:sz w:val="24"/>
          <w:szCs w:val="24"/>
          <w:rtl/>
        </w:rPr>
        <w:t>עניין</w:t>
      </w:r>
      <w:r w:rsidRPr="00115C7C">
        <w:rPr>
          <w:rFonts w:ascii="Century" w:hAnsi="Century" w:cs="Miriam"/>
          <w:spacing w:val="10"/>
          <w:sz w:val="24"/>
          <w:szCs w:val="24"/>
          <w:rtl/>
        </w:rPr>
        <w:t xml:space="preserve"> </w:t>
      </w:r>
      <w:r w:rsidRPr="00115C7C">
        <w:rPr>
          <w:rFonts w:ascii="Century" w:hAnsi="Century" w:cs="Miriam" w:hint="cs"/>
          <w:spacing w:val="10"/>
          <w:sz w:val="24"/>
          <w:szCs w:val="24"/>
          <w:rtl/>
        </w:rPr>
        <w:t>קיבוץ</w:t>
      </w:r>
      <w:r w:rsidRPr="00115C7C">
        <w:rPr>
          <w:rFonts w:ascii="Century" w:hAnsi="Century" w:cs="Miriam"/>
          <w:spacing w:val="10"/>
          <w:sz w:val="24"/>
          <w:szCs w:val="24"/>
          <w:rtl/>
        </w:rPr>
        <w:t xml:space="preserve"> </w:t>
      </w:r>
      <w:r w:rsidRPr="00115C7C">
        <w:rPr>
          <w:rFonts w:ascii="Century" w:hAnsi="Century" w:cs="Miriam" w:hint="cs"/>
          <w:spacing w:val="10"/>
          <w:sz w:val="24"/>
          <w:szCs w:val="24"/>
          <w:rtl/>
        </w:rPr>
        <w:t>חצור</w:t>
      </w:r>
      <w:r>
        <w:rPr>
          <w:rFonts w:ascii="Century" w:hAnsi="Century" w:cs="FrankRuehl" w:hint="cs"/>
          <w:spacing w:val="10"/>
          <w:szCs w:val="28"/>
          <w:rtl/>
        </w:rPr>
        <w:t xml:space="preserve">, ואשר מהותה הובהרה על-ידו לאחר מכן כך: </w:t>
      </w:r>
    </w:p>
    <w:p w:rsidR="00090DE8" w:rsidRDefault="00090DE8" w:rsidP="00090DE8">
      <w:pPr>
        <w:pStyle w:val="af0"/>
        <w:tabs>
          <w:tab w:val="left" w:pos="-193"/>
        </w:tabs>
        <w:bidi/>
        <w:spacing w:line="360" w:lineRule="auto"/>
        <w:ind w:left="-52"/>
        <w:jc w:val="both"/>
        <w:rPr>
          <w:rFonts w:ascii="Century" w:hAnsi="Century" w:cs="FrankRuehl"/>
          <w:spacing w:val="10"/>
          <w:szCs w:val="28"/>
          <w:rtl/>
        </w:rPr>
      </w:pPr>
    </w:p>
    <w:p w:rsidR="00090DE8" w:rsidRDefault="00090DE8" w:rsidP="00090DE8">
      <w:pPr>
        <w:pStyle w:val="Ruller5"/>
        <w:rPr>
          <w:rtl/>
        </w:rPr>
      </w:pPr>
      <w:r w:rsidRPr="004D43A5">
        <w:rPr>
          <w:rFonts w:hint="cs"/>
          <w:rtl/>
        </w:rPr>
        <w:t>"מבין המשמעויות הלשוניות... של חוק מס, תקבע המשמעות המשפטית על פי התכלית המונחת ביסוד חוק המס. תכלית זו תיקבע על פי לשון החוק, ההיסטוריה שלו, וערכי היסוד של השיטה. כאשר מקורות אלה אינם מאפשרים גיבוש תכלית סופית, יתפרש החוק באופן המקל עם מי שאמור לשאת במס" (ראו: אהרן ברק "פרשנות</w:t>
      </w:r>
      <w:r w:rsidRPr="004D43A5">
        <w:rPr>
          <w:rtl/>
        </w:rPr>
        <w:t xml:space="preserve"> </w:t>
      </w:r>
      <w:r w:rsidRPr="004D43A5">
        <w:rPr>
          <w:rFonts w:hint="cs"/>
          <w:rtl/>
        </w:rPr>
        <w:t>דיני</w:t>
      </w:r>
      <w:r w:rsidRPr="004D43A5">
        <w:rPr>
          <w:rtl/>
        </w:rPr>
        <w:t xml:space="preserve"> </w:t>
      </w:r>
      <w:r w:rsidRPr="004D43A5">
        <w:rPr>
          <w:rFonts w:hint="cs"/>
          <w:rtl/>
        </w:rPr>
        <w:t xml:space="preserve">המיסים", </w:t>
      </w:r>
      <w:r w:rsidRPr="009968E1">
        <w:rPr>
          <w:rFonts w:cs="Miriam" w:hint="cs"/>
          <w:b/>
          <w:rtl/>
        </w:rPr>
        <w:t>משפטים</w:t>
      </w:r>
      <w:r w:rsidRPr="007E5FD1">
        <w:rPr>
          <w:rtl/>
        </w:rPr>
        <w:t xml:space="preserve"> </w:t>
      </w:r>
      <w:proofErr w:type="spellStart"/>
      <w:r w:rsidRPr="007E5FD1">
        <w:rPr>
          <w:rFonts w:hint="cs"/>
          <w:rtl/>
        </w:rPr>
        <w:t>כח</w:t>
      </w:r>
      <w:proofErr w:type="spellEnd"/>
      <w:r>
        <w:rPr>
          <w:rFonts w:hint="cs"/>
          <w:rtl/>
        </w:rPr>
        <w:t xml:space="preserve"> 425, 441 (1997) </w:t>
      </w:r>
      <w:r w:rsidRPr="004D43A5">
        <w:rPr>
          <w:rFonts w:hint="cs"/>
          <w:rtl/>
        </w:rPr>
        <w:t xml:space="preserve">(להלן: </w:t>
      </w:r>
      <w:r w:rsidRPr="0086272B">
        <w:rPr>
          <w:rFonts w:ascii="Century" w:hAnsi="Century" w:cs="Miriam" w:hint="cs"/>
          <w:b/>
          <w:spacing w:val="0"/>
          <w:szCs w:val="24"/>
          <w:rtl/>
        </w:rPr>
        <w:t>ברק</w:t>
      </w:r>
      <w:r w:rsidRPr="0086272B">
        <w:rPr>
          <w:rFonts w:ascii="Century" w:hAnsi="Century" w:cs="Miriam"/>
          <w:b/>
          <w:spacing w:val="0"/>
          <w:szCs w:val="24"/>
          <w:rtl/>
        </w:rPr>
        <w:t xml:space="preserve"> – </w:t>
      </w:r>
      <w:r w:rsidRPr="0086272B">
        <w:rPr>
          <w:rFonts w:ascii="Century" w:hAnsi="Century" w:cs="Miriam" w:hint="cs"/>
          <w:b/>
          <w:spacing w:val="0"/>
          <w:szCs w:val="24"/>
          <w:rtl/>
        </w:rPr>
        <w:t>פרשנות</w:t>
      </w:r>
      <w:r w:rsidRPr="0086272B">
        <w:rPr>
          <w:rFonts w:ascii="Century" w:hAnsi="Century" w:cs="Miriam"/>
          <w:b/>
          <w:spacing w:val="0"/>
          <w:szCs w:val="24"/>
          <w:rtl/>
        </w:rPr>
        <w:t xml:space="preserve"> </w:t>
      </w:r>
      <w:r w:rsidRPr="0086272B">
        <w:rPr>
          <w:rFonts w:ascii="Century" w:hAnsi="Century" w:cs="Miriam" w:hint="cs"/>
          <w:b/>
          <w:spacing w:val="0"/>
          <w:szCs w:val="24"/>
          <w:rtl/>
        </w:rPr>
        <w:t>דיני</w:t>
      </w:r>
      <w:r w:rsidRPr="0086272B">
        <w:rPr>
          <w:rFonts w:ascii="Century" w:hAnsi="Century" w:cs="Miriam"/>
          <w:b/>
          <w:spacing w:val="0"/>
          <w:szCs w:val="24"/>
          <w:rtl/>
        </w:rPr>
        <w:t xml:space="preserve"> </w:t>
      </w:r>
      <w:r w:rsidRPr="0086272B">
        <w:rPr>
          <w:rFonts w:ascii="Century" w:hAnsi="Century" w:cs="Miriam" w:hint="cs"/>
          <w:b/>
          <w:spacing w:val="0"/>
          <w:szCs w:val="24"/>
          <w:rtl/>
        </w:rPr>
        <w:t>המיסים</w:t>
      </w:r>
      <w:r w:rsidRPr="004D43A5">
        <w:rPr>
          <w:rFonts w:hint="cs"/>
          <w:rtl/>
        </w:rPr>
        <w:t>).</w:t>
      </w:r>
    </w:p>
    <w:p w:rsidR="00090DE8" w:rsidRDefault="00090DE8" w:rsidP="00090DE8">
      <w:pPr>
        <w:pStyle w:val="Ruller5"/>
        <w:rPr>
          <w:rFonts w:ascii="Century" w:hAnsi="Century"/>
          <w:rtl/>
        </w:rPr>
      </w:pPr>
    </w:p>
    <w:p w:rsidR="00090DE8" w:rsidRDefault="00090DE8" w:rsidP="00090DE8">
      <w:pPr>
        <w:pStyle w:val="Ruller41"/>
        <w:rPr>
          <w:rFonts w:ascii="Century" w:hAnsi="Century"/>
          <w:rtl/>
        </w:rPr>
      </w:pPr>
    </w:p>
    <w:p w:rsidR="00090DE8" w:rsidRPr="00090DE8" w:rsidRDefault="00090DE8" w:rsidP="00090DE8">
      <w:pPr>
        <w:pStyle w:val="af0"/>
        <w:tabs>
          <w:tab w:val="left" w:pos="-193"/>
        </w:tabs>
        <w:bidi/>
        <w:spacing w:line="360" w:lineRule="auto"/>
        <w:ind w:left="-52"/>
        <w:jc w:val="both"/>
        <w:rPr>
          <w:rFonts w:ascii="Century" w:hAnsi="Century" w:cs="FrankRuehl"/>
          <w:spacing w:val="10"/>
          <w:szCs w:val="28"/>
          <w:rtl/>
        </w:rPr>
      </w:pPr>
      <w:r>
        <w:rPr>
          <w:rFonts w:ascii="Century" w:hAnsi="Century" w:cs="FrankRuehl"/>
          <w:spacing w:val="10"/>
          <w:szCs w:val="28"/>
          <w:rtl/>
        </w:rPr>
        <w:tab/>
      </w:r>
      <w:r>
        <w:rPr>
          <w:rFonts w:ascii="Century" w:hAnsi="Century" w:cs="FrankRuehl"/>
          <w:spacing w:val="10"/>
          <w:szCs w:val="28"/>
          <w:rtl/>
        </w:rPr>
        <w:tab/>
      </w:r>
      <w:r w:rsidRPr="00090DE8">
        <w:rPr>
          <w:rFonts w:ascii="Century" w:hAnsi="Century" w:cs="FrankRuehl" w:hint="cs"/>
          <w:spacing w:val="10"/>
          <w:szCs w:val="28"/>
          <w:rtl/>
        </w:rPr>
        <w:t xml:space="preserve">זאת ועוד </w:t>
      </w:r>
      <w:r w:rsidRPr="00090DE8">
        <w:rPr>
          <w:rFonts w:ascii="Century" w:hAnsi="Century" w:cs="FrankRuehl"/>
          <w:spacing w:val="10"/>
          <w:szCs w:val="28"/>
          <w:rtl/>
        </w:rPr>
        <w:t>–</w:t>
      </w:r>
      <w:r w:rsidRPr="00090DE8">
        <w:rPr>
          <w:rFonts w:ascii="Century" w:hAnsi="Century" w:cs="FrankRuehl" w:hint="cs"/>
          <w:spacing w:val="10"/>
          <w:szCs w:val="28"/>
          <w:rtl/>
        </w:rPr>
        <w:t xml:space="preserve"> דומה עלי שההלכה הקיימת (ללא תיקונה) פועלת ממילא במקרים רבים ביתר שאת לטובת הנישום</w:t>
      </w:r>
      <w:r w:rsidRPr="00090DE8">
        <w:rPr>
          <w:rFonts w:cs="FrankRuehl" w:hint="cs"/>
          <w:sz w:val="28"/>
          <w:szCs w:val="28"/>
          <w:rtl/>
        </w:rPr>
        <w:t xml:space="preserve"> </w:t>
      </w:r>
      <w:r w:rsidRPr="004D43A5">
        <w:rPr>
          <w:rFonts w:cs="FrankRuehl" w:hint="cs"/>
          <w:sz w:val="28"/>
          <w:szCs w:val="28"/>
          <w:rtl/>
        </w:rPr>
        <w:t>(</w:t>
      </w:r>
      <w:r w:rsidRPr="00090DE8">
        <w:rPr>
          <w:rFonts w:ascii="Century" w:hAnsi="Century" w:cs="FrankRuehl" w:hint="cs"/>
          <w:spacing w:val="10"/>
          <w:szCs w:val="28"/>
          <w:rtl/>
        </w:rPr>
        <w:t>עיינו:</w:t>
      </w:r>
      <w:r w:rsidRPr="004D43A5">
        <w:rPr>
          <w:rFonts w:cs="FrankRuehl" w:hint="cs"/>
          <w:sz w:val="28"/>
          <w:szCs w:val="28"/>
          <w:rtl/>
        </w:rPr>
        <w:t xml:space="preserve"> </w:t>
      </w:r>
      <w:r w:rsidRPr="004D43A5">
        <w:rPr>
          <w:rFonts w:ascii="Century" w:hAnsi="Century" w:cs="Miriam" w:hint="cs"/>
          <w:b/>
          <w:szCs w:val="24"/>
          <w:rtl/>
        </w:rPr>
        <w:t>ענין שבטון</w:t>
      </w:r>
      <w:r w:rsidRPr="004D43A5">
        <w:rPr>
          <w:rFonts w:cs="FrankRuehl" w:hint="cs"/>
          <w:sz w:val="28"/>
          <w:szCs w:val="28"/>
          <w:rtl/>
        </w:rPr>
        <w:t xml:space="preserve">), </w:t>
      </w:r>
      <w:r w:rsidRPr="00090DE8">
        <w:rPr>
          <w:rFonts w:ascii="Century" w:hAnsi="Century" w:cs="FrankRuehl" w:hint="cs"/>
          <w:spacing w:val="10"/>
          <w:szCs w:val="28"/>
          <w:rtl/>
        </w:rPr>
        <w:t xml:space="preserve">וכך גם במקרה שלפנינו ובנגזרות שלו, כפי שיובהרו הדברים בהמשך. ארחיב עתה </w:t>
      </w:r>
      <w:proofErr w:type="spellStart"/>
      <w:r w:rsidRPr="00090DE8">
        <w:rPr>
          <w:rFonts w:ascii="Century" w:hAnsi="Century" w:cs="FrankRuehl" w:hint="cs"/>
          <w:spacing w:val="10"/>
          <w:szCs w:val="28"/>
          <w:rtl/>
        </w:rPr>
        <w:t>איפוא</w:t>
      </w:r>
      <w:proofErr w:type="spellEnd"/>
      <w:r w:rsidRPr="00090DE8">
        <w:rPr>
          <w:rFonts w:ascii="Century" w:hAnsi="Century" w:cs="FrankRuehl" w:hint="cs"/>
          <w:spacing w:val="10"/>
          <w:szCs w:val="28"/>
          <w:rtl/>
        </w:rPr>
        <w:t xml:space="preserve"> מעט בשוני בין התפיסות ובמשמעותן. </w:t>
      </w:r>
    </w:p>
    <w:p w:rsidR="00090DE8" w:rsidRDefault="00090DE8" w:rsidP="00090DE8">
      <w:pPr>
        <w:pStyle w:val="af0"/>
        <w:tabs>
          <w:tab w:val="left" w:pos="-193"/>
        </w:tabs>
        <w:bidi/>
        <w:spacing w:line="360" w:lineRule="auto"/>
        <w:ind w:left="-52"/>
        <w:jc w:val="both"/>
        <w:rPr>
          <w:rFonts w:ascii="Century" w:hAnsi="Century" w:cs="FrankRuehl"/>
          <w:spacing w:val="10"/>
          <w:szCs w:val="28"/>
          <w:rtl/>
        </w:rPr>
      </w:pPr>
    </w:p>
    <w:p w:rsidR="00090DE8" w:rsidRDefault="00090DE8" w:rsidP="00090DE8">
      <w:pPr>
        <w:pStyle w:val="af0"/>
        <w:tabs>
          <w:tab w:val="left" w:pos="-193"/>
        </w:tabs>
        <w:bidi/>
        <w:spacing w:line="360" w:lineRule="auto"/>
        <w:ind w:left="-52"/>
        <w:jc w:val="both"/>
        <w:rPr>
          <w:rFonts w:ascii="Century" w:hAnsi="Century" w:cs="FrankRuehl"/>
          <w:spacing w:val="10"/>
          <w:szCs w:val="28"/>
          <w:rtl/>
        </w:rPr>
      </w:pPr>
    </w:p>
    <w:p w:rsidR="00090DE8" w:rsidRDefault="00090DE8" w:rsidP="00090DE8">
      <w:pPr>
        <w:pStyle w:val="af0"/>
        <w:tabs>
          <w:tab w:val="left" w:pos="-193"/>
        </w:tabs>
        <w:bidi/>
        <w:spacing w:line="360" w:lineRule="auto"/>
        <w:ind w:left="-52"/>
        <w:jc w:val="both"/>
        <w:rPr>
          <w:rFonts w:ascii="Century" w:hAnsi="Century" w:cs="Miriam"/>
          <w:b/>
          <w:szCs w:val="24"/>
          <w:rtl/>
        </w:rPr>
      </w:pPr>
      <w:r>
        <w:rPr>
          <w:rFonts w:ascii="Century" w:hAnsi="Century" w:cs="FrankRuehl"/>
          <w:spacing w:val="10"/>
          <w:szCs w:val="28"/>
          <w:rtl/>
        </w:rPr>
        <w:tab/>
      </w:r>
      <w:r w:rsidRPr="00D13F3F">
        <w:rPr>
          <w:rFonts w:ascii="Century" w:hAnsi="Century" w:cs="Miriam" w:hint="cs"/>
          <w:b/>
          <w:szCs w:val="24"/>
          <w:rtl/>
        </w:rPr>
        <w:t xml:space="preserve">לעניין אופן יישום </w:t>
      </w:r>
      <w:r>
        <w:rPr>
          <w:rFonts w:ascii="Century" w:hAnsi="Century" w:cs="Miriam" w:hint="cs"/>
          <w:b/>
          <w:szCs w:val="24"/>
          <w:rtl/>
        </w:rPr>
        <w:t>ה</w:t>
      </w:r>
      <w:r w:rsidRPr="00D13F3F">
        <w:rPr>
          <w:rFonts w:ascii="Century" w:hAnsi="Century" w:cs="Miriam" w:hint="cs"/>
          <w:b/>
          <w:szCs w:val="24"/>
          <w:rtl/>
        </w:rPr>
        <w:t xml:space="preserve">כלל </w:t>
      </w:r>
      <w:r>
        <w:rPr>
          <w:rFonts w:ascii="Century" w:hAnsi="Century" w:cs="Miriam" w:hint="cs"/>
          <w:b/>
          <w:szCs w:val="24"/>
          <w:rtl/>
        </w:rPr>
        <w:t xml:space="preserve">בדבר </w:t>
      </w:r>
      <w:r w:rsidRPr="00D13F3F">
        <w:rPr>
          <w:rFonts w:ascii="Century" w:hAnsi="Century" w:cs="Miriam" w:hint="cs"/>
          <w:b/>
          <w:szCs w:val="24"/>
          <w:rtl/>
        </w:rPr>
        <w:t>הפרשנות התכליתי</w:t>
      </w:r>
      <w:r>
        <w:rPr>
          <w:rFonts w:ascii="Century" w:hAnsi="Century" w:cs="Miriam" w:hint="cs"/>
          <w:b/>
          <w:szCs w:val="24"/>
          <w:rtl/>
        </w:rPr>
        <w:t>ת</w:t>
      </w:r>
    </w:p>
    <w:p w:rsidR="00090DE8" w:rsidRPr="00D13F3F" w:rsidRDefault="00090DE8" w:rsidP="00090DE8">
      <w:pPr>
        <w:pStyle w:val="af0"/>
        <w:tabs>
          <w:tab w:val="left" w:pos="800"/>
        </w:tabs>
        <w:bidi/>
        <w:spacing w:line="360" w:lineRule="auto"/>
        <w:ind w:left="232"/>
        <w:jc w:val="both"/>
        <w:rPr>
          <w:rFonts w:ascii="Century" w:hAnsi="Century" w:cs="Miriam"/>
          <w:b/>
          <w:szCs w:val="24"/>
        </w:rPr>
      </w:pPr>
      <w:r w:rsidRPr="00D13F3F">
        <w:rPr>
          <w:rFonts w:ascii="Century" w:hAnsi="Century" w:cs="Miriam" w:hint="cs"/>
          <w:b/>
          <w:szCs w:val="24"/>
          <w:rtl/>
        </w:rPr>
        <w:t xml:space="preserve"> </w:t>
      </w:r>
    </w:p>
    <w:p w:rsidR="00090DE8" w:rsidRPr="00D13F3F" w:rsidRDefault="00090DE8" w:rsidP="00090DE8">
      <w:pPr>
        <w:pStyle w:val="af0"/>
        <w:numPr>
          <w:ilvl w:val="0"/>
          <w:numId w:val="15"/>
        </w:numPr>
        <w:tabs>
          <w:tab w:val="left" w:pos="800"/>
        </w:tabs>
        <w:bidi/>
        <w:spacing w:line="360" w:lineRule="auto"/>
        <w:ind w:hanging="52"/>
        <w:jc w:val="both"/>
        <w:rPr>
          <w:rFonts w:ascii="Century" w:hAnsi="Century" w:cs="FrankRuehl"/>
          <w:spacing w:val="10"/>
          <w:szCs w:val="28"/>
          <w:rtl/>
        </w:rPr>
      </w:pPr>
      <w:r w:rsidRPr="00D13F3F">
        <w:rPr>
          <w:rFonts w:ascii="Century" w:hAnsi="Century" w:cs="FrankRuehl" w:hint="cs"/>
          <w:spacing w:val="10"/>
          <w:szCs w:val="28"/>
          <w:rtl/>
        </w:rPr>
        <w:t>חברי סב</w:t>
      </w:r>
      <w:r>
        <w:rPr>
          <w:rFonts w:ascii="Century" w:hAnsi="Century" w:cs="FrankRuehl" w:hint="cs"/>
          <w:spacing w:val="10"/>
          <w:szCs w:val="28"/>
          <w:rtl/>
        </w:rPr>
        <w:t>ו</w:t>
      </w:r>
      <w:r w:rsidRPr="00D13F3F">
        <w:rPr>
          <w:rFonts w:ascii="Century" w:hAnsi="Century" w:cs="FrankRuehl" w:hint="cs"/>
          <w:spacing w:val="10"/>
          <w:szCs w:val="28"/>
          <w:rtl/>
        </w:rPr>
        <w:t xml:space="preserve">ר כי כאשר </w:t>
      </w:r>
      <w:r>
        <w:rPr>
          <w:rFonts w:ascii="Century" w:hAnsi="Century" w:cs="FrankRuehl" w:hint="cs"/>
          <w:spacing w:val="10"/>
          <w:szCs w:val="28"/>
          <w:rtl/>
        </w:rPr>
        <w:t xml:space="preserve">שופט </w:t>
      </w:r>
      <w:r w:rsidRPr="00D13F3F">
        <w:rPr>
          <w:rFonts w:ascii="Century" w:hAnsi="Century" w:cs="FrankRuehl" w:hint="cs"/>
          <w:spacing w:val="10"/>
          <w:szCs w:val="28"/>
          <w:rtl/>
        </w:rPr>
        <w:t>בא לפרש חוק מס שמילותיו אינן ברורות</w:t>
      </w:r>
      <w:r>
        <w:rPr>
          <w:rFonts w:ascii="Century" w:hAnsi="Century" w:cs="FrankRuehl" w:hint="cs"/>
          <w:spacing w:val="10"/>
          <w:szCs w:val="28"/>
          <w:rtl/>
        </w:rPr>
        <w:t xml:space="preserve"> והלשון איננה חד משמעית</w:t>
      </w:r>
      <w:r w:rsidRPr="00D13F3F">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w:t>
      </w:r>
      <w:r w:rsidRPr="00D13F3F">
        <w:rPr>
          <w:rFonts w:ascii="Century" w:hAnsi="Century" w:cs="FrankRuehl" w:hint="cs"/>
          <w:spacing w:val="10"/>
          <w:szCs w:val="28"/>
          <w:rtl/>
        </w:rPr>
        <w:t xml:space="preserve">הוא חייב </w:t>
      </w:r>
      <w:r>
        <w:rPr>
          <w:rFonts w:ascii="Century" w:hAnsi="Century" w:cs="FrankRuehl" w:hint="cs"/>
          <w:spacing w:val="10"/>
          <w:szCs w:val="28"/>
          <w:rtl/>
        </w:rPr>
        <w:t xml:space="preserve">לאתר </w:t>
      </w:r>
      <w:r w:rsidRPr="00D13F3F">
        <w:rPr>
          <w:rFonts w:ascii="Century" w:hAnsi="Century" w:cs="FrankRuehl" w:hint="cs"/>
          <w:spacing w:val="10"/>
          <w:szCs w:val="28"/>
          <w:rtl/>
        </w:rPr>
        <w:t>תחילה ולהגדיר את תכליותיו של החוק</w:t>
      </w:r>
      <w:r>
        <w:rPr>
          <w:rFonts w:ascii="Century" w:hAnsi="Century" w:cs="FrankRuehl" w:hint="cs"/>
          <w:spacing w:val="10"/>
          <w:szCs w:val="28"/>
          <w:rtl/>
        </w:rPr>
        <w:t xml:space="preserve"> הנדון,</w:t>
      </w:r>
      <w:r w:rsidRPr="00D13F3F">
        <w:rPr>
          <w:rFonts w:ascii="Century" w:hAnsi="Century" w:cs="FrankRuehl" w:hint="cs"/>
          <w:spacing w:val="10"/>
          <w:szCs w:val="28"/>
          <w:rtl/>
        </w:rPr>
        <w:t xml:space="preserve"> ואחר כך לבדוק את ההתאמה בין כל פרשנות לשונית המתקבלת על הדעת לבין כל תכלית ותכלית של החוק</w:t>
      </w:r>
      <w:r>
        <w:rPr>
          <w:rFonts w:ascii="Century" w:hAnsi="Century" w:cs="FrankRuehl" w:hint="cs"/>
          <w:spacing w:val="10"/>
          <w:szCs w:val="28"/>
          <w:rtl/>
        </w:rPr>
        <w:t xml:space="preserve">, כפי שהוא מבין אותה, לרבות תכליות המשנה אותן הוא מונה </w:t>
      </w:r>
      <w:proofErr w:type="spellStart"/>
      <w:r>
        <w:rPr>
          <w:rFonts w:ascii="Century" w:hAnsi="Century" w:cs="FrankRuehl" w:hint="cs"/>
          <w:spacing w:val="10"/>
          <w:szCs w:val="28"/>
          <w:rtl/>
        </w:rPr>
        <w:t>בפיסקה</w:t>
      </w:r>
      <w:proofErr w:type="spellEnd"/>
      <w:r>
        <w:rPr>
          <w:rFonts w:ascii="Century" w:hAnsi="Century" w:cs="FrankRuehl" w:hint="cs"/>
          <w:spacing w:val="10"/>
          <w:szCs w:val="28"/>
          <w:rtl/>
        </w:rPr>
        <w:t xml:space="preserve"> 7 לחוות דעתו</w:t>
      </w:r>
      <w:r w:rsidRPr="00D13F3F">
        <w:rPr>
          <w:rFonts w:ascii="Century" w:hAnsi="Century" w:cs="FrankRuehl" w:hint="cs"/>
          <w:spacing w:val="10"/>
          <w:szCs w:val="28"/>
          <w:rtl/>
        </w:rPr>
        <w:t>.</w:t>
      </w:r>
    </w:p>
    <w:p w:rsidR="00090DE8" w:rsidRPr="001F0A88" w:rsidRDefault="00090DE8" w:rsidP="00090DE8">
      <w:pPr>
        <w:spacing w:line="360" w:lineRule="auto"/>
        <w:jc w:val="both"/>
        <w:rPr>
          <w:rFonts w:ascii="Century" w:hAnsi="Century" w:cs="FrankRuehl"/>
          <w:spacing w:val="10"/>
          <w:sz w:val="2"/>
          <w:szCs w:val="10"/>
          <w:rtl/>
        </w:rPr>
      </w:pPr>
    </w:p>
    <w:p w:rsidR="00090DE8" w:rsidRDefault="00090DE8" w:rsidP="00090DE8">
      <w:pPr>
        <w:spacing w:line="360" w:lineRule="auto"/>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 xml:space="preserve">אין דעתי כדעתו. אני סבור כי את </w:t>
      </w:r>
      <w:r>
        <w:rPr>
          <w:rFonts w:ascii="Century" w:hAnsi="Century" w:cs="Miriam" w:hint="cs"/>
          <w:spacing w:val="10"/>
          <w:sz w:val="24"/>
          <w:rtl/>
        </w:rPr>
        <w:t>ה</w:t>
      </w:r>
      <w:r w:rsidRPr="00B95E74">
        <w:rPr>
          <w:rFonts w:ascii="Century" w:hAnsi="Century" w:cs="Miriam" w:hint="cs"/>
          <w:spacing w:val="10"/>
          <w:sz w:val="24"/>
          <w:rtl/>
        </w:rPr>
        <w:t xml:space="preserve">כלל </w:t>
      </w:r>
      <w:r>
        <w:rPr>
          <w:rFonts w:ascii="Century" w:hAnsi="Century" w:cs="Miriam" w:hint="cs"/>
          <w:spacing w:val="10"/>
          <w:sz w:val="24"/>
          <w:rtl/>
        </w:rPr>
        <w:t xml:space="preserve">בדבר </w:t>
      </w:r>
      <w:r w:rsidRPr="00B95E74">
        <w:rPr>
          <w:rFonts w:ascii="Century" w:hAnsi="Century" w:cs="Miriam" w:hint="cs"/>
          <w:spacing w:val="10"/>
          <w:sz w:val="24"/>
          <w:rtl/>
        </w:rPr>
        <w:t>הפרשנות התכליתי</w:t>
      </w:r>
      <w:r w:rsidRPr="00527274">
        <w:rPr>
          <w:rFonts w:ascii="Century" w:hAnsi="Century" w:cs="Miriam" w:hint="eastAsia"/>
          <w:spacing w:val="10"/>
          <w:sz w:val="24"/>
          <w:rtl/>
        </w:rPr>
        <w:t>ת</w:t>
      </w:r>
      <w:r>
        <w:rPr>
          <w:rStyle w:val="default"/>
          <w:rFonts w:cs="FrankRuehl" w:hint="cs"/>
          <w:szCs w:val="28"/>
          <w:rtl/>
        </w:rPr>
        <w:t xml:space="preserve">, </w:t>
      </w:r>
      <w:r w:rsidRPr="00124C8D">
        <w:rPr>
          <w:rStyle w:val="default"/>
          <w:rFonts w:ascii="Century" w:hAnsi="Century" w:cs="FrankRuehl" w:hint="cs"/>
          <w:spacing w:val="10"/>
          <w:sz w:val="22"/>
          <w:szCs w:val="28"/>
          <w:rtl/>
        </w:rPr>
        <w:t xml:space="preserve">שהתקבל בפסיקה בבחינת תקדים מחייב מזה שנים רבות, יש ליישם בדיני המס, בדרך דומה לזו </w:t>
      </w:r>
      <w:r w:rsidRPr="00124C8D">
        <w:rPr>
          <w:rStyle w:val="default"/>
          <w:rFonts w:ascii="Century" w:hAnsi="Century" w:cs="FrankRuehl" w:hint="cs"/>
          <w:spacing w:val="10"/>
          <w:sz w:val="22"/>
          <w:szCs w:val="28"/>
          <w:rtl/>
        </w:rPr>
        <w:lastRenderedPageBreak/>
        <w:t xml:space="preserve">שאנו נוהגים בכלל זה בהקשרם של חוקים אזרחיים אחרים. </w:t>
      </w:r>
      <w:r w:rsidRPr="00124C8D">
        <w:rPr>
          <w:rFonts w:ascii="Century" w:hAnsi="Century" w:cs="FrankRuehl" w:hint="cs"/>
          <w:spacing w:val="10"/>
          <w:sz w:val="22"/>
          <w:szCs w:val="28"/>
          <w:rtl/>
        </w:rPr>
        <w:t>במסגרת תורה פרשנית זו, תהליך הפרשנות איננו נעשה "מלמעלה למטה" כעמדת חברי, קרי על-ידי הגדרת התכליות, אלא "מלמטה למעלה". במסגרת זו</w:t>
      </w:r>
      <w:r>
        <w:rPr>
          <w:rFonts w:ascii="Century" w:hAnsi="Century" w:cs="FrankRuehl" w:hint="cs"/>
          <w:spacing w:val="10"/>
          <w:szCs w:val="28"/>
          <w:rtl/>
        </w:rPr>
        <w:t xml:space="preserve">, </w:t>
      </w:r>
      <w:r w:rsidRPr="00115C7C">
        <w:rPr>
          <w:rFonts w:ascii="Century" w:hAnsi="Century" w:cs="FrankRuehl" w:hint="eastAsia"/>
          <w:b/>
          <w:bCs/>
          <w:spacing w:val="10"/>
          <w:szCs w:val="28"/>
          <w:rtl/>
        </w:rPr>
        <w:t>השלב</w:t>
      </w:r>
      <w:r w:rsidRPr="00115C7C">
        <w:rPr>
          <w:rFonts w:ascii="Century" w:hAnsi="Century" w:cs="FrankRuehl"/>
          <w:b/>
          <w:bCs/>
          <w:spacing w:val="10"/>
          <w:szCs w:val="28"/>
          <w:rtl/>
        </w:rPr>
        <w:t xml:space="preserve"> </w:t>
      </w:r>
      <w:r w:rsidRPr="00115C7C">
        <w:rPr>
          <w:rFonts w:ascii="Century" w:hAnsi="Century" w:cs="FrankRuehl" w:hint="eastAsia"/>
          <w:b/>
          <w:bCs/>
          <w:spacing w:val="10"/>
          <w:szCs w:val="28"/>
          <w:rtl/>
        </w:rPr>
        <w:t>הראשון</w:t>
      </w:r>
      <w:r>
        <w:rPr>
          <w:rFonts w:ascii="Century" w:hAnsi="Century" w:cs="FrankRuehl" w:hint="cs"/>
          <w:spacing w:val="10"/>
          <w:szCs w:val="28"/>
          <w:rtl/>
        </w:rPr>
        <w:t xml:space="preserve"> </w:t>
      </w:r>
      <w:r w:rsidRPr="00124C8D">
        <w:rPr>
          <w:rFonts w:ascii="Century" w:hAnsi="Century" w:cs="FrankRuehl" w:hint="cs"/>
          <w:spacing w:val="10"/>
          <w:sz w:val="22"/>
          <w:szCs w:val="28"/>
          <w:rtl/>
        </w:rPr>
        <w:t xml:space="preserve">בפרשנות הוא לעולם השלב הלשוני. אם לשון הסעיף יכולה לשאת יותר מפרשנות אחת, או </w:t>
      </w:r>
      <w:r w:rsidRPr="00124C8D">
        <w:rPr>
          <w:rStyle w:val="default"/>
          <w:rFonts w:ascii="Century" w:hAnsi="Century" w:cs="FrankRuehl" w:hint="cs"/>
          <w:spacing w:val="10"/>
          <w:sz w:val="22"/>
          <w:szCs w:val="28"/>
          <w:rtl/>
        </w:rPr>
        <w:t xml:space="preserve">שהסעיף "שותק" למעשה, ואינו מספק רמזים לשוניים ברורים וחד-משמעיים לפרשנות ה"נכונה" </w:t>
      </w:r>
      <w:r w:rsidRPr="00124C8D">
        <w:rPr>
          <w:rStyle w:val="default"/>
          <w:rFonts w:ascii="Century" w:hAnsi="Century" w:cs="FrankRuehl"/>
          <w:spacing w:val="10"/>
          <w:sz w:val="22"/>
          <w:szCs w:val="28"/>
          <w:rtl/>
        </w:rPr>
        <w:t>–</w:t>
      </w:r>
      <w:r w:rsidRPr="00124C8D">
        <w:rPr>
          <w:rStyle w:val="default"/>
          <w:rFonts w:ascii="Century" w:hAnsi="Century" w:cs="FrankRuehl" w:hint="cs"/>
          <w:spacing w:val="10"/>
          <w:sz w:val="22"/>
          <w:szCs w:val="28"/>
          <w:rtl/>
        </w:rPr>
        <w:t xml:space="preserve"> יש </w:t>
      </w:r>
      <w:r w:rsidRPr="00090DE8">
        <w:rPr>
          <w:rStyle w:val="default"/>
          <w:rFonts w:ascii="Century" w:hAnsi="Century" w:cs="FrankRuehl" w:hint="cs"/>
          <w:spacing w:val="10"/>
          <w:sz w:val="22"/>
          <w:szCs w:val="28"/>
          <w:rtl/>
        </w:rPr>
        <w:t>להמשיך, ולבחון את</w:t>
      </w:r>
      <w:r>
        <w:rPr>
          <w:rStyle w:val="default"/>
          <w:rFonts w:cs="FrankRuehl" w:hint="cs"/>
          <w:szCs w:val="28"/>
          <w:rtl/>
        </w:rPr>
        <w:t xml:space="preserve"> </w:t>
      </w:r>
      <w:r>
        <w:rPr>
          <w:rStyle w:val="default"/>
          <w:rFonts w:cs="Miriam" w:hint="cs"/>
          <w:sz w:val="28"/>
          <w:rtl/>
        </w:rPr>
        <w:t>תכליתו</w:t>
      </w:r>
      <w:r>
        <w:rPr>
          <w:rStyle w:val="default"/>
          <w:rFonts w:cs="FrankRuehl" w:hint="cs"/>
          <w:szCs w:val="28"/>
          <w:rtl/>
        </w:rPr>
        <w:t xml:space="preserve"> </w:t>
      </w:r>
      <w:r w:rsidRPr="00090DE8">
        <w:rPr>
          <w:rStyle w:val="default"/>
          <w:rFonts w:ascii="Century" w:hAnsi="Century" w:cs="FrankRuehl" w:hint="cs"/>
          <w:spacing w:val="10"/>
          <w:sz w:val="22"/>
          <w:szCs w:val="28"/>
          <w:rtl/>
        </w:rPr>
        <w:t xml:space="preserve">של הסעיף </w:t>
      </w:r>
      <w:r w:rsidRPr="00090DE8">
        <w:rPr>
          <w:rFonts w:ascii="Century" w:hAnsi="Century" w:cs="FrankRuehl" w:hint="cs"/>
          <w:spacing w:val="10"/>
          <w:sz w:val="22"/>
          <w:szCs w:val="28"/>
          <w:rtl/>
        </w:rPr>
        <w:t>ושל החוק הנתון בכללותו (ראו: פיסקה 22 לפסק דיני</w:t>
      </w:r>
      <w:r w:rsidRPr="00090DE8">
        <w:rPr>
          <w:rFonts w:ascii="Century" w:hAnsi="Century" w:cs="FrankRuehl" w:hint="cs"/>
          <w:spacing w:val="10"/>
          <w:szCs w:val="28"/>
          <w:rtl/>
        </w:rPr>
        <w:t xml:space="preserve"> </w:t>
      </w:r>
      <w:r>
        <w:rPr>
          <w:rFonts w:ascii="Century" w:hAnsi="Century" w:cs="FrankRuehl" w:hint="cs"/>
          <w:spacing w:val="10"/>
          <w:szCs w:val="28"/>
          <w:rtl/>
        </w:rPr>
        <w:t>ב</w:t>
      </w:r>
      <w:r w:rsidRPr="004535B3">
        <w:rPr>
          <w:rFonts w:ascii="Century" w:hAnsi="Century" w:cs="Miriam" w:hint="cs"/>
          <w:b/>
          <w:rtl/>
        </w:rPr>
        <w:t>עניין</w:t>
      </w:r>
      <w:r>
        <w:rPr>
          <w:rFonts w:ascii="Century" w:hAnsi="Century" w:cs="FrankRuehl" w:hint="cs"/>
          <w:spacing w:val="10"/>
          <w:szCs w:val="28"/>
          <w:rtl/>
        </w:rPr>
        <w:t xml:space="preserve"> </w:t>
      </w:r>
      <w:r w:rsidRPr="00643310">
        <w:rPr>
          <w:rFonts w:ascii="Century" w:hAnsi="Century" w:cs="Miriam" w:hint="cs"/>
          <w:spacing w:val="10"/>
          <w:sz w:val="24"/>
          <w:rtl/>
        </w:rPr>
        <w:t>שבטון</w:t>
      </w:r>
      <w:r>
        <w:rPr>
          <w:rFonts w:ascii="Century" w:hAnsi="Century" w:cs="FrankRuehl" w:hint="cs"/>
          <w:spacing w:val="10"/>
          <w:szCs w:val="28"/>
          <w:rtl/>
        </w:rPr>
        <w:t>).</w:t>
      </w:r>
      <w:r w:rsidRPr="0015134B">
        <w:rPr>
          <w:rFonts w:ascii="Century" w:hAnsi="Century" w:cs="FrankRuehl" w:hint="cs"/>
          <w:spacing w:val="10"/>
          <w:szCs w:val="28"/>
          <w:rtl/>
        </w:rPr>
        <w:t xml:space="preserve"> </w:t>
      </w:r>
      <w:r w:rsidRPr="00115C7C">
        <w:rPr>
          <w:rFonts w:ascii="Century" w:hAnsi="Century" w:cs="FrankRuehl" w:hint="eastAsia"/>
          <w:b/>
          <w:bCs/>
          <w:spacing w:val="10"/>
          <w:szCs w:val="28"/>
          <w:rtl/>
        </w:rPr>
        <w:t>שלב</w:t>
      </w:r>
      <w:r w:rsidRPr="00115C7C">
        <w:rPr>
          <w:rFonts w:ascii="Century" w:hAnsi="Century" w:cs="FrankRuehl"/>
          <w:b/>
          <w:bCs/>
          <w:spacing w:val="10"/>
          <w:szCs w:val="28"/>
          <w:rtl/>
        </w:rPr>
        <w:t xml:space="preserve"> </w:t>
      </w:r>
      <w:r w:rsidRPr="00115C7C">
        <w:rPr>
          <w:rFonts w:ascii="Century" w:hAnsi="Century" w:cs="FrankRuehl" w:hint="eastAsia"/>
          <w:b/>
          <w:bCs/>
          <w:spacing w:val="10"/>
          <w:szCs w:val="28"/>
          <w:rtl/>
        </w:rPr>
        <w:t>הבדיקה</w:t>
      </w:r>
      <w:r w:rsidRPr="00115C7C">
        <w:rPr>
          <w:rFonts w:ascii="Century" w:hAnsi="Century" w:cs="FrankRuehl"/>
          <w:b/>
          <w:bCs/>
          <w:spacing w:val="10"/>
          <w:szCs w:val="28"/>
          <w:rtl/>
        </w:rPr>
        <w:t xml:space="preserve"> </w:t>
      </w:r>
      <w:r w:rsidRPr="00115C7C">
        <w:rPr>
          <w:rFonts w:ascii="Century" w:hAnsi="Century" w:cs="FrankRuehl" w:hint="eastAsia"/>
          <w:b/>
          <w:bCs/>
          <w:spacing w:val="10"/>
          <w:szCs w:val="28"/>
          <w:rtl/>
        </w:rPr>
        <w:t>השני</w:t>
      </w:r>
      <w:r>
        <w:rPr>
          <w:rFonts w:ascii="Century" w:hAnsi="Century" w:cs="FrankRuehl" w:hint="cs"/>
          <w:spacing w:val="10"/>
          <w:szCs w:val="28"/>
          <w:rtl/>
        </w:rPr>
        <w:t>, עוסק לפיכך בבדיקת תכלית הסעיף והחוק הנתון על סמך מקורות נוספים, והוא כולל מספר אמות מידה (</w:t>
      </w:r>
      <w:r>
        <w:rPr>
          <w:rFonts w:ascii="Century" w:hAnsi="Century" w:cs="Miriam" w:hint="cs"/>
          <w:b/>
          <w:rtl/>
        </w:rPr>
        <w:t>ענין שבטון</w:t>
      </w:r>
      <w:r>
        <w:rPr>
          <w:rFonts w:ascii="Century" w:hAnsi="Century" w:cs="FrankRuehl" w:hint="cs"/>
          <w:spacing w:val="10"/>
          <w:szCs w:val="28"/>
          <w:rtl/>
        </w:rPr>
        <w:t xml:space="preserve"> </w:t>
      </w:r>
      <w:proofErr w:type="spellStart"/>
      <w:r>
        <w:rPr>
          <w:rFonts w:ascii="Century" w:hAnsi="Century" w:cs="FrankRuehl" w:hint="cs"/>
          <w:spacing w:val="10"/>
          <w:szCs w:val="28"/>
          <w:rtl/>
        </w:rPr>
        <w:t>בפיסקה</w:t>
      </w:r>
      <w:proofErr w:type="spellEnd"/>
      <w:r>
        <w:rPr>
          <w:rFonts w:ascii="Century" w:hAnsi="Century" w:cs="FrankRuehl" w:hint="cs"/>
          <w:spacing w:val="10"/>
          <w:szCs w:val="28"/>
          <w:rtl/>
        </w:rPr>
        <w:t xml:space="preserve"> 23), המתוארים להלן:</w:t>
      </w:r>
    </w:p>
    <w:p w:rsidR="00090DE8" w:rsidRDefault="00090DE8" w:rsidP="00090DE8">
      <w:pPr>
        <w:spacing w:line="360" w:lineRule="auto"/>
        <w:jc w:val="both"/>
        <w:rPr>
          <w:rFonts w:ascii="Century" w:hAnsi="Century" w:cs="FrankRuehl"/>
          <w:spacing w:val="10"/>
          <w:szCs w:val="28"/>
          <w:rtl/>
        </w:rPr>
      </w:pPr>
    </w:p>
    <w:p w:rsidR="00090DE8" w:rsidRPr="00C83C25" w:rsidRDefault="00090DE8" w:rsidP="00090DE8">
      <w:pPr>
        <w:spacing w:line="360" w:lineRule="auto"/>
        <w:jc w:val="both"/>
        <w:rPr>
          <w:rFonts w:ascii="Century" w:hAnsi="Century" w:cs="FrankRuehl"/>
          <w:spacing w:val="10"/>
          <w:szCs w:val="28"/>
        </w:rPr>
      </w:pPr>
      <w:r w:rsidRPr="003B3010">
        <w:rPr>
          <w:rFonts w:ascii="Century" w:hAnsi="Century" w:cs="Miriam" w:hint="eastAsia"/>
          <w:b/>
          <w:sz w:val="22"/>
          <w:rtl/>
        </w:rPr>
        <w:t>בחינת</w:t>
      </w:r>
      <w:r w:rsidRPr="003B3010">
        <w:rPr>
          <w:rFonts w:ascii="Century" w:hAnsi="Century" w:cs="Miriam"/>
          <w:b/>
          <w:sz w:val="22"/>
          <w:rtl/>
        </w:rPr>
        <w:t xml:space="preserve"> </w:t>
      </w:r>
      <w:r w:rsidRPr="003B3010">
        <w:rPr>
          <w:rFonts w:ascii="Century" w:hAnsi="Century" w:cs="Miriam" w:hint="eastAsia"/>
          <w:b/>
          <w:sz w:val="22"/>
          <w:rtl/>
        </w:rPr>
        <w:t>תכליתו</w:t>
      </w:r>
      <w:r w:rsidRPr="003B3010">
        <w:rPr>
          <w:rFonts w:ascii="Century" w:hAnsi="Century" w:cs="Miriam"/>
          <w:b/>
          <w:sz w:val="22"/>
          <w:rtl/>
        </w:rPr>
        <w:t xml:space="preserve"> </w:t>
      </w:r>
      <w:r w:rsidRPr="003B3010">
        <w:rPr>
          <w:rFonts w:ascii="Century" w:hAnsi="Century" w:cs="Miriam" w:hint="eastAsia"/>
          <w:b/>
          <w:sz w:val="22"/>
          <w:rtl/>
        </w:rPr>
        <w:t>הסובייקטיבית</w:t>
      </w:r>
      <w:r w:rsidRPr="003B3010">
        <w:rPr>
          <w:rFonts w:ascii="Century" w:hAnsi="Century" w:cs="Miriam"/>
          <w:b/>
          <w:sz w:val="22"/>
          <w:rtl/>
        </w:rPr>
        <w:t xml:space="preserve"> </w:t>
      </w:r>
      <w:r w:rsidRPr="003B3010">
        <w:rPr>
          <w:rFonts w:ascii="Century" w:hAnsi="Century" w:cs="Miriam" w:hint="eastAsia"/>
          <w:b/>
          <w:sz w:val="22"/>
          <w:rtl/>
        </w:rPr>
        <w:t>של</w:t>
      </w:r>
      <w:r w:rsidRPr="003B3010">
        <w:rPr>
          <w:rFonts w:ascii="Century" w:hAnsi="Century" w:cs="Miriam"/>
          <w:b/>
          <w:sz w:val="22"/>
          <w:rtl/>
        </w:rPr>
        <w:t xml:space="preserve"> </w:t>
      </w:r>
      <w:r w:rsidRPr="003B3010">
        <w:rPr>
          <w:rFonts w:ascii="Century" w:hAnsi="Century" w:cs="Miriam" w:hint="eastAsia"/>
          <w:b/>
          <w:sz w:val="22"/>
          <w:rtl/>
        </w:rPr>
        <w:t>הסעיף</w:t>
      </w:r>
      <w:r>
        <w:rPr>
          <w:rFonts w:ascii="Century" w:hAnsi="Century" w:cs="FrankRuehl" w:hint="cs"/>
          <w:spacing w:val="10"/>
          <w:szCs w:val="28"/>
          <w:rtl/>
        </w:rPr>
        <w:t>;</w:t>
      </w:r>
      <w:r w:rsidRPr="00C83C25">
        <w:rPr>
          <w:rFonts w:ascii="Century" w:hAnsi="Century" w:cs="FrankRuehl" w:hint="cs"/>
          <w:spacing w:val="10"/>
          <w:szCs w:val="28"/>
          <w:rtl/>
        </w:rPr>
        <w:t xml:space="preserve"> במסגרת</w:t>
      </w:r>
      <w:r>
        <w:rPr>
          <w:rFonts w:ascii="Century" w:hAnsi="Century" w:cs="FrankRuehl" w:hint="cs"/>
          <w:spacing w:val="10"/>
          <w:szCs w:val="28"/>
          <w:rtl/>
        </w:rPr>
        <w:t xml:space="preserve"> זו</w:t>
      </w:r>
      <w:r w:rsidRPr="00C83C25">
        <w:rPr>
          <w:rFonts w:ascii="Century" w:hAnsi="Century" w:cs="FrankRuehl" w:hint="cs"/>
          <w:spacing w:val="10"/>
          <w:szCs w:val="28"/>
          <w:rtl/>
        </w:rPr>
        <w:t xml:space="preserve"> נב</w:t>
      </w:r>
      <w:r>
        <w:rPr>
          <w:rFonts w:ascii="Century" w:hAnsi="Century" w:cs="FrankRuehl" w:hint="cs"/>
          <w:spacing w:val="10"/>
          <w:szCs w:val="28"/>
          <w:rtl/>
        </w:rPr>
        <w:t>דק</w:t>
      </w:r>
      <w:r w:rsidRPr="00C83C25">
        <w:rPr>
          <w:rFonts w:ascii="Century" w:hAnsi="Century" w:cs="FrankRuehl" w:hint="cs"/>
          <w:spacing w:val="10"/>
          <w:szCs w:val="28"/>
          <w:rtl/>
        </w:rPr>
        <w:t xml:space="preserve">ת "כוונת המחוקק" </w:t>
      </w:r>
      <w:r w:rsidRPr="00C83C25">
        <w:rPr>
          <w:rFonts w:ascii="Century" w:hAnsi="Century" w:cs="FrankRuehl" w:hint="cs"/>
          <w:b/>
          <w:bCs/>
          <w:spacing w:val="10"/>
          <w:szCs w:val="28"/>
          <w:rtl/>
        </w:rPr>
        <w:t>הסובייקטיבית</w:t>
      </w:r>
      <w:r w:rsidRPr="00C83C25">
        <w:rPr>
          <w:rFonts w:ascii="Century" w:hAnsi="Century" w:cs="FrankRuehl" w:hint="cs"/>
          <w:spacing w:val="10"/>
          <w:szCs w:val="28"/>
          <w:rtl/>
        </w:rPr>
        <w:t>, כפי שעולה</w:t>
      </w:r>
      <w:r>
        <w:rPr>
          <w:rFonts w:ascii="Century" w:hAnsi="Century" w:cs="FrankRuehl" w:hint="cs"/>
          <w:spacing w:val="10"/>
          <w:szCs w:val="28"/>
          <w:rtl/>
        </w:rPr>
        <w:t>, בין השאר,</w:t>
      </w:r>
      <w:r w:rsidRPr="00C83C25">
        <w:rPr>
          <w:rFonts w:ascii="Century" w:hAnsi="Century" w:cs="FrankRuehl" w:hint="cs"/>
          <w:spacing w:val="10"/>
          <w:szCs w:val="28"/>
          <w:rtl/>
        </w:rPr>
        <w:t xml:space="preserve"> מחומרי ההכנה לחוק</w:t>
      </w:r>
      <w:r>
        <w:rPr>
          <w:rFonts w:ascii="Century" w:hAnsi="Century" w:cs="FrankRuehl" w:hint="cs"/>
          <w:spacing w:val="10"/>
          <w:szCs w:val="28"/>
          <w:rtl/>
        </w:rPr>
        <w:t xml:space="preserve">, הנכללים </w:t>
      </w:r>
      <w:r w:rsidRPr="00C83C25">
        <w:rPr>
          <w:rFonts w:ascii="Century" w:hAnsi="Century" w:cs="FrankRuehl" w:hint="cs"/>
          <w:spacing w:val="10"/>
          <w:szCs w:val="28"/>
          <w:rtl/>
        </w:rPr>
        <w:t>ב</w:t>
      </w:r>
      <w:r>
        <w:rPr>
          <w:rFonts w:ascii="Century" w:hAnsi="Century" w:cs="FrankRuehl" w:hint="cs"/>
          <w:spacing w:val="10"/>
          <w:szCs w:val="28"/>
          <w:rtl/>
        </w:rPr>
        <w:t>גדר</w:t>
      </w:r>
      <w:r w:rsidRPr="00C83C25">
        <w:rPr>
          <w:rFonts w:ascii="Century" w:hAnsi="Century" w:cs="FrankRuehl" w:hint="cs"/>
          <w:spacing w:val="10"/>
          <w:szCs w:val="28"/>
          <w:rtl/>
        </w:rPr>
        <w:t xml:space="preserve"> "ההיסטוריה החקיקתית" של הסעיף (</w:t>
      </w:r>
      <w:r w:rsidRPr="00C83C25">
        <w:rPr>
          <w:rFonts w:ascii="Century" w:hAnsi="Century" w:cs="Miriam" w:hint="cs"/>
          <w:b/>
          <w:rtl/>
        </w:rPr>
        <w:t>ענין שבטון</w:t>
      </w:r>
      <w:r w:rsidRPr="00C83C25">
        <w:rPr>
          <w:rFonts w:ascii="Century" w:hAnsi="Century" w:cs="FrankRuehl" w:hint="cs"/>
          <w:spacing w:val="10"/>
          <w:szCs w:val="28"/>
          <w:rtl/>
        </w:rPr>
        <w:t xml:space="preserve">, </w:t>
      </w:r>
      <w:proofErr w:type="spellStart"/>
      <w:r w:rsidRPr="00C83C25">
        <w:rPr>
          <w:rFonts w:ascii="Century" w:hAnsi="Century" w:cs="FrankRuehl" w:hint="cs"/>
          <w:spacing w:val="10"/>
          <w:szCs w:val="28"/>
          <w:rtl/>
        </w:rPr>
        <w:t>בפיסקה</w:t>
      </w:r>
      <w:proofErr w:type="spellEnd"/>
      <w:r w:rsidRPr="00C83C25">
        <w:rPr>
          <w:rFonts w:ascii="Century" w:hAnsi="Century" w:cs="FrankRuehl" w:hint="cs"/>
          <w:spacing w:val="10"/>
          <w:szCs w:val="28"/>
          <w:rtl/>
        </w:rPr>
        <w:t xml:space="preserve"> 24);</w:t>
      </w:r>
      <w:r>
        <w:rPr>
          <w:rFonts w:ascii="Century" w:hAnsi="Century" w:cs="FrankRuehl" w:hint="cs"/>
          <w:spacing w:val="10"/>
          <w:szCs w:val="28"/>
          <w:rtl/>
        </w:rPr>
        <w:t xml:space="preserve"> בצד האמור</w:t>
      </w:r>
      <w:r w:rsidRPr="00C83C25">
        <w:rPr>
          <w:rFonts w:ascii="Century" w:hAnsi="Century" w:cs="FrankRuehl" w:hint="cs"/>
          <w:spacing w:val="10"/>
          <w:szCs w:val="28"/>
          <w:rtl/>
        </w:rPr>
        <w:t xml:space="preserve"> יש לב</w:t>
      </w:r>
      <w:r>
        <w:rPr>
          <w:rFonts w:ascii="Century" w:hAnsi="Century" w:cs="FrankRuehl" w:hint="cs"/>
          <w:spacing w:val="10"/>
          <w:szCs w:val="28"/>
          <w:rtl/>
        </w:rPr>
        <w:t>רר</w:t>
      </w:r>
      <w:r w:rsidRPr="00C83C25">
        <w:rPr>
          <w:rFonts w:ascii="Century" w:hAnsi="Century" w:cs="FrankRuehl" w:hint="cs"/>
          <w:spacing w:val="10"/>
          <w:szCs w:val="28"/>
          <w:rtl/>
        </w:rPr>
        <w:t xml:space="preserve"> את</w:t>
      </w:r>
      <w:r w:rsidRPr="00C83C25">
        <w:rPr>
          <w:rFonts w:ascii="Century" w:hAnsi="Century" w:cs="Miriam" w:hint="cs"/>
          <w:spacing w:val="10"/>
          <w:sz w:val="24"/>
          <w:rtl/>
        </w:rPr>
        <w:t xml:space="preserve"> תכליתו האובייקטיבית של הסעיף</w:t>
      </w:r>
      <w:r>
        <w:rPr>
          <w:rFonts w:ascii="Century" w:hAnsi="Century" w:cs="FrankRuehl" w:hint="cs"/>
          <w:spacing w:val="10"/>
          <w:szCs w:val="28"/>
          <w:rtl/>
        </w:rPr>
        <w:t>;</w:t>
      </w:r>
      <w:r w:rsidRPr="00C83C25">
        <w:rPr>
          <w:rFonts w:ascii="Century" w:hAnsi="Century" w:cs="FrankRuehl" w:hint="cs"/>
          <w:spacing w:val="10"/>
          <w:szCs w:val="28"/>
          <w:rtl/>
        </w:rPr>
        <w:t xml:space="preserve"> </w:t>
      </w:r>
      <w:r>
        <w:rPr>
          <w:rFonts w:ascii="Century" w:hAnsi="Century" w:cs="FrankRuehl" w:hint="cs"/>
          <w:spacing w:val="10"/>
          <w:szCs w:val="28"/>
          <w:rtl/>
        </w:rPr>
        <w:t>במסגרת זו מתקבלות</w:t>
      </w:r>
      <w:r w:rsidRPr="00C83C25">
        <w:rPr>
          <w:rFonts w:ascii="Century" w:hAnsi="Century" w:cs="FrankRuehl" w:hint="cs"/>
          <w:spacing w:val="10"/>
          <w:szCs w:val="28"/>
          <w:rtl/>
        </w:rPr>
        <w:t xml:space="preserve"> "אינדיקציות" שונות</w:t>
      </w:r>
      <w:r>
        <w:rPr>
          <w:rFonts w:ascii="Century" w:hAnsi="Century" w:cs="FrankRuehl" w:hint="cs"/>
          <w:spacing w:val="10"/>
          <w:szCs w:val="28"/>
          <w:rtl/>
        </w:rPr>
        <w:t xml:space="preserve"> לגבי </w:t>
      </w:r>
      <w:r w:rsidRPr="00245BE1">
        <w:rPr>
          <w:rFonts w:ascii="Century" w:hAnsi="Century" w:cs="FrankRuehl" w:hint="cs"/>
          <w:b/>
          <w:bCs/>
          <w:spacing w:val="10"/>
          <w:szCs w:val="28"/>
          <w:rtl/>
        </w:rPr>
        <w:t>הגיון החקיקה</w:t>
      </w:r>
      <w:r w:rsidRPr="00C83C25">
        <w:rPr>
          <w:rFonts w:ascii="Century" w:hAnsi="Century" w:cs="FrankRuehl" w:hint="cs"/>
          <w:spacing w:val="10"/>
          <w:szCs w:val="28"/>
          <w:rtl/>
        </w:rPr>
        <w:t>, לרבות</w:t>
      </w:r>
      <w:r>
        <w:rPr>
          <w:rFonts w:ascii="Century" w:hAnsi="Century" w:cs="FrankRuehl" w:hint="cs"/>
          <w:spacing w:val="10"/>
          <w:szCs w:val="28"/>
          <w:rtl/>
        </w:rPr>
        <w:t xml:space="preserve">: "איתותים" שנלמדים </w:t>
      </w:r>
      <w:r w:rsidRPr="00C83C25">
        <w:rPr>
          <w:rFonts w:ascii="Century" w:hAnsi="Century" w:cs="FrankRuehl" w:hint="cs"/>
          <w:spacing w:val="10"/>
          <w:szCs w:val="28"/>
          <w:rtl/>
        </w:rPr>
        <w:t>ממיקום הסעיף ומהשוואת הלשון של הסעיף לסעיפים</w:t>
      </w:r>
      <w:r>
        <w:rPr>
          <w:rFonts w:ascii="Century" w:hAnsi="Century" w:cs="FrankRuehl" w:hint="cs"/>
          <w:spacing w:val="10"/>
          <w:szCs w:val="28"/>
          <w:rtl/>
        </w:rPr>
        <w:t xml:space="preserve"> ולחוקים</w:t>
      </w:r>
      <w:r w:rsidRPr="00C83C25">
        <w:rPr>
          <w:rFonts w:ascii="Century" w:hAnsi="Century" w:cs="FrankRuehl" w:hint="cs"/>
          <w:spacing w:val="10"/>
          <w:szCs w:val="28"/>
          <w:rtl/>
        </w:rPr>
        <w:t xml:space="preserve"> אחרים</w:t>
      </w:r>
      <w:r>
        <w:rPr>
          <w:rFonts w:ascii="Century" w:hAnsi="Century" w:cs="FrankRuehl" w:hint="cs"/>
          <w:spacing w:val="10"/>
          <w:szCs w:val="28"/>
          <w:rtl/>
        </w:rPr>
        <w:t xml:space="preserve"> </w:t>
      </w:r>
      <w:proofErr w:type="spellStart"/>
      <w:r>
        <w:rPr>
          <w:rFonts w:ascii="Century" w:hAnsi="Century" w:cs="FrankRuehl" w:hint="cs"/>
          <w:spacing w:val="10"/>
          <w:szCs w:val="28"/>
          <w:rtl/>
        </w:rPr>
        <w:t>במאטריה</w:t>
      </w:r>
      <w:proofErr w:type="spellEnd"/>
      <w:r>
        <w:rPr>
          <w:rFonts w:ascii="Century" w:hAnsi="Century" w:cs="FrankRuehl" w:hint="cs"/>
          <w:spacing w:val="10"/>
          <w:szCs w:val="28"/>
          <w:rtl/>
        </w:rPr>
        <w:t xml:space="preserve"> קרובה, ואפילו:</w:t>
      </w:r>
      <w:r w:rsidRPr="00C83C25">
        <w:rPr>
          <w:rFonts w:ascii="Century" w:hAnsi="Century" w:cs="FrankRuehl" w:hint="cs"/>
          <w:spacing w:val="10"/>
          <w:szCs w:val="28"/>
          <w:rtl/>
        </w:rPr>
        <w:t xml:space="preserve"> מחקיקת משנה קשורה</w:t>
      </w:r>
      <w:r>
        <w:rPr>
          <w:rFonts w:ascii="Century" w:hAnsi="Century" w:cs="FrankRuehl" w:hint="cs"/>
          <w:spacing w:val="10"/>
          <w:szCs w:val="28"/>
          <w:rtl/>
        </w:rPr>
        <w:t>,</w:t>
      </w:r>
      <w:r w:rsidRPr="00C83C25">
        <w:rPr>
          <w:rFonts w:ascii="Century" w:hAnsi="Century" w:cs="FrankRuehl" w:hint="cs"/>
          <w:spacing w:val="10"/>
          <w:szCs w:val="28"/>
          <w:rtl/>
        </w:rPr>
        <w:t xml:space="preserve"> הוראות ביצוע, </w:t>
      </w:r>
      <w:r>
        <w:rPr>
          <w:rFonts w:ascii="Century" w:hAnsi="Century" w:cs="FrankRuehl" w:hint="cs"/>
          <w:spacing w:val="10"/>
          <w:szCs w:val="28"/>
          <w:rtl/>
        </w:rPr>
        <w:t>ו</w:t>
      </w:r>
      <w:r w:rsidRPr="00C83C25">
        <w:rPr>
          <w:rFonts w:ascii="Century" w:hAnsi="Century" w:cs="FrankRuehl" w:hint="cs"/>
          <w:spacing w:val="10"/>
          <w:szCs w:val="28"/>
          <w:rtl/>
        </w:rPr>
        <w:t>כתיב</w:t>
      </w:r>
      <w:r>
        <w:rPr>
          <w:rFonts w:ascii="Century" w:hAnsi="Century" w:cs="FrankRuehl" w:hint="cs"/>
          <w:spacing w:val="10"/>
          <w:szCs w:val="28"/>
          <w:rtl/>
        </w:rPr>
        <w:t>ה של</w:t>
      </w:r>
      <w:r w:rsidRPr="00C83C25">
        <w:rPr>
          <w:rFonts w:ascii="Century" w:hAnsi="Century" w:cs="FrankRuehl" w:hint="cs"/>
          <w:spacing w:val="10"/>
          <w:szCs w:val="28"/>
          <w:rtl/>
        </w:rPr>
        <w:t xml:space="preserve"> מלומדים (</w:t>
      </w:r>
      <w:r w:rsidRPr="00C83C25">
        <w:rPr>
          <w:rFonts w:ascii="Century" w:hAnsi="Century" w:cs="Miriam" w:hint="cs"/>
          <w:b/>
          <w:rtl/>
        </w:rPr>
        <w:t>ענין שבטון</w:t>
      </w:r>
      <w:r w:rsidRPr="00C83C25">
        <w:rPr>
          <w:rFonts w:ascii="Century" w:hAnsi="Century" w:cs="FrankRuehl" w:hint="cs"/>
          <w:spacing w:val="10"/>
          <w:szCs w:val="28"/>
          <w:rtl/>
        </w:rPr>
        <w:t xml:space="preserve"> </w:t>
      </w:r>
      <w:proofErr w:type="spellStart"/>
      <w:r w:rsidRPr="00C83C25">
        <w:rPr>
          <w:rFonts w:ascii="Century" w:hAnsi="Century" w:cs="FrankRuehl" w:hint="cs"/>
          <w:spacing w:val="10"/>
          <w:szCs w:val="28"/>
          <w:rtl/>
        </w:rPr>
        <w:t>בפיסקה</w:t>
      </w:r>
      <w:proofErr w:type="spellEnd"/>
      <w:r w:rsidRPr="00C83C25">
        <w:rPr>
          <w:rFonts w:ascii="Century" w:hAnsi="Century" w:cs="FrankRuehl" w:hint="cs"/>
          <w:spacing w:val="10"/>
          <w:szCs w:val="28"/>
          <w:rtl/>
        </w:rPr>
        <w:t xml:space="preserve"> 25; והשוו: </w:t>
      </w:r>
      <w:r w:rsidRPr="00C83C25">
        <w:rPr>
          <w:rFonts w:ascii="Century" w:hAnsi="Century" w:cs="Miriam" w:hint="cs"/>
          <w:spacing w:val="10"/>
          <w:sz w:val="24"/>
          <w:rtl/>
        </w:rPr>
        <w:t xml:space="preserve">ברק </w:t>
      </w:r>
      <w:r>
        <w:rPr>
          <w:rFonts w:ascii="Century" w:hAnsi="Century" w:cs="Miriam"/>
          <w:spacing w:val="10"/>
          <w:sz w:val="24"/>
          <w:rtl/>
        </w:rPr>
        <w:t>–</w:t>
      </w:r>
      <w:r w:rsidRPr="00C83C25">
        <w:rPr>
          <w:rFonts w:ascii="Century" w:hAnsi="Century" w:cs="Miriam" w:hint="cs"/>
          <w:spacing w:val="10"/>
          <w:sz w:val="24"/>
          <w:rtl/>
        </w:rPr>
        <w:t xml:space="preserve"> פרשנות</w:t>
      </w:r>
      <w:r w:rsidRPr="00115C7C">
        <w:rPr>
          <w:rFonts w:ascii="Century" w:hAnsi="Century" w:cs="Miriam"/>
          <w:spacing w:val="10"/>
          <w:sz w:val="24"/>
          <w:rtl/>
        </w:rPr>
        <w:t xml:space="preserve"> </w:t>
      </w:r>
      <w:r w:rsidRPr="00115C7C">
        <w:rPr>
          <w:rFonts w:ascii="Century" w:hAnsi="Century" w:cs="Miriam" w:hint="eastAsia"/>
          <w:spacing w:val="10"/>
          <w:sz w:val="24"/>
          <w:rtl/>
        </w:rPr>
        <w:t>דיני</w:t>
      </w:r>
      <w:r w:rsidRPr="00115C7C">
        <w:rPr>
          <w:rFonts w:ascii="Century" w:hAnsi="Century" w:cs="Miriam"/>
          <w:spacing w:val="10"/>
          <w:sz w:val="24"/>
          <w:rtl/>
        </w:rPr>
        <w:t xml:space="preserve"> </w:t>
      </w:r>
      <w:r w:rsidRPr="00115C7C">
        <w:rPr>
          <w:rFonts w:ascii="Century" w:hAnsi="Century" w:cs="Miriam" w:hint="eastAsia"/>
          <w:spacing w:val="10"/>
          <w:sz w:val="24"/>
          <w:rtl/>
        </w:rPr>
        <w:t>המיסים</w:t>
      </w:r>
      <w:r>
        <w:rPr>
          <w:rFonts w:ascii="Century" w:hAnsi="Century" w:cs="FrankRuehl" w:hint="cs"/>
          <w:spacing w:val="10"/>
          <w:szCs w:val="28"/>
          <w:rtl/>
        </w:rPr>
        <w:t xml:space="preserve">, </w:t>
      </w:r>
      <w:r w:rsidRPr="00C83C25">
        <w:rPr>
          <w:rFonts w:ascii="Century" w:hAnsi="Century" w:cs="FrankRuehl" w:hint="cs"/>
          <w:spacing w:val="10"/>
          <w:szCs w:val="28"/>
          <w:rtl/>
        </w:rPr>
        <w:t xml:space="preserve"> בעמ' 432 </w:t>
      </w:r>
      <w:r>
        <w:rPr>
          <w:rFonts w:ascii="Century" w:hAnsi="Century" w:cs="FrankRuehl" w:hint="cs"/>
          <w:spacing w:val="10"/>
          <w:szCs w:val="28"/>
          <w:rtl/>
        </w:rPr>
        <w:t>(</w:t>
      </w:r>
      <w:r w:rsidRPr="00C83C25">
        <w:rPr>
          <w:rFonts w:ascii="Century" w:hAnsi="Century" w:cs="FrankRuehl" w:hint="cs"/>
          <w:spacing w:val="10"/>
          <w:szCs w:val="28"/>
          <w:rtl/>
        </w:rPr>
        <w:t>"תכלית החקיקה היא המטרה אשר דבר החקיקה מגשימה [...] זו התכלית הסובייקטיבית (ה"כוונה")</w:t>
      </w:r>
      <w:r>
        <w:rPr>
          <w:rFonts w:ascii="Century" w:hAnsi="Century" w:cs="FrankRuehl" w:hint="cs"/>
          <w:spacing w:val="10"/>
          <w:szCs w:val="28"/>
          <w:rtl/>
        </w:rPr>
        <w:t>,</w:t>
      </w:r>
      <w:r w:rsidRPr="00C83C25">
        <w:rPr>
          <w:rFonts w:ascii="Century" w:hAnsi="Century" w:cs="FrankRuehl" w:hint="cs"/>
          <w:spacing w:val="10"/>
          <w:szCs w:val="28"/>
          <w:rtl/>
        </w:rPr>
        <w:t xml:space="preserve"> שעמדה לנגד עיני הגוף המחוקק. זו התכלית האובייקטיבית שחוק העוסק במטריה נתונה נועד להגשים בחברה דמוקרטית").    </w:t>
      </w:r>
    </w:p>
    <w:p w:rsidR="00090DE8" w:rsidRPr="00F266B0" w:rsidRDefault="00090DE8" w:rsidP="00090DE8">
      <w:pPr>
        <w:pStyle w:val="af0"/>
        <w:bidi/>
        <w:rPr>
          <w:rFonts w:ascii="Century" w:hAnsi="Century" w:cs="FrankRuehl"/>
          <w:spacing w:val="10"/>
          <w:szCs w:val="28"/>
        </w:rPr>
      </w:pPr>
      <w:r w:rsidRPr="00F266B0">
        <w:rPr>
          <w:rFonts w:ascii="Century" w:hAnsi="Century" w:cs="FrankRuehl" w:hint="cs"/>
          <w:spacing w:val="10"/>
          <w:szCs w:val="28"/>
          <w:rtl/>
        </w:rPr>
        <w:t xml:space="preserve"> </w:t>
      </w:r>
    </w:p>
    <w:p w:rsidR="00090DE8" w:rsidRDefault="00090DE8" w:rsidP="00090DE8">
      <w:pPr>
        <w:pStyle w:val="af0"/>
        <w:bidi/>
        <w:spacing w:line="360" w:lineRule="auto"/>
        <w:ind w:left="-52" w:firstLine="772"/>
        <w:jc w:val="both"/>
        <w:rPr>
          <w:rFonts w:ascii="Century" w:hAnsi="Century" w:cs="FrankRuehl"/>
          <w:spacing w:val="10"/>
          <w:szCs w:val="28"/>
          <w:rtl/>
        </w:rPr>
      </w:pPr>
      <w:r>
        <w:rPr>
          <w:rFonts w:ascii="Century" w:hAnsi="Century" w:cs="FrankRuehl" w:hint="cs"/>
          <w:spacing w:val="10"/>
          <w:szCs w:val="28"/>
          <w:rtl/>
        </w:rPr>
        <w:t xml:space="preserve">היה וגם לאחר בחינת הלשון והתכלית של הסעיף </w:t>
      </w:r>
      <w:r>
        <w:rPr>
          <w:rFonts w:ascii="Century" w:hAnsi="Century" w:cs="FrankRuehl"/>
          <w:spacing w:val="10"/>
          <w:szCs w:val="28"/>
          <w:rtl/>
        </w:rPr>
        <w:t>–</w:t>
      </w:r>
      <w:r>
        <w:rPr>
          <w:rFonts w:ascii="Century" w:hAnsi="Century" w:cs="FrankRuehl" w:hint="cs"/>
          <w:spacing w:val="10"/>
          <w:szCs w:val="28"/>
          <w:rtl/>
        </w:rPr>
        <w:t xml:space="preserve"> הן הסובייקטיבית והן האובייקטיבית, לא תימצא "פרשנות נכונה", רק אז יש לפנות אל </w:t>
      </w:r>
      <w:r w:rsidRPr="001166B9">
        <w:rPr>
          <w:rFonts w:ascii="Century" w:hAnsi="Century" w:cs="FrankRuehl" w:hint="cs"/>
          <w:b/>
          <w:bCs/>
          <w:spacing w:val="10"/>
          <w:szCs w:val="28"/>
          <w:rtl/>
        </w:rPr>
        <w:t>עקרונותיה הכללים של השיטה</w:t>
      </w:r>
      <w:r>
        <w:rPr>
          <w:rFonts w:ascii="Century" w:hAnsi="Century" w:cs="FrankRuehl" w:hint="cs"/>
          <w:spacing w:val="10"/>
          <w:szCs w:val="28"/>
          <w:rtl/>
        </w:rPr>
        <w:t xml:space="preserve"> לשם פרשנות הסעיף הרלבנטי, ובכלל זה לעקרון ההגנה על קניינו של הנישום, לזכותו לחירות וליסוד ההסתמכות (ראו גם: </w:t>
      </w:r>
      <w:r w:rsidRPr="00ED6103">
        <w:rPr>
          <w:rFonts w:ascii="Century" w:hAnsi="Century" w:cs="Miriam" w:hint="cs"/>
          <w:spacing w:val="10"/>
          <w:sz w:val="24"/>
          <w:szCs w:val="24"/>
          <w:rtl/>
        </w:rPr>
        <w:t xml:space="preserve">ברק- </w:t>
      </w:r>
      <w:r w:rsidRPr="00F846B2">
        <w:rPr>
          <w:rFonts w:ascii="Century" w:hAnsi="Century" w:cs="Miriam" w:hint="cs"/>
          <w:b/>
          <w:szCs w:val="24"/>
          <w:rtl/>
        </w:rPr>
        <w:t>פרשנות דיני המיסים</w:t>
      </w:r>
      <w:r>
        <w:rPr>
          <w:rFonts w:ascii="Century" w:hAnsi="Century" w:cs="FrankRuehl" w:hint="cs"/>
          <w:spacing w:val="10"/>
          <w:szCs w:val="28"/>
          <w:rtl/>
        </w:rPr>
        <w:t xml:space="preserve">, בעמ' 438-436; והשוו: </w:t>
      </w:r>
      <w:r w:rsidRPr="009A560A">
        <w:rPr>
          <w:rFonts w:ascii="Century" w:hAnsi="Century" w:cs="FrankRuehl" w:hint="cs"/>
          <w:spacing w:val="10"/>
          <w:szCs w:val="28"/>
          <w:rtl/>
        </w:rPr>
        <w:t xml:space="preserve">עניין </w:t>
      </w:r>
      <w:r w:rsidRPr="00245BE1">
        <w:rPr>
          <w:rFonts w:ascii="Century" w:hAnsi="Century" w:cs="Miriam" w:hint="cs"/>
          <w:b/>
          <w:szCs w:val="24"/>
          <w:rtl/>
        </w:rPr>
        <w:t>קיבוץ חצור</w:t>
      </w:r>
      <w:r>
        <w:rPr>
          <w:rFonts w:ascii="Century" w:hAnsi="Century" w:cs="FrankRuehl" w:hint="cs"/>
          <w:spacing w:val="10"/>
          <w:szCs w:val="28"/>
          <w:rtl/>
        </w:rPr>
        <w:t xml:space="preserve">, פיסקה 6 לפסק דינו של השופט </w:t>
      </w:r>
      <w:r w:rsidRPr="005D246D">
        <w:rPr>
          <w:rFonts w:ascii="Century" w:hAnsi="Century" w:cs="Miriam" w:hint="cs"/>
          <w:b/>
          <w:szCs w:val="24"/>
          <w:rtl/>
        </w:rPr>
        <w:t>א' ברק</w:t>
      </w:r>
      <w:r>
        <w:rPr>
          <w:rFonts w:ascii="Century" w:hAnsi="Century" w:cs="FrankRuehl" w:hint="cs"/>
          <w:spacing w:val="10"/>
          <w:szCs w:val="28"/>
          <w:rtl/>
        </w:rPr>
        <w:t xml:space="preserve"> ("</w:t>
      </w:r>
      <w:r w:rsidRPr="0079641D">
        <w:rPr>
          <w:rFonts w:ascii="Century" w:hAnsi="Century" w:cs="FrankRuehl"/>
          <w:spacing w:val="10"/>
          <w:szCs w:val="28"/>
          <w:rtl/>
        </w:rPr>
        <w:t xml:space="preserve">אכן, לעתים עשוי השופט למצוא עצמו במצב, שבו לשון החוק נשארה סתומה, שכן לא עלה בידו לחשוף מתוך החוק ותולדותיו מטרה חקיקתית, שתדריך אותו בהסרת הספק. במקרה זה על השופט לפרש את חוק המס על </w:t>
      </w:r>
      <w:r w:rsidRPr="00F25DCA">
        <w:rPr>
          <w:rFonts w:ascii="Century" w:hAnsi="Century" w:cs="Miriam"/>
          <w:spacing w:val="10"/>
          <w:sz w:val="24"/>
          <w:szCs w:val="24"/>
          <w:rtl/>
        </w:rPr>
        <w:t>רקע עקרונותיה הכלליים של השיטה</w:t>
      </w:r>
      <w:r w:rsidRPr="0079641D">
        <w:rPr>
          <w:rFonts w:ascii="Century" w:hAnsi="Century" w:cs="FrankRuehl"/>
          <w:spacing w:val="10"/>
          <w:szCs w:val="28"/>
          <w:rtl/>
        </w:rPr>
        <w:t>.</w:t>
      </w:r>
      <w:r>
        <w:rPr>
          <w:rFonts w:ascii="Century" w:hAnsi="Century" w:cs="FrankRuehl" w:hint="cs"/>
          <w:spacing w:val="10"/>
          <w:szCs w:val="28"/>
          <w:rtl/>
        </w:rPr>
        <w:t xml:space="preserve"> אחד מאותם עקרונות כלליים, שהוא רלבנטי לחקיקת מס, הוא השמירה על חופש הפרט ועל הקניין הפרטי וההגנה עליהם מפני התערבות שלטונית. בהניחו עיקרון זה נר לרגליו ובהעדר כוונת מס ספציפית, עשוי השופט להגיע למסקנה, השוללת הטלת מס שיש בו פגיעה בחופש הפרטי בקניין").</w:t>
      </w:r>
    </w:p>
    <w:p w:rsidR="00090DE8" w:rsidRDefault="00090DE8" w:rsidP="00090DE8">
      <w:pPr>
        <w:pStyle w:val="af0"/>
        <w:bidi/>
        <w:spacing w:line="360" w:lineRule="auto"/>
        <w:ind w:left="-52" w:firstLine="772"/>
        <w:jc w:val="both"/>
        <w:rPr>
          <w:rFonts w:ascii="Century" w:hAnsi="Century" w:cs="FrankRuehl"/>
          <w:spacing w:val="10"/>
          <w:szCs w:val="28"/>
          <w:rtl/>
        </w:rPr>
      </w:pPr>
      <w:r>
        <w:rPr>
          <w:rFonts w:ascii="Century" w:hAnsi="Century" w:cs="FrankRuehl" w:hint="cs"/>
          <w:spacing w:val="10"/>
          <w:szCs w:val="28"/>
          <w:rtl/>
        </w:rPr>
        <w:t xml:space="preserve"> </w:t>
      </w:r>
    </w:p>
    <w:p w:rsidR="00090DE8" w:rsidRPr="00A555BA" w:rsidRDefault="00090DE8" w:rsidP="00090DE8">
      <w:pPr>
        <w:pStyle w:val="af0"/>
        <w:numPr>
          <w:ilvl w:val="0"/>
          <w:numId w:val="15"/>
        </w:numPr>
        <w:tabs>
          <w:tab w:val="left" w:pos="800"/>
        </w:tabs>
        <w:bidi/>
        <w:spacing w:line="360" w:lineRule="auto"/>
        <w:ind w:hanging="52"/>
        <w:jc w:val="both"/>
        <w:rPr>
          <w:rFonts w:ascii="Century" w:hAnsi="Century" w:cs="FrankRuehl"/>
          <w:spacing w:val="10"/>
          <w:szCs w:val="28"/>
        </w:rPr>
      </w:pPr>
      <w:r w:rsidRPr="00A555BA">
        <w:rPr>
          <w:rFonts w:ascii="Century" w:hAnsi="Century" w:cs="FrankRuehl" w:hint="cs"/>
          <w:spacing w:val="10"/>
          <w:szCs w:val="28"/>
          <w:rtl/>
        </w:rPr>
        <w:lastRenderedPageBreak/>
        <w:t xml:space="preserve">העולה מן המקובץ מצביע על כך כי </w:t>
      </w:r>
      <w:r w:rsidRPr="00A555BA">
        <w:rPr>
          <w:rFonts w:ascii="Century" w:hAnsi="Century" w:cs="Miriam" w:hint="cs"/>
          <w:b/>
          <w:szCs w:val="24"/>
          <w:rtl/>
        </w:rPr>
        <w:t>התהליך הפרשני התכליתי</w:t>
      </w:r>
      <w:r w:rsidRPr="00A555BA">
        <w:rPr>
          <w:rFonts w:ascii="Century" w:hAnsi="Century" w:cs="FrankRuehl" w:hint="cs"/>
          <w:spacing w:val="10"/>
          <w:szCs w:val="28"/>
          <w:rtl/>
        </w:rPr>
        <w:t xml:space="preserve"> </w:t>
      </w:r>
      <w:r w:rsidRPr="00A555BA">
        <w:rPr>
          <w:rFonts w:ascii="Century" w:hAnsi="Century" w:cs="FrankRuehl"/>
          <w:spacing w:val="10"/>
          <w:szCs w:val="28"/>
          <w:rtl/>
        </w:rPr>
        <w:t>–</w:t>
      </w:r>
      <w:r w:rsidRPr="00A555BA">
        <w:rPr>
          <w:rFonts w:ascii="Century" w:hAnsi="Century" w:cs="FrankRuehl" w:hint="cs"/>
          <w:spacing w:val="10"/>
          <w:szCs w:val="28"/>
          <w:rtl/>
        </w:rPr>
        <w:t xml:space="preserve"> לאחר בחינת לשון הסעיף </w:t>
      </w:r>
      <w:r w:rsidRPr="00A555BA">
        <w:rPr>
          <w:rFonts w:ascii="Century" w:hAnsi="Century" w:cs="FrankRuehl"/>
          <w:spacing w:val="10"/>
          <w:szCs w:val="28"/>
          <w:rtl/>
        </w:rPr>
        <w:t>–</w:t>
      </w:r>
      <w:r w:rsidRPr="00A555BA">
        <w:rPr>
          <w:rFonts w:ascii="Century" w:hAnsi="Century" w:cs="FrankRuehl" w:hint="cs"/>
          <w:spacing w:val="10"/>
          <w:szCs w:val="28"/>
          <w:rtl/>
        </w:rPr>
        <w:t xml:space="preserve"> מתמקד בהסקת התכלית מרובד הסעיף, לרבות באמצעות חקר התכליות הסובייקטיבי</w:t>
      </w:r>
      <w:r>
        <w:rPr>
          <w:rFonts w:ascii="Century" w:hAnsi="Century" w:cs="FrankRuehl" w:hint="cs"/>
          <w:spacing w:val="10"/>
          <w:szCs w:val="28"/>
          <w:rtl/>
        </w:rPr>
        <w:t>ו</w:t>
      </w:r>
      <w:r w:rsidRPr="00A555BA">
        <w:rPr>
          <w:rFonts w:ascii="Century" w:hAnsi="Century" w:cs="FrankRuehl" w:hint="cs"/>
          <w:spacing w:val="10"/>
          <w:szCs w:val="28"/>
          <w:rtl/>
        </w:rPr>
        <w:t>ת והאובייקטיב</w:t>
      </w:r>
      <w:r>
        <w:rPr>
          <w:rFonts w:ascii="Century" w:hAnsi="Century" w:cs="FrankRuehl" w:hint="cs"/>
          <w:spacing w:val="10"/>
          <w:szCs w:val="28"/>
          <w:rtl/>
        </w:rPr>
        <w:t>יו</w:t>
      </w:r>
      <w:r w:rsidRPr="00A555BA">
        <w:rPr>
          <w:rFonts w:ascii="Century" w:hAnsi="Century" w:cs="FrankRuehl" w:hint="cs"/>
          <w:spacing w:val="10"/>
          <w:szCs w:val="28"/>
          <w:rtl/>
        </w:rPr>
        <w:t xml:space="preserve">ת הקשורות בסעיף ובחוק בו מדובר, ורק אם כל אלו מעלים חרס </w:t>
      </w:r>
      <w:r w:rsidRPr="00A555BA">
        <w:rPr>
          <w:rFonts w:ascii="Century" w:hAnsi="Century" w:cs="FrankRuehl"/>
          <w:spacing w:val="10"/>
          <w:szCs w:val="28"/>
          <w:rtl/>
        </w:rPr>
        <w:t>–</w:t>
      </w:r>
      <w:r w:rsidRPr="00A555BA">
        <w:rPr>
          <w:rFonts w:ascii="Century" w:hAnsi="Century" w:cs="FrankRuehl" w:hint="cs"/>
          <w:spacing w:val="10"/>
          <w:szCs w:val="28"/>
          <w:rtl/>
        </w:rPr>
        <w:t xml:space="preserve">  יש לפנות ל</w:t>
      </w:r>
      <w:r w:rsidRPr="00A555BA">
        <w:rPr>
          <w:rFonts w:ascii="Century" w:hAnsi="Century" w:cs="FrankRuehl" w:hint="cs"/>
          <w:b/>
          <w:bCs/>
          <w:spacing w:val="10"/>
          <w:szCs w:val="28"/>
          <w:rtl/>
        </w:rPr>
        <w:t>עקרונות השיטה</w:t>
      </w:r>
      <w:r w:rsidRPr="00A555BA">
        <w:rPr>
          <w:rFonts w:ascii="Century" w:hAnsi="Century" w:cs="FrankRuehl" w:hint="cs"/>
          <w:spacing w:val="10"/>
          <w:szCs w:val="28"/>
          <w:rtl/>
        </w:rPr>
        <w:t xml:space="preserve"> ומכוחם להעדיף את הנישום, את זכותו לחירות ואת אינטרס ההסתמכות שלו.</w:t>
      </w:r>
      <w:r>
        <w:rPr>
          <w:rFonts w:ascii="Century" w:hAnsi="Century" w:cs="FrankRuehl" w:hint="cs"/>
          <w:spacing w:val="10"/>
          <w:szCs w:val="28"/>
          <w:rtl/>
        </w:rPr>
        <w:t xml:space="preserve"> </w:t>
      </w:r>
      <w:r w:rsidRPr="00A555BA">
        <w:rPr>
          <w:rFonts w:ascii="Century" w:hAnsi="Century" w:cs="FrankRuehl" w:hint="cs"/>
          <w:spacing w:val="10"/>
          <w:szCs w:val="28"/>
          <w:rtl/>
        </w:rPr>
        <w:t>תורה פרשנית זו שונה מגישתו של חברי, אשר דוגל ב</w:t>
      </w:r>
      <w:r w:rsidRPr="00A555BA">
        <w:rPr>
          <w:rFonts w:ascii="Century" w:hAnsi="Century" w:cs="Miriam" w:hint="cs"/>
          <w:b/>
          <w:szCs w:val="24"/>
          <w:rtl/>
        </w:rPr>
        <w:t xml:space="preserve">פרשנות </w:t>
      </w:r>
      <w:r w:rsidRPr="00A555BA">
        <w:rPr>
          <w:rFonts w:ascii="Century" w:hAnsi="Century" w:cs="Miriam" w:hint="cs"/>
          <w:bCs/>
          <w:szCs w:val="24"/>
          <w:rtl/>
        </w:rPr>
        <w:t>רב</w:t>
      </w:r>
      <w:r w:rsidRPr="00A555BA">
        <w:rPr>
          <w:rFonts w:ascii="Century" w:hAnsi="Century" w:cs="Miriam" w:hint="cs"/>
          <w:b/>
          <w:szCs w:val="24"/>
          <w:rtl/>
        </w:rPr>
        <w:t>-תכליתית</w:t>
      </w:r>
      <w:r w:rsidRPr="00A555BA">
        <w:rPr>
          <w:rFonts w:ascii="Century" w:hAnsi="Century" w:cs="FrankRuehl" w:hint="cs"/>
          <w:spacing w:val="10"/>
          <w:szCs w:val="28"/>
          <w:rtl/>
        </w:rPr>
        <w:t xml:space="preserve"> המתרכזת כבר בשלב מוקדם בחקר תכליות מערכת המס בכללותה, במובחן ממחקר תכלית הסעיף והחוק הרלבנטיים. תפיסת חברי תביא בדרך כלל להעדפת עמדתן של רשויות המס, בו בזמן שגישתי נוטה בסופו של הליך לעברו של הנישום (עיינו גם: </w:t>
      </w:r>
      <w:r w:rsidRPr="00A555BA">
        <w:rPr>
          <w:rFonts w:ascii="Century" w:hAnsi="Century" w:cs="Miriam" w:hint="cs"/>
          <w:b/>
          <w:szCs w:val="24"/>
          <w:rtl/>
        </w:rPr>
        <w:t>ענין שבטון</w:t>
      </w:r>
      <w:r w:rsidRPr="00A555BA">
        <w:rPr>
          <w:rFonts w:ascii="Century" w:hAnsi="Century" w:cs="FrankRuehl" w:hint="cs"/>
          <w:spacing w:val="10"/>
          <w:szCs w:val="28"/>
          <w:rtl/>
        </w:rPr>
        <w:t>)</w:t>
      </w:r>
      <w:r>
        <w:rPr>
          <w:rFonts w:ascii="Century" w:hAnsi="Century" w:cs="FrankRuehl" w:hint="cs"/>
          <w:spacing w:val="10"/>
          <w:szCs w:val="28"/>
          <w:rtl/>
        </w:rPr>
        <w:t>.</w:t>
      </w:r>
      <w:r w:rsidRPr="00A555BA">
        <w:rPr>
          <w:rFonts w:ascii="Century" w:hAnsi="Century" w:cs="FrankRuehl" w:hint="cs"/>
          <w:spacing w:val="10"/>
          <w:szCs w:val="28"/>
          <w:rtl/>
        </w:rPr>
        <w:t xml:space="preserve"> אדגים קביעות אלו להלן.</w:t>
      </w:r>
    </w:p>
    <w:p w:rsidR="00090DE8" w:rsidRDefault="00090DE8" w:rsidP="00090DE8">
      <w:pPr>
        <w:pStyle w:val="af0"/>
        <w:tabs>
          <w:tab w:val="left" w:pos="800"/>
        </w:tabs>
        <w:bidi/>
        <w:spacing w:line="360" w:lineRule="auto"/>
        <w:ind w:left="0"/>
        <w:jc w:val="both"/>
        <w:rPr>
          <w:rFonts w:ascii="Century" w:hAnsi="Century" w:cs="FrankRuehl"/>
          <w:spacing w:val="10"/>
          <w:szCs w:val="28"/>
          <w:rtl/>
        </w:rPr>
      </w:pPr>
    </w:p>
    <w:p w:rsidR="00090DE8" w:rsidRDefault="00090DE8" w:rsidP="00090DE8">
      <w:pPr>
        <w:pStyle w:val="af0"/>
        <w:numPr>
          <w:ilvl w:val="0"/>
          <w:numId w:val="15"/>
        </w:numPr>
        <w:tabs>
          <w:tab w:val="left" w:pos="800"/>
        </w:tabs>
        <w:bidi/>
        <w:spacing w:line="360" w:lineRule="auto"/>
        <w:ind w:hanging="52"/>
        <w:jc w:val="both"/>
        <w:rPr>
          <w:rFonts w:ascii="Century" w:hAnsi="Century" w:cs="FrankRuehl"/>
          <w:spacing w:val="10"/>
          <w:szCs w:val="28"/>
        </w:rPr>
      </w:pPr>
      <w:r>
        <w:rPr>
          <w:rFonts w:ascii="Century" w:hAnsi="Century" w:cs="FrankRuehl" w:hint="cs"/>
          <w:spacing w:val="10"/>
          <w:szCs w:val="28"/>
          <w:rtl/>
        </w:rPr>
        <w:t xml:space="preserve">לנוכח גישתי </w:t>
      </w:r>
      <w:r>
        <w:rPr>
          <w:rFonts w:ascii="Century" w:hAnsi="Century" w:cs="FrankRuehl"/>
          <w:spacing w:val="10"/>
          <w:szCs w:val="28"/>
          <w:rtl/>
        </w:rPr>
        <w:t>–</w:t>
      </w:r>
      <w:r>
        <w:rPr>
          <w:rFonts w:ascii="Century" w:hAnsi="Century" w:cs="FrankRuehl" w:hint="cs"/>
          <w:spacing w:val="10"/>
          <w:szCs w:val="28"/>
          <w:rtl/>
        </w:rPr>
        <w:t xml:space="preserve"> אנתח </w:t>
      </w:r>
      <w:proofErr w:type="spellStart"/>
      <w:r>
        <w:rPr>
          <w:rFonts w:ascii="Century" w:hAnsi="Century" w:cs="FrankRuehl" w:hint="cs"/>
          <w:spacing w:val="10"/>
          <w:szCs w:val="28"/>
          <w:rtl/>
        </w:rPr>
        <w:t>איפוא</w:t>
      </w:r>
      <w:proofErr w:type="spellEnd"/>
      <w:r>
        <w:rPr>
          <w:rFonts w:ascii="Century" w:hAnsi="Century" w:cs="FrankRuehl" w:hint="cs"/>
          <w:spacing w:val="10"/>
          <w:szCs w:val="28"/>
          <w:rtl/>
        </w:rPr>
        <w:t xml:space="preserve"> עתה את הבעיה שלפנינו על פי הכללים המקובלים, ואפתח בלשונו של סעיף 48א (ה) ל</w:t>
      </w:r>
      <w:r>
        <w:rPr>
          <w:rFonts w:ascii="Century" w:hAnsi="Century" w:cs="Miriam" w:hint="cs"/>
          <w:b/>
          <w:szCs w:val="24"/>
          <w:rtl/>
        </w:rPr>
        <w:t xml:space="preserve">חוק מיסוי מקרקעין (שבח ורכישה, התשכ"ג-1963 </w:t>
      </w:r>
      <w:r w:rsidRPr="004E6D75">
        <w:rPr>
          <w:rFonts w:ascii="Century" w:hAnsi="Century" w:cs="FrankRuehl" w:hint="cs"/>
          <w:spacing w:val="10"/>
          <w:szCs w:val="28"/>
          <w:rtl/>
        </w:rPr>
        <w:t xml:space="preserve"> </w:t>
      </w:r>
      <w:r>
        <w:rPr>
          <w:rFonts w:ascii="Century" w:hAnsi="Century" w:cs="FrankRuehl" w:hint="cs"/>
          <w:spacing w:val="10"/>
          <w:szCs w:val="28"/>
          <w:rtl/>
        </w:rPr>
        <w:t xml:space="preserve">(להלן </w:t>
      </w:r>
      <w:r>
        <w:rPr>
          <w:rFonts w:ascii="Century" w:hAnsi="Century" w:cs="FrankRuehl"/>
          <w:spacing w:val="10"/>
          <w:szCs w:val="28"/>
          <w:rtl/>
        </w:rPr>
        <w:t>–</w:t>
      </w:r>
      <w:r>
        <w:rPr>
          <w:rFonts w:ascii="Century" w:hAnsi="Century" w:cs="FrankRuehl" w:hint="cs"/>
          <w:spacing w:val="10"/>
          <w:szCs w:val="28"/>
          <w:rtl/>
        </w:rPr>
        <w:t xml:space="preserve"> </w:t>
      </w:r>
      <w:r>
        <w:rPr>
          <w:rFonts w:ascii="Century" w:hAnsi="Century" w:cs="Miriam" w:hint="cs"/>
          <w:b/>
          <w:szCs w:val="24"/>
          <w:rtl/>
        </w:rPr>
        <w:t>חוק מס שבח</w:t>
      </w:r>
      <w:r w:rsidRPr="00FB0A7C">
        <w:rPr>
          <w:rFonts w:ascii="Century" w:hAnsi="Century" w:cs="FrankRuehl" w:hint="cs"/>
          <w:spacing w:val="10"/>
          <w:szCs w:val="28"/>
          <w:rtl/>
        </w:rPr>
        <w:t>,</w:t>
      </w:r>
      <w:r>
        <w:rPr>
          <w:rFonts w:ascii="Century" w:hAnsi="Century" w:cs="Miriam" w:hint="cs"/>
          <w:b/>
          <w:szCs w:val="24"/>
          <w:rtl/>
        </w:rPr>
        <w:t xml:space="preserve"> </w:t>
      </w:r>
      <w:r>
        <w:rPr>
          <w:rFonts w:ascii="Century" w:hAnsi="Century" w:cs="FrankRuehl" w:hint="cs"/>
          <w:spacing w:val="10"/>
          <w:szCs w:val="28"/>
          <w:rtl/>
        </w:rPr>
        <w:t xml:space="preserve">או </w:t>
      </w:r>
      <w:r>
        <w:rPr>
          <w:rFonts w:ascii="Century" w:hAnsi="Century" w:cs="Miriam" w:hint="cs"/>
          <w:b/>
          <w:szCs w:val="24"/>
          <w:rtl/>
        </w:rPr>
        <w:t>החוק</w:t>
      </w:r>
      <w:r>
        <w:rPr>
          <w:rFonts w:ascii="Century" w:hAnsi="Century" w:cs="FrankRuehl" w:hint="cs"/>
          <w:spacing w:val="10"/>
          <w:szCs w:val="28"/>
          <w:rtl/>
        </w:rPr>
        <w:t>).</w:t>
      </w:r>
    </w:p>
    <w:p w:rsidR="00090DE8" w:rsidRDefault="00090DE8" w:rsidP="00090DE8">
      <w:pPr>
        <w:pStyle w:val="af0"/>
        <w:tabs>
          <w:tab w:val="left" w:pos="800"/>
        </w:tabs>
        <w:bidi/>
        <w:spacing w:line="360" w:lineRule="auto"/>
        <w:ind w:left="0"/>
        <w:jc w:val="both"/>
        <w:rPr>
          <w:rFonts w:ascii="Century" w:hAnsi="Century" w:cs="FrankRuehl"/>
          <w:spacing w:val="10"/>
          <w:szCs w:val="28"/>
          <w:rtl/>
        </w:rPr>
      </w:pPr>
    </w:p>
    <w:p w:rsidR="00090DE8" w:rsidRDefault="00090DE8" w:rsidP="00090DE8">
      <w:pPr>
        <w:pStyle w:val="af0"/>
        <w:tabs>
          <w:tab w:val="left" w:pos="800"/>
        </w:tabs>
        <w:bidi/>
        <w:spacing w:line="360" w:lineRule="auto"/>
        <w:ind w:left="0"/>
        <w:jc w:val="both"/>
        <w:rPr>
          <w:rFonts w:ascii="Century" w:hAnsi="Century" w:cs="Miriam"/>
          <w:b/>
          <w:szCs w:val="24"/>
          <w:rtl/>
        </w:rPr>
      </w:pPr>
      <w:r>
        <w:rPr>
          <w:rFonts w:ascii="Century" w:hAnsi="Century" w:cs="Miriam" w:hint="cs"/>
          <w:b/>
          <w:szCs w:val="24"/>
          <w:rtl/>
        </w:rPr>
        <w:t>לשונו של סעיף 48א (ה)</w:t>
      </w:r>
    </w:p>
    <w:p w:rsidR="00090DE8" w:rsidRDefault="00090DE8" w:rsidP="00090DE8">
      <w:pPr>
        <w:pStyle w:val="af0"/>
        <w:bidi/>
        <w:spacing w:line="360" w:lineRule="auto"/>
        <w:ind w:left="-52" w:firstLine="772"/>
        <w:jc w:val="both"/>
        <w:rPr>
          <w:rFonts w:ascii="Century" w:hAnsi="Century" w:cs="FrankRuehl"/>
          <w:spacing w:val="10"/>
          <w:szCs w:val="28"/>
          <w:rtl/>
        </w:rPr>
      </w:pPr>
    </w:p>
    <w:p w:rsidR="00090DE8" w:rsidRDefault="00090DE8" w:rsidP="00090DE8">
      <w:pPr>
        <w:pStyle w:val="af0"/>
        <w:numPr>
          <w:ilvl w:val="0"/>
          <w:numId w:val="15"/>
        </w:numPr>
        <w:tabs>
          <w:tab w:val="left" w:pos="800"/>
        </w:tabs>
        <w:bidi/>
        <w:spacing w:line="360" w:lineRule="auto"/>
        <w:jc w:val="both"/>
        <w:rPr>
          <w:rFonts w:ascii="Century" w:hAnsi="Century" w:cs="FrankRuehl"/>
          <w:spacing w:val="10"/>
          <w:szCs w:val="28"/>
        </w:rPr>
      </w:pPr>
      <w:r>
        <w:rPr>
          <w:rFonts w:ascii="Century" w:hAnsi="Century" w:cs="FrankRuehl" w:hint="cs"/>
          <w:spacing w:val="10"/>
          <w:szCs w:val="28"/>
          <w:rtl/>
        </w:rPr>
        <w:t xml:space="preserve">בסעיף 48א (ה) </w:t>
      </w:r>
      <w:r w:rsidRPr="00EA6F7E">
        <w:rPr>
          <w:rFonts w:ascii="Century" w:hAnsi="Century" w:cs="Miriam" w:hint="cs"/>
          <w:b/>
          <w:szCs w:val="24"/>
          <w:rtl/>
        </w:rPr>
        <w:t>ל</w:t>
      </w:r>
      <w:r>
        <w:rPr>
          <w:rFonts w:ascii="Century" w:hAnsi="Century" w:cs="Miriam" w:hint="cs"/>
          <w:b/>
          <w:szCs w:val="24"/>
          <w:rtl/>
        </w:rPr>
        <w:t>חוק</w:t>
      </w:r>
      <w:r>
        <w:rPr>
          <w:rFonts w:ascii="Century" w:hAnsi="Century" w:cs="FrankRuehl" w:hint="cs"/>
          <w:spacing w:val="10"/>
          <w:szCs w:val="28"/>
          <w:rtl/>
        </w:rPr>
        <w:t xml:space="preserve"> נקבע כי המוכר רשאי לבקש את פריסת המס על </w:t>
      </w:r>
      <w:r w:rsidRPr="00FB0A7C">
        <w:rPr>
          <w:rFonts w:ascii="Century" w:hAnsi="Century" w:cs="FrankRuehl" w:hint="cs"/>
          <w:spacing w:val="10"/>
          <w:szCs w:val="28"/>
          <w:rtl/>
        </w:rPr>
        <w:t>השבח</w:t>
      </w:r>
      <w:r>
        <w:rPr>
          <w:rFonts w:ascii="Century" w:hAnsi="Century" w:cs="FrankRuehl" w:hint="cs"/>
          <w:spacing w:val="10"/>
          <w:szCs w:val="28"/>
          <w:rtl/>
        </w:rPr>
        <w:t xml:space="preserve"> הריאלי. על פניו, מבלי לקרוא את הסעיף במלואו ואת שאר הוראות </w:t>
      </w:r>
      <w:r>
        <w:rPr>
          <w:rFonts w:ascii="Century" w:hAnsi="Century" w:cs="Miriam" w:hint="cs"/>
          <w:b/>
          <w:szCs w:val="24"/>
          <w:rtl/>
        </w:rPr>
        <w:t>החוק</w:t>
      </w:r>
      <w:r>
        <w:rPr>
          <w:rFonts w:ascii="Century" w:hAnsi="Century" w:cs="FrankRuehl" w:hint="cs"/>
          <w:spacing w:val="10"/>
          <w:szCs w:val="28"/>
          <w:rtl/>
        </w:rPr>
        <w:t xml:space="preserve"> ומבלי להיכנס לעמקם של דברים </w:t>
      </w:r>
      <w:r>
        <w:rPr>
          <w:rFonts w:ascii="Century" w:hAnsi="Century" w:cs="FrankRuehl"/>
          <w:spacing w:val="10"/>
          <w:szCs w:val="28"/>
          <w:rtl/>
        </w:rPr>
        <w:t>–</w:t>
      </w:r>
      <w:r>
        <w:rPr>
          <w:rFonts w:ascii="Century" w:hAnsi="Century" w:cs="FrankRuehl" w:hint="cs"/>
          <w:spacing w:val="10"/>
          <w:szCs w:val="28"/>
          <w:rtl/>
        </w:rPr>
        <w:t xml:space="preserve"> ניתן לסבור כי בגדר: "</w:t>
      </w:r>
      <w:r w:rsidRPr="00942B6D">
        <w:rPr>
          <w:rFonts w:ascii="Century" w:hAnsi="Century" w:cs="Miriam" w:hint="cs"/>
          <w:b/>
          <w:szCs w:val="24"/>
          <w:rtl/>
        </w:rPr>
        <w:t>המוכר</w:t>
      </w:r>
      <w:r>
        <w:rPr>
          <w:rFonts w:ascii="Century" w:hAnsi="Century" w:cs="FrankRuehl" w:hint="cs"/>
          <w:spacing w:val="10"/>
          <w:szCs w:val="28"/>
          <w:rtl/>
        </w:rPr>
        <w:t>", הנזכר בסעיף, הזכאי לפרוס את השבח הראלי לפי סעיף 48א (ה) ל</w:t>
      </w:r>
      <w:r>
        <w:rPr>
          <w:rFonts w:ascii="Century" w:hAnsi="Century" w:cs="Miriam" w:hint="cs"/>
          <w:b/>
          <w:szCs w:val="24"/>
          <w:rtl/>
        </w:rPr>
        <w:t>חוק</w:t>
      </w:r>
      <w:r>
        <w:rPr>
          <w:rFonts w:ascii="Century" w:hAnsi="Century" w:cs="FrankRuehl" w:hint="cs"/>
          <w:spacing w:val="10"/>
          <w:szCs w:val="28"/>
          <w:rtl/>
        </w:rPr>
        <w:t xml:space="preserve"> נכללים גם תאגידים. דא עקא, גם אם המונח: "</w:t>
      </w:r>
      <w:r w:rsidRPr="00942B6D">
        <w:rPr>
          <w:rFonts w:ascii="Century" w:hAnsi="Century" w:cs="Miriam" w:hint="cs"/>
          <w:b/>
          <w:szCs w:val="24"/>
          <w:rtl/>
        </w:rPr>
        <w:t>מוכר</w:t>
      </w:r>
      <w:r>
        <w:rPr>
          <w:rFonts w:ascii="Century" w:hAnsi="Century" w:cs="FrankRuehl" w:hint="cs"/>
          <w:spacing w:val="10"/>
          <w:szCs w:val="28"/>
          <w:rtl/>
        </w:rPr>
        <w:t xml:space="preserve">" "סובל" לכאורה פרשנות זו, עיון בדבר החקיקה כולו מגלה כי לאפשרות פרשנית זו </w:t>
      </w:r>
      <w:r>
        <w:rPr>
          <w:rFonts w:ascii="Century" w:hAnsi="Century" w:cs="FrankRuehl"/>
          <w:spacing w:val="10"/>
          <w:szCs w:val="28"/>
          <w:rtl/>
        </w:rPr>
        <w:t>–</w:t>
      </w:r>
      <w:r>
        <w:rPr>
          <w:rFonts w:ascii="Century" w:hAnsi="Century" w:cs="FrankRuehl" w:hint="cs"/>
          <w:spacing w:val="10"/>
          <w:szCs w:val="28"/>
          <w:rtl/>
        </w:rPr>
        <w:t xml:space="preserve"> אין ביסוס. </w:t>
      </w:r>
    </w:p>
    <w:p w:rsidR="00090DE8" w:rsidRDefault="00090DE8" w:rsidP="00090DE8">
      <w:pPr>
        <w:pStyle w:val="af0"/>
        <w:tabs>
          <w:tab w:val="left" w:pos="800"/>
        </w:tabs>
        <w:bidi/>
        <w:spacing w:line="360" w:lineRule="auto"/>
        <w:ind w:left="0"/>
        <w:jc w:val="both"/>
        <w:rPr>
          <w:rFonts w:ascii="Century" w:hAnsi="Century" w:cs="FrankRuehl"/>
          <w:spacing w:val="10"/>
          <w:szCs w:val="28"/>
          <w:rtl/>
        </w:rPr>
      </w:pPr>
    </w:p>
    <w:p w:rsidR="00090DE8" w:rsidRDefault="00090DE8" w:rsidP="00090DE8">
      <w:pPr>
        <w:pStyle w:val="af0"/>
        <w:numPr>
          <w:ilvl w:val="0"/>
          <w:numId w:val="15"/>
        </w:numPr>
        <w:tabs>
          <w:tab w:val="left" w:pos="800"/>
        </w:tabs>
        <w:bidi/>
        <w:spacing w:line="360" w:lineRule="auto"/>
        <w:jc w:val="both"/>
        <w:rPr>
          <w:rFonts w:ascii="Century" w:hAnsi="Century" w:cs="FrankRuehl"/>
          <w:spacing w:val="10"/>
          <w:szCs w:val="28"/>
        </w:rPr>
      </w:pPr>
      <w:r>
        <w:rPr>
          <w:rFonts w:ascii="Century" w:hAnsi="Century" w:cs="FrankRuehl" w:hint="cs"/>
          <w:spacing w:val="10"/>
          <w:szCs w:val="28"/>
          <w:rtl/>
        </w:rPr>
        <w:t xml:space="preserve">המשיבות, וועדת הערר הנכבדה בעקבותיהן, ייחסו משקל לכך שההפניה למושג: "המוכר" בסעיף 48א(ה) </w:t>
      </w:r>
      <w:r>
        <w:rPr>
          <w:rFonts w:ascii="Century" w:hAnsi="Century" w:cs="Miriam" w:hint="cs"/>
          <w:b/>
          <w:szCs w:val="24"/>
          <w:rtl/>
        </w:rPr>
        <w:t>לחוק</w:t>
      </w:r>
      <w:r>
        <w:rPr>
          <w:rFonts w:ascii="Century" w:hAnsi="Century" w:cs="FrankRuehl" w:hint="cs"/>
          <w:spacing w:val="10"/>
          <w:szCs w:val="28"/>
          <w:rtl/>
        </w:rPr>
        <w:t xml:space="preserve">, המדבר ב-"מוכר שהוא תושב ישראל" </w:t>
      </w:r>
      <w:r>
        <w:rPr>
          <w:rFonts w:ascii="Century" w:hAnsi="Century" w:cs="FrankRuehl"/>
          <w:spacing w:val="10"/>
          <w:szCs w:val="28"/>
          <w:rtl/>
        </w:rPr>
        <w:t>–</w:t>
      </w:r>
      <w:r>
        <w:rPr>
          <w:rFonts w:ascii="Century" w:hAnsi="Century" w:cs="FrankRuehl" w:hint="cs"/>
          <w:spacing w:val="10"/>
          <w:szCs w:val="28"/>
          <w:rtl/>
        </w:rPr>
        <w:t xml:space="preserve"> איננה מצמצמת את תחולתו ליחיד (פיסקה 15 לפסק הדין, נושא הערעור). לעמדתי שגגה נפלה מלפני הוועדה הנכבדה בנושא זה, שהרי בתפיסתה היא הניחה למעשה את המבוקש. כפי שנקל להיווכח, המונח: "</w:t>
      </w:r>
      <w:r w:rsidRPr="00942B6D">
        <w:rPr>
          <w:rFonts w:ascii="Century" w:hAnsi="Century" w:cs="Miriam" w:hint="cs"/>
          <w:b/>
          <w:szCs w:val="24"/>
          <w:rtl/>
        </w:rPr>
        <w:t>מוכר</w:t>
      </w:r>
      <w:r>
        <w:rPr>
          <w:rFonts w:ascii="Century" w:hAnsi="Century" w:cs="FrankRuehl" w:hint="cs"/>
          <w:spacing w:val="10"/>
          <w:szCs w:val="28"/>
          <w:rtl/>
        </w:rPr>
        <w:t xml:space="preserve">" לא הוגדר במסגרת הסעיף, אלא רק </w:t>
      </w:r>
      <w:proofErr w:type="spellStart"/>
      <w:r>
        <w:rPr>
          <w:rFonts w:ascii="Century" w:hAnsi="Century" w:cs="FrankRuehl" w:hint="cs"/>
          <w:spacing w:val="10"/>
          <w:szCs w:val="28"/>
          <w:rtl/>
        </w:rPr>
        <w:t>מועטו</w:t>
      </w:r>
      <w:proofErr w:type="spellEnd"/>
      <w:r>
        <w:rPr>
          <w:rFonts w:ascii="Century" w:hAnsi="Century" w:cs="FrankRuehl" w:hint="cs"/>
          <w:spacing w:val="10"/>
          <w:szCs w:val="28"/>
          <w:rtl/>
        </w:rPr>
        <w:t xml:space="preserve"> ממנו מי </w:t>
      </w:r>
      <w:r w:rsidRPr="00A555BA">
        <w:rPr>
          <w:rFonts w:ascii="Century" w:hAnsi="Century" w:cs="FrankRuehl" w:hint="cs"/>
          <w:b/>
          <w:bCs/>
          <w:spacing w:val="10"/>
          <w:szCs w:val="28"/>
          <w:rtl/>
        </w:rPr>
        <w:t>שאינם</w:t>
      </w:r>
      <w:r>
        <w:rPr>
          <w:rFonts w:ascii="Century" w:hAnsi="Century" w:cs="FrankRuehl" w:hint="cs"/>
          <w:spacing w:val="10"/>
          <w:szCs w:val="28"/>
          <w:rtl/>
        </w:rPr>
        <w:t xml:space="preserve"> תושבי ישראל. בכך אין, כמובן, כדי להשיב על השאלה מי הוא "</w:t>
      </w:r>
      <w:r>
        <w:rPr>
          <w:rFonts w:ascii="Century" w:hAnsi="Century" w:cs="Miriam" w:hint="cs"/>
          <w:b/>
          <w:szCs w:val="24"/>
          <w:rtl/>
        </w:rPr>
        <w:t>מוכר"</w:t>
      </w:r>
      <w:r>
        <w:rPr>
          <w:rFonts w:ascii="Century" w:hAnsi="Century" w:cs="FrankRuehl" w:hint="cs"/>
          <w:spacing w:val="10"/>
          <w:szCs w:val="28"/>
          <w:rtl/>
        </w:rPr>
        <w:t xml:space="preserve">, וזו צריכה להיבחן על בסיס הוראות </w:t>
      </w:r>
      <w:r>
        <w:rPr>
          <w:rFonts w:ascii="Century" w:hAnsi="Century" w:cs="Miriam" w:hint="cs"/>
          <w:b/>
          <w:szCs w:val="24"/>
          <w:rtl/>
        </w:rPr>
        <w:t>חוק מס שבח</w:t>
      </w:r>
      <w:r>
        <w:rPr>
          <w:rFonts w:ascii="Century" w:hAnsi="Century" w:cs="FrankRuehl" w:hint="cs"/>
          <w:spacing w:val="10"/>
          <w:szCs w:val="28"/>
          <w:rtl/>
        </w:rPr>
        <w:t xml:space="preserve"> כולו וסעיף 48א(ה) ל</w:t>
      </w:r>
      <w:r w:rsidRPr="00942B6D">
        <w:rPr>
          <w:rFonts w:ascii="Century" w:hAnsi="Century" w:cs="Miriam" w:hint="cs"/>
          <w:b/>
          <w:szCs w:val="24"/>
          <w:rtl/>
        </w:rPr>
        <w:t>חוק</w:t>
      </w:r>
      <w:r>
        <w:rPr>
          <w:rFonts w:ascii="Century" w:hAnsi="Century" w:cs="FrankRuehl" w:hint="cs"/>
          <w:spacing w:val="10"/>
          <w:szCs w:val="28"/>
          <w:rtl/>
        </w:rPr>
        <w:t xml:space="preserve"> בפרט. ניתוח זה מלמד כי הלשון נוטה להחלת הסעיף על יחידים בשר ודם </w:t>
      </w:r>
      <w:r>
        <w:rPr>
          <w:rFonts w:ascii="Century" w:hAnsi="Century" w:cs="FrankRuehl"/>
          <w:spacing w:val="10"/>
          <w:szCs w:val="28"/>
          <w:rtl/>
        </w:rPr>
        <w:t>–</w:t>
      </w:r>
      <w:r>
        <w:rPr>
          <w:rFonts w:ascii="Century" w:hAnsi="Century" w:cs="FrankRuehl" w:hint="cs"/>
          <w:spacing w:val="10"/>
          <w:szCs w:val="28"/>
          <w:rtl/>
        </w:rPr>
        <w:t xml:space="preserve"> ממספר טעמים:</w:t>
      </w:r>
    </w:p>
    <w:p w:rsidR="00090DE8" w:rsidRDefault="00090DE8" w:rsidP="00090DE8">
      <w:pPr>
        <w:pStyle w:val="af0"/>
        <w:tabs>
          <w:tab w:val="left" w:pos="800"/>
        </w:tabs>
        <w:bidi/>
        <w:spacing w:line="360" w:lineRule="auto"/>
        <w:ind w:left="0"/>
        <w:jc w:val="both"/>
        <w:rPr>
          <w:rFonts w:ascii="Century" w:hAnsi="Century" w:cs="FrankRuehl"/>
          <w:spacing w:val="10"/>
          <w:szCs w:val="28"/>
        </w:rPr>
      </w:pPr>
    </w:p>
    <w:p w:rsidR="00090DE8" w:rsidRDefault="00090DE8" w:rsidP="00090DE8">
      <w:pPr>
        <w:pStyle w:val="af0"/>
        <w:tabs>
          <w:tab w:val="left" w:pos="800"/>
        </w:tabs>
        <w:bidi/>
        <w:spacing w:line="360" w:lineRule="auto"/>
        <w:ind w:left="0"/>
        <w:jc w:val="both"/>
        <w:rPr>
          <w:rFonts w:ascii="Century" w:hAnsi="Century" w:cs="FrankRuehl"/>
          <w:spacing w:val="10"/>
          <w:szCs w:val="28"/>
          <w:rtl/>
        </w:rPr>
      </w:pPr>
      <w:r>
        <w:rPr>
          <w:rFonts w:ascii="Century" w:hAnsi="Century" w:cs="FrankRuehl" w:hint="cs"/>
          <w:spacing w:val="10"/>
          <w:szCs w:val="28"/>
          <w:rtl/>
        </w:rPr>
        <w:lastRenderedPageBreak/>
        <w:t>א.</w:t>
      </w:r>
      <w:r>
        <w:rPr>
          <w:rFonts w:ascii="Century" w:hAnsi="Century" w:cs="FrankRuehl"/>
          <w:spacing w:val="10"/>
          <w:szCs w:val="28"/>
          <w:rtl/>
        </w:rPr>
        <w:tab/>
      </w:r>
      <w:r>
        <w:rPr>
          <w:rFonts w:ascii="Century" w:hAnsi="Century" w:cs="FrankRuehl" w:hint="cs"/>
          <w:spacing w:val="10"/>
          <w:szCs w:val="28"/>
          <w:rtl/>
        </w:rPr>
        <w:t>על פי לשון הסעיף האפשרות לבצע פריסה תחול לכאורה, רק על יחיד ולא תחול על תאגיד, זאת היות וסעיף 48א(ה)(1)(א) ל</w:t>
      </w:r>
      <w:r>
        <w:rPr>
          <w:rFonts w:ascii="Century" w:hAnsi="Century" w:cs="Miriam" w:hint="cs"/>
          <w:b/>
          <w:szCs w:val="24"/>
          <w:rtl/>
        </w:rPr>
        <w:t xml:space="preserve">חוק </w:t>
      </w:r>
      <w:r>
        <w:rPr>
          <w:rFonts w:ascii="Century" w:hAnsi="Century" w:cs="FrankRuehl" w:hint="cs"/>
          <w:spacing w:val="10"/>
          <w:szCs w:val="28"/>
          <w:rtl/>
        </w:rPr>
        <w:t>מפנה לשיעורי המס הקבועים בסעיף 48א(ב) ל</w:t>
      </w:r>
      <w:r>
        <w:rPr>
          <w:rFonts w:ascii="Century" w:hAnsi="Century" w:cs="Miriam" w:hint="cs"/>
          <w:b/>
          <w:szCs w:val="24"/>
          <w:rtl/>
        </w:rPr>
        <w:t>חוק</w:t>
      </w:r>
      <w:r>
        <w:rPr>
          <w:rFonts w:ascii="Century" w:hAnsi="Century" w:cs="FrankRuehl" w:hint="cs"/>
          <w:spacing w:val="10"/>
          <w:szCs w:val="28"/>
          <w:rtl/>
        </w:rPr>
        <w:t xml:space="preserve">, אשר עוסקים בשיעורי המס על השבח הריאלי אצל </w:t>
      </w:r>
      <w:r w:rsidRPr="00522D1B">
        <w:rPr>
          <w:rFonts w:ascii="Century" w:hAnsi="Century" w:cs="FrankRuehl" w:hint="cs"/>
          <w:b/>
          <w:bCs/>
          <w:spacing w:val="10"/>
          <w:szCs w:val="28"/>
          <w:rtl/>
        </w:rPr>
        <w:t>יחיד</w:t>
      </w:r>
      <w:r>
        <w:rPr>
          <w:rFonts w:ascii="Century" w:hAnsi="Century" w:cs="FrankRuehl" w:hint="cs"/>
          <w:spacing w:val="10"/>
          <w:szCs w:val="28"/>
          <w:rtl/>
        </w:rPr>
        <w:t>, בעוד שיעור המס, אשר חל על תאגיד, קבוע בסעיף 48א(א) ל</w:t>
      </w:r>
      <w:r>
        <w:rPr>
          <w:rFonts w:ascii="Century" w:hAnsi="Century" w:cs="Miriam" w:hint="cs"/>
          <w:b/>
          <w:szCs w:val="24"/>
          <w:rtl/>
        </w:rPr>
        <w:t>חוק</w:t>
      </w:r>
      <w:r>
        <w:rPr>
          <w:rFonts w:ascii="Century" w:hAnsi="Century" w:cs="FrankRuehl" w:hint="cs"/>
          <w:spacing w:val="10"/>
          <w:szCs w:val="28"/>
          <w:rtl/>
        </w:rPr>
        <w:t xml:space="preserve">. עיינו: אבי גורמן, שי </w:t>
      </w:r>
      <w:proofErr w:type="spellStart"/>
      <w:r>
        <w:rPr>
          <w:rFonts w:ascii="Century" w:hAnsi="Century" w:cs="FrankRuehl" w:hint="cs"/>
          <w:spacing w:val="10"/>
          <w:szCs w:val="28"/>
          <w:rtl/>
        </w:rPr>
        <w:t>אהרונוביץ</w:t>
      </w:r>
      <w:proofErr w:type="spellEnd"/>
      <w:r>
        <w:rPr>
          <w:rFonts w:ascii="Century" w:hAnsi="Century" w:cs="FrankRuehl" w:hint="cs"/>
          <w:spacing w:val="10"/>
          <w:szCs w:val="28"/>
          <w:rtl/>
        </w:rPr>
        <w:t xml:space="preserve">', </w:t>
      </w:r>
      <w:r>
        <w:rPr>
          <w:rFonts w:ascii="Century" w:hAnsi="Century" w:cs="Miriam" w:hint="cs"/>
          <w:b/>
          <w:szCs w:val="24"/>
          <w:rtl/>
        </w:rPr>
        <w:t>מיסוי מקרקעין</w:t>
      </w:r>
      <w:r>
        <w:rPr>
          <w:rFonts w:ascii="Century" w:hAnsi="Century" w:cs="FrankRuehl" w:hint="cs"/>
          <w:spacing w:val="10"/>
          <w:szCs w:val="28"/>
          <w:rtl/>
        </w:rPr>
        <w:t xml:space="preserve">, כרך א' (התשע"ז-2017), עמ' 507 (להלן </w:t>
      </w:r>
      <w:r>
        <w:rPr>
          <w:rFonts w:ascii="Century" w:hAnsi="Century" w:cs="FrankRuehl"/>
          <w:spacing w:val="10"/>
          <w:szCs w:val="28"/>
          <w:rtl/>
        </w:rPr>
        <w:t>–</w:t>
      </w:r>
      <w:r>
        <w:rPr>
          <w:rFonts w:ascii="Century" w:hAnsi="Century" w:cs="FrankRuehl" w:hint="cs"/>
          <w:spacing w:val="10"/>
          <w:szCs w:val="28"/>
          <w:rtl/>
        </w:rPr>
        <w:t xml:space="preserve"> </w:t>
      </w:r>
      <w:r>
        <w:rPr>
          <w:rFonts w:ascii="Century" w:hAnsi="Century" w:cs="Miriam" w:hint="cs"/>
          <w:b/>
          <w:szCs w:val="24"/>
          <w:rtl/>
        </w:rPr>
        <w:t xml:space="preserve">גורמן </w:t>
      </w:r>
      <w:proofErr w:type="spellStart"/>
      <w:r>
        <w:rPr>
          <w:rFonts w:ascii="Century" w:hAnsi="Century" w:cs="Miriam" w:hint="cs"/>
          <w:b/>
          <w:szCs w:val="24"/>
          <w:rtl/>
        </w:rPr>
        <w:t>ואהרונוביץ</w:t>
      </w:r>
      <w:proofErr w:type="spellEnd"/>
      <w:r>
        <w:rPr>
          <w:rFonts w:ascii="Century" w:hAnsi="Century" w:cs="FrankRuehl" w:hint="cs"/>
          <w:spacing w:val="10"/>
          <w:szCs w:val="28"/>
          <w:rtl/>
        </w:rPr>
        <w:t xml:space="preserve">). </w:t>
      </w:r>
    </w:p>
    <w:p w:rsidR="00090DE8" w:rsidRDefault="00090DE8" w:rsidP="00090DE8">
      <w:pPr>
        <w:pStyle w:val="af0"/>
        <w:tabs>
          <w:tab w:val="left" w:pos="800"/>
        </w:tabs>
        <w:bidi/>
        <w:spacing w:line="360" w:lineRule="auto"/>
        <w:ind w:left="0"/>
        <w:jc w:val="both"/>
        <w:rPr>
          <w:rFonts w:ascii="Century" w:hAnsi="Century" w:cs="FrankRuehl"/>
          <w:spacing w:val="10"/>
          <w:szCs w:val="28"/>
          <w:rtl/>
        </w:rPr>
      </w:pPr>
    </w:p>
    <w:p w:rsidR="00090DE8" w:rsidRDefault="00090DE8" w:rsidP="00090DE8">
      <w:pPr>
        <w:pStyle w:val="af0"/>
        <w:tabs>
          <w:tab w:val="left" w:pos="800"/>
        </w:tabs>
        <w:bidi/>
        <w:spacing w:line="360" w:lineRule="auto"/>
        <w:ind w:left="0"/>
        <w:jc w:val="both"/>
        <w:rPr>
          <w:rFonts w:ascii="Century" w:hAnsi="Century" w:cs="FrankRuehl"/>
          <w:spacing w:val="10"/>
          <w:szCs w:val="28"/>
          <w:rtl/>
        </w:rPr>
      </w:pPr>
      <w:r>
        <w:rPr>
          <w:rFonts w:ascii="Century" w:hAnsi="Century" w:cs="FrankRuehl" w:hint="cs"/>
          <w:spacing w:val="10"/>
          <w:szCs w:val="28"/>
          <w:rtl/>
        </w:rPr>
        <w:t>ב.</w:t>
      </w:r>
      <w:r>
        <w:rPr>
          <w:rFonts w:ascii="Century" w:hAnsi="Century" w:cs="FrankRuehl"/>
          <w:spacing w:val="10"/>
          <w:szCs w:val="28"/>
          <w:rtl/>
        </w:rPr>
        <w:tab/>
      </w:r>
      <w:r>
        <w:rPr>
          <w:rFonts w:ascii="Century" w:hAnsi="Century" w:cs="FrankRuehl" w:hint="cs"/>
          <w:spacing w:val="10"/>
          <w:szCs w:val="28"/>
          <w:rtl/>
        </w:rPr>
        <w:t xml:space="preserve">תשלום מס השבח לפי סעיף 48א(ה) הוא בגדר תשלום מקדמה על חשבון המס הסופי שהמוכר </w:t>
      </w:r>
      <w:proofErr w:type="spellStart"/>
      <w:r>
        <w:rPr>
          <w:rFonts w:ascii="Century" w:hAnsi="Century" w:cs="FrankRuehl" w:hint="cs"/>
          <w:spacing w:val="10"/>
          <w:szCs w:val="28"/>
          <w:rtl/>
        </w:rPr>
        <w:t>יחוייב</w:t>
      </w:r>
      <w:proofErr w:type="spellEnd"/>
      <w:r>
        <w:rPr>
          <w:rFonts w:ascii="Century" w:hAnsi="Century" w:cs="FrankRuehl" w:hint="cs"/>
          <w:spacing w:val="10"/>
          <w:szCs w:val="28"/>
          <w:rtl/>
        </w:rPr>
        <w:t xml:space="preserve"> בו, ואשר ייקבע לפי סעיף 91 ל</w:t>
      </w:r>
      <w:r>
        <w:rPr>
          <w:rFonts w:ascii="Century" w:hAnsi="Century" w:cs="Miriam" w:hint="cs"/>
          <w:b/>
          <w:szCs w:val="24"/>
          <w:rtl/>
        </w:rPr>
        <w:t>פקודת מס הכנסה</w:t>
      </w:r>
      <w:r>
        <w:rPr>
          <w:rFonts w:ascii="Century" w:hAnsi="Century" w:cs="FrankRuehl" w:hint="cs"/>
          <w:spacing w:val="10"/>
          <w:szCs w:val="28"/>
          <w:rtl/>
        </w:rPr>
        <w:t xml:space="preserve"> (להלן </w:t>
      </w:r>
      <w:r>
        <w:rPr>
          <w:rFonts w:ascii="Century" w:hAnsi="Century" w:cs="FrankRuehl"/>
          <w:spacing w:val="10"/>
          <w:szCs w:val="28"/>
          <w:rtl/>
        </w:rPr>
        <w:t>–</w:t>
      </w:r>
      <w:r>
        <w:rPr>
          <w:rFonts w:ascii="Century" w:hAnsi="Century" w:cs="FrankRuehl" w:hint="cs"/>
          <w:spacing w:val="10"/>
          <w:szCs w:val="28"/>
          <w:rtl/>
        </w:rPr>
        <w:t xml:space="preserve"> </w:t>
      </w:r>
      <w:r>
        <w:rPr>
          <w:rFonts w:ascii="Century" w:hAnsi="Century" w:cs="Miriam" w:hint="cs"/>
          <w:b/>
          <w:szCs w:val="24"/>
          <w:rtl/>
        </w:rPr>
        <w:t>הפקודה</w:t>
      </w:r>
      <w:r>
        <w:rPr>
          <w:rFonts w:ascii="Century" w:hAnsi="Century" w:cs="FrankRuehl" w:hint="cs"/>
          <w:spacing w:val="10"/>
          <w:szCs w:val="28"/>
          <w:rtl/>
        </w:rPr>
        <w:t>), במסגרת שומת מס הכנסה (ראו: סעיפים 48א (ה)(2) ו-91(ד) ל</w:t>
      </w:r>
      <w:r>
        <w:rPr>
          <w:rFonts w:ascii="Century" w:hAnsi="Century" w:cs="Miriam" w:hint="cs"/>
          <w:b/>
          <w:szCs w:val="24"/>
          <w:rtl/>
        </w:rPr>
        <w:t>פקודה</w:t>
      </w:r>
      <w:r>
        <w:rPr>
          <w:rFonts w:ascii="Century" w:hAnsi="Century" w:cs="FrankRuehl" w:hint="cs"/>
          <w:spacing w:val="10"/>
          <w:szCs w:val="28"/>
          <w:rtl/>
        </w:rPr>
        <w:t xml:space="preserve">; "מ' </w:t>
      </w:r>
      <w:proofErr w:type="spellStart"/>
      <w:r>
        <w:rPr>
          <w:rFonts w:ascii="Century" w:hAnsi="Century" w:cs="FrankRuehl" w:hint="cs"/>
          <w:spacing w:val="10"/>
          <w:szCs w:val="28"/>
          <w:rtl/>
        </w:rPr>
        <w:t>אלטוביה</w:t>
      </w:r>
      <w:proofErr w:type="spellEnd"/>
      <w:r>
        <w:rPr>
          <w:rFonts w:ascii="Century" w:hAnsi="Century" w:cs="FrankRuehl" w:hint="cs"/>
          <w:spacing w:val="10"/>
          <w:szCs w:val="28"/>
          <w:rtl/>
        </w:rPr>
        <w:t>, הערות לסעיפים 48א ו-48ב ל</w:t>
      </w:r>
      <w:r>
        <w:rPr>
          <w:rFonts w:ascii="Century" w:hAnsi="Century" w:cs="Miriam" w:hint="cs"/>
          <w:b/>
          <w:szCs w:val="24"/>
          <w:rtl/>
        </w:rPr>
        <w:t>חוק מס שבח מקרקעין</w:t>
      </w:r>
      <w:r>
        <w:rPr>
          <w:rFonts w:ascii="Century" w:hAnsi="Century" w:cs="FrankRuehl" w:hint="cs"/>
          <w:spacing w:val="10"/>
          <w:szCs w:val="28"/>
          <w:rtl/>
        </w:rPr>
        <w:t xml:space="preserve">" </w:t>
      </w:r>
      <w:r>
        <w:rPr>
          <w:rFonts w:ascii="Century" w:hAnsi="Century" w:cs="Miriam" w:hint="cs"/>
          <w:b/>
          <w:szCs w:val="24"/>
          <w:rtl/>
        </w:rPr>
        <w:t xml:space="preserve">מיסים ג/6, א-32 </w:t>
      </w:r>
      <w:r w:rsidRPr="002B1ABA">
        <w:rPr>
          <w:rFonts w:ascii="Century" w:hAnsi="Century" w:cs="FrankRuehl" w:hint="cs"/>
          <w:spacing w:val="10"/>
          <w:szCs w:val="28"/>
          <w:rtl/>
        </w:rPr>
        <w:t>פיסקה 3</w:t>
      </w:r>
      <w:r>
        <w:rPr>
          <w:rFonts w:ascii="Century" w:hAnsi="Century" w:cs="FrankRuehl" w:hint="cs"/>
          <w:spacing w:val="10"/>
          <w:szCs w:val="28"/>
          <w:rtl/>
        </w:rPr>
        <w:t xml:space="preserve"> (1989); אהרון </w:t>
      </w:r>
      <w:proofErr w:type="spellStart"/>
      <w:r>
        <w:rPr>
          <w:rFonts w:ascii="Century" w:hAnsi="Century" w:cs="FrankRuehl" w:hint="cs"/>
          <w:spacing w:val="10"/>
          <w:szCs w:val="28"/>
          <w:rtl/>
        </w:rPr>
        <w:t>נמדר</w:t>
      </w:r>
      <w:proofErr w:type="spellEnd"/>
      <w:r>
        <w:rPr>
          <w:rFonts w:ascii="Century" w:hAnsi="Century" w:cs="FrankRuehl" w:hint="cs"/>
          <w:spacing w:val="10"/>
          <w:szCs w:val="28"/>
          <w:rtl/>
        </w:rPr>
        <w:t xml:space="preserve">, </w:t>
      </w:r>
      <w:r w:rsidRPr="002B1ABA">
        <w:rPr>
          <w:rFonts w:ascii="Century" w:hAnsi="Century" w:cs="Miriam" w:hint="cs"/>
          <w:b/>
          <w:szCs w:val="24"/>
          <w:rtl/>
        </w:rPr>
        <w:t>מס שבח מקרקעין</w:t>
      </w:r>
      <w:r>
        <w:rPr>
          <w:rFonts w:ascii="Century" w:hAnsi="Century" w:cs="Miriam" w:hint="cs"/>
          <w:b/>
          <w:szCs w:val="24"/>
          <w:rtl/>
        </w:rPr>
        <w:t xml:space="preserve"> </w:t>
      </w:r>
      <w:r>
        <w:rPr>
          <w:rFonts w:ascii="Century" w:hAnsi="Century" w:cs="FrankRuehl" w:hint="cs"/>
          <w:spacing w:val="10"/>
          <w:szCs w:val="28"/>
          <w:rtl/>
        </w:rPr>
        <w:t xml:space="preserve">(מהדורה שביעית </w:t>
      </w:r>
      <w:r>
        <w:rPr>
          <w:rFonts w:ascii="Century" w:hAnsi="Century" w:cs="FrankRuehl"/>
          <w:spacing w:val="10"/>
          <w:szCs w:val="28"/>
          <w:rtl/>
        </w:rPr>
        <w:t>–</w:t>
      </w:r>
      <w:r>
        <w:rPr>
          <w:rFonts w:ascii="Century" w:hAnsi="Century" w:cs="FrankRuehl" w:hint="cs"/>
          <w:spacing w:val="10"/>
          <w:szCs w:val="28"/>
          <w:rtl/>
        </w:rPr>
        <w:t xml:space="preserve"> תשע"ב-2012), עמ'        485-428; </w:t>
      </w:r>
      <w:r>
        <w:rPr>
          <w:rFonts w:ascii="Century" w:hAnsi="Century" w:cs="Miriam" w:hint="cs"/>
          <w:b/>
          <w:szCs w:val="24"/>
          <w:rtl/>
        </w:rPr>
        <w:t xml:space="preserve">גורמן ואהרונוביץ' </w:t>
      </w:r>
      <w:r>
        <w:rPr>
          <w:rFonts w:ascii="Century" w:hAnsi="Century" w:cs="FrankRuehl" w:hint="cs"/>
          <w:spacing w:val="10"/>
          <w:szCs w:val="28"/>
          <w:rtl/>
        </w:rPr>
        <w:t>עמ' 508-504).</w:t>
      </w:r>
    </w:p>
    <w:p w:rsidR="00090DE8" w:rsidRDefault="00090DE8" w:rsidP="00090DE8">
      <w:pPr>
        <w:pStyle w:val="af0"/>
        <w:tabs>
          <w:tab w:val="left" w:pos="800"/>
        </w:tabs>
        <w:bidi/>
        <w:spacing w:line="360" w:lineRule="auto"/>
        <w:ind w:left="0"/>
        <w:jc w:val="both"/>
        <w:rPr>
          <w:rFonts w:ascii="Century" w:hAnsi="Century" w:cs="FrankRuehl"/>
          <w:spacing w:val="10"/>
          <w:szCs w:val="28"/>
          <w:rtl/>
        </w:rPr>
      </w:pPr>
    </w:p>
    <w:p w:rsidR="00090DE8" w:rsidRDefault="00090DE8" w:rsidP="00090DE8">
      <w:pPr>
        <w:pStyle w:val="af0"/>
        <w:tabs>
          <w:tab w:val="left" w:pos="800"/>
        </w:tabs>
        <w:bidi/>
        <w:spacing w:line="360" w:lineRule="auto"/>
        <w:ind w:left="0"/>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 xml:space="preserve">במאמר מוסגר יש לציין כי הלכה למעשה </w:t>
      </w:r>
      <w:r w:rsidRPr="00942B6D">
        <w:rPr>
          <w:rFonts w:ascii="Century" w:hAnsi="Century" w:cs="FrankRuehl" w:hint="cs"/>
          <w:b/>
          <w:bCs/>
          <w:spacing w:val="10"/>
          <w:szCs w:val="28"/>
          <w:rtl/>
        </w:rPr>
        <w:t>כיום</w:t>
      </w:r>
      <w:r>
        <w:rPr>
          <w:rFonts w:ascii="Century" w:hAnsi="Century" w:cs="FrankRuehl" w:hint="cs"/>
          <w:b/>
          <w:bCs/>
          <w:spacing w:val="10"/>
          <w:szCs w:val="28"/>
          <w:rtl/>
        </w:rPr>
        <w:t xml:space="preserve"> </w:t>
      </w:r>
      <w:r>
        <w:rPr>
          <w:rFonts w:ascii="Century" w:hAnsi="Century" w:cs="FrankRuehl" w:hint="cs"/>
          <w:spacing w:val="10"/>
          <w:szCs w:val="28"/>
          <w:rtl/>
        </w:rPr>
        <w:t xml:space="preserve">פריסת השבח יכולה להיות רלוונטית רק למי שנהנה משיעורי מס על פי </w:t>
      </w:r>
      <w:r w:rsidRPr="00A555BA">
        <w:rPr>
          <w:rFonts w:ascii="Century" w:hAnsi="Century" w:cs="Miriam" w:hint="cs"/>
          <w:b/>
          <w:szCs w:val="24"/>
          <w:rtl/>
        </w:rPr>
        <w:t>הפקודה</w:t>
      </w:r>
      <w:r>
        <w:rPr>
          <w:rFonts w:ascii="Century" w:hAnsi="Century" w:cs="FrankRuehl" w:hint="cs"/>
          <w:spacing w:val="10"/>
          <w:szCs w:val="28"/>
          <w:rtl/>
        </w:rPr>
        <w:t xml:space="preserve"> הנמוכים מ-25% - שהוא שיעור המס המקסימלי, כאמור, שבו נושא המוכר לפי הוראתו של סעיף 48א ל</w:t>
      </w:r>
      <w:r w:rsidRPr="00942B6D">
        <w:rPr>
          <w:rFonts w:ascii="Century" w:hAnsi="Century" w:cs="Miriam" w:hint="cs"/>
          <w:b/>
          <w:szCs w:val="24"/>
          <w:rtl/>
        </w:rPr>
        <w:t>חוק</w:t>
      </w:r>
      <w:r>
        <w:rPr>
          <w:rFonts w:ascii="Century" w:hAnsi="Century" w:cs="FrankRuehl" w:hint="cs"/>
          <w:spacing w:val="10"/>
          <w:szCs w:val="28"/>
          <w:rtl/>
        </w:rPr>
        <w:t xml:space="preserve">. בפועל מדובר בקבוצה מצומצמת של נישומים, בשים לב לכך שלפי סעיף 121(א) </w:t>
      </w:r>
      <w:r w:rsidRPr="00A555BA">
        <w:rPr>
          <w:rFonts w:ascii="Century" w:hAnsi="Century" w:cs="Miriam" w:hint="cs"/>
          <w:b/>
          <w:szCs w:val="24"/>
          <w:rtl/>
        </w:rPr>
        <w:t xml:space="preserve">לפקודה </w:t>
      </w:r>
      <w:r>
        <w:rPr>
          <w:rFonts w:ascii="Century" w:hAnsi="Century" w:cs="FrankRuehl" w:hint="cs"/>
          <w:spacing w:val="10"/>
          <w:szCs w:val="28"/>
          <w:rtl/>
        </w:rPr>
        <w:t xml:space="preserve">שיעורי המס בגין הכנסות שאינן מיגיעה אישית </w:t>
      </w:r>
      <w:r>
        <w:rPr>
          <w:rFonts w:ascii="Century" w:hAnsi="Century" w:cs="FrankRuehl"/>
          <w:spacing w:val="10"/>
          <w:szCs w:val="28"/>
          <w:rtl/>
        </w:rPr>
        <w:t>–</w:t>
      </w:r>
      <w:r>
        <w:rPr>
          <w:rFonts w:ascii="Century" w:hAnsi="Century" w:cs="FrankRuehl" w:hint="cs"/>
          <w:spacing w:val="10"/>
          <w:szCs w:val="28"/>
          <w:rtl/>
        </w:rPr>
        <w:t xml:space="preserve"> כגון שבח </w:t>
      </w:r>
      <w:r>
        <w:rPr>
          <w:rFonts w:ascii="Century" w:hAnsi="Century" w:cs="FrankRuehl"/>
          <w:spacing w:val="10"/>
          <w:szCs w:val="28"/>
          <w:rtl/>
        </w:rPr>
        <w:t>–</w:t>
      </w:r>
      <w:r>
        <w:rPr>
          <w:rFonts w:ascii="Century" w:hAnsi="Century" w:cs="FrankRuehl" w:hint="cs"/>
          <w:spacing w:val="10"/>
          <w:szCs w:val="28"/>
          <w:rtl/>
        </w:rPr>
        <w:t xml:space="preserve"> מתחילים ב-31%. עבור מוכרים ששיעור המס שלהם גבוה יותר, הרי שהאפשרות היחידה ליהנות מהפריסה היא בשל יתרת נקודות הזיכוי, ככל שלא נוצלו במלואן שנות הפריסה. בהקשר זה אציין כי המוכרים היחידים הנהנים משיעורי מס מופחתים בגין הכנסות שאינן מיגיעה אישית הם יחידים שמלאו להם 60 שנים, שהיו להם הכנסות נמוכות בשנות הפריסה ולא ניצלו את יתרת נקודות הזיכוי בשנות הפריסה </w:t>
      </w:r>
      <w:r>
        <w:rPr>
          <w:rFonts w:ascii="Century" w:hAnsi="Century" w:cs="FrankRuehl"/>
          <w:spacing w:val="10"/>
          <w:szCs w:val="28"/>
          <w:rtl/>
        </w:rPr>
        <w:t>–</w:t>
      </w:r>
      <w:r>
        <w:rPr>
          <w:rFonts w:ascii="Century" w:hAnsi="Century" w:cs="FrankRuehl" w:hint="cs"/>
          <w:spacing w:val="10"/>
          <w:szCs w:val="28"/>
          <w:rtl/>
        </w:rPr>
        <w:t xml:space="preserve"> וזה, הלכה למעשה, "קהל היעד" המרכזי הנהנה עתה בפועל מפריסת השבח (</w:t>
      </w:r>
      <w:r w:rsidRPr="00A555BA">
        <w:rPr>
          <w:rFonts w:ascii="Century" w:hAnsi="Century" w:cs="FrankRuehl" w:hint="cs"/>
          <w:spacing w:val="10"/>
          <w:szCs w:val="28"/>
          <w:rtl/>
        </w:rPr>
        <w:t>עיינו:</w:t>
      </w:r>
      <w:r>
        <w:rPr>
          <w:rFonts w:ascii="Century" w:hAnsi="Century" w:cs="Miriam" w:hint="cs"/>
          <w:b/>
          <w:szCs w:val="24"/>
          <w:rtl/>
        </w:rPr>
        <w:t xml:space="preserve"> </w:t>
      </w:r>
      <w:r w:rsidRPr="00522D1B">
        <w:rPr>
          <w:rFonts w:ascii="Century" w:hAnsi="Century" w:cs="Miriam" w:hint="cs"/>
          <w:b/>
          <w:szCs w:val="24"/>
          <w:rtl/>
        </w:rPr>
        <w:t>גרמן ואהרונוביץ'</w:t>
      </w:r>
      <w:r>
        <w:rPr>
          <w:rFonts w:ascii="Century" w:hAnsi="Century" w:cs="FrankRuehl" w:hint="cs"/>
          <w:spacing w:val="10"/>
          <w:szCs w:val="28"/>
          <w:rtl/>
        </w:rPr>
        <w:t xml:space="preserve"> בעמ' 508).</w:t>
      </w:r>
    </w:p>
    <w:p w:rsidR="00090DE8" w:rsidRDefault="00090DE8" w:rsidP="00090DE8">
      <w:pPr>
        <w:pStyle w:val="af0"/>
        <w:tabs>
          <w:tab w:val="left" w:pos="800"/>
        </w:tabs>
        <w:bidi/>
        <w:spacing w:line="360" w:lineRule="auto"/>
        <w:ind w:left="0"/>
        <w:jc w:val="both"/>
        <w:rPr>
          <w:rFonts w:ascii="Century" w:hAnsi="Century" w:cs="FrankRuehl"/>
          <w:spacing w:val="10"/>
          <w:szCs w:val="28"/>
          <w:rtl/>
        </w:rPr>
      </w:pPr>
    </w:p>
    <w:p w:rsidR="00090DE8" w:rsidRDefault="00090DE8" w:rsidP="00090DE8">
      <w:pPr>
        <w:pStyle w:val="af0"/>
        <w:tabs>
          <w:tab w:val="left" w:pos="800"/>
        </w:tabs>
        <w:bidi/>
        <w:spacing w:line="360" w:lineRule="auto"/>
        <w:ind w:left="0"/>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 xml:space="preserve">המסקנה הנ"ל מתחזקת והופכת לחד משמעית בעקבות </w:t>
      </w:r>
      <w:r w:rsidRPr="00522D1B">
        <w:rPr>
          <w:rFonts w:ascii="Century" w:hAnsi="Century" w:cs="Miriam" w:hint="cs"/>
          <w:b/>
          <w:szCs w:val="24"/>
          <w:rtl/>
        </w:rPr>
        <w:t>הניתוח התכליתי</w:t>
      </w:r>
      <w:r>
        <w:rPr>
          <w:rFonts w:ascii="Century" w:hAnsi="Century" w:cs="FrankRuehl" w:hint="cs"/>
          <w:spacing w:val="10"/>
          <w:szCs w:val="28"/>
          <w:rtl/>
        </w:rPr>
        <w:t xml:space="preserve">, ואפתח בתכלית הסובייקטיבית. </w:t>
      </w:r>
    </w:p>
    <w:p w:rsidR="00090DE8" w:rsidRPr="00942B6D" w:rsidRDefault="00090DE8" w:rsidP="00090DE8">
      <w:pPr>
        <w:pStyle w:val="af0"/>
        <w:tabs>
          <w:tab w:val="left" w:pos="800"/>
        </w:tabs>
        <w:bidi/>
        <w:spacing w:line="360" w:lineRule="auto"/>
        <w:ind w:left="0"/>
        <w:jc w:val="both"/>
        <w:rPr>
          <w:rFonts w:ascii="Century" w:hAnsi="Century" w:cs="FrankRuehl"/>
          <w:spacing w:val="10"/>
          <w:szCs w:val="28"/>
          <w:rtl/>
        </w:rPr>
      </w:pPr>
    </w:p>
    <w:p w:rsidR="00090DE8" w:rsidRDefault="00090DE8" w:rsidP="00090DE8">
      <w:pPr>
        <w:pStyle w:val="af0"/>
        <w:tabs>
          <w:tab w:val="left" w:pos="800"/>
        </w:tabs>
        <w:bidi/>
        <w:spacing w:line="360" w:lineRule="auto"/>
        <w:ind w:left="0"/>
        <w:jc w:val="both"/>
        <w:rPr>
          <w:rFonts w:ascii="Century" w:hAnsi="Century" w:cs="Miriam"/>
          <w:b/>
          <w:szCs w:val="24"/>
          <w:rtl/>
        </w:rPr>
      </w:pPr>
      <w:r>
        <w:rPr>
          <w:rFonts w:ascii="Century" w:hAnsi="Century" w:cs="Miriam" w:hint="cs"/>
          <w:b/>
          <w:szCs w:val="24"/>
          <w:rtl/>
        </w:rPr>
        <w:t>התכלית הסובייקטיבית</w:t>
      </w:r>
    </w:p>
    <w:p w:rsidR="00090DE8" w:rsidRPr="00A256F1" w:rsidRDefault="00090DE8" w:rsidP="00090DE8">
      <w:pPr>
        <w:pStyle w:val="af0"/>
        <w:tabs>
          <w:tab w:val="left" w:pos="800"/>
        </w:tabs>
        <w:bidi/>
        <w:spacing w:line="360" w:lineRule="auto"/>
        <w:ind w:left="0"/>
        <w:jc w:val="both"/>
        <w:rPr>
          <w:rFonts w:ascii="Century" w:hAnsi="Century" w:cs="Miriam"/>
          <w:b/>
          <w:szCs w:val="24"/>
        </w:rPr>
      </w:pPr>
    </w:p>
    <w:p w:rsidR="00090DE8" w:rsidRDefault="00090DE8" w:rsidP="00090DE8">
      <w:pPr>
        <w:pStyle w:val="af0"/>
        <w:numPr>
          <w:ilvl w:val="0"/>
          <w:numId w:val="15"/>
        </w:numPr>
        <w:tabs>
          <w:tab w:val="left" w:pos="800"/>
        </w:tabs>
        <w:bidi/>
        <w:spacing w:line="360" w:lineRule="auto"/>
        <w:jc w:val="both"/>
        <w:rPr>
          <w:rFonts w:ascii="Century" w:hAnsi="Century" w:cs="FrankRuehl"/>
          <w:spacing w:val="10"/>
          <w:szCs w:val="28"/>
        </w:rPr>
      </w:pPr>
      <w:r>
        <w:rPr>
          <w:rFonts w:ascii="Century" w:hAnsi="Century" w:cs="FrankRuehl" w:hint="cs"/>
          <w:spacing w:val="10"/>
          <w:szCs w:val="28"/>
          <w:rtl/>
        </w:rPr>
        <w:t>ההיסטוריה החקיקתית, שהובילה להוספת המונח: "</w:t>
      </w:r>
      <w:r w:rsidRPr="00522D1B">
        <w:rPr>
          <w:rFonts w:ascii="Century" w:hAnsi="Century" w:cs="Miriam" w:hint="cs"/>
          <w:b/>
          <w:szCs w:val="24"/>
          <w:rtl/>
        </w:rPr>
        <w:t>המוכר</w:t>
      </w:r>
      <w:r>
        <w:rPr>
          <w:rFonts w:ascii="Century" w:hAnsi="Century" w:cs="FrankRuehl" w:hint="cs"/>
          <w:spacing w:val="10"/>
          <w:szCs w:val="28"/>
          <w:rtl/>
        </w:rPr>
        <w:t xml:space="preserve">" לסעיף זה מלמדת כי המונח הוכנס במסגרתו של </w:t>
      </w:r>
      <w:r>
        <w:rPr>
          <w:rFonts w:ascii="Century" w:hAnsi="Century" w:cs="Miriam" w:hint="cs"/>
          <w:b/>
          <w:szCs w:val="24"/>
          <w:rtl/>
        </w:rPr>
        <w:t>חוק מס שבח מקרקעין</w:t>
      </w:r>
      <w:r>
        <w:rPr>
          <w:rFonts w:ascii="Century" w:hAnsi="Century" w:cs="FrankRuehl" w:hint="cs"/>
          <w:spacing w:val="10"/>
          <w:szCs w:val="28"/>
          <w:rtl/>
        </w:rPr>
        <w:t xml:space="preserve"> </w:t>
      </w:r>
      <w:r>
        <w:rPr>
          <w:rFonts w:ascii="Century" w:hAnsi="Century" w:cs="Miriam" w:hint="cs"/>
          <w:b/>
          <w:szCs w:val="24"/>
          <w:rtl/>
        </w:rPr>
        <w:t>(תיקון מס' 42), התשנ"ח-1998, ס"ח 1648</w:t>
      </w:r>
      <w:r>
        <w:rPr>
          <w:rFonts w:ascii="Century" w:hAnsi="Century" w:cs="FrankRuehl" w:hint="cs"/>
          <w:spacing w:val="10"/>
          <w:szCs w:val="28"/>
          <w:rtl/>
        </w:rPr>
        <w:t xml:space="preserve"> (להלן </w:t>
      </w:r>
      <w:r>
        <w:rPr>
          <w:rFonts w:ascii="Century" w:hAnsi="Century" w:cs="FrankRuehl"/>
          <w:spacing w:val="10"/>
          <w:szCs w:val="28"/>
          <w:rtl/>
        </w:rPr>
        <w:t>–</w:t>
      </w:r>
      <w:r>
        <w:rPr>
          <w:rFonts w:ascii="Century" w:hAnsi="Century" w:cs="FrankRuehl" w:hint="cs"/>
          <w:spacing w:val="10"/>
          <w:szCs w:val="28"/>
          <w:rtl/>
        </w:rPr>
        <w:t xml:space="preserve"> </w:t>
      </w:r>
      <w:r>
        <w:rPr>
          <w:rFonts w:ascii="Century" w:hAnsi="Century" w:cs="Miriam" w:hint="cs"/>
          <w:b/>
          <w:szCs w:val="24"/>
          <w:rtl/>
        </w:rPr>
        <w:t>תיקון 42 לחוק</w:t>
      </w:r>
      <w:r>
        <w:rPr>
          <w:rFonts w:ascii="Century" w:hAnsi="Century" w:cs="FrankRuehl" w:hint="cs"/>
          <w:spacing w:val="10"/>
          <w:szCs w:val="28"/>
          <w:rtl/>
        </w:rPr>
        <w:t xml:space="preserve">). בהצעת החוק, שהובילה לתיקון זה </w:t>
      </w:r>
      <w:r>
        <w:rPr>
          <w:rFonts w:ascii="Century" w:hAnsi="Century" w:cs="FrankRuehl"/>
          <w:spacing w:val="10"/>
          <w:szCs w:val="28"/>
          <w:rtl/>
        </w:rPr>
        <w:t>–</w:t>
      </w:r>
      <w:r>
        <w:rPr>
          <w:rFonts w:ascii="Century" w:hAnsi="Century" w:cs="FrankRuehl" w:hint="cs"/>
          <w:spacing w:val="10"/>
          <w:szCs w:val="28"/>
          <w:rtl/>
        </w:rPr>
        <w:t xml:space="preserve"> לא הייתה כל התייחסות למונח: "</w:t>
      </w:r>
      <w:r w:rsidRPr="00D56271">
        <w:rPr>
          <w:rFonts w:ascii="Century" w:hAnsi="Century" w:cs="Miriam" w:hint="cs"/>
          <w:b/>
          <w:szCs w:val="24"/>
          <w:rtl/>
        </w:rPr>
        <w:t>מוכר</w:t>
      </w:r>
      <w:r>
        <w:rPr>
          <w:rFonts w:ascii="Century" w:hAnsi="Century" w:cs="FrankRuehl" w:hint="cs"/>
          <w:spacing w:val="10"/>
          <w:szCs w:val="28"/>
          <w:rtl/>
        </w:rPr>
        <w:t xml:space="preserve">" (הצעת חוק מס שבח מקרקעין (תיקון מס' 44), התשנ"ז-1997 </w:t>
      </w:r>
      <w:proofErr w:type="spellStart"/>
      <w:r>
        <w:rPr>
          <w:rFonts w:ascii="Century" w:hAnsi="Century" w:cs="FrankRuehl" w:hint="cs"/>
          <w:spacing w:val="10"/>
          <w:szCs w:val="28"/>
          <w:rtl/>
        </w:rPr>
        <w:lastRenderedPageBreak/>
        <w:t>ה"ח</w:t>
      </w:r>
      <w:proofErr w:type="spellEnd"/>
      <w:r>
        <w:rPr>
          <w:rFonts w:ascii="Century" w:hAnsi="Century" w:cs="FrankRuehl" w:hint="cs"/>
          <w:spacing w:val="10"/>
          <w:szCs w:val="28"/>
          <w:rtl/>
        </w:rPr>
        <w:t xml:space="preserve"> 2611, 314-312 (להלן </w:t>
      </w:r>
      <w:r>
        <w:rPr>
          <w:rFonts w:ascii="Century" w:hAnsi="Century" w:cs="FrankRuehl"/>
          <w:spacing w:val="10"/>
          <w:szCs w:val="28"/>
          <w:rtl/>
        </w:rPr>
        <w:t>–</w:t>
      </w:r>
      <w:r>
        <w:rPr>
          <w:rFonts w:ascii="Century" w:hAnsi="Century" w:cs="FrankRuehl" w:hint="cs"/>
          <w:spacing w:val="10"/>
          <w:szCs w:val="28"/>
          <w:rtl/>
        </w:rPr>
        <w:t xml:space="preserve"> </w:t>
      </w:r>
      <w:r w:rsidRPr="00A256F1">
        <w:rPr>
          <w:rFonts w:ascii="Century" w:hAnsi="Century" w:cs="Miriam" w:hint="cs"/>
          <w:b/>
          <w:szCs w:val="24"/>
          <w:rtl/>
        </w:rPr>
        <w:t>הצעת חוק לתיקון 42</w:t>
      </w:r>
      <w:r>
        <w:rPr>
          <w:rFonts w:ascii="Century" w:hAnsi="Century" w:cs="FrankRuehl" w:hint="cs"/>
          <w:spacing w:val="10"/>
          <w:szCs w:val="28"/>
          <w:rtl/>
        </w:rPr>
        <w:t xml:space="preserve">). המונח שנוסף </w:t>
      </w:r>
      <w:r w:rsidRPr="00A256F1">
        <w:rPr>
          <w:rFonts w:ascii="Century" w:hAnsi="Century" w:cs="Miriam" w:hint="cs"/>
          <w:b/>
          <w:szCs w:val="24"/>
          <w:rtl/>
        </w:rPr>
        <w:t>בתיקון 42</w:t>
      </w:r>
      <w:r>
        <w:rPr>
          <w:rFonts w:ascii="Century" w:hAnsi="Century" w:cs="FrankRuehl" w:hint="cs"/>
          <w:spacing w:val="10"/>
          <w:szCs w:val="28"/>
          <w:rtl/>
        </w:rPr>
        <w:t xml:space="preserve">, מקורו בהסתייגות של חברי הכנסת: </w:t>
      </w:r>
      <w:r w:rsidRPr="00A256F1">
        <w:rPr>
          <w:rFonts w:ascii="Century" w:hAnsi="Century" w:cs="Miriam" w:hint="cs"/>
          <w:b/>
          <w:szCs w:val="24"/>
          <w:rtl/>
        </w:rPr>
        <w:t>מאיר שטרית ואברהם שוחט</w:t>
      </w:r>
      <w:r>
        <w:rPr>
          <w:rFonts w:ascii="Century" w:hAnsi="Century" w:cs="FrankRuehl" w:hint="cs"/>
          <w:spacing w:val="10"/>
          <w:szCs w:val="28"/>
          <w:rtl/>
        </w:rPr>
        <w:t xml:space="preserve"> בוועדת הכספים, שביקשו</w:t>
      </w:r>
      <w:r>
        <w:rPr>
          <w:rFonts w:ascii="Century" w:hAnsi="Century" w:cs="Miriam" w:hint="cs"/>
          <w:b/>
          <w:szCs w:val="24"/>
          <w:rtl/>
        </w:rPr>
        <w:t xml:space="preserve"> לבטל את הפריסה ליחידים תושבי חוץ</w:t>
      </w:r>
      <w:r>
        <w:rPr>
          <w:rFonts w:ascii="Century" w:hAnsi="Century" w:cs="FrankRuehl" w:hint="cs"/>
          <w:spacing w:val="10"/>
          <w:szCs w:val="28"/>
          <w:rtl/>
        </w:rPr>
        <w:t xml:space="preserve">, שלרוב אין להם הכנסות בישראל בשנות הפריסה ובאמצעות מנגנון זה יכולים היו ליהנות משיעור מס מופחת (פרוטוקול ישיבה מס' 195 של ועדת הכספים, הכנסת ה-14, 14-11 (01.12.1997) (להלן: פרוטוקול 195)). היטיב לתאר את מהותה של ההסתייגות חבר הכנסת </w:t>
      </w:r>
      <w:r w:rsidRPr="007356D7">
        <w:rPr>
          <w:rFonts w:ascii="Century" w:hAnsi="Century" w:cs="Miriam" w:hint="cs"/>
          <w:b/>
          <w:szCs w:val="24"/>
          <w:rtl/>
        </w:rPr>
        <w:t>ראובן ריבלין</w:t>
      </w:r>
      <w:r>
        <w:rPr>
          <w:rFonts w:ascii="Century" w:hAnsi="Century" w:cs="FrankRuehl" w:hint="cs"/>
          <w:spacing w:val="10"/>
          <w:szCs w:val="28"/>
          <w:rtl/>
        </w:rPr>
        <w:t xml:space="preserve">, במסגרת הדיון בכנסת בקריאה </w:t>
      </w:r>
      <w:proofErr w:type="spellStart"/>
      <w:r>
        <w:rPr>
          <w:rFonts w:ascii="Century" w:hAnsi="Century" w:cs="FrankRuehl" w:hint="cs"/>
          <w:spacing w:val="10"/>
          <w:szCs w:val="28"/>
          <w:rtl/>
        </w:rPr>
        <w:t>השניה</w:t>
      </w:r>
      <w:proofErr w:type="spellEnd"/>
      <w:r>
        <w:rPr>
          <w:rFonts w:ascii="Century" w:hAnsi="Century" w:cs="FrankRuehl" w:hint="cs"/>
          <w:spacing w:val="10"/>
          <w:szCs w:val="28"/>
          <w:rtl/>
        </w:rPr>
        <w:t xml:space="preserve"> וקריאה השלישית של </w:t>
      </w:r>
      <w:r w:rsidRPr="00D56271">
        <w:rPr>
          <w:rFonts w:ascii="Century" w:hAnsi="Century" w:cs="Miriam" w:hint="cs"/>
          <w:b/>
          <w:szCs w:val="24"/>
          <w:rtl/>
        </w:rPr>
        <w:t>הצעת החוק לתיקון 42</w:t>
      </w:r>
      <w:r>
        <w:rPr>
          <w:rFonts w:ascii="Century" w:hAnsi="Century" w:cs="FrankRuehl" w:hint="cs"/>
          <w:spacing w:val="10"/>
          <w:szCs w:val="28"/>
          <w:rtl/>
        </w:rPr>
        <w:t xml:space="preserve"> (ישיבה מס' 157, עמ' 27 (16.12.1997)):</w:t>
      </w:r>
    </w:p>
    <w:p w:rsidR="00090DE8" w:rsidRDefault="00090DE8" w:rsidP="00090DE8">
      <w:pPr>
        <w:pStyle w:val="Ruller5"/>
        <w:rPr>
          <w:rFonts w:ascii="Century" w:hAnsi="Century"/>
          <w:rtl/>
        </w:rPr>
      </w:pPr>
      <w:r w:rsidRPr="002B2756">
        <w:rPr>
          <w:rFonts w:ascii="Century" w:hAnsi="Century" w:hint="cs"/>
          <w:rtl/>
        </w:rPr>
        <w:t xml:space="preserve">"אדוני היושב ראש... </w:t>
      </w:r>
      <w:r w:rsidRPr="002B2756">
        <w:rPr>
          <w:rFonts w:ascii="Century" w:hAnsi="Century"/>
          <w:rtl/>
        </w:rPr>
        <w:t>פה שורת ההיגיון מחייבת, כי אני לא ביקשתי בתחילת</w:t>
      </w:r>
      <w:r w:rsidRPr="002B2756">
        <w:rPr>
          <w:rFonts w:ascii="Century" w:hAnsi="Century" w:hint="cs"/>
          <w:rtl/>
        </w:rPr>
        <w:t xml:space="preserve"> </w:t>
      </w:r>
      <w:r w:rsidRPr="002B2756">
        <w:rPr>
          <w:rFonts w:ascii="Century" w:hAnsi="Century"/>
          <w:rtl/>
        </w:rPr>
        <w:t>העניין להצטרף  להסתייגות של חבר הכנסת שטרית עד אשר הסביר לי את ההיגיון הצרוף.</w:t>
      </w:r>
      <w:r w:rsidRPr="002B2756">
        <w:rPr>
          <w:rFonts w:ascii="Century" w:hAnsi="Century" w:hint="cs"/>
          <w:rtl/>
        </w:rPr>
        <w:t xml:space="preserve"> אי</w:t>
      </w:r>
      <w:r w:rsidRPr="002B2756">
        <w:rPr>
          <w:rFonts w:ascii="Century" w:hAnsi="Century"/>
          <w:rtl/>
        </w:rPr>
        <w:t>ן אפשרות  אחרת  לקבל  את החוק בלי ההתנגדות של שטרית. ובמה דברים אמורים? הרי</w:t>
      </w:r>
      <w:r w:rsidRPr="002B2756">
        <w:rPr>
          <w:rFonts w:ascii="Century" w:hAnsi="Century" w:hint="cs"/>
          <w:rtl/>
        </w:rPr>
        <w:t xml:space="preserve"> </w:t>
      </w:r>
      <w:r w:rsidRPr="002B2756">
        <w:rPr>
          <w:rFonts w:ascii="Century" w:hAnsi="Century"/>
          <w:rtl/>
        </w:rPr>
        <w:t>מדובר על אזרח תושב זר, אזרח זר ותושב זר, שאינו משלם מס הכנסה בארץ, שאין לו תיק</w:t>
      </w:r>
      <w:r w:rsidRPr="002B2756">
        <w:rPr>
          <w:rFonts w:ascii="Century" w:hAnsi="Century" w:hint="cs"/>
          <w:rtl/>
        </w:rPr>
        <w:t xml:space="preserve"> </w:t>
      </w:r>
      <w:r w:rsidRPr="002B2756">
        <w:rPr>
          <w:rFonts w:ascii="Century" w:hAnsi="Century"/>
          <w:rtl/>
        </w:rPr>
        <w:t>מיסוי  בארץ;  הוא  יצטרך לעשות הפקדה בעין על מנת לשמר את הכספים שהוא צריך לשלם</w:t>
      </w:r>
      <w:r w:rsidRPr="002B2756">
        <w:rPr>
          <w:rFonts w:ascii="Century" w:hAnsi="Century" w:hint="cs"/>
          <w:rtl/>
        </w:rPr>
        <w:t xml:space="preserve"> </w:t>
      </w:r>
      <w:r w:rsidRPr="002B2756">
        <w:rPr>
          <w:rFonts w:ascii="Century" w:hAnsi="Century"/>
          <w:rtl/>
        </w:rPr>
        <w:t>בפריסה. אז מה הועילו חכמים בתקנתם?</w:t>
      </w:r>
      <w:r w:rsidRPr="002B2756">
        <w:rPr>
          <w:rFonts w:ascii="Century" w:hAnsi="Century" w:hint="cs"/>
          <w:rtl/>
        </w:rPr>
        <w:t xml:space="preserve"> </w:t>
      </w:r>
      <w:r w:rsidRPr="002B2756">
        <w:rPr>
          <w:rFonts w:ascii="Century" w:hAnsi="Century"/>
          <w:rtl/>
        </w:rPr>
        <w:t xml:space="preserve">    שורת  ההיגיון  אומרת, כמו  שהיה  בכל מקום בהשוואת דינים בחוץ</w:t>
      </w:r>
      <w:r w:rsidRPr="002B2756">
        <w:rPr>
          <w:rFonts w:ascii="Century" w:hAnsi="Century" w:hint="cs"/>
          <w:rtl/>
        </w:rPr>
        <w:t xml:space="preserve"> </w:t>
      </w:r>
      <w:r w:rsidRPr="002B2756">
        <w:rPr>
          <w:rFonts w:ascii="Century" w:hAnsi="Century"/>
          <w:rtl/>
        </w:rPr>
        <w:t xml:space="preserve">לארץ, </w:t>
      </w:r>
      <w:proofErr w:type="spellStart"/>
      <w:r w:rsidRPr="002B2756">
        <w:rPr>
          <w:rFonts w:ascii="Century" w:hAnsi="Century"/>
          <w:rtl/>
        </w:rPr>
        <w:t>שהיתה</w:t>
      </w:r>
      <w:proofErr w:type="spellEnd"/>
      <w:r w:rsidRPr="002B2756">
        <w:rPr>
          <w:rFonts w:ascii="Century" w:hAnsi="Century" w:hint="cs"/>
          <w:rtl/>
        </w:rPr>
        <w:t xml:space="preserve"> </w:t>
      </w:r>
      <w:r w:rsidRPr="002B2756">
        <w:rPr>
          <w:rFonts w:ascii="Century" w:hAnsi="Century"/>
          <w:rtl/>
        </w:rPr>
        <w:t>אומרת:   אזרח ישראלי ותושב ישראל שקנה רכוש בחוץ</w:t>
      </w:r>
      <w:r w:rsidRPr="002B2756">
        <w:rPr>
          <w:rFonts w:ascii="Century" w:hAnsi="Century" w:hint="cs"/>
          <w:rtl/>
        </w:rPr>
        <w:t xml:space="preserve"> </w:t>
      </w:r>
      <w:r w:rsidRPr="002B2756">
        <w:rPr>
          <w:rFonts w:ascii="Century" w:hAnsi="Century"/>
          <w:rtl/>
        </w:rPr>
        <w:t>לארץ ישלם את מלוא המס אם וכאשר</w:t>
      </w:r>
      <w:r w:rsidRPr="002B2756">
        <w:rPr>
          <w:rFonts w:ascii="Century" w:hAnsi="Century" w:hint="cs"/>
          <w:rtl/>
        </w:rPr>
        <w:t xml:space="preserve"> </w:t>
      </w:r>
      <w:r w:rsidRPr="002B2756">
        <w:rPr>
          <w:rFonts w:ascii="Century" w:hAnsi="Century"/>
          <w:rtl/>
        </w:rPr>
        <w:t>הוא צריך בו, ולא יפרסו לו אותו משום</w:t>
      </w:r>
      <w:r w:rsidRPr="002B2756">
        <w:rPr>
          <w:rFonts w:ascii="Century" w:hAnsi="Century" w:hint="cs"/>
          <w:rtl/>
        </w:rPr>
        <w:t>... שאין לו מקורות הכנסה".</w:t>
      </w:r>
    </w:p>
    <w:p w:rsidR="00090DE8" w:rsidRDefault="00090DE8" w:rsidP="00090DE8">
      <w:pPr>
        <w:pStyle w:val="Ruller5"/>
        <w:rPr>
          <w:rFonts w:ascii="Century" w:hAnsi="Century"/>
          <w:rtl/>
        </w:rPr>
      </w:pPr>
    </w:p>
    <w:p w:rsidR="00090DE8" w:rsidRDefault="00090DE8" w:rsidP="00090DE8">
      <w:pPr>
        <w:pStyle w:val="Ruller41"/>
        <w:rPr>
          <w:rFonts w:ascii="Century" w:hAnsi="Century"/>
          <w:rtl/>
        </w:rPr>
      </w:pPr>
      <w:r>
        <w:rPr>
          <w:rFonts w:ascii="Century" w:hAnsi="Century" w:hint="cs"/>
          <w:rtl/>
        </w:rPr>
        <w:t>כאמור ההסתייגות התקבלה ובעקבותיה הוסף המונח: "</w:t>
      </w:r>
      <w:r w:rsidRPr="007356D7">
        <w:rPr>
          <w:rFonts w:ascii="Century" w:hAnsi="Century" w:cs="Miriam" w:hint="cs"/>
          <w:b/>
          <w:spacing w:val="0"/>
          <w:szCs w:val="24"/>
          <w:rtl/>
        </w:rPr>
        <w:t>המוכר</w:t>
      </w:r>
      <w:r>
        <w:rPr>
          <w:rFonts w:ascii="Century" w:hAnsi="Century" w:hint="cs"/>
          <w:rtl/>
        </w:rPr>
        <w:t xml:space="preserve">" לסעיף. מההיסטוריה החקיקתית מתבהר </w:t>
      </w:r>
      <w:proofErr w:type="spellStart"/>
      <w:r>
        <w:rPr>
          <w:rFonts w:ascii="Century" w:hAnsi="Century" w:hint="cs"/>
          <w:rtl/>
        </w:rPr>
        <w:t>איפוא</w:t>
      </w:r>
      <w:proofErr w:type="spellEnd"/>
      <w:r>
        <w:rPr>
          <w:rFonts w:ascii="Century" w:hAnsi="Century" w:hint="cs"/>
          <w:rtl/>
        </w:rPr>
        <w:t xml:space="preserve"> כי המונח נועד (סובייקטיבית) לשלול מיחידים תושבי חוץ את האפשרות להחלת ההסדר על מי שאינו תושב ישראל, ולפיכך אין לקרוא לתוך המונח: "</w:t>
      </w:r>
      <w:r w:rsidRPr="007356D7">
        <w:rPr>
          <w:rFonts w:ascii="Century" w:hAnsi="Century" w:cs="Miriam" w:hint="cs"/>
          <w:b/>
          <w:spacing w:val="0"/>
          <w:szCs w:val="24"/>
          <w:rtl/>
        </w:rPr>
        <w:t>מוכר</w:t>
      </w:r>
      <w:r>
        <w:rPr>
          <w:rFonts w:ascii="Century" w:hAnsi="Century" w:hint="cs"/>
          <w:rtl/>
        </w:rPr>
        <w:t xml:space="preserve">" גם: חבר בני אדם. </w:t>
      </w:r>
    </w:p>
    <w:p w:rsidR="00090DE8" w:rsidRDefault="00090DE8" w:rsidP="00090DE8">
      <w:pPr>
        <w:pStyle w:val="Ruller41"/>
        <w:rPr>
          <w:rFonts w:ascii="Century" w:hAnsi="Century"/>
          <w:rtl/>
        </w:rPr>
      </w:pPr>
    </w:p>
    <w:p w:rsidR="00090DE8" w:rsidRDefault="00090DE8" w:rsidP="00090DE8">
      <w:pPr>
        <w:pStyle w:val="Ruller41"/>
        <w:rPr>
          <w:rFonts w:ascii="Century" w:hAnsi="Century"/>
          <w:rtl/>
        </w:rPr>
      </w:pPr>
      <w:r w:rsidRPr="00D56271">
        <w:rPr>
          <w:rFonts w:ascii="Century" w:hAnsi="Century" w:cs="Miriam" w:hint="cs"/>
          <w:b/>
          <w:spacing w:val="0"/>
          <w:szCs w:val="24"/>
          <w:rtl/>
        </w:rPr>
        <w:t>התכלית האובייקטיבית</w:t>
      </w:r>
      <w:r w:rsidRPr="00D56271">
        <w:rPr>
          <w:rFonts w:ascii="Century" w:hAnsi="Century" w:hint="cs"/>
          <w:rtl/>
        </w:rPr>
        <w:t xml:space="preserve"> </w:t>
      </w:r>
      <w:r>
        <w:rPr>
          <w:rFonts w:ascii="Century" w:hAnsi="Century" w:hint="cs"/>
          <w:rtl/>
        </w:rPr>
        <w:t xml:space="preserve">מובילה אף היא לאותה תוצאה, ועל כך מיד בסמוך. </w:t>
      </w:r>
    </w:p>
    <w:p w:rsidR="00090DE8" w:rsidRDefault="00090DE8" w:rsidP="00090DE8">
      <w:pPr>
        <w:pStyle w:val="Ruller41"/>
        <w:rPr>
          <w:rFonts w:ascii="Century" w:hAnsi="Century"/>
          <w:rtl/>
        </w:rPr>
      </w:pPr>
    </w:p>
    <w:p w:rsidR="00090DE8" w:rsidRPr="00F36826" w:rsidRDefault="00090DE8" w:rsidP="00090DE8">
      <w:pPr>
        <w:pStyle w:val="Ruller41"/>
        <w:rPr>
          <w:rFonts w:ascii="Century" w:hAnsi="Century" w:cs="Miriam"/>
          <w:b/>
          <w:rtl/>
        </w:rPr>
      </w:pPr>
      <w:r w:rsidRPr="003B3010">
        <w:rPr>
          <w:rFonts w:ascii="Century" w:hAnsi="Century" w:cs="Miriam" w:hint="eastAsia"/>
          <w:b/>
          <w:spacing w:val="0"/>
          <w:szCs w:val="24"/>
          <w:rtl/>
        </w:rPr>
        <w:t>התכלית</w:t>
      </w:r>
      <w:r w:rsidRPr="003B3010">
        <w:rPr>
          <w:rFonts w:ascii="Century" w:hAnsi="Century" w:cs="Miriam"/>
          <w:b/>
          <w:spacing w:val="0"/>
          <w:szCs w:val="24"/>
          <w:rtl/>
        </w:rPr>
        <w:t xml:space="preserve"> </w:t>
      </w:r>
      <w:r w:rsidRPr="003B3010">
        <w:rPr>
          <w:rFonts w:ascii="Century" w:hAnsi="Century" w:cs="Miriam" w:hint="eastAsia"/>
          <w:b/>
          <w:spacing w:val="0"/>
          <w:szCs w:val="24"/>
          <w:rtl/>
        </w:rPr>
        <w:t>האובייקטיבית</w:t>
      </w:r>
      <w:r>
        <w:rPr>
          <w:rFonts w:ascii="Century" w:hAnsi="Century" w:cs="Miriam" w:hint="cs"/>
          <w:b/>
          <w:rtl/>
        </w:rPr>
        <w:t xml:space="preserve"> </w:t>
      </w:r>
    </w:p>
    <w:p w:rsidR="00090DE8" w:rsidRPr="002B2756" w:rsidRDefault="00090DE8" w:rsidP="00090DE8">
      <w:pPr>
        <w:pStyle w:val="Ruller5"/>
        <w:rPr>
          <w:rFonts w:ascii="Century" w:hAnsi="Century"/>
        </w:rPr>
      </w:pPr>
    </w:p>
    <w:p w:rsidR="00090DE8" w:rsidRDefault="00090DE8" w:rsidP="00090DE8">
      <w:pPr>
        <w:pStyle w:val="af0"/>
        <w:numPr>
          <w:ilvl w:val="0"/>
          <w:numId w:val="15"/>
        </w:numPr>
        <w:tabs>
          <w:tab w:val="left" w:pos="800"/>
        </w:tabs>
        <w:bidi/>
        <w:spacing w:line="360" w:lineRule="auto"/>
        <w:jc w:val="both"/>
        <w:rPr>
          <w:rFonts w:ascii="Century" w:hAnsi="Century" w:cs="FrankRuehl"/>
          <w:spacing w:val="10"/>
          <w:szCs w:val="28"/>
        </w:rPr>
      </w:pPr>
      <w:r>
        <w:rPr>
          <w:rFonts w:ascii="Century" w:hAnsi="Century" w:cs="FrankRuehl" w:hint="cs"/>
          <w:spacing w:val="10"/>
          <w:szCs w:val="28"/>
          <w:rtl/>
        </w:rPr>
        <w:t>בהקשר ל</w:t>
      </w:r>
      <w:r w:rsidRPr="007356D7">
        <w:rPr>
          <w:rFonts w:ascii="Century" w:hAnsi="Century" w:cs="Miriam" w:hint="cs"/>
          <w:b/>
          <w:szCs w:val="24"/>
          <w:rtl/>
        </w:rPr>
        <w:t>תכלית האובייקטיבית</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אני מסכים לעמדת חברי, השופט </w:t>
      </w:r>
      <w:r>
        <w:rPr>
          <w:rFonts w:ascii="Century" w:hAnsi="Century" w:cs="Miriam" w:hint="cs"/>
          <w:b/>
          <w:szCs w:val="24"/>
          <w:rtl/>
        </w:rPr>
        <w:t>א' שטיין</w:t>
      </w:r>
      <w:r>
        <w:rPr>
          <w:rFonts w:ascii="Century" w:hAnsi="Century" w:cs="FrankRuehl" w:hint="cs"/>
          <w:spacing w:val="10"/>
          <w:szCs w:val="28"/>
          <w:rtl/>
        </w:rPr>
        <w:t xml:space="preserve">, בכל מה שנוגע למיתון "אפקט הדחיסה" באמצעות "מנגנון הפריסה", ובמיוחד לאור קיומן של נקודות הזיכוי; יחד עם זאת נוכח </w:t>
      </w:r>
      <w:r w:rsidRPr="00D56271">
        <w:rPr>
          <w:rFonts w:ascii="Century" w:hAnsi="Century" w:cs="FrankRuehl" w:hint="cs"/>
          <w:b/>
          <w:bCs/>
          <w:spacing w:val="10"/>
          <w:szCs w:val="28"/>
          <w:rtl/>
        </w:rPr>
        <w:t xml:space="preserve">שינויים </w:t>
      </w:r>
      <w:proofErr w:type="spellStart"/>
      <w:r w:rsidRPr="00D56271">
        <w:rPr>
          <w:rFonts w:ascii="Century" w:hAnsi="Century" w:cs="FrankRuehl" w:hint="cs"/>
          <w:b/>
          <w:bCs/>
          <w:spacing w:val="10"/>
          <w:szCs w:val="28"/>
          <w:rtl/>
        </w:rPr>
        <w:t>מסויימים</w:t>
      </w:r>
      <w:proofErr w:type="spellEnd"/>
      <w:r>
        <w:rPr>
          <w:rFonts w:ascii="Century" w:hAnsi="Century" w:cs="FrankRuehl" w:hint="cs"/>
          <w:spacing w:val="10"/>
          <w:szCs w:val="28"/>
          <w:rtl/>
        </w:rPr>
        <w:t xml:space="preserve"> בניסוח של סעיף 91 (ה) ל</w:t>
      </w:r>
      <w:r w:rsidRPr="003B3010">
        <w:rPr>
          <w:rFonts w:ascii="Century" w:hAnsi="Century" w:cs="Miriam" w:hint="cs"/>
          <w:b/>
          <w:szCs w:val="24"/>
          <w:rtl/>
        </w:rPr>
        <w:t>פקודה</w:t>
      </w:r>
      <w:r>
        <w:rPr>
          <w:rFonts w:ascii="Century" w:hAnsi="Century" w:cs="FrankRuehl" w:hint="cs"/>
          <w:spacing w:val="10"/>
          <w:szCs w:val="28"/>
          <w:rtl/>
        </w:rPr>
        <w:t>, בהשוואה לזה של סעיף 48א ל</w:t>
      </w:r>
      <w:r>
        <w:rPr>
          <w:rFonts w:ascii="Century" w:hAnsi="Century" w:cs="Miriam" w:hint="cs"/>
          <w:b/>
          <w:szCs w:val="24"/>
          <w:rtl/>
        </w:rPr>
        <w:t>חוק</w:t>
      </w:r>
      <w:r>
        <w:rPr>
          <w:rFonts w:ascii="Century" w:hAnsi="Century" w:cs="FrankRuehl" w:hint="cs"/>
          <w:spacing w:val="10"/>
          <w:szCs w:val="28"/>
          <w:rtl/>
        </w:rPr>
        <w:t>, שיכולה להיות להם משמעות פרשנית דווקא לטובת הנישומים (סעיף 91 (ב) ל</w:t>
      </w:r>
      <w:r>
        <w:rPr>
          <w:rFonts w:ascii="Century" w:hAnsi="Century" w:cs="Miriam" w:hint="cs"/>
          <w:b/>
          <w:szCs w:val="24"/>
          <w:rtl/>
        </w:rPr>
        <w:t>פקודה</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 </w:t>
      </w:r>
      <w:r w:rsidRPr="007356D7">
        <w:rPr>
          <w:rFonts w:ascii="Century" w:hAnsi="Century" w:cs="FrankRuehl" w:hint="cs"/>
          <w:b/>
          <w:bCs/>
          <w:spacing w:val="10"/>
          <w:szCs w:val="28"/>
          <w:rtl/>
        </w:rPr>
        <w:t>איננו</w:t>
      </w:r>
      <w:r>
        <w:rPr>
          <w:rFonts w:ascii="Century" w:hAnsi="Century" w:cs="FrankRuehl" w:hint="cs"/>
          <w:spacing w:val="10"/>
          <w:szCs w:val="28"/>
          <w:rtl/>
        </w:rPr>
        <w:t xml:space="preserve"> כולל פיסקה הדומה לזו המופיעה בסעיף 48א (ה)(1)(ב) ל</w:t>
      </w:r>
      <w:r>
        <w:rPr>
          <w:rFonts w:ascii="Century" w:hAnsi="Century" w:cs="Miriam" w:hint="cs"/>
          <w:b/>
          <w:szCs w:val="24"/>
          <w:rtl/>
        </w:rPr>
        <w:t>חוק מס שבח</w:t>
      </w:r>
      <w:r>
        <w:rPr>
          <w:rFonts w:ascii="Century" w:hAnsi="Century" w:cs="FrankRuehl" w:hint="cs"/>
          <w:spacing w:val="10"/>
          <w:szCs w:val="28"/>
          <w:rtl/>
        </w:rPr>
        <w:t xml:space="preserve">, </w:t>
      </w:r>
      <w:r w:rsidRPr="006C6FE1">
        <w:rPr>
          <w:rFonts w:ascii="Century" w:hAnsi="Century" w:cs="FrankRuehl" w:hint="cs"/>
          <w:spacing w:val="10"/>
          <w:szCs w:val="28"/>
          <w:rtl/>
        </w:rPr>
        <w:t>שגם עליו מתבסס חברי בחוות דעתו</w:t>
      </w:r>
      <w:r>
        <w:rPr>
          <w:rFonts w:ascii="Century" w:hAnsi="Century" w:cs="FrankRuehl" w:hint="cs"/>
          <w:spacing w:val="10"/>
          <w:szCs w:val="28"/>
          <w:rtl/>
        </w:rPr>
        <w:t xml:space="preserve">, תוך הקבלתו לסעיף 91(ה) </w:t>
      </w:r>
      <w:r w:rsidRPr="007356D7">
        <w:rPr>
          <w:rFonts w:ascii="Century" w:hAnsi="Century" w:cs="Miriam" w:hint="cs"/>
          <w:b/>
          <w:szCs w:val="24"/>
          <w:rtl/>
        </w:rPr>
        <w:t>לפקודה</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cs"/>
          <w:spacing w:val="10"/>
          <w:szCs w:val="28"/>
          <w:rtl/>
        </w:rPr>
        <w:t xml:space="preserve">אני  מציע לחברתי הנשיאה ולחברי שלא נקבע פה מסמרות בסוגיית </w:t>
      </w:r>
      <w:r>
        <w:rPr>
          <w:rFonts w:ascii="Century" w:hAnsi="Century" w:cs="FrankRuehl" w:hint="cs"/>
          <w:spacing w:val="10"/>
          <w:szCs w:val="28"/>
          <w:rtl/>
        </w:rPr>
        <w:lastRenderedPageBreak/>
        <w:t xml:space="preserve">פרשנותו ותחולתו של סעיף 91 (ה) </w:t>
      </w:r>
      <w:r w:rsidRPr="007356D7">
        <w:rPr>
          <w:rFonts w:ascii="Century" w:hAnsi="Century" w:cs="Miriam" w:hint="cs"/>
          <w:b/>
          <w:szCs w:val="24"/>
          <w:rtl/>
        </w:rPr>
        <w:t>לפקודה</w:t>
      </w:r>
      <w:r>
        <w:rPr>
          <w:rFonts w:ascii="Century" w:hAnsi="Century" w:cs="FrankRuehl" w:hint="cs"/>
          <w:spacing w:val="10"/>
          <w:szCs w:val="28"/>
          <w:rtl/>
        </w:rPr>
        <w:t xml:space="preserve"> ונשאיר זאת לעת </w:t>
      </w:r>
      <w:proofErr w:type="spellStart"/>
      <w:r>
        <w:rPr>
          <w:rFonts w:ascii="Century" w:hAnsi="Century" w:cs="FrankRuehl" w:hint="cs"/>
          <w:spacing w:val="10"/>
          <w:szCs w:val="28"/>
          <w:rtl/>
        </w:rPr>
        <w:t>מצוא</w:t>
      </w:r>
      <w:proofErr w:type="spellEnd"/>
      <w:r>
        <w:rPr>
          <w:rFonts w:ascii="Century" w:hAnsi="Century" w:cs="FrankRuehl" w:hint="cs"/>
          <w:spacing w:val="10"/>
          <w:szCs w:val="28"/>
          <w:rtl/>
        </w:rPr>
        <w:t xml:space="preserve">, כאשר הנושא יעלה בפנינו במישרין. </w:t>
      </w:r>
    </w:p>
    <w:p w:rsidR="00090DE8" w:rsidRDefault="00090DE8" w:rsidP="00090DE8">
      <w:pPr>
        <w:pStyle w:val="af0"/>
        <w:tabs>
          <w:tab w:val="left" w:pos="800"/>
        </w:tabs>
        <w:bidi/>
        <w:spacing w:line="360" w:lineRule="auto"/>
        <w:ind w:left="0"/>
        <w:jc w:val="both"/>
        <w:rPr>
          <w:rFonts w:ascii="Century" w:hAnsi="Century" w:cs="FrankRuehl"/>
          <w:spacing w:val="10"/>
          <w:szCs w:val="28"/>
        </w:rPr>
      </w:pPr>
    </w:p>
    <w:p w:rsidR="00090DE8" w:rsidRDefault="00090DE8" w:rsidP="00090DE8">
      <w:pPr>
        <w:tabs>
          <w:tab w:val="left" w:pos="800"/>
        </w:tabs>
        <w:spacing w:line="360" w:lineRule="auto"/>
        <w:jc w:val="both"/>
        <w:rPr>
          <w:rFonts w:ascii="Century" w:hAnsi="Century" w:cs="Miriam"/>
          <w:b/>
          <w:sz w:val="22"/>
          <w:rtl/>
        </w:rPr>
      </w:pPr>
      <w:r w:rsidRPr="006C6FE1">
        <w:rPr>
          <w:rFonts w:ascii="Century" w:hAnsi="Century" w:cs="Miriam" w:hint="cs"/>
          <w:b/>
          <w:sz w:val="22"/>
          <w:rtl/>
        </w:rPr>
        <w:t>סיכום</w:t>
      </w:r>
    </w:p>
    <w:p w:rsidR="00090DE8" w:rsidRDefault="00090DE8" w:rsidP="00090DE8">
      <w:pPr>
        <w:tabs>
          <w:tab w:val="left" w:pos="800"/>
        </w:tabs>
        <w:spacing w:line="360" w:lineRule="auto"/>
        <w:jc w:val="both"/>
        <w:rPr>
          <w:rFonts w:ascii="Century" w:hAnsi="Century" w:cs="Miriam"/>
          <w:b/>
          <w:sz w:val="22"/>
          <w:rtl/>
        </w:rPr>
      </w:pPr>
    </w:p>
    <w:p w:rsidR="00090DE8" w:rsidRPr="006C6FE1" w:rsidRDefault="00090DE8" w:rsidP="00090DE8">
      <w:pPr>
        <w:pStyle w:val="af0"/>
        <w:numPr>
          <w:ilvl w:val="0"/>
          <w:numId w:val="15"/>
        </w:numPr>
        <w:tabs>
          <w:tab w:val="left" w:pos="800"/>
        </w:tabs>
        <w:bidi/>
        <w:spacing w:line="360" w:lineRule="auto"/>
        <w:jc w:val="both"/>
        <w:rPr>
          <w:rFonts w:ascii="Century" w:hAnsi="Century" w:cs="FrankRuehl"/>
          <w:spacing w:val="10"/>
          <w:szCs w:val="28"/>
          <w:rtl/>
        </w:rPr>
      </w:pPr>
      <w:r w:rsidRPr="006C6FE1">
        <w:rPr>
          <w:rFonts w:ascii="Century" w:hAnsi="Century" w:cs="FrankRuehl" w:hint="cs"/>
          <w:spacing w:val="10"/>
          <w:szCs w:val="28"/>
          <w:rtl/>
        </w:rPr>
        <w:t>מסתבר</w:t>
      </w:r>
      <w:r>
        <w:rPr>
          <w:rFonts w:ascii="Century" w:hAnsi="Century" w:cs="FrankRuehl" w:hint="cs"/>
          <w:spacing w:val="10"/>
          <w:szCs w:val="28"/>
          <w:rtl/>
        </w:rPr>
        <w:t xml:space="preserve"> שגם</w:t>
      </w:r>
      <w:r w:rsidRPr="006C6FE1">
        <w:rPr>
          <w:rFonts w:ascii="Century" w:hAnsi="Century" w:cs="FrankRuehl"/>
          <w:spacing w:val="10"/>
          <w:szCs w:val="28"/>
          <w:rtl/>
        </w:rPr>
        <w:t xml:space="preserve"> </w:t>
      </w:r>
      <w:r w:rsidRPr="006C6FE1">
        <w:rPr>
          <w:rFonts w:ascii="Century" w:hAnsi="Century" w:cs="FrankRuehl" w:hint="cs"/>
          <w:spacing w:val="10"/>
          <w:szCs w:val="28"/>
          <w:rtl/>
        </w:rPr>
        <w:t>ללא</w:t>
      </w:r>
      <w:r w:rsidRPr="006C6FE1">
        <w:rPr>
          <w:rFonts w:ascii="Century" w:hAnsi="Century" w:cs="FrankRuehl"/>
          <w:spacing w:val="10"/>
          <w:szCs w:val="28"/>
          <w:rtl/>
        </w:rPr>
        <w:t xml:space="preserve"> </w:t>
      </w:r>
      <w:r w:rsidRPr="006C6FE1">
        <w:rPr>
          <w:rFonts w:ascii="Century" w:hAnsi="Century" w:cs="FrankRuehl" w:hint="cs"/>
          <w:spacing w:val="10"/>
          <w:szCs w:val="28"/>
          <w:rtl/>
        </w:rPr>
        <w:t>אימוץ</w:t>
      </w:r>
      <w:r w:rsidRPr="006C6FE1">
        <w:rPr>
          <w:rFonts w:ascii="Century" w:hAnsi="Century" w:cs="FrankRuehl"/>
          <w:spacing w:val="10"/>
          <w:szCs w:val="28"/>
          <w:rtl/>
        </w:rPr>
        <w:t xml:space="preserve"> </w:t>
      </w:r>
      <w:r w:rsidRPr="006C6FE1">
        <w:rPr>
          <w:rFonts w:ascii="Century" w:hAnsi="Century" w:cs="Miriam" w:hint="cs"/>
          <w:b/>
          <w:szCs w:val="24"/>
          <w:rtl/>
        </w:rPr>
        <w:t>כלל</w:t>
      </w:r>
      <w:r w:rsidRPr="006C6FE1">
        <w:rPr>
          <w:rFonts w:ascii="Century" w:hAnsi="Century" w:cs="Miriam"/>
          <w:b/>
          <w:szCs w:val="24"/>
          <w:rtl/>
        </w:rPr>
        <w:t xml:space="preserve"> </w:t>
      </w:r>
      <w:r w:rsidRPr="006C6FE1">
        <w:rPr>
          <w:rFonts w:ascii="Century" w:hAnsi="Century" w:cs="Miriam" w:hint="cs"/>
          <w:b/>
          <w:szCs w:val="24"/>
          <w:rtl/>
        </w:rPr>
        <w:t>הפרשנות</w:t>
      </w:r>
      <w:r w:rsidRPr="006C6FE1">
        <w:rPr>
          <w:rFonts w:ascii="Century" w:hAnsi="Century" w:cs="Miriam"/>
          <w:b/>
          <w:szCs w:val="24"/>
          <w:rtl/>
        </w:rPr>
        <w:t xml:space="preserve"> </w:t>
      </w:r>
      <w:r w:rsidRPr="009669A2">
        <w:rPr>
          <w:rFonts w:ascii="Century" w:hAnsi="Century" w:cs="Miriam" w:hint="cs"/>
          <w:bCs/>
          <w:szCs w:val="24"/>
          <w:rtl/>
        </w:rPr>
        <w:t>הרב</w:t>
      </w:r>
      <w:r>
        <w:rPr>
          <w:rFonts w:ascii="Century" w:hAnsi="Century" w:cs="Miriam" w:hint="cs"/>
          <w:b/>
          <w:szCs w:val="24"/>
          <w:rtl/>
        </w:rPr>
        <w:t xml:space="preserve"> תכליתי</w:t>
      </w:r>
      <w:r w:rsidRPr="006C6FE1">
        <w:rPr>
          <w:rFonts w:ascii="Century" w:hAnsi="Century" w:cs="FrankRuehl" w:hint="cs"/>
          <w:spacing w:val="10"/>
          <w:szCs w:val="28"/>
          <w:rtl/>
        </w:rPr>
        <w:t>, המוצע</w:t>
      </w:r>
      <w:r w:rsidRPr="006C6FE1">
        <w:rPr>
          <w:rFonts w:ascii="Century" w:hAnsi="Century" w:cs="FrankRuehl"/>
          <w:spacing w:val="10"/>
          <w:szCs w:val="28"/>
          <w:rtl/>
        </w:rPr>
        <w:t xml:space="preserve"> </w:t>
      </w:r>
      <w:r w:rsidRPr="006C6FE1">
        <w:rPr>
          <w:rFonts w:ascii="Century" w:hAnsi="Century" w:cs="FrankRuehl" w:hint="cs"/>
          <w:spacing w:val="10"/>
          <w:szCs w:val="28"/>
          <w:rtl/>
        </w:rPr>
        <w:t>ע</w:t>
      </w:r>
      <w:r w:rsidRPr="006C6FE1">
        <w:rPr>
          <w:rFonts w:ascii="Century" w:hAnsi="Century" w:cs="FrankRuehl"/>
          <w:spacing w:val="10"/>
          <w:szCs w:val="28"/>
          <w:rtl/>
        </w:rPr>
        <w:t>"</w:t>
      </w:r>
      <w:r w:rsidRPr="006C6FE1">
        <w:rPr>
          <w:rFonts w:ascii="Century" w:hAnsi="Century" w:cs="FrankRuehl" w:hint="cs"/>
          <w:spacing w:val="10"/>
          <w:szCs w:val="28"/>
          <w:rtl/>
        </w:rPr>
        <w:t>י</w:t>
      </w:r>
      <w:r w:rsidRPr="006C6FE1">
        <w:rPr>
          <w:rFonts w:ascii="Century" w:hAnsi="Century" w:cs="FrankRuehl"/>
          <w:spacing w:val="10"/>
          <w:szCs w:val="28"/>
          <w:rtl/>
        </w:rPr>
        <w:t xml:space="preserve"> </w:t>
      </w:r>
      <w:r w:rsidRPr="006C6FE1">
        <w:rPr>
          <w:rFonts w:ascii="Century" w:hAnsi="Century" w:cs="FrankRuehl" w:hint="cs"/>
          <w:spacing w:val="10"/>
          <w:szCs w:val="28"/>
          <w:rtl/>
        </w:rPr>
        <w:t>חברי</w:t>
      </w:r>
      <w:r w:rsidRPr="006C6FE1">
        <w:rPr>
          <w:rFonts w:ascii="Century" w:hAnsi="Century" w:cs="FrankRuehl"/>
          <w:spacing w:val="10"/>
          <w:szCs w:val="28"/>
          <w:rtl/>
        </w:rPr>
        <w:t xml:space="preserve"> </w:t>
      </w:r>
      <w:r w:rsidRPr="006C6FE1">
        <w:rPr>
          <w:rFonts w:ascii="Century" w:hAnsi="Century" w:cs="FrankRuehl" w:hint="cs"/>
          <w:spacing w:val="10"/>
          <w:szCs w:val="28"/>
          <w:rtl/>
        </w:rPr>
        <w:t>והשארת</w:t>
      </w:r>
      <w:r w:rsidRPr="006C6FE1">
        <w:rPr>
          <w:rFonts w:ascii="Century" w:hAnsi="Century" w:cs="FrankRuehl"/>
          <w:spacing w:val="10"/>
          <w:szCs w:val="28"/>
          <w:rtl/>
        </w:rPr>
        <w:t xml:space="preserve"> </w:t>
      </w:r>
      <w:r w:rsidRPr="006C6FE1">
        <w:rPr>
          <w:rFonts w:ascii="Century" w:hAnsi="Century" w:cs="Miriam" w:hint="cs"/>
          <w:b/>
          <w:szCs w:val="24"/>
          <w:rtl/>
        </w:rPr>
        <w:t>תורת</w:t>
      </w:r>
      <w:r w:rsidRPr="006C6FE1">
        <w:rPr>
          <w:rFonts w:ascii="Century" w:hAnsi="Century" w:cs="Miriam"/>
          <w:b/>
          <w:szCs w:val="24"/>
          <w:rtl/>
        </w:rPr>
        <w:t xml:space="preserve"> </w:t>
      </w:r>
      <w:r w:rsidRPr="006C6FE1">
        <w:rPr>
          <w:rFonts w:ascii="Century" w:hAnsi="Century" w:cs="Miriam" w:hint="cs"/>
          <w:b/>
          <w:szCs w:val="24"/>
          <w:rtl/>
        </w:rPr>
        <w:t>הפרשנות</w:t>
      </w:r>
      <w:r w:rsidRPr="006C6FE1">
        <w:rPr>
          <w:rFonts w:ascii="Century" w:hAnsi="Century" w:cs="Miriam"/>
          <w:b/>
          <w:szCs w:val="24"/>
          <w:rtl/>
        </w:rPr>
        <w:t xml:space="preserve"> </w:t>
      </w:r>
      <w:r w:rsidRPr="006C6FE1">
        <w:rPr>
          <w:rFonts w:ascii="Century" w:hAnsi="Century" w:cs="Miriam" w:hint="cs"/>
          <w:b/>
          <w:szCs w:val="24"/>
          <w:rtl/>
        </w:rPr>
        <w:t>התכליתית</w:t>
      </w:r>
      <w:r w:rsidRPr="006C6FE1">
        <w:rPr>
          <w:rFonts w:ascii="Century" w:hAnsi="Century" w:cs="FrankRuehl"/>
          <w:spacing w:val="10"/>
          <w:szCs w:val="28"/>
          <w:rtl/>
        </w:rPr>
        <w:t xml:space="preserve"> (</w:t>
      </w:r>
      <w:r w:rsidRPr="006C6FE1">
        <w:rPr>
          <w:rFonts w:ascii="Century" w:hAnsi="Century" w:cs="FrankRuehl" w:hint="cs"/>
          <w:spacing w:val="10"/>
          <w:szCs w:val="28"/>
          <w:rtl/>
        </w:rPr>
        <w:t>על</w:t>
      </w:r>
      <w:r w:rsidRPr="006C6FE1">
        <w:rPr>
          <w:rFonts w:ascii="Century" w:hAnsi="Century" w:cs="FrankRuehl"/>
          <w:spacing w:val="10"/>
          <w:szCs w:val="28"/>
          <w:rtl/>
        </w:rPr>
        <w:t xml:space="preserve"> </w:t>
      </w:r>
      <w:r w:rsidRPr="006C6FE1">
        <w:rPr>
          <w:rFonts w:ascii="Century" w:hAnsi="Century" w:cs="FrankRuehl" w:hint="cs"/>
          <w:spacing w:val="10"/>
          <w:szCs w:val="28"/>
          <w:rtl/>
        </w:rPr>
        <w:t>שני</w:t>
      </w:r>
      <w:r w:rsidRPr="006C6FE1">
        <w:rPr>
          <w:rFonts w:ascii="Century" w:hAnsi="Century" w:cs="FrankRuehl"/>
          <w:spacing w:val="10"/>
          <w:szCs w:val="28"/>
          <w:rtl/>
        </w:rPr>
        <w:t xml:space="preserve"> </w:t>
      </w:r>
      <w:r w:rsidRPr="006C6FE1">
        <w:rPr>
          <w:rFonts w:ascii="Century" w:hAnsi="Century" w:cs="FrankRuehl" w:hint="cs"/>
          <w:spacing w:val="10"/>
          <w:szCs w:val="28"/>
          <w:rtl/>
        </w:rPr>
        <w:t>שלביה</w:t>
      </w:r>
      <w:r w:rsidRPr="006C6FE1">
        <w:rPr>
          <w:rFonts w:ascii="Century" w:hAnsi="Century" w:cs="FrankRuehl"/>
          <w:spacing w:val="10"/>
          <w:szCs w:val="28"/>
          <w:rtl/>
        </w:rPr>
        <w:t>)</w:t>
      </w:r>
      <w:r>
        <w:rPr>
          <w:rFonts w:ascii="Century" w:hAnsi="Century" w:cs="FrankRuehl" w:hint="cs"/>
          <w:spacing w:val="10"/>
          <w:szCs w:val="28"/>
          <w:rtl/>
        </w:rPr>
        <w:t>, במתכונתה הקיימת,</w:t>
      </w:r>
      <w:r w:rsidRPr="004F1CDF">
        <w:rPr>
          <w:rFonts w:ascii="Century" w:hAnsi="Century" w:cs="FrankRuehl"/>
          <w:spacing w:val="10"/>
          <w:szCs w:val="28"/>
          <w:rtl/>
        </w:rPr>
        <w:t xml:space="preserve"> </w:t>
      </w:r>
      <w:r w:rsidRPr="004F1CDF">
        <w:rPr>
          <w:rFonts w:ascii="Century" w:hAnsi="Century" w:cs="FrankRuehl" w:hint="cs"/>
          <w:spacing w:val="10"/>
          <w:szCs w:val="28"/>
          <w:rtl/>
        </w:rPr>
        <w:t>על</w:t>
      </w:r>
      <w:r w:rsidRPr="004F1CDF">
        <w:rPr>
          <w:rFonts w:ascii="Century" w:hAnsi="Century" w:cs="FrankRuehl"/>
          <w:spacing w:val="10"/>
          <w:szCs w:val="28"/>
          <w:rtl/>
        </w:rPr>
        <w:t xml:space="preserve"> </w:t>
      </w:r>
      <w:r w:rsidRPr="004F1CDF">
        <w:rPr>
          <w:rFonts w:ascii="Century" w:hAnsi="Century" w:cs="FrankRuehl" w:hint="cs"/>
          <w:spacing w:val="10"/>
          <w:szCs w:val="28"/>
          <w:rtl/>
        </w:rPr>
        <w:t>כנה</w:t>
      </w:r>
      <w:r w:rsidRPr="006C6FE1">
        <w:rPr>
          <w:rFonts w:ascii="Century" w:hAnsi="Century" w:cs="FrankRuehl"/>
          <w:spacing w:val="10"/>
          <w:szCs w:val="28"/>
          <w:rtl/>
        </w:rPr>
        <w:t xml:space="preserve"> – </w:t>
      </w:r>
      <w:r w:rsidRPr="006C6FE1">
        <w:rPr>
          <w:rFonts w:ascii="Century" w:hAnsi="Century" w:cs="FrankRuehl" w:hint="cs"/>
          <w:spacing w:val="10"/>
          <w:szCs w:val="28"/>
          <w:rtl/>
        </w:rPr>
        <w:t>התוצאה המוצעת על ידי</w:t>
      </w:r>
      <w:r w:rsidRPr="006C6FE1">
        <w:rPr>
          <w:rFonts w:ascii="Century" w:hAnsi="Century" w:cs="FrankRuehl"/>
          <w:spacing w:val="10"/>
          <w:szCs w:val="28"/>
          <w:rtl/>
        </w:rPr>
        <w:t xml:space="preserve"> </w:t>
      </w:r>
      <w:r>
        <w:rPr>
          <w:rFonts w:ascii="Century" w:hAnsi="Century" w:cs="FrankRuehl" w:hint="cs"/>
          <w:spacing w:val="10"/>
          <w:szCs w:val="28"/>
          <w:rtl/>
        </w:rPr>
        <w:t xml:space="preserve">תהיה לרוב </w:t>
      </w:r>
      <w:r w:rsidRPr="006C6FE1">
        <w:rPr>
          <w:rFonts w:ascii="Century" w:hAnsi="Century" w:cs="FrankRuehl" w:hint="cs"/>
          <w:spacing w:val="10"/>
          <w:szCs w:val="28"/>
          <w:rtl/>
        </w:rPr>
        <w:t>נוחה</w:t>
      </w:r>
      <w:r w:rsidRPr="006C6FE1">
        <w:rPr>
          <w:rFonts w:ascii="Century" w:hAnsi="Century" w:cs="FrankRuehl"/>
          <w:spacing w:val="10"/>
          <w:szCs w:val="28"/>
          <w:rtl/>
        </w:rPr>
        <w:t xml:space="preserve"> </w:t>
      </w:r>
      <w:r w:rsidRPr="006C6FE1">
        <w:rPr>
          <w:rFonts w:ascii="Century" w:hAnsi="Century" w:cs="FrankRuehl" w:hint="cs"/>
          <w:spacing w:val="10"/>
          <w:szCs w:val="28"/>
          <w:rtl/>
        </w:rPr>
        <w:t>יותר</w:t>
      </w:r>
      <w:r w:rsidRPr="006C6FE1">
        <w:rPr>
          <w:rFonts w:ascii="Century" w:hAnsi="Century" w:cs="FrankRuehl"/>
          <w:spacing w:val="10"/>
          <w:szCs w:val="28"/>
          <w:rtl/>
        </w:rPr>
        <w:t xml:space="preserve"> </w:t>
      </w:r>
      <w:r w:rsidRPr="006C6FE1">
        <w:rPr>
          <w:rFonts w:ascii="Century" w:hAnsi="Century" w:cs="FrankRuehl" w:hint="cs"/>
          <w:spacing w:val="10"/>
          <w:szCs w:val="28"/>
          <w:rtl/>
        </w:rPr>
        <w:t xml:space="preserve">לנישום, שכן העדפת פרשנות המגינה על חירותו וקניינו של הנישום </w:t>
      </w:r>
      <w:r>
        <w:rPr>
          <w:rFonts w:ascii="Century" w:hAnsi="Century" w:cs="FrankRuehl" w:hint="cs"/>
          <w:spacing w:val="10"/>
          <w:szCs w:val="28"/>
          <w:rtl/>
        </w:rPr>
        <w:t xml:space="preserve">תישאב </w:t>
      </w:r>
      <w:r w:rsidRPr="006C6FE1">
        <w:rPr>
          <w:rFonts w:ascii="Century" w:hAnsi="Century" w:cs="FrankRuehl" w:hint="cs"/>
          <w:spacing w:val="10"/>
          <w:szCs w:val="28"/>
          <w:rtl/>
        </w:rPr>
        <w:t xml:space="preserve">מעקרונות </w:t>
      </w:r>
      <w:r>
        <w:rPr>
          <w:rFonts w:ascii="Century" w:hAnsi="Century" w:cs="FrankRuehl" w:hint="cs"/>
          <w:spacing w:val="10"/>
          <w:szCs w:val="28"/>
          <w:rtl/>
        </w:rPr>
        <w:t xml:space="preserve">היסוד של </w:t>
      </w:r>
      <w:r w:rsidRPr="006C6FE1">
        <w:rPr>
          <w:rFonts w:ascii="Century" w:hAnsi="Century" w:cs="FrankRuehl" w:hint="cs"/>
          <w:spacing w:val="10"/>
          <w:szCs w:val="28"/>
          <w:rtl/>
        </w:rPr>
        <w:t xml:space="preserve">השיטה המשפטית גופם, ולא מכלל מיוחד החל כביכול </w:t>
      </w:r>
      <w:r>
        <w:rPr>
          <w:rFonts w:ascii="Century" w:hAnsi="Century" w:cs="FrankRuehl" w:hint="cs"/>
          <w:spacing w:val="10"/>
          <w:szCs w:val="28"/>
          <w:rtl/>
        </w:rPr>
        <w:t>רק ב</w:t>
      </w:r>
      <w:r w:rsidRPr="006C6FE1">
        <w:rPr>
          <w:rFonts w:ascii="Century" w:hAnsi="Century" w:cs="FrankRuehl" w:hint="cs"/>
          <w:spacing w:val="10"/>
          <w:szCs w:val="28"/>
          <w:rtl/>
        </w:rPr>
        <w:t>דיני-מיסים.</w:t>
      </w:r>
      <w:r>
        <w:rPr>
          <w:rFonts w:ascii="Century" w:hAnsi="Century" w:cs="FrankRuehl" w:hint="cs"/>
          <w:spacing w:val="10"/>
          <w:szCs w:val="28"/>
          <w:rtl/>
        </w:rPr>
        <w:t xml:space="preserve"> זאת ועוד אף שד</w:t>
      </w:r>
      <w:r w:rsidRPr="006C6FE1">
        <w:rPr>
          <w:rFonts w:ascii="Century" w:hAnsi="Century" w:cs="FrankRuehl" w:hint="cs"/>
          <w:spacing w:val="10"/>
          <w:szCs w:val="28"/>
          <w:rtl/>
        </w:rPr>
        <w:t>ין הערעור להתקבל</w:t>
      </w:r>
      <w:r>
        <w:rPr>
          <w:rFonts w:ascii="Century" w:hAnsi="Century" w:cs="FrankRuehl" w:hint="cs"/>
          <w:spacing w:val="10"/>
          <w:szCs w:val="28"/>
          <w:rtl/>
        </w:rPr>
        <w:t xml:space="preserve"> פה בנסיבותיו </w:t>
      </w:r>
      <w:r>
        <w:rPr>
          <w:rFonts w:ascii="Century" w:hAnsi="Century" w:cs="FrankRuehl"/>
          <w:spacing w:val="10"/>
          <w:szCs w:val="28"/>
          <w:rtl/>
        </w:rPr>
        <w:t>–</w:t>
      </w:r>
      <w:r w:rsidRPr="006C6FE1">
        <w:rPr>
          <w:rFonts w:ascii="Century" w:hAnsi="Century" w:cs="FrankRuehl" w:hint="cs"/>
          <w:spacing w:val="10"/>
          <w:szCs w:val="28"/>
          <w:rtl/>
        </w:rPr>
        <w:t xml:space="preserve"> </w:t>
      </w:r>
      <w:r>
        <w:rPr>
          <w:rFonts w:ascii="Century" w:hAnsi="Century" w:cs="FrankRuehl" w:hint="cs"/>
          <w:spacing w:val="10"/>
          <w:szCs w:val="28"/>
          <w:rtl/>
        </w:rPr>
        <w:t xml:space="preserve">את </w:t>
      </w:r>
      <w:r w:rsidRPr="006C6FE1">
        <w:rPr>
          <w:rFonts w:ascii="Century" w:hAnsi="Century" w:cs="FrankRuehl" w:hint="cs"/>
          <w:spacing w:val="10"/>
          <w:szCs w:val="28"/>
          <w:rtl/>
        </w:rPr>
        <w:t xml:space="preserve">פרשנות סעיף 91 (ה) </w:t>
      </w:r>
      <w:r w:rsidRPr="006C6FE1">
        <w:rPr>
          <w:rFonts w:ascii="Century" w:hAnsi="Century" w:cs="Miriam" w:hint="cs"/>
          <w:b/>
          <w:szCs w:val="24"/>
          <w:rtl/>
        </w:rPr>
        <w:t>לפקודה</w:t>
      </w:r>
      <w:r w:rsidRPr="006C6FE1">
        <w:rPr>
          <w:rFonts w:ascii="Century" w:hAnsi="Century" w:cs="FrankRuehl" w:hint="cs"/>
          <w:spacing w:val="10"/>
          <w:szCs w:val="28"/>
          <w:rtl/>
        </w:rPr>
        <w:t xml:space="preserve"> יש להשאיר </w:t>
      </w:r>
      <w:proofErr w:type="spellStart"/>
      <w:r w:rsidRPr="006C6FE1">
        <w:rPr>
          <w:rFonts w:ascii="Century" w:hAnsi="Century" w:cs="FrankRuehl" w:hint="cs"/>
          <w:spacing w:val="10"/>
          <w:szCs w:val="28"/>
          <w:rtl/>
        </w:rPr>
        <w:t>בצריך</w:t>
      </w:r>
      <w:proofErr w:type="spellEnd"/>
      <w:r w:rsidRPr="006C6FE1">
        <w:rPr>
          <w:rFonts w:ascii="Century" w:hAnsi="Century" w:cs="FrankRuehl" w:hint="cs"/>
          <w:spacing w:val="10"/>
          <w:szCs w:val="28"/>
          <w:rtl/>
        </w:rPr>
        <w:t xml:space="preserve"> עיון.</w:t>
      </w:r>
    </w:p>
    <w:p w:rsidR="00090DE8" w:rsidRDefault="00090DE8" w:rsidP="00D26671">
      <w:pPr>
        <w:pStyle w:val="Ruller41"/>
        <w:rPr>
          <w:rtl/>
        </w:rPr>
      </w:pPr>
    </w:p>
    <w:p w:rsidR="00D26671" w:rsidRDefault="00D26671" w:rsidP="00D26671">
      <w:pPr>
        <w:pStyle w:val="Ruller41"/>
        <w:rPr>
          <w:rtl/>
        </w:rPr>
      </w:pPr>
    </w:p>
    <w:tbl>
      <w:tblPr>
        <w:bidiVisual/>
        <w:tblW w:w="8363" w:type="dxa"/>
        <w:tblLook w:val="01E0" w:firstRow="1" w:lastRow="1" w:firstColumn="1" w:lastColumn="1" w:noHBand="0" w:noVBand="0"/>
      </w:tblPr>
      <w:tblGrid>
        <w:gridCol w:w="2782"/>
        <w:gridCol w:w="2782"/>
        <w:gridCol w:w="2799"/>
      </w:tblGrid>
      <w:tr w:rsidR="00D26671" w:rsidTr="00395745">
        <w:tc>
          <w:tcPr>
            <w:tcW w:w="2842" w:type="dxa"/>
          </w:tcPr>
          <w:p w:rsidR="00D26671" w:rsidRDefault="00D26671" w:rsidP="00395745">
            <w:pPr>
              <w:pStyle w:val="Ruller41"/>
              <w:rPr>
                <w:rtl/>
              </w:rPr>
            </w:pPr>
          </w:p>
        </w:tc>
        <w:tc>
          <w:tcPr>
            <w:tcW w:w="2843" w:type="dxa"/>
          </w:tcPr>
          <w:p w:rsidR="00D26671" w:rsidRDefault="00D26671" w:rsidP="00395745">
            <w:pPr>
              <w:pStyle w:val="Ruller41"/>
              <w:jc w:val="center"/>
              <w:rPr>
                <w:rtl/>
              </w:rPr>
            </w:pPr>
          </w:p>
        </w:tc>
        <w:tc>
          <w:tcPr>
            <w:tcW w:w="2843" w:type="dxa"/>
            <w:hideMark/>
          </w:tcPr>
          <w:p w:rsidR="00D26671" w:rsidRDefault="00D26671" w:rsidP="00395745">
            <w:pPr>
              <w:pStyle w:val="Ruller41"/>
              <w:jc w:val="right"/>
              <w:rPr>
                <w:rtl/>
              </w:rPr>
            </w:pPr>
            <w:r>
              <w:rPr>
                <w:rFonts w:hint="cs"/>
                <w:rtl/>
              </w:rPr>
              <w:t>המשנה לנשיאה</w:t>
            </w:r>
          </w:p>
        </w:tc>
      </w:tr>
    </w:tbl>
    <w:p w:rsidR="00D26671" w:rsidRDefault="00D26671" w:rsidP="00D54C92">
      <w:pPr>
        <w:pStyle w:val="Ruller41"/>
        <w:rPr>
          <w:rtl/>
        </w:rPr>
      </w:pPr>
    </w:p>
    <w:p w:rsidR="00D26671" w:rsidRDefault="00D26671" w:rsidP="00D26671">
      <w:pPr>
        <w:pStyle w:val="BODYVERDICT"/>
        <w:rPr>
          <w:rFonts w:cs="Miriam"/>
          <w:sz w:val="24"/>
          <w:szCs w:val="24"/>
          <w:u w:val="single"/>
          <w:rtl/>
        </w:rPr>
      </w:pPr>
    </w:p>
    <w:p w:rsidR="00D26671" w:rsidRPr="00503A3E" w:rsidRDefault="00D26671" w:rsidP="00D26671">
      <w:pPr>
        <w:pStyle w:val="BODYVERDICT"/>
        <w:rPr>
          <w:rFonts w:cs="Miriam"/>
          <w:sz w:val="24"/>
          <w:szCs w:val="24"/>
          <w:u w:val="single"/>
          <w:rtl/>
        </w:rPr>
      </w:pPr>
      <w:r>
        <w:rPr>
          <w:rFonts w:cs="Miriam"/>
          <w:sz w:val="24"/>
          <w:szCs w:val="24"/>
          <w:u w:val="single"/>
          <w:rtl/>
        </w:rPr>
        <w:t>הנשיאה א' חיות:</w:t>
      </w:r>
    </w:p>
    <w:p w:rsidR="00D26671" w:rsidRDefault="00D26671" w:rsidP="00D26671">
      <w:pPr>
        <w:pStyle w:val="Ruller41"/>
        <w:rPr>
          <w:rtl/>
        </w:rPr>
      </w:pPr>
    </w:p>
    <w:p w:rsidR="00D26671" w:rsidRDefault="00D26671" w:rsidP="00634D15">
      <w:pPr>
        <w:pStyle w:val="Ruller4"/>
        <w:numPr>
          <w:ilvl w:val="0"/>
          <w:numId w:val="16"/>
        </w:numPr>
        <w:rPr>
          <w:rtl/>
        </w:rPr>
      </w:pPr>
      <w:r w:rsidRPr="00634D15">
        <w:rPr>
          <w:rFonts w:ascii="Century" w:hAnsi="Century" w:hint="cs"/>
          <w:sz w:val="22"/>
          <w:rtl/>
        </w:rPr>
        <w:t xml:space="preserve">אני מצטרפת בהסכמה לתוצאה שאליה הגיע חברי השופט </w:t>
      </w:r>
      <w:r w:rsidRPr="00634D15">
        <w:rPr>
          <w:rFonts w:ascii="Century" w:hAnsi="Century" w:cs="Miriam" w:hint="cs"/>
          <w:b/>
          <w:spacing w:val="0"/>
          <w:sz w:val="22"/>
          <w:szCs w:val="24"/>
          <w:rtl/>
        </w:rPr>
        <w:t xml:space="preserve">א' שטיין </w:t>
      </w:r>
      <w:r w:rsidRPr="00634D15">
        <w:rPr>
          <w:rFonts w:ascii="Century" w:hAnsi="Century" w:hint="cs"/>
          <w:sz w:val="22"/>
          <w:rtl/>
        </w:rPr>
        <w:t xml:space="preserve">ולפיה יש לקבל את הערעור ולקבוע כי הזכאות לפריסת השבח הריאלי לפי סעיף </w:t>
      </w:r>
      <w:r>
        <w:rPr>
          <w:rFonts w:hint="cs"/>
          <w:rtl/>
        </w:rPr>
        <w:t xml:space="preserve">48א(ה)(1) לחוק מיסוי מקרקעין (שבח ורכישה), התשכ"ג-1963, נתונה לנישומים יחידים ולא לחברות. אשר לפולמוס בין חבריי בשאלה האם כלל הפרשנות התכליתית ככל שהוא נוגע לתחום דיני המס טעון חידוד או עידון, דעתי כדעת חברי המשנה לנשיאה </w:t>
      </w:r>
      <w:r w:rsidRPr="00634D15">
        <w:rPr>
          <w:rFonts w:ascii="Century" w:hAnsi="Century" w:cs="Miriam" w:hint="cs"/>
          <w:b/>
          <w:spacing w:val="0"/>
          <w:sz w:val="22"/>
          <w:szCs w:val="24"/>
          <w:rtl/>
        </w:rPr>
        <w:t>ח' מלצר</w:t>
      </w:r>
      <w:r>
        <w:rPr>
          <w:rFonts w:hint="cs"/>
          <w:rtl/>
        </w:rPr>
        <w:t xml:space="preserve"> לפיה תורת הפרשנות התכליתית הנוהגת עמנו שנים הרבה מספקת מענה הולם לסוגיות פרשניות מורכבות בתחומים שונים של המשפט, ובכלל זה בתחום דיני המס. נקודת המוצא הפרשנית בעניין זה נפסקה עוד בשנת 1985 בע"א 165/82 </w:t>
      </w:r>
      <w:r w:rsidRPr="00634D15">
        <w:rPr>
          <w:rFonts w:ascii="Century" w:hAnsi="Century" w:cs="Miriam" w:hint="cs"/>
          <w:b/>
          <w:spacing w:val="0"/>
          <w:sz w:val="22"/>
          <w:szCs w:val="24"/>
          <w:rtl/>
        </w:rPr>
        <w:t>קיבוץ חצור נ' פקיד שומה רחובות</w:t>
      </w:r>
      <w:r>
        <w:rPr>
          <w:rFonts w:hint="cs"/>
          <w:rtl/>
        </w:rPr>
        <w:t xml:space="preserve">, פ"ד לט(2) 70, 75 (1985) ולפיה "אין להם לחוקי המסים כללי פרשנות משלהם" ועל בית המשפט לפרש אותם בהתאם לתכלית המונחת ביסודם (ראו, למשל, </w:t>
      </w:r>
      <w:r w:rsidRPr="00E147D6">
        <w:rPr>
          <w:rFonts w:hint="cs"/>
          <w:rtl/>
        </w:rPr>
        <w:t>ע</w:t>
      </w:r>
      <w:r>
        <w:rPr>
          <w:rFonts w:hint="cs"/>
          <w:rtl/>
        </w:rPr>
        <w:t>"א </w:t>
      </w:r>
      <w:r w:rsidRPr="00E147D6">
        <w:rPr>
          <w:rFonts w:hint="cs"/>
          <w:rtl/>
        </w:rPr>
        <w:t>8569/06  </w:t>
      </w:r>
      <w:r w:rsidRPr="00634D15">
        <w:rPr>
          <w:rFonts w:ascii="Century" w:hAnsi="Century" w:cs="Miriam" w:hint="cs"/>
          <w:b/>
          <w:spacing w:val="0"/>
          <w:sz w:val="22"/>
          <w:szCs w:val="24"/>
          <w:rtl/>
        </w:rPr>
        <w:t>מנהל מיסוי מקרקעין חיפה נ' פוליטי</w:t>
      </w:r>
      <w:r>
        <w:rPr>
          <w:rFonts w:hint="cs"/>
          <w:rtl/>
        </w:rPr>
        <w:t xml:space="preserve">, פ"ד סב(4) 280 (2008) (להלן: </w:t>
      </w:r>
      <w:r w:rsidRPr="00634D15">
        <w:rPr>
          <w:rFonts w:ascii="Century" w:hAnsi="Century" w:cs="Miriam" w:hint="cs"/>
          <w:b/>
          <w:spacing w:val="0"/>
          <w:sz w:val="22"/>
          <w:szCs w:val="24"/>
          <w:rtl/>
        </w:rPr>
        <w:t>עניין</w:t>
      </w:r>
      <w:r w:rsidRPr="00E147D6">
        <w:rPr>
          <w:rFonts w:hint="cs"/>
          <w:rtl/>
        </w:rPr>
        <w:t xml:space="preserve"> </w:t>
      </w:r>
      <w:r w:rsidRPr="00634D15">
        <w:rPr>
          <w:rFonts w:ascii="Century" w:hAnsi="Century" w:cs="Miriam" w:hint="cs"/>
          <w:b/>
          <w:spacing w:val="0"/>
          <w:sz w:val="22"/>
          <w:szCs w:val="24"/>
          <w:rtl/>
        </w:rPr>
        <w:t>פוליטי</w:t>
      </w:r>
      <w:r>
        <w:rPr>
          <w:rFonts w:hint="cs"/>
          <w:rtl/>
        </w:rPr>
        <w:t xml:space="preserve">)). אכן, על מנת לאתר את התכלית המונחת ביסודם של חוקי המס יש להידרש, בין היתר, למאפיינים הייחודיים של חוקים אלה ואף זאת כבר נפסק לא אחת. כך, למשל, קבע בית משפט זה בע"א 1240/00 </w:t>
      </w:r>
      <w:r w:rsidRPr="00634D15">
        <w:rPr>
          <w:rFonts w:ascii="Century" w:hAnsi="Century" w:cs="Miriam"/>
          <w:b/>
          <w:spacing w:val="0"/>
          <w:sz w:val="22"/>
          <w:szCs w:val="24"/>
          <w:rtl/>
        </w:rPr>
        <w:t>פקיד שומה תל-אביב 1 נ' סיוון</w:t>
      </w:r>
      <w:r>
        <w:rPr>
          <w:rFonts w:hint="cs"/>
          <w:rtl/>
        </w:rPr>
        <w:t>, פ"ד</w:t>
      </w:r>
      <w:r w:rsidRPr="00E95034">
        <w:rPr>
          <w:rtl/>
        </w:rPr>
        <w:t xml:space="preserve"> נט (4) 588</w:t>
      </w:r>
      <w:r>
        <w:rPr>
          <w:rFonts w:hint="cs"/>
          <w:rtl/>
        </w:rPr>
        <w:t xml:space="preserve">, 609 (2005) כי: </w:t>
      </w:r>
    </w:p>
    <w:p w:rsidR="00D26671" w:rsidRDefault="00D26671" w:rsidP="00D26671">
      <w:pPr>
        <w:rPr>
          <w:rtl/>
        </w:rPr>
      </w:pPr>
    </w:p>
    <w:p w:rsidR="00D26671" w:rsidRPr="00E147D6" w:rsidRDefault="00D26671" w:rsidP="00D26671">
      <w:pPr>
        <w:pStyle w:val="Ruller5"/>
        <w:rPr>
          <w:rFonts w:ascii="Century" w:hAnsi="Century"/>
          <w:rtl/>
        </w:rPr>
      </w:pPr>
      <w:r w:rsidRPr="00E147D6">
        <w:rPr>
          <w:rFonts w:ascii="Century" w:hAnsi="Century" w:hint="cs"/>
          <w:rtl/>
        </w:rPr>
        <w:lastRenderedPageBreak/>
        <w:t xml:space="preserve">אף שלחוקי המס אין כללי פרשנות משלהם, יש להם בהכרח מאפיינים ייחודיים משל עצמם ותכליות כלליות ייחודיות המונחות ביסודם </w:t>
      </w:r>
      <w:r>
        <w:rPr>
          <w:rFonts w:ascii="Century" w:hAnsi="Century" w:hint="cs"/>
          <w:rtl/>
        </w:rPr>
        <w:t>...</w:t>
      </w:r>
      <w:r w:rsidRPr="00E147D6">
        <w:rPr>
          <w:rFonts w:ascii="Century" w:hAnsi="Century" w:hint="cs"/>
          <w:rtl/>
        </w:rPr>
        <w:t xml:space="preserve"> על-כן מלאכת הפרשנות התכליתית איננה מסתיימת בכך שהפרשן עומד על הגיונה הכלכלי של הוראת המס מושא פרשנותו או על סיווגה האפשרי של </w:t>
      </w:r>
      <w:proofErr w:type="spellStart"/>
      <w:r w:rsidRPr="00E147D6">
        <w:rPr>
          <w:rFonts w:ascii="Century" w:hAnsi="Century" w:hint="cs"/>
          <w:rtl/>
        </w:rPr>
        <w:t>העיסקה</w:t>
      </w:r>
      <w:proofErr w:type="spellEnd"/>
      <w:r w:rsidRPr="00E147D6">
        <w:rPr>
          <w:rFonts w:ascii="Century" w:hAnsi="Century" w:hint="cs"/>
          <w:rtl/>
        </w:rPr>
        <w:t xml:space="preserve"> שלפניו על-פי מהותה הכלכלית. שכן בטרם יחיל את הוראת המס על </w:t>
      </w:r>
      <w:proofErr w:type="spellStart"/>
      <w:r w:rsidRPr="00E147D6">
        <w:rPr>
          <w:rFonts w:ascii="Century" w:hAnsi="Century" w:hint="cs"/>
          <w:rtl/>
        </w:rPr>
        <w:t>העיסקה</w:t>
      </w:r>
      <w:proofErr w:type="spellEnd"/>
      <w:r w:rsidRPr="00E147D6">
        <w:rPr>
          <w:rFonts w:ascii="Century" w:hAnsi="Century" w:hint="cs"/>
          <w:rtl/>
        </w:rPr>
        <w:t xml:space="preserve"> מוטל עליו להוסיף ולבחון אם תכליתה הכלכלית של הוראת המס עולה בקנה אחד עם התכליות האפשריות הנוספות המונחות ביסודה וכן עם תכליות כלליות של דיני המס. כן מוטל על הפרשן לאזן בין שיקולי יעילות, ודאות ויציבות של דיני המס לבין תכליתה הכלכלית של הוראת המס הספציפית; בין התכלית שבשלילתם של תכנוני מס בלתי לגיטימיים לבין התכלית שבהיצמדות ללשונה של הוראת המס; בין התכלית שבקיום הרמוניה חקיקתית בין דין המס לבין הדין הכללי לבין התכלית שבהטלת מס המשקף את מ</w:t>
      </w:r>
      <w:r>
        <w:rPr>
          <w:rFonts w:ascii="Century" w:hAnsi="Century" w:hint="cs"/>
          <w:rtl/>
        </w:rPr>
        <w:t xml:space="preserve">הותה הכלכלית </w:t>
      </w:r>
      <w:proofErr w:type="spellStart"/>
      <w:r>
        <w:rPr>
          <w:rFonts w:ascii="Century" w:hAnsi="Century" w:hint="cs"/>
          <w:rtl/>
        </w:rPr>
        <w:t>האמיתית</w:t>
      </w:r>
      <w:proofErr w:type="spellEnd"/>
      <w:r>
        <w:rPr>
          <w:rFonts w:ascii="Century" w:hAnsi="Century" w:hint="cs"/>
          <w:rtl/>
        </w:rPr>
        <w:t xml:space="preserve"> של </w:t>
      </w:r>
      <w:proofErr w:type="spellStart"/>
      <w:r>
        <w:rPr>
          <w:rFonts w:ascii="Century" w:hAnsi="Century" w:hint="cs"/>
          <w:rtl/>
        </w:rPr>
        <w:t>העיסקה</w:t>
      </w:r>
      <w:proofErr w:type="spellEnd"/>
      <w:r>
        <w:rPr>
          <w:rFonts w:ascii="Century" w:hAnsi="Century" w:hint="cs"/>
          <w:rtl/>
        </w:rPr>
        <w:t xml:space="preserve"> (ראו גם עניין </w:t>
      </w:r>
      <w:r w:rsidRPr="00E147D6">
        <w:rPr>
          <w:rFonts w:ascii="Century" w:hAnsi="Century" w:cs="Miriam" w:hint="cs"/>
          <w:b/>
          <w:spacing w:val="0"/>
          <w:szCs w:val="24"/>
          <w:rtl/>
        </w:rPr>
        <w:t>פוליטי</w:t>
      </w:r>
      <w:r>
        <w:rPr>
          <w:rFonts w:ascii="Century" w:hAnsi="Century" w:hint="cs"/>
          <w:rtl/>
        </w:rPr>
        <w:t xml:space="preserve">, בפסקה 34 וההפניות שם). </w:t>
      </w:r>
    </w:p>
    <w:p w:rsidR="00D26671" w:rsidRDefault="00D26671" w:rsidP="00D26671">
      <w:pPr>
        <w:rPr>
          <w:rtl/>
        </w:rPr>
      </w:pPr>
    </w:p>
    <w:p w:rsidR="00660696" w:rsidRDefault="00660696" w:rsidP="00D26671">
      <w:pPr>
        <w:rPr>
          <w:rtl/>
        </w:rPr>
      </w:pPr>
    </w:p>
    <w:p w:rsidR="00D26671" w:rsidRPr="0019210B" w:rsidRDefault="00D26671" w:rsidP="00D26671">
      <w:pPr>
        <w:pStyle w:val="Ruller4"/>
        <w:rPr>
          <w:rFonts w:ascii="Century" w:hAnsi="Century"/>
          <w:sz w:val="22"/>
          <w:rtl/>
        </w:rPr>
      </w:pPr>
      <w:r w:rsidRPr="0019210B">
        <w:rPr>
          <w:rFonts w:ascii="Century" w:hAnsi="Century"/>
          <w:sz w:val="22"/>
          <w:rtl/>
        </w:rPr>
        <w:tab/>
      </w:r>
      <w:r w:rsidRPr="0019210B">
        <w:rPr>
          <w:rFonts w:ascii="Century" w:hAnsi="Century" w:hint="cs"/>
          <w:sz w:val="22"/>
          <w:rtl/>
        </w:rPr>
        <w:t xml:space="preserve">ולבסוף, כפי שהיטיב להדגיש חברי המשנה לנשיאה </w:t>
      </w:r>
      <w:r w:rsidRPr="00194E76">
        <w:rPr>
          <w:rFonts w:ascii="Century" w:hAnsi="Century" w:cs="Miriam" w:hint="cs"/>
          <w:b/>
          <w:spacing w:val="0"/>
          <w:sz w:val="22"/>
          <w:szCs w:val="24"/>
          <w:rtl/>
        </w:rPr>
        <w:t>ח' מלצר</w:t>
      </w:r>
      <w:r w:rsidRPr="0019210B">
        <w:rPr>
          <w:rFonts w:ascii="Century" w:hAnsi="Century" w:hint="cs"/>
          <w:sz w:val="22"/>
          <w:rtl/>
        </w:rPr>
        <w:t>, מקום שבו המ</w:t>
      </w:r>
      <w:r>
        <w:rPr>
          <w:rFonts w:ascii="Century" w:hAnsi="Century" w:hint="cs"/>
          <w:sz w:val="22"/>
          <w:rtl/>
        </w:rPr>
        <w:t xml:space="preserve">סע הפרשני - שתחילתו בלשון החוק והמשכו בהתחקות אחר תכליותיו הסובייקטיבית והאובייקטיבית - אינו מאפשר גיבוש מסקנה פרשנית לעניין התכלית, מתפרש חוק המס באופן המקל עם מי שאמור לשאת במס וזאת על פי העיקרון הכללי הנוהג בשיטתנו המשפטית בדבר השמירה על החירות ועל זכות הקניין.  </w:t>
      </w:r>
    </w:p>
    <w:p w:rsidR="00D54C92" w:rsidRDefault="00D54C92" w:rsidP="00D54C92">
      <w:pPr>
        <w:pStyle w:val="Ruller41"/>
        <w:rPr>
          <w:rtl/>
        </w:rPr>
      </w:pPr>
    </w:p>
    <w:p w:rsidR="00D54C92" w:rsidRDefault="00D54C92" w:rsidP="00D54C92">
      <w:pPr>
        <w:pStyle w:val="Ruller41"/>
      </w:pPr>
    </w:p>
    <w:tbl>
      <w:tblPr>
        <w:bidiVisual/>
        <w:tblW w:w="8363" w:type="dxa"/>
        <w:tblLook w:val="01E0" w:firstRow="1" w:lastRow="1" w:firstColumn="1" w:lastColumn="1" w:noHBand="0" w:noVBand="0"/>
      </w:tblPr>
      <w:tblGrid>
        <w:gridCol w:w="2781"/>
        <w:gridCol w:w="2782"/>
        <w:gridCol w:w="2800"/>
      </w:tblGrid>
      <w:tr w:rsidR="00D54C92" w:rsidTr="00D54C92">
        <w:tc>
          <w:tcPr>
            <w:tcW w:w="2842" w:type="dxa"/>
          </w:tcPr>
          <w:p w:rsidR="00D54C92" w:rsidRDefault="00D54C92">
            <w:pPr>
              <w:pStyle w:val="Ruller41"/>
              <w:rPr>
                <w:rtl/>
              </w:rPr>
            </w:pPr>
          </w:p>
        </w:tc>
        <w:tc>
          <w:tcPr>
            <w:tcW w:w="2843" w:type="dxa"/>
          </w:tcPr>
          <w:p w:rsidR="00D54C92" w:rsidRDefault="00D54C92">
            <w:pPr>
              <w:pStyle w:val="Ruller41"/>
              <w:jc w:val="center"/>
              <w:rPr>
                <w:rtl/>
              </w:rPr>
            </w:pPr>
          </w:p>
        </w:tc>
        <w:tc>
          <w:tcPr>
            <w:tcW w:w="2843" w:type="dxa"/>
            <w:hideMark/>
          </w:tcPr>
          <w:p w:rsidR="00D54C92" w:rsidRDefault="00D54C92">
            <w:pPr>
              <w:pStyle w:val="Ruller41"/>
              <w:jc w:val="right"/>
              <w:rPr>
                <w:rtl/>
              </w:rPr>
            </w:pPr>
            <w:r>
              <w:rPr>
                <w:rFonts w:hint="cs"/>
                <w:rtl/>
              </w:rPr>
              <w:t>הנשיאה</w:t>
            </w:r>
          </w:p>
        </w:tc>
      </w:tr>
    </w:tbl>
    <w:p w:rsidR="00D54C92" w:rsidRDefault="00D54C92" w:rsidP="00D54C92">
      <w:pPr>
        <w:pStyle w:val="Ruller41"/>
        <w:rPr>
          <w:rtl/>
        </w:rPr>
      </w:pPr>
    </w:p>
    <w:p w:rsidR="00D54C92" w:rsidRDefault="00D54C92" w:rsidP="00D54C92">
      <w:pPr>
        <w:pStyle w:val="Ruller41"/>
        <w:rPr>
          <w:rtl/>
        </w:rPr>
      </w:pPr>
      <w:r>
        <w:rPr>
          <w:rFonts w:hint="cs"/>
          <w:rtl/>
        </w:rPr>
        <w:tab/>
        <w:t xml:space="preserve">הוחלט כאמור בפסק דינו של השופט </w:t>
      </w:r>
      <w:r>
        <w:rPr>
          <w:rFonts w:ascii="Century" w:hAnsi="Century" w:cs="Miriam" w:hint="cs"/>
          <w:b/>
          <w:spacing w:val="0"/>
          <w:szCs w:val="24"/>
          <w:rtl/>
        </w:rPr>
        <w:t>א' שטיין</w:t>
      </w:r>
      <w:r>
        <w:rPr>
          <w:rFonts w:hint="cs"/>
          <w:rtl/>
        </w:rPr>
        <w:t>.</w:t>
      </w:r>
    </w:p>
    <w:p w:rsidR="00D54C92" w:rsidRDefault="00D54C92" w:rsidP="00D54C92">
      <w:pPr>
        <w:pStyle w:val="Ruller41"/>
        <w:rPr>
          <w:rtl/>
        </w:rPr>
      </w:pPr>
    </w:p>
    <w:p w:rsidR="00D54C92" w:rsidRDefault="00F10F35" w:rsidP="00D54C92">
      <w:pPr>
        <w:pStyle w:val="Ruller41"/>
        <w:rPr>
          <w:rtl/>
        </w:rPr>
      </w:pPr>
      <w:r>
        <w:rPr>
          <w:rtl/>
        </w:rPr>
        <w:tab/>
        <w:t xml:space="preserve">ניתן היום, </w:t>
      </w:r>
      <w:r>
        <w:rPr>
          <w:rFonts w:hint="eastAsia"/>
          <w:rtl/>
        </w:rPr>
        <w:t>‏א</w:t>
      </w:r>
      <w:r>
        <w:rPr>
          <w:rtl/>
        </w:rPr>
        <w:t xml:space="preserve">' בתמוז </w:t>
      </w:r>
      <w:proofErr w:type="spellStart"/>
      <w:r>
        <w:rPr>
          <w:rtl/>
        </w:rPr>
        <w:t>התשע"ט</w:t>
      </w:r>
      <w:proofErr w:type="spellEnd"/>
      <w:r>
        <w:rPr>
          <w:rtl/>
        </w:rPr>
        <w:t xml:space="preserve"> (</w:t>
      </w:r>
      <w:r>
        <w:rPr>
          <w:rFonts w:hint="eastAsia"/>
          <w:rtl/>
        </w:rPr>
        <w:t>‏</w:t>
      </w:r>
      <w:r>
        <w:rPr>
          <w:rtl/>
        </w:rPr>
        <w:t>4.7.2019).</w:t>
      </w:r>
    </w:p>
    <w:p w:rsidR="00F10F35" w:rsidRDefault="00F10F35" w:rsidP="00D54C92">
      <w:pPr>
        <w:pStyle w:val="Ruller41"/>
        <w:rPr>
          <w:rtl/>
        </w:rPr>
      </w:pPr>
      <w:bookmarkStart w:id="7" w:name="_GoBack"/>
      <w:bookmarkEnd w:id="7"/>
    </w:p>
    <w:p w:rsidR="00D54C92" w:rsidRDefault="00D54C92" w:rsidP="00D54C92">
      <w:pPr>
        <w:pStyle w:val="Ruller41"/>
        <w:rPr>
          <w:rtl/>
        </w:rPr>
      </w:pPr>
    </w:p>
    <w:tbl>
      <w:tblPr>
        <w:bidiVisual/>
        <w:tblW w:w="8363" w:type="dxa"/>
        <w:tblLook w:val="01E0" w:firstRow="1" w:lastRow="1" w:firstColumn="1" w:lastColumn="1" w:noHBand="0" w:noVBand="0"/>
      </w:tblPr>
      <w:tblGrid>
        <w:gridCol w:w="2783"/>
        <w:gridCol w:w="2797"/>
        <w:gridCol w:w="2783"/>
      </w:tblGrid>
      <w:tr w:rsidR="00D54C92" w:rsidTr="00D54C92">
        <w:tc>
          <w:tcPr>
            <w:tcW w:w="2842" w:type="dxa"/>
            <w:hideMark/>
          </w:tcPr>
          <w:p w:rsidR="00D54C92" w:rsidRDefault="00D54C92">
            <w:pPr>
              <w:pStyle w:val="Ruller41"/>
              <w:rPr>
                <w:rtl/>
              </w:rPr>
            </w:pPr>
            <w:r>
              <w:rPr>
                <w:rFonts w:hint="cs"/>
                <w:rtl/>
              </w:rPr>
              <w:t xml:space="preserve"> ה נ ש י א ה</w:t>
            </w:r>
          </w:p>
        </w:tc>
        <w:tc>
          <w:tcPr>
            <w:tcW w:w="2843" w:type="dxa"/>
            <w:hideMark/>
          </w:tcPr>
          <w:p w:rsidR="00D54C92" w:rsidRDefault="00D54C92">
            <w:pPr>
              <w:pStyle w:val="Ruller41"/>
              <w:jc w:val="center"/>
              <w:rPr>
                <w:rtl/>
              </w:rPr>
            </w:pPr>
            <w:r>
              <w:rPr>
                <w:rFonts w:hint="cs"/>
                <w:rtl/>
              </w:rPr>
              <w:t>המשנה לנשיאה</w:t>
            </w:r>
          </w:p>
        </w:tc>
        <w:tc>
          <w:tcPr>
            <w:tcW w:w="2843" w:type="dxa"/>
            <w:hideMark/>
          </w:tcPr>
          <w:p w:rsidR="00D54C92" w:rsidRDefault="00D54C92">
            <w:pPr>
              <w:pStyle w:val="Ruller41"/>
              <w:jc w:val="right"/>
              <w:rPr>
                <w:rtl/>
              </w:rPr>
            </w:pPr>
            <w:r>
              <w:rPr>
                <w:rFonts w:hint="cs"/>
                <w:rtl/>
              </w:rPr>
              <w:t>ש ו פ ט</w:t>
            </w:r>
          </w:p>
        </w:tc>
      </w:tr>
    </w:tbl>
    <w:p w:rsidR="00D54C92" w:rsidRDefault="00D54C92" w:rsidP="00D54C92">
      <w:pPr>
        <w:pStyle w:val="Ruller41"/>
        <w:rPr>
          <w:rtl/>
        </w:rPr>
      </w:pPr>
    </w:p>
    <w:p w:rsidR="00D54C92" w:rsidRDefault="00D54C92" w:rsidP="00D54C92">
      <w:pPr>
        <w:rPr>
          <w:szCs w:val="16"/>
          <w:rtl/>
        </w:rPr>
      </w:pPr>
      <w:r>
        <w:rPr>
          <w:rFonts w:hint="cs"/>
          <w:szCs w:val="16"/>
          <w:rtl/>
        </w:rPr>
        <w:t>_________________________</w:t>
      </w:r>
    </w:p>
    <w:p w:rsidR="00D54C92" w:rsidRDefault="00D54C92" w:rsidP="00D54C92">
      <w:pPr>
        <w:pStyle w:val="Ruller38"/>
        <w:rPr>
          <w:rtl/>
        </w:rPr>
      </w:pPr>
      <w:r>
        <w:rPr>
          <w:sz w:val="16"/>
        </w:rPr>
        <w:t xml:space="preserve">   18030120_F06.docx   </w:t>
      </w:r>
      <w:r>
        <w:rPr>
          <w:rFonts w:hint="cs"/>
          <w:sz w:val="16"/>
          <w:rtl/>
        </w:rPr>
        <w:t>עב</w:t>
      </w:r>
    </w:p>
    <w:p w:rsidR="00D54C92" w:rsidRDefault="00D54C92" w:rsidP="00D54C92">
      <w:pPr>
        <w:pStyle w:val="Ruller38"/>
        <w:rPr>
          <w:rtl/>
        </w:rPr>
      </w:pPr>
      <w:r>
        <w:rPr>
          <w:rFonts w:hint="cs"/>
          <w:rtl/>
        </w:rPr>
        <w:t xml:space="preserve">מרכז מידע, טל' 077-2703333 ; אתר אינטרנט,  </w:t>
      </w:r>
      <w:hyperlink w:history="1">
        <w:r>
          <w:rPr>
            <w:rStyle w:val="Hyperlink"/>
            <w:sz w:val="16"/>
          </w:rPr>
          <w:t>http://supreme.court.gov.i</w:t>
        </w:r>
      </w:hyperlink>
      <w:r>
        <w:rPr>
          <w:sz w:val="16"/>
        </w:rPr>
        <w:t>l</w:t>
      </w:r>
    </w:p>
    <w:p w:rsidR="00D54C92" w:rsidRDefault="00D54C92" w:rsidP="00D54C92">
      <w:pPr>
        <w:rPr>
          <w:szCs w:val="20"/>
          <w:rtl/>
        </w:rPr>
      </w:pPr>
    </w:p>
    <w:p w:rsidR="003F1F97" w:rsidRPr="00D54C92" w:rsidRDefault="003F1F97" w:rsidP="00D54C92">
      <w:pPr>
        <w:rPr>
          <w:szCs w:val="20"/>
          <w:rtl/>
        </w:rPr>
      </w:pPr>
    </w:p>
    <w:sectPr w:rsidR="003F1F97" w:rsidRPr="00D54C92"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mo">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51" w:rsidRDefault="006E235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4D" w:rsidRPr="00F959DB" w:rsidRDefault="00045B4D" w:rsidP="00914156">
    <w:pPr>
      <w:pStyle w:val="a3"/>
      <w:bidi w:val="0"/>
      <w:jc w:val="right"/>
      <w:rPr>
        <w:sz w:val="16"/>
        <w:szCs w:val="16"/>
      </w:rPr>
    </w:pPr>
    <w:bookmarkStart w:id="8" w:name="footer_line"/>
    <w:bookmarkEnd w:id="8"/>
  </w:p>
  <w:p w:rsidR="00045B4D" w:rsidRDefault="00045B4D">
    <w:pPr>
      <w:pStyle w:val="a3"/>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F10F35">
      <w:rPr>
        <w:rStyle w:val="a4"/>
        <w:noProof/>
        <w:rtl/>
      </w:rPr>
      <w:t>27</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67C2EFC8"/>
    <w:lvl w:ilvl="0" w:tplc="853859D4">
      <w:start w:val="1"/>
      <w:numFmt w:val="decimal"/>
      <w:pStyle w:val="Ruller4"/>
      <w:lvlText w:val="%1."/>
      <w:lvlJc w:val="left"/>
      <w:pPr>
        <w:tabs>
          <w:tab w:val="num" w:pos="907"/>
        </w:tabs>
        <w:ind w:left="0" w:firstLine="0"/>
      </w:pPr>
      <w:rPr>
        <w:rFonts w:hint="default"/>
        <w:lang w:val="en-US"/>
      </w:rPr>
    </w:lvl>
    <w:lvl w:ilvl="1" w:tplc="70CE2F06" w:tentative="1">
      <w:start w:val="1"/>
      <w:numFmt w:val="lowerLetter"/>
      <w:lvlText w:val="%2."/>
      <w:lvlJc w:val="left"/>
      <w:pPr>
        <w:tabs>
          <w:tab w:val="num" w:pos="1440"/>
        </w:tabs>
        <w:ind w:left="1440" w:hanging="360"/>
      </w:pPr>
    </w:lvl>
    <w:lvl w:ilvl="2" w:tplc="86F012F4" w:tentative="1">
      <w:start w:val="1"/>
      <w:numFmt w:val="lowerRoman"/>
      <w:lvlText w:val="%3."/>
      <w:lvlJc w:val="right"/>
      <w:pPr>
        <w:tabs>
          <w:tab w:val="num" w:pos="2160"/>
        </w:tabs>
        <w:ind w:left="2160" w:hanging="180"/>
      </w:pPr>
    </w:lvl>
    <w:lvl w:ilvl="3" w:tplc="5F90822C" w:tentative="1">
      <w:start w:val="1"/>
      <w:numFmt w:val="decimal"/>
      <w:lvlText w:val="%4."/>
      <w:lvlJc w:val="left"/>
      <w:pPr>
        <w:tabs>
          <w:tab w:val="num" w:pos="2880"/>
        </w:tabs>
        <w:ind w:left="2880" w:hanging="360"/>
      </w:pPr>
    </w:lvl>
    <w:lvl w:ilvl="4" w:tplc="784EE378" w:tentative="1">
      <w:start w:val="1"/>
      <w:numFmt w:val="lowerLetter"/>
      <w:lvlText w:val="%5."/>
      <w:lvlJc w:val="left"/>
      <w:pPr>
        <w:tabs>
          <w:tab w:val="num" w:pos="3600"/>
        </w:tabs>
        <w:ind w:left="3600" w:hanging="360"/>
      </w:pPr>
    </w:lvl>
    <w:lvl w:ilvl="5" w:tplc="00680112" w:tentative="1">
      <w:start w:val="1"/>
      <w:numFmt w:val="lowerRoman"/>
      <w:lvlText w:val="%6."/>
      <w:lvlJc w:val="right"/>
      <w:pPr>
        <w:tabs>
          <w:tab w:val="num" w:pos="4320"/>
        </w:tabs>
        <w:ind w:left="4320" w:hanging="180"/>
      </w:pPr>
    </w:lvl>
    <w:lvl w:ilvl="6" w:tplc="65A6F2E0" w:tentative="1">
      <w:start w:val="1"/>
      <w:numFmt w:val="decimal"/>
      <w:lvlText w:val="%7."/>
      <w:lvlJc w:val="left"/>
      <w:pPr>
        <w:tabs>
          <w:tab w:val="num" w:pos="5040"/>
        </w:tabs>
        <w:ind w:left="5040" w:hanging="360"/>
      </w:pPr>
    </w:lvl>
    <w:lvl w:ilvl="7" w:tplc="0AB89E96" w:tentative="1">
      <w:start w:val="1"/>
      <w:numFmt w:val="lowerLetter"/>
      <w:lvlText w:val="%8."/>
      <w:lvlJc w:val="left"/>
      <w:pPr>
        <w:tabs>
          <w:tab w:val="num" w:pos="5760"/>
        </w:tabs>
        <w:ind w:left="5760" w:hanging="360"/>
      </w:pPr>
    </w:lvl>
    <w:lvl w:ilvl="8" w:tplc="65C8064E" w:tentative="1">
      <w:start w:val="1"/>
      <w:numFmt w:val="lowerRoman"/>
      <w:lvlText w:val="%9."/>
      <w:lvlJc w:val="right"/>
      <w:pPr>
        <w:tabs>
          <w:tab w:val="num" w:pos="6480"/>
        </w:tabs>
        <w:ind w:left="6480" w:hanging="180"/>
      </w:pPr>
    </w:lvl>
  </w:abstractNum>
  <w:abstractNum w:abstractNumId="11" w15:restartNumberingAfterBreak="0">
    <w:nsid w:val="43E97C94"/>
    <w:multiLevelType w:val="hybridMultilevel"/>
    <w:tmpl w:val="67D0EEA8"/>
    <w:lvl w:ilvl="0" w:tplc="5BF8CFE0">
      <w:start w:val="1"/>
      <w:numFmt w:val="hebrew1"/>
      <w:lvlText w:val="(%1)"/>
      <w:lvlJc w:val="left"/>
      <w:pPr>
        <w:ind w:left="1160" w:hanging="360"/>
      </w:pPr>
      <w:rPr>
        <w:sz w:val="28"/>
      </w:rPr>
    </w:lvl>
    <w:lvl w:ilvl="1" w:tplc="7FF6867A">
      <w:start w:val="1"/>
      <w:numFmt w:val="lowerLetter"/>
      <w:lvlText w:val="%2."/>
      <w:lvlJc w:val="left"/>
      <w:pPr>
        <w:ind w:left="1880" w:hanging="360"/>
      </w:pPr>
    </w:lvl>
    <w:lvl w:ilvl="2" w:tplc="8904E042">
      <w:start w:val="1"/>
      <w:numFmt w:val="lowerRoman"/>
      <w:lvlText w:val="%3."/>
      <w:lvlJc w:val="right"/>
      <w:pPr>
        <w:ind w:left="2600" w:hanging="180"/>
      </w:pPr>
    </w:lvl>
    <w:lvl w:ilvl="3" w:tplc="C024BC62">
      <w:start w:val="1"/>
      <w:numFmt w:val="decimal"/>
      <w:lvlText w:val="%4."/>
      <w:lvlJc w:val="left"/>
      <w:pPr>
        <w:ind w:left="3320" w:hanging="360"/>
      </w:pPr>
    </w:lvl>
    <w:lvl w:ilvl="4" w:tplc="7A9E79B0">
      <w:start w:val="1"/>
      <w:numFmt w:val="lowerLetter"/>
      <w:lvlText w:val="%5."/>
      <w:lvlJc w:val="left"/>
      <w:pPr>
        <w:ind w:left="4040" w:hanging="360"/>
      </w:pPr>
    </w:lvl>
    <w:lvl w:ilvl="5" w:tplc="C3C6208E">
      <w:start w:val="1"/>
      <w:numFmt w:val="lowerRoman"/>
      <w:lvlText w:val="%6."/>
      <w:lvlJc w:val="right"/>
      <w:pPr>
        <w:ind w:left="4760" w:hanging="180"/>
      </w:pPr>
    </w:lvl>
    <w:lvl w:ilvl="6" w:tplc="2F6A42A2">
      <w:start w:val="1"/>
      <w:numFmt w:val="decimal"/>
      <w:lvlText w:val="%7."/>
      <w:lvlJc w:val="left"/>
      <w:pPr>
        <w:ind w:left="5480" w:hanging="360"/>
      </w:pPr>
    </w:lvl>
    <w:lvl w:ilvl="7" w:tplc="AB9E4912">
      <w:start w:val="1"/>
      <w:numFmt w:val="lowerLetter"/>
      <w:lvlText w:val="%8."/>
      <w:lvlJc w:val="left"/>
      <w:pPr>
        <w:ind w:left="6200" w:hanging="360"/>
      </w:pPr>
    </w:lvl>
    <w:lvl w:ilvl="8" w:tplc="A48E6EA6">
      <w:start w:val="1"/>
      <w:numFmt w:val="lowerRoman"/>
      <w:lvlText w:val="%9."/>
      <w:lvlJc w:val="right"/>
      <w:pPr>
        <w:ind w:left="6920" w:hanging="180"/>
      </w:pPr>
    </w:lvl>
  </w:abstractNum>
  <w:abstractNum w:abstractNumId="12" w15:restartNumberingAfterBreak="0">
    <w:nsid w:val="4FE70B62"/>
    <w:multiLevelType w:val="hybridMultilevel"/>
    <w:tmpl w:val="ADA8711E"/>
    <w:lvl w:ilvl="0" w:tplc="FB548E4E">
      <w:start w:val="1"/>
      <w:numFmt w:val="hebrew1"/>
      <w:pStyle w:val="Ruller40"/>
      <w:lvlText w:val="%1."/>
      <w:lvlJc w:val="left"/>
      <w:pPr>
        <w:tabs>
          <w:tab w:val="num" w:pos="907"/>
        </w:tabs>
        <w:ind w:left="0" w:firstLine="0"/>
      </w:pPr>
      <w:rPr>
        <w:rFonts w:hint="default"/>
      </w:rPr>
    </w:lvl>
    <w:lvl w:ilvl="1" w:tplc="B5A4D0B6" w:tentative="1">
      <w:start w:val="1"/>
      <w:numFmt w:val="lowerLetter"/>
      <w:lvlText w:val="%2."/>
      <w:lvlJc w:val="left"/>
      <w:pPr>
        <w:tabs>
          <w:tab w:val="num" w:pos="1440"/>
        </w:tabs>
        <w:ind w:left="1440" w:hanging="360"/>
      </w:pPr>
    </w:lvl>
    <w:lvl w:ilvl="2" w:tplc="6FEC40D0" w:tentative="1">
      <w:start w:val="1"/>
      <w:numFmt w:val="lowerRoman"/>
      <w:lvlText w:val="%3."/>
      <w:lvlJc w:val="right"/>
      <w:pPr>
        <w:tabs>
          <w:tab w:val="num" w:pos="2160"/>
        </w:tabs>
        <w:ind w:left="2160" w:hanging="180"/>
      </w:pPr>
    </w:lvl>
    <w:lvl w:ilvl="3" w:tplc="FCAE5412" w:tentative="1">
      <w:start w:val="1"/>
      <w:numFmt w:val="decimal"/>
      <w:lvlText w:val="%4."/>
      <w:lvlJc w:val="left"/>
      <w:pPr>
        <w:tabs>
          <w:tab w:val="num" w:pos="2880"/>
        </w:tabs>
        <w:ind w:left="2880" w:hanging="360"/>
      </w:pPr>
    </w:lvl>
    <w:lvl w:ilvl="4" w:tplc="8C8C463E" w:tentative="1">
      <w:start w:val="1"/>
      <w:numFmt w:val="lowerLetter"/>
      <w:lvlText w:val="%5."/>
      <w:lvlJc w:val="left"/>
      <w:pPr>
        <w:tabs>
          <w:tab w:val="num" w:pos="3600"/>
        </w:tabs>
        <w:ind w:left="3600" w:hanging="360"/>
      </w:pPr>
    </w:lvl>
    <w:lvl w:ilvl="5" w:tplc="0A3285D2" w:tentative="1">
      <w:start w:val="1"/>
      <w:numFmt w:val="lowerRoman"/>
      <w:lvlText w:val="%6."/>
      <w:lvlJc w:val="right"/>
      <w:pPr>
        <w:tabs>
          <w:tab w:val="num" w:pos="4320"/>
        </w:tabs>
        <w:ind w:left="4320" w:hanging="180"/>
      </w:pPr>
    </w:lvl>
    <w:lvl w:ilvl="6" w:tplc="5FB633F6" w:tentative="1">
      <w:start w:val="1"/>
      <w:numFmt w:val="decimal"/>
      <w:lvlText w:val="%7."/>
      <w:lvlJc w:val="left"/>
      <w:pPr>
        <w:tabs>
          <w:tab w:val="num" w:pos="5040"/>
        </w:tabs>
        <w:ind w:left="5040" w:hanging="360"/>
      </w:pPr>
    </w:lvl>
    <w:lvl w:ilvl="7" w:tplc="F1283BDE" w:tentative="1">
      <w:start w:val="1"/>
      <w:numFmt w:val="lowerLetter"/>
      <w:lvlText w:val="%8."/>
      <w:lvlJc w:val="left"/>
      <w:pPr>
        <w:tabs>
          <w:tab w:val="num" w:pos="5760"/>
        </w:tabs>
        <w:ind w:left="5760" w:hanging="360"/>
      </w:pPr>
    </w:lvl>
    <w:lvl w:ilvl="8" w:tplc="0DBC555E" w:tentative="1">
      <w:start w:val="1"/>
      <w:numFmt w:val="lowerRoman"/>
      <w:lvlText w:val="%9."/>
      <w:lvlJc w:val="right"/>
      <w:pPr>
        <w:tabs>
          <w:tab w:val="num" w:pos="6480"/>
        </w:tabs>
        <w:ind w:left="6480" w:hanging="180"/>
      </w:pPr>
    </w:lvl>
  </w:abstractNum>
  <w:abstractNum w:abstractNumId="13" w15:restartNumberingAfterBreak="0">
    <w:nsid w:val="6FC23C02"/>
    <w:multiLevelType w:val="hybridMultilevel"/>
    <w:tmpl w:val="298661E2"/>
    <w:lvl w:ilvl="0" w:tplc="B3426236">
      <w:start w:val="1"/>
      <w:numFmt w:val="decimal"/>
      <w:lvlText w:val="%1."/>
      <w:lvlJc w:val="left"/>
      <w:pPr>
        <w:ind w:left="0" w:firstLine="0"/>
      </w:pPr>
      <w:rPr>
        <w:rFonts w:ascii="Century" w:hAnsi="Century" w:hint="default"/>
        <w:color w:val="auto"/>
        <w:sz w:val="28"/>
        <w:szCs w:val="28"/>
        <w:lang w:val="en-US" w:bidi="he-IL"/>
      </w:rPr>
    </w:lvl>
    <w:lvl w:ilvl="1" w:tplc="149624C6">
      <w:start w:val="1"/>
      <w:numFmt w:val="hebrew1"/>
      <w:lvlText w:val="%2."/>
      <w:lvlJc w:val="center"/>
      <w:pPr>
        <w:ind w:left="1080" w:hanging="360"/>
      </w:pPr>
    </w:lvl>
    <w:lvl w:ilvl="2" w:tplc="2696A95A" w:tentative="1">
      <w:start w:val="1"/>
      <w:numFmt w:val="lowerRoman"/>
      <w:lvlText w:val="%3."/>
      <w:lvlJc w:val="right"/>
      <w:pPr>
        <w:ind w:left="1800" w:hanging="180"/>
      </w:pPr>
    </w:lvl>
    <w:lvl w:ilvl="3" w:tplc="8830062C" w:tentative="1">
      <w:start w:val="1"/>
      <w:numFmt w:val="decimal"/>
      <w:lvlText w:val="%4."/>
      <w:lvlJc w:val="left"/>
      <w:pPr>
        <w:ind w:left="2520" w:hanging="360"/>
      </w:pPr>
    </w:lvl>
    <w:lvl w:ilvl="4" w:tplc="3C8AFF10" w:tentative="1">
      <w:start w:val="1"/>
      <w:numFmt w:val="lowerLetter"/>
      <w:lvlText w:val="%5."/>
      <w:lvlJc w:val="left"/>
      <w:pPr>
        <w:ind w:left="3240" w:hanging="360"/>
      </w:pPr>
    </w:lvl>
    <w:lvl w:ilvl="5" w:tplc="C568A0BC" w:tentative="1">
      <w:start w:val="1"/>
      <w:numFmt w:val="lowerRoman"/>
      <w:lvlText w:val="%6."/>
      <w:lvlJc w:val="right"/>
      <w:pPr>
        <w:ind w:left="3960" w:hanging="180"/>
      </w:pPr>
    </w:lvl>
    <w:lvl w:ilvl="6" w:tplc="C1DEF12C" w:tentative="1">
      <w:start w:val="1"/>
      <w:numFmt w:val="decimal"/>
      <w:lvlText w:val="%7."/>
      <w:lvlJc w:val="left"/>
      <w:pPr>
        <w:ind w:left="4680" w:hanging="360"/>
      </w:pPr>
    </w:lvl>
    <w:lvl w:ilvl="7" w:tplc="CD68A882" w:tentative="1">
      <w:start w:val="1"/>
      <w:numFmt w:val="lowerLetter"/>
      <w:lvlText w:val="%8."/>
      <w:lvlJc w:val="left"/>
      <w:pPr>
        <w:ind w:left="5400" w:hanging="360"/>
      </w:pPr>
    </w:lvl>
    <w:lvl w:ilvl="8" w:tplc="2D00BE8A"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90DE8"/>
    <w:rsid w:val="000B1478"/>
    <w:rsid w:val="000C4690"/>
    <w:rsid w:val="000D25C4"/>
    <w:rsid w:val="00124C8D"/>
    <w:rsid w:val="00134A67"/>
    <w:rsid w:val="00160F17"/>
    <w:rsid w:val="001614FF"/>
    <w:rsid w:val="00166E17"/>
    <w:rsid w:val="00193821"/>
    <w:rsid w:val="001A0164"/>
    <w:rsid w:val="001A61F8"/>
    <w:rsid w:val="001B7680"/>
    <w:rsid w:val="00200D6B"/>
    <w:rsid w:val="00235B89"/>
    <w:rsid w:val="002564A7"/>
    <w:rsid w:val="00265F6E"/>
    <w:rsid w:val="002876BF"/>
    <w:rsid w:val="002A4A7A"/>
    <w:rsid w:val="002A4BF3"/>
    <w:rsid w:val="002C2582"/>
    <w:rsid w:val="002F7BB6"/>
    <w:rsid w:val="003448B2"/>
    <w:rsid w:val="00361DB2"/>
    <w:rsid w:val="0037622E"/>
    <w:rsid w:val="00377102"/>
    <w:rsid w:val="00383E97"/>
    <w:rsid w:val="0039709B"/>
    <w:rsid w:val="003D72DA"/>
    <w:rsid w:val="003F1F97"/>
    <w:rsid w:val="004064A9"/>
    <w:rsid w:val="0041048F"/>
    <w:rsid w:val="00431743"/>
    <w:rsid w:val="00437D59"/>
    <w:rsid w:val="004610A4"/>
    <w:rsid w:val="00484224"/>
    <w:rsid w:val="004B29FF"/>
    <w:rsid w:val="004C7868"/>
    <w:rsid w:val="004E6B0B"/>
    <w:rsid w:val="00503A3E"/>
    <w:rsid w:val="00527F02"/>
    <w:rsid w:val="00562C87"/>
    <w:rsid w:val="005803E2"/>
    <w:rsid w:val="0058440A"/>
    <w:rsid w:val="00591983"/>
    <w:rsid w:val="005F620C"/>
    <w:rsid w:val="00624A42"/>
    <w:rsid w:val="00631D42"/>
    <w:rsid w:val="00634D15"/>
    <w:rsid w:val="006440AD"/>
    <w:rsid w:val="0065522F"/>
    <w:rsid w:val="00660696"/>
    <w:rsid w:val="0069728A"/>
    <w:rsid w:val="006A30F7"/>
    <w:rsid w:val="006C42AD"/>
    <w:rsid w:val="006D2B29"/>
    <w:rsid w:val="006E2351"/>
    <w:rsid w:val="00725345"/>
    <w:rsid w:val="00741CC0"/>
    <w:rsid w:val="007B512F"/>
    <w:rsid w:val="007B52FB"/>
    <w:rsid w:val="007F17E6"/>
    <w:rsid w:val="007F7512"/>
    <w:rsid w:val="0080742B"/>
    <w:rsid w:val="00810894"/>
    <w:rsid w:val="008143AB"/>
    <w:rsid w:val="0083345F"/>
    <w:rsid w:val="00833A8E"/>
    <w:rsid w:val="00836667"/>
    <w:rsid w:val="008B2839"/>
    <w:rsid w:val="008C2F11"/>
    <w:rsid w:val="008D78B9"/>
    <w:rsid w:val="008E3F85"/>
    <w:rsid w:val="008F2E08"/>
    <w:rsid w:val="008F4516"/>
    <w:rsid w:val="009051E8"/>
    <w:rsid w:val="00914156"/>
    <w:rsid w:val="00916FF8"/>
    <w:rsid w:val="00922093"/>
    <w:rsid w:val="00930C85"/>
    <w:rsid w:val="009344C5"/>
    <w:rsid w:val="00982F71"/>
    <w:rsid w:val="0098750B"/>
    <w:rsid w:val="009B38DA"/>
    <w:rsid w:val="009F2F53"/>
    <w:rsid w:val="009F4187"/>
    <w:rsid w:val="00A12E0F"/>
    <w:rsid w:val="00A466E9"/>
    <w:rsid w:val="00A51FAE"/>
    <w:rsid w:val="00A7645B"/>
    <w:rsid w:val="00A80845"/>
    <w:rsid w:val="00A855A1"/>
    <w:rsid w:val="00A933B3"/>
    <w:rsid w:val="00AB69F7"/>
    <w:rsid w:val="00AD097B"/>
    <w:rsid w:val="00AD64B9"/>
    <w:rsid w:val="00AE022B"/>
    <w:rsid w:val="00B009CC"/>
    <w:rsid w:val="00B0782A"/>
    <w:rsid w:val="00B62B8C"/>
    <w:rsid w:val="00B63343"/>
    <w:rsid w:val="00B87FF7"/>
    <w:rsid w:val="00BA0B08"/>
    <w:rsid w:val="00BA69D6"/>
    <w:rsid w:val="00BB0A67"/>
    <w:rsid w:val="00BC0E82"/>
    <w:rsid w:val="00BD40F9"/>
    <w:rsid w:val="00BF2BA0"/>
    <w:rsid w:val="00C1675A"/>
    <w:rsid w:val="00C41C86"/>
    <w:rsid w:val="00C607E3"/>
    <w:rsid w:val="00C63A6C"/>
    <w:rsid w:val="00C65B55"/>
    <w:rsid w:val="00C93AD8"/>
    <w:rsid w:val="00CA13AF"/>
    <w:rsid w:val="00CA1444"/>
    <w:rsid w:val="00CB1590"/>
    <w:rsid w:val="00CB7600"/>
    <w:rsid w:val="00CC0E9D"/>
    <w:rsid w:val="00CC3639"/>
    <w:rsid w:val="00CC4B0E"/>
    <w:rsid w:val="00D00B1D"/>
    <w:rsid w:val="00D00CB7"/>
    <w:rsid w:val="00D0561D"/>
    <w:rsid w:val="00D06FF1"/>
    <w:rsid w:val="00D25F16"/>
    <w:rsid w:val="00D26671"/>
    <w:rsid w:val="00D34CFE"/>
    <w:rsid w:val="00D54C92"/>
    <w:rsid w:val="00DA13B1"/>
    <w:rsid w:val="00E21CA9"/>
    <w:rsid w:val="00E31063"/>
    <w:rsid w:val="00E36FE9"/>
    <w:rsid w:val="00E73E98"/>
    <w:rsid w:val="00E75223"/>
    <w:rsid w:val="00E90D72"/>
    <w:rsid w:val="00E97146"/>
    <w:rsid w:val="00EA0BE1"/>
    <w:rsid w:val="00EC23AC"/>
    <w:rsid w:val="00EC2992"/>
    <w:rsid w:val="00ED46A4"/>
    <w:rsid w:val="00ED6FD9"/>
    <w:rsid w:val="00EE3810"/>
    <w:rsid w:val="00F10F35"/>
    <w:rsid w:val="00F54C94"/>
    <w:rsid w:val="00F63C3B"/>
    <w:rsid w:val="00F6644C"/>
    <w:rsid w:val="00F76B56"/>
    <w:rsid w:val="00F959DB"/>
    <w:rsid w:val="00FA49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23CD25-825C-4E82-9AC6-B9F0FC4A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1"/>
    <w:next w:val="Ruller41"/>
    <w:link w:val="Ruller42"/>
    <w:rsid w:val="007B52FB"/>
    <w:pPr>
      <w:numPr>
        <w:numId w:val="11"/>
      </w:numPr>
    </w:pPr>
    <w:rPr>
      <w:rFonts w:ascii="Garamond" w:hAnsi="Garamond"/>
      <w:sz w:val="24"/>
    </w:rPr>
  </w:style>
  <w:style w:type="paragraph" w:customStyle="1" w:styleId="Ruller40">
    <w:name w:val="Ruller4 אלפביתי"/>
    <w:basedOn w:val="Ruller41"/>
    <w:next w:val="Ruller41"/>
    <w:rsid w:val="007B52FB"/>
    <w:pPr>
      <w:numPr>
        <w:numId w:val="12"/>
      </w:numPr>
    </w:pPr>
  </w:style>
  <w:style w:type="character" w:customStyle="1" w:styleId="apple-converted-space">
    <w:name w:val="apple-converted-space"/>
    <w:rsid w:val="007B52FB"/>
  </w:style>
  <w:style w:type="character" w:styleId="ae">
    <w:name w:val="Emphasis"/>
    <w:uiPriority w:val="20"/>
    <w:qFormat/>
    <w:rsid w:val="007B52FB"/>
    <w:rPr>
      <w:i/>
      <w:iCs/>
    </w:rPr>
  </w:style>
  <w:style w:type="character" w:customStyle="1" w:styleId="default">
    <w:name w:val="default"/>
    <w:basedOn w:val="a0"/>
    <w:rsid w:val="007B52FB"/>
  </w:style>
  <w:style w:type="paragraph" w:styleId="af">
    <w:name w:val="Revision"/>
    <w:hidden/>
    <w:uiPriority w:val="99"/>
    <w:semiHidden/>
    <w:rsid w:val="007B52FB"/>
    <w:rPr>
      <w:rFonts w:ascii="Century" w:hAnsi="Century" w:cs="FrankRuehl"/>
      <w:spacing w:val="10"/>
      <w:szCs w:val="28"/>
    </w:rPr>
  </w:style>
  <w:style w:type="character" w:customStyle="1" w:styleId="Ruller42">
    <w:name w:val="Ruller 4 ממוספר תו"/>
    <w:link w:val="Ruller4"/>
    <w:rsid w:val="00D26671"/>
    <w:rPr>
      <w:rFonts w:ascii="Garamond" w:hAnsi="Garamond" w:cs="FrankRuehl"/>
      <w:spacing w:val="10"/>
      <w:sz w:val="24"/>
      <w:szCs w:val="28"/>
    </w:rPr>
  </w:style>
  <w:style w:type="character" w:customStyle="1" w:styleId="Ruller50">
    <w:name w:val="Ruller5 תו"/>
    <w:link w:val="Ruller5"/>
    <w:locked/>
    <w:rsid w:val="00D26671"/>
    <w:rPr>
      <w:rFonts w:ascii="Arial TUR" w:hAnsi="Arial TUR" w:cs="FrankRuehl"/>
      <w:spacing w:val="10"/>
      <w:sz w:val="22"/>
      <w:szCs w:val="28"/>
    </w:rPr>
  </w:style>
  <w:style w:type="paragraph" w:styleId="af0">
    <w:name w:val="List Paragraph"/>
    <w:basedOn w:val="a"/>
    <w:uiPriority w:val="34"/>
    <w:qFormat/>
    <w:rsid w:val="00090DE8"/>
    <w:pPr>
      <w:overflowPunct/>
      <w:autoSpaceDE/>
      <w:autoSpaceDN/>
      <w:bidi w:val="0"/>
      <w:adjustRightInd/>
      <w:spacing w:after="160" w:line="259" w:lineRule="auto"/>
      <w:ind w:left="720"/>
      <w:contextualSpacing/>
      <w:textAlignment w:val="auto"/>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15DEC-6EEE-4357-86DF-7BDA083A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9933</Words>
  <Characters>47018</Characters>
  <Application>Microsoft Office Word</Application>
  <DocSecurity>0</DocSecurity>
  <Lines>1068</Lines>
  <Paragraphs>164</Paragraphs>
  <ScaleCrop>false</ScaleCrop>
  <HeadingPairs>
    <vt:vector size="2" baseType="variant">
      <vt:variant>
        <vt:lpstr>שם</vt:lpstr>
      </vt:variant>
      <vt:variant>
        <vt:i4>1</vt:i4>
      </vt:variant>
    </vt:vector>
  </HeadingPairs>
  <TitlesOfParts>
    <vt:vector size="1" baseType="lpstr">
      <vt:lpstr>פסק-דין בתיק ע"א  3012/18</vt:lpstr>
    </vt:vector>
  </TitlesOfParts>
  <Company/>
  <LinksUpToDate>false</LinksUpToDate>
  <CharactersWithSpaces>56787</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2019-07-04T11:02:45Z</cp:lastPrinted>
  <dcterms:created xsi:type="dcterms:W3CDTF">2019-07-04T11:02:45Z</dcterms:created>
  <dcterms:modified xsi:type="dcterms:W3CDTF">2019-07-04T11:02:45Z</dcterms:modified>
</cp:coreProperties>
</file>