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bookmarkStart w:id="0" w:name="_GoBack"/>
      <w:bookmarkEnd w:id="0"/>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481214"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481214">
            <w:pPr>
              <w:pStyle w:val="FileNumber"/>
              <w:rPr>
                <w:sz w:val="28"/>
                <w:szCs w:val="28"/>
              </w:rPr>
            </w:pPr>
            <w:bookmarkStart w:id="1" w:name="casename_body"/>
            <w:r>
              <w:rPr>
                <w:sz w:val="28"/>
                <w:szCs w:val="28"/>
                <w:rtl/>
              </w:rPr>
              <w:t>ע"א  5369/18</w:t>
            </w:r>
          </w:p>
        </w:tc>
      </w:tr>
      <w:bookmarkEnd w:id="1"/>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481214">
            <w:pPr>
              <w:pStyle w:val="BodyRuller"/>
            </w:pPr>
            <w:r>
              <w:rPr>
                <w:rtl/>
              </w:rPr>
              <w:t>כבוד המשנה לנשיאה ח' מלצר</w:t>
            </w:r>
            <w:r w:rsidR="00800D31">
              <w:rPr>
                <w:rFonts w:hint="cs"/>
                <w:rtl/>
              </w:rPr>
              <w:t xml:space="preserve"> (</w:t>
            </w:r>
            <w:proofErr w:type="spellStart"/>
            <w:r w:rsidR="00800D31">
              <w:rPr>
                <w:rFonts w:hint="cs"/>
                <w:rtl/>
              </w:rPr>
              <w:t>בדימ</w:t>
            </w:r>
            <w:proofErr w:type="spellEnd"/>
            <w:r w:rsidR="00800D31">
              <w:rPr>
                <w:rFonts w:hint="cs"/>
                <w:rtl/>
              </w:rPr>
              <w:t>')</w:t>
            </w:r>
          </w:p>
        </w:tc>
      </w:tr>
      <w:tr w:rsidR="00481214" w:rsidTr="00EC23AC">
        <w:trPr>
          <w:trHeight w:val="287"/>
        </w:trPr>
        <w:tc>
          <w:tcPr>
            <w:tcW w:w="3261" w:type="dxa"/>
          </w:tcPr>
          <w:p w:rsidR="00481214" w:rsidRDefault="00481214">
            <w:pPr>
              <w:pStyle w:val="BodyRuller"/>
              <w:rPr>
                <w:rtl/>
              </w:rPr>
            </w:pPr>
          </w:p>
        </w:tc>
        <w:tc>
          <w:tcPr>
            <w:tcW w:w="5239" w:type="dxa"/>
          </w:tcPr>
          <w:p w:rsidR="00481214" w:rsidRDefault="00481214">
            <w:pPr>
              <w:pStyle w:val="BodyRuller"/>
              <w:rPr>
                <w:rtl/>
              </w:rPr>
            </w:pPr>
            <w:r>
              <w:rPr>
                <w:rtl/>
              </w:rPr>
              <w:t>כבוד השופט נ' סולברג</w:t>
            </w:r>
          </w:p>
        </w:tc>
      </w:tr>
      <w:tr w:rsidR="00481214" w:rsidTr="00EC23AC">
        <w:trPr>
          <w:trHeight w:val="287"/>
        </w:trPr>
        <w:tc>
          <w:tcPr>
            <w:tcW w:w="3261" w:type="dxa"/>
          </w:tcPr>
          <w:p w:rsidR="00481214" w:rsidRDefault="00481214">
            <w:pPr>
              <w:pStyle w:val="BodyRuller"/>
              <w:rPr>
                <w:rtl/>
              </w:rPr>
            </w:pPr>
          </w:p>
        </w:tc>
        <w:tc>
          <w:tcPr>
            <w:tcW w:w="5239" w:type="dxa"/>
          </w:tcPr>
          <w:p w:rsidR="00481214" w:rsidRDefault="00481214">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481214" w:rsidP="00DD6306">
            <w:pPr>
              <w:pStyle w:val="BodyRuller"/>
              <w:rPr>
                <w:rFonts w:ascii="David" w:hAnsi="David"/>
              </w:rPr>
            </w:pPr>
            <w:r>
              <w:rPr>
                <w:rFonts w:ascii="David" w:hAnsi="David"/>
                <w:rtl/>
              </w:rPr>
              <w:t>המערערים:</w:t>
            </w:r>
          </w:p>
        </w:tc>
        <w:tc>
          <w:tcPr>
            <w:tcW w:w="5239" w:type="dxa"/>
          </w:tcPr>
          <w:p w:rsidR="00D00CB7" w:rsidRDefault="00481214" w:rsidP="00DD6306">
            <w:pPr>
              <w:pStyle w:val="BodyRuller"/>
            </w:pPr>
            <w:r>
              <w:rPr>
                <w:rtl/>
              </w:rPr>
              <w:t>1. יהושע כץ</w:t>
            </w:r>
          </w:p>
        </w:tc>
      </w:tr>
      <w:tr w:rsidR="00481214" w:rsidTr="00DD6306">
        <w:trPr>
          <w:trHeight w:val="287"/>
        </w:trPr>
        <w:tc>
          <w:tcPr>
            <w:tcW w:w="3261" w:type="dxa"/>
          </w:tcPr>
          <w:p w:rsidR="00481214" w:rsidRDefault="00481214" w:rsidP="00DD6306">
            <w:pPr>
              <w:pStyle w:val="BodyRuller"/>
              <w:rPr>
                <w:rFonts w:ascii="David" w:hAnsi="David"/>
                <w:rtl/>
              </w:rPr>
            </w:pPr>
          </w:p>
        </w:tc>
        <w:tc>
          <w:tcPr>
            <w:tcW w:w="5239" w:type="dxa"/>
          </w:tcPr>
          <w:p w:rsidR="00481214" w:rsidRDefault="00481214" w:rsidP="00DD6306">
            <w:pPr>
              <w:pStyle w:val="BodyRuller"/>
              <w:rPr>
                <w:rtl/>
              </w:rPr>
            </w:pPr>
            <w:r>
              <w:rPr>
                <w:rtl/>
              </w:rPr>
              <w:t xml:space="preserve">2. צמל </w:t>
            </w:r>
            <w:proofErr w:type="spellStart"/>
            <w:r>
              <w:rPr>
                <w:rtl/>
              </w:rPr>
              <w:t>מדיקל</w:t>
            </w:r>
            <w:proofErr w:type="spellEnd"/>
            <w:r>
              <w:rPr>
                <w:rtl/>
              </w:rPr>
              <w:t xml:space="preserve"> בע"מ</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481214" w:rsidP="00DD6306">
            <w:pPr>
              <w:pStyle w:val="BodyRuller"/>
              <w:rPr>
                <w:rFonts w:ascii="David" w:hAnsi="David"/>
              </w:rPr>
            </w:pPr>
            <w:r>
              <w:rPr>
                <w:rFonts w:ascii="David" w:hAnsi="David"/>
                <w:rtl/>
              </w:rPr>
              <w:t>המשיבים:</w:t>
            </w:r>
          </w:p>
        </w:tc>
        <w:tc>
          <w:tcPr>
            <w:tcW w:w="5239" w:type="dxa"/>
          </w:tcPr>
          <w:p w:rsidR="0083345F" w:rsidRDefault="00481214" w:rsidP="00DD6306">
            <w:pPr>
              <w:pStyle w:val="BodyRuller"/>
            </w:pPr>
            <w:r>
              <w:rPr>
                <w:rtl/>
              </w:rPr>
              <w:t>1. פקיד שומה פתח תקוה</w:t>
            </w:r>
          </w:p>
        </w:tc>
      </w:tr>
      <w:tr w:rsidR="00481214" w:rsidTr="00DD6306">
        <w:trPr>
          <w:trHeight w:val="287"/>
        </w:trPr>
        <w:tc>
          <w:tcPr>
            <w:tcW w:w="3261" w:type="dxa"/>
          </w:tcPr>
          <w:p w:rsidR="00481214" w:rsidRDefault="00481214" w:rsidP="00DD6306">
            <w:pPr>
              <w:pStyle w:val="BodyRuller"/>
              <w:rPr>
                <w:rFonts w:ascii="David" w:hAnsi="David"/>
                <w:rtl/>
              </w:rPr>
            </w:pPr>
          </w:p>
        </w:tc>
        <w:tc>
          <w:tcPr>
            <w:tcW w:w="5239" w:type="dxa"/>
          </w:tcPr>
          <w:p w:rsidR="00481214" w:rsidRDefault="00481214" w:rsidP="00DD6306">
            <w:pPr>
              <w:pStyle w:val="BodyRuller"/>
              <w:rPr>
                <w:rtl/>
              </w:rPr>
            </w:pPr>
            <w:r>
              <w:rPr>
                <w:rtl/>
              </w:rPr>
              <w:t xml:space="preserve">2. </w:t>
            </w:r>
            <w:proofErr w:type="spellStart"/>
            <w:r>
              <w:rPr>
                <w:rtl/>
              </w:rPr>
              <w:t>צ.מ.ל</w:t>
            </w:r>
            <w:proofErr w:type="spellEnd"/>
            <w:r>
              <w:rPr>
                <w:rtl/>
              </w:rPr>
              <w:t xml:space="preserve">. </w:t>
            </w:r>
            <w:proofErr w:type="spellStart"/>
            <w:r>
              <w:rPr>
                <w:rtl/>
              </w:rPr>
              <w:t>יעקובסון</w:t>
            </w:r>
            <w:proofErr w:type="spellEnd"/>
            <w:r>
              <w:rPr>
                <w:rtl/>
              </w:rPr>
              <w:t xml:space="preserve">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481214" w:rsidP="00B05730">
            <w:pPr>
              <w:pStyle w:val="BodyRuller"/>
              <w:rPr>
                <w:sz w:val="24"/>
                <w:szCs w:val="24"/>
              </w:rPr>
            </w:pPr>
            <w:r>
              <w:rPr>
                <w:sz w:val="24"/>
                <w:szCs w:val="24"/>
                <w:rtl/>
              </w:rPr>
              <w:t xml:space="preserve">ערעור על פסק דינו של בית המשפט המחוזי מרכז-לוד </w:t>
            </w:r>
            <w:r w:rsidR="00B05730">
              <w:rPr>
                <w:rFonts w:hint="cs"/>
                <w:sz w:val="24"/>
                <w:szCs w:val="24"/>
                <w:rtl/>
              </w:rPr>
              <w:t xml:space="preserve">(השופט </w:t>
            </w:r>
            <w:r w:rsidR="00B05730" w:rsidRPr="00B05730">
              <w:rPr>
                <w:sz w:val="24"/>
                <w:szCs w:val="24"/>
                <w:rtl/>
              </w:rPr>
              <w:t>ש' בורנשטיין</w:t>
            </w:r>
            <w:r w:rsidR="00B05730">
              <w:rPr>
                <w:rFonts w:hint="cs"/>
                <w:sz w:val="24"/>
                <w:szCs w:val="24"/>
                <w:rtl/>
              </w:rPr>
              <w:t>) שניתן ביום</w:t>
            </w:r>
            <w:r>
              <w:rPr>
                <w:sz w:val="24"/>
                <w:szCs w:val="24"/>
                <w:rtl/>
              </w:rPr>
              <w:t xml:space="preserve"> </w:t>
            </w:r>
            <w:r w:rsidR="00B05730">
              <w:rPr>
                <w:rFonts w:hint="cs"/>
                <w:sz w:val="24"/>
                <w:szCs w:val="24"/>
                <w:rtl/>
              </w:rPr>
              <w:t>2.3.2018</w:t>
            </w:r>
            <w:r>
              <w:rPr>
                <w:sz w:val="24"/>
                <w:szCs w:val="24"/>
                <w:rtl/>
              </w:rPr>
              <w:t xml:space="preserve"> ב</w:t>
            </w:r>
            <w:r w:rsidR="00B05730" w:rsidRPr="00B05730">
              <w:rPr>
                <w:sz w:val="24"/>
                <w:szCs w:val="24"/>
                <w:rtl/>
              </w:rPr>
              <w:t>ע"מ 30290-01-13 ו</w:t>
            </w:r>
            <w:r w:rsidR="00F03505">
              <w:rPr>
                <w:rFonts w:hint="cs"/>
                <w:sz w:val="24"/>
                <w:szCs w:val="24"/>
                <w:rtl/>
              </w:rPr>
              <w:t>ב</w:t>
            </w:r>
            <w:r w:rsidR="00B05730" w:rsidRPr="00B05730">
              <w:rPr>
                <w:sz w:val="24"/>
                <w:szCs w:val="24"/>
                <w:rtl/>
              </w:rPr>
              <w:t>ע"מ 34660-02-15</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RPr="00B05730"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Pr="00B05730" w:rsidRDefault="00B05730">
            <w:pPr>
              <w:pStyle w:val="BodyRuller"/>
              <w:rPr>
                <w:sz w:val="24"/>
                <w:szCs w:val="24"/>
                <w:rtl/>
              </w:rPr>
            </w:pPr>
            <w:r w:rsidRPr="00B05730">
              <w:rPr>
                <w:rFonts w:hint="cs"/>
                <w:sz w:val="24"/>
                <w:szCs w:val="24"/>
                <w:rtl/>
              </w:rPr>
              <w:t xml:space="preserve">י"ב באדר </w:t>
            </w:r>
            <w:proofErr w:type="spellStart"/>
            <w:r w:rsidRPr="00B05730">
              <w:rPr>
                <w:rFonts w:hint="cs"/>
                <w:sz w:val="24"/>
                <w:szCs w:val="24"/>
                <w:rtl/>
              </w:rPr>
              <w:t>התש"ף</w:t>
            </w:r>
            <w:proofErr w:type="spellEnd"/>
            <w:r w:rsidR="008C2F11" w:rsidRPr="00B05730">
              <w:rPr>
                <w:sz w:val="24"/>
                <w:szCs w:val="24"/>
              </w:rPr>
              <w:t xml:space="preserve">       </w:t>
            </w:r>
          </w:p>
        </w:tc>
        <w:tc>
          <w:tcPr>
            <w:tcW w:w="2694" w:type="dxa"/>
            <w:tcBorders>
              <w:top w:val="nil"/>
              <w:left w:val="nil"/>
              <w:bottom w:val="nil"/>
              <w:right w:val="nil"/>
            </w:tcBorders>
          </w:tcPr>
          <w:p w:rsidR="008C2F11" w:rsidRPr="00B05730" w:rsidRDefault="00B05730" w:rsidP="00B05730">
            <w:pPr>
              <w:pStyle w:val="BodyRuller"/>
              <w:rPr>
                <w:sz w:val="24"/>
                <w:szCs w:val="24"/>
              </w:rPr>
            </w:pPr>
            <w:r w:rsidRPr="00B05730">
              <w:rPr>
                <w:rFonts w:hint="cs"/>
                <w:sz w:val="24"/>
                <w:szCs w:val="24"/>
                <w:rtl/>
              </w:rPr>
              <w:t>(8.3.2020)</w:t>
            </w:r>
            <w:r w:rsidR="00200D6B" w:rsidRPr="00B05730">
              <w:rPr>
                <w:sz w:val="24"/>
                <w:szCs w:val="24"/>
              </w:rPr>
              <w:t xml:space="preserve"> </w:t>
            </w:r>
          </w:p>
        </w:tc>
      </w:tr>
    </w:tbl>
    <w:p w:rsidR="00916FF8" w:rsidRDefault="00916FF8">
      <w:pPr>
        <w:tabs>
          <w:tab w:val="left" w:pos="2552"/>
        </w:tabs>
        <w:rPr>
          <w:rtl/>
        </w:rPr>
      </w:pPr>
    </w:p>
    <w:p w:rsidR="006063D5" w:rsidRPr="0009550C" w:rsidRDefault="006063D5" w:rsidP="00F03505">
      <w:pPr>
        <w:tabs>
          <w:tab w:val="left" w:pos="2552"/>
        </w:tabs>
        <w:rPr>
          <w:sz w:val="24"/>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4967"/>
      </w:tblGrid>
      <w:tr w:rsidR="00F03505" w:rsidRPr="008340B8" w:rsidTr="008340B8">
        <w:tc>
          <w:tcPr>
            <w:tcW w:w="3318" w:type="dxa"/>
            <w:tcBorders>
              <w:top w:val="nil"/>
              <w:left w:val="nil"/>
              <w:bottom w:val="nil"/>
              <w:right w:val="nil"/>
            </w:tcBorders>
            <w:hideMark/>
          </w:tcPr>
          <w:p w:rsidR="00F03505" w:rsidRPr="008340B8" w:rsidRDefault="00F03505" w:rsidP="00F77E1E">
            <w:pPr>
              <w:pStyle w:val="ruller31"/>
              <w:rPr>
                <w:sz w:val="28"/>
                <w:szCs w:val="28"/>
              </w:rPr>
            </w:pPr>
            <w:r w:rsidRPr="008340B8">
              <w:rPr>
                <w:sz w:val="28"/>
                <w:szCs w:val="28"/>
                <w:rtl/>
              </w:rPr>
              <w:t>בשם המערער 1:</w:t>
            </w:r>
          </w:p>
        </w:tc>
        <w:tc>
          <w:tcPr>
            <w:tcW w:w="4967" w:type="dxa"/>
            <w:tcBorders>
              <w:top w:val="nil"/>
              <w:left w:val="nil"/>
              <w:bottom w:val="nil"/>
              <w:right w:val="nil"/>
            </w:tcBorders>
            <w:hideMark/>
          </w:tcPr>
          <w:p w:rsidR="00BB3FEF" w:rsidRPr="008340B8" w:rsidRDefault="00BB3FEF" w:rsidP="00F77E1E">
            <w:pPr>
              <w:pStyle w:val="precasestyle"/>
              <w:ind w:right="0"/>
              <w:rPr>
                <w:rFonts w:cs="David"/>
                <w:sz w:val="28"/>
                <w:szCs w:val="28"/>
                <w:rtl/>
              </w:rPr>
            </w:pPr>
            <w:r w:rsidRPr="008340B8">
              <w:rPr>
                <w:rFonts w:cs="David"/>
                <w:sz w:val="28"/>
                <w:szCs w:val="28"/>
                <w:rtl/>
              </w:rPr>
              <w:t xml:space="preserve">עו"ד </w:t>
            </w:r>
            <w:r w:rsidR="00C6348D">
              <w:rPr>
                <w:rFonts w:cs="David" w:hint="cs"/>
                <w:sz w:val="28"/>
                <w:szCs w:val="28"/>
                <w:rtl/>
              </w:rPr>
              <w:t xml:space="preserve">ד"ר </w:t>
            </w:r>
            <w:r w:rsidRPr="008340B8">
              <w:rPr>
                <w:rFonts w:cs="David"/>
                <w:sz w:val="28"/>
                <w:szCs w:val="28"/>
                <w:rtl/>
              </w:rPr>
              <w:t>אמנון רפאל</w:t>
            </w:r>
          </w:p>
        </w:tc>
      </w:tr>
      <w:tr w:rsidR="00F03505" w:rsidRPr="008340B8" w:rsidTr="008340B8">
        <w:tc>
          <w:tcPr>
            <w:tcW w:w="3318" w:type="dxa"/>
            <w:tcBorders>
              <w:top w:val="nil"/>
              <w:left w:val="nil"/>
              <w:bottom w:val="nil"/>
              <w:right w:val="nil"/>
            </w:tcBorders>
          </w:tcPr>
          <w:p w:rsidR="006063D5" w:rsidRPr="008340B8" w:rsidRDefault="006063D5" w:rsidP="00F77E1E">
            <w:pPr>
              <w:pStyle w:val="ruller31"/>
              <w:rPr>
                <w:sz w:val="28"/>
                <w:szCs w:val="28"/>
                <w:rtl/>
              </w:rPr>
            </w:pPr>
          </w:p>
        </w:tc>
        <w:tc>
          <w:tcPr>
            <w:tcW w:w="4967" w:type="dxa"/>
            <w:tcBorders>
              <w:top w:val="nil"/>
              <w:left w:val="nil"/>
              <w:bottom w:val="nil"/>
              <w:right w:val="nil"/>
            </w:tcBorders>
          </w:tcPr>
          <w:p w:rsidR="00F03505" w:rsidRPr="008340B8" w:rsidRDefault="00F03505" w:rsidP="00F77E1E">
            <w:pPr>
              <w:pStyle w:val="precasestyle"/>
              <w:ind w:right="0"/>
              <w:rPr>
                <w:rFonts w:cs="David"/>
                <w:sz w:val="28"/>
                <w:szCs w:val="28"/>
                <w:rtl/>
              </w:rPr>
            </w:pPr>
          </w:p>
        </w:tc>
      </w:tr>
      <w:tr w:rsidR="00F03505" w:rsidRPr="008340B8" w:rsidTr="008340B8">
        <w:tc>
          <w:tcPr>
            <w:tcW w:w="3318" w:type="dxa"/>
            <w:tcBorders>
              <w:top w:val="nil"/>
              <w:left w:val="nil"/>
              <w:bottom w:val="nil"/>
              <w:right w:val="nil"/>
            </w:tcBorders>
            <w:hideMark/>
          </w:tcPr>
          <w:p w:rsidR="00F03505" w:rsidRPr="008340B8" w:rsidRDefault="00F03505" w:rsidP="00F77E1E">
            <w:pPr>
              <w:pStyle w:val="ruller31"/>
              <w:rPr>
                <w:sz w:val="28"/>
                <w:szCs w:val="28"/>
                <w:rtl/>
              </w:rPr>
            </w:pPr>
            <w:r w:rsidRPr="008340B8">
              <w:rPr>
                <w:sz w:val="28"/>
                <w:szCs w:val="28"/>
                <w:rtl/>
              </w:rPr>
              <w:t>בשם המערערת 2 ובשם המשיבה 2:</w:t>
            </w:r>
          </w:p>
        </w:tc>
        <w:tc>
          <w:tcPr>
            <w:tcW w:w="4967" w:type="dxa"/>
            <w:tcBorders>
              <w:top w:val="nil"/>
              <w:left w:val="nil"/>
              <w:bottom w:val="nil"/>
              <w:right w:val="nil"/>
            </w:tcBorders>
          </w:tcPr>
          <w:p w:rsidR="00F03505" w:rsidRPr="008340B8" w:rsidRDefault="00F03505" w:rsidP="00F77E1E">
            <w:pPr>
              <w:pStyle w:val="precasestyle"/>
              <w:ind w:right="0"/>
              <w:rPr>
                <w:rFonts w:cs="David"/>
                <w:sz w:val="28"/>
                <w:szCs w:val="28"/>
                <w:rtl/>
              </w:rPr>
            </w:pPr>
            <w:r w:rsidRPr="008340B8">
              <w:rPr>
                <w:rFonts w:cs="David"/>
                <w:sz w:val="28"/>
                <w:szCs w:val="28"/>
                <w:rtl/>
              </w:rPr>
              <w:t>עו"ד אסף ששון; עו"ד שלומי לזר</w:t>
            </w:r>
          </w:p>
        </w:tc>
      </w:tr>
    </w:tbl>
    <w:p w:rsidR="00F03505" w:rsidRPr="00CB331C" w:rsidRDefault="00F03505" w:rsidP="00F03505">
      <w:pPr>
        <w:tabs>
          <w:tab w:val="left" w:pos="2552"/>
        </w:tabs>
        <w:rPr>
          <w:sz w:val="28"/>
          <w:szCs w:val="28"/>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4967"/>
      </w:tblGrid>
      <w:tr w:rsidR="00F03505" w:rsidRPr="008340B8" w:rsidTr="008340B8">
        <w:tc>
          <w:tcPr>
            <w:tcW w:w="3318" w:type="dxa"/>
            <w:tcBorders>
              <w:top w:val="nil"/>
              <w:left w:val="nil"/>
              <w:bottom w:val="nil"/>
              <w:right w:val="nil"/>
            </w:tcBorders>
            <w:hideMark/>
          </w:tcPr>
          <w:p w:rsidR="00F03505" w:rsidRPr="008340B8" w:rsidRDefault="00F03505" w:rsidP="00F77E1E">
            <w:pPr>
              <w:pStyle w:val="ruller31"/>
              <w:rPr>
                <w:sz w:val="28"/>
                <w:szCs w:val="28"/>
                <w:rtl/>
              </w:rPr>
            </w:pPr>
            <w:bookmarkStart w:id="2" w:name="lawyers_b_title"/>
            <w:r w:rsidRPr="008340B8">
              <w:rPr>
                <w:sz w:val="28"/>
                <w:szCs w:val="28"/>
                <w:rtl/>
              </w:rPr>
              <w:t>בשם המשיב</w:t>
            </w:r>
            <w:r w:rsidRPr="008340B8">
              <w:rPr>
                <w:rFonts w:hint="cs"/>
                <w:sz w:val="28"/>
                <w:szCs w:val="28"/>
                <w:rtl/>
              </w:rPr>
              <w:t xml:space="preserve"> 1</w:t>
            </w:r>
            <w:r w:rsidRPr="008340B8">
              <w:rPr>
                <w:sz w:val="28"/>
                <w:szCs w:val="28"/>
                <w:rtl/>
              </w:rPr>
              <w:t>:</w:t>
            </w:r>
          </w:p>
        </w:tc>
        <w:tc>
          <w:tcPr>
            <w:tcW w:w="4967" w:type="dxa"/>
            <w:tcBorders>
              <w:top w:val="nil"/>
              <w:left w:val="nil"/>
              <w:bottom w:val="nil"/>
              <w:right w:val="nil"/>
            </w:tcBorders>
            <w:hideMark/>
          </w:tcPr>
          <w:p w:rsidR="00F03505" w:rsidRPr="008340B8" w:rsidRDefault="00F03505" w:rsidP="00F77E1E">
            <w:pPr>
              <w:pStyle w:val="precasestyle"/>
              <w:ind w:right="0"/>
              <w:rPr>
                <w:rFonts w:cs="David"/>
                <w:sz w:val="28"/>
                <w:szCs w:val="28"/>
              </w:rPr>
            </w:pPr>
            <w:r w:rsidRPr="008340B8">
              <w:rPr>
                <w:rFonts w:cs="David"/>
                <w:sz w:val="28"/>
                <w:szCs w:val="28"/>
                <w:rtl/>
              </w:rPr>
              <w:t xml:space="preserve">עו"ד יורם </w:t>
            </w:r>
            <w:proofErr w:type="spellStart"/>
            <w:r w:rsidRPr="008340B8">
              <w:rPr>
                <w:rFonts w:cs="David"/>
                <w:sz w:val="28"/>
                <w:szCs w:val="28"/>
                <w:rtl/>
              </w:rPr>
              <w:t>הירשברג</w:t>
            </w:r>
            <w:proofErr w:type="spellEnd"/>
          </w:p>
        </w:tc>
        <w:bookmarkEnd w:id="2"/>
      </w:tr>
    </w:tbl>
    <w:p w:rsidR="00F03505" w:rsidRPr="0009550C" w:rsidRDefault="00F03505" w:rsidP="00F03505">
      <w:pPr>
        <w:tabs>
          <w:tab w:val="left" w:pos="2552"/>
        </w:tabs>
        <w:rPr>
          <w:sz w:val="24"/>
          <w:rtl/>
        </w:rPr>
      </w:pPr>
    </w:p>
    <w:p w:rsidR="00F03505" w:rsidRPr="0009550C" w:rsidRDefault="00F03505" w:rsidP="00F03505">
      <w:pPr>
        <w:tabs>
          <w:tab w:val="left" w:pos="2552"/>
        </w:tabs>
        <w:rPr>
          <w:sz w:val="24"/>
          <w:rtl/>
        </w:rPr>
      </w:pPr>
    </w:p>
    <w:tbl>
      <w:tblPr>
        <w:bidiVisual/>
        <w:tblW w:w="8363" w:type="dxa"/>
        <w:tblLook w:val="0000" w:firstRow="0" w:lastRow="0" w:firstColumn="0" w:lastColumn="0" w:noHBand="0" w:noVBand="0"/>
      </w:tblPr>
      <w:tblGrid>
        <w:gridCol w:w="8363"/>
      </w:tblGrid>
      <w:tr w:rsidR="00036227" w:rsidTr="00F03505">
        <w:tc>
          <w:tcPr>
            <w:tcW w:w="8363" w:type="dxa"/>
          </w:tcPr>
          <w:p w:rsidR="00916FF8" w:rsidRDefault="00481214">
            <w:pPr>
              <w:pStyle w:val="DocumentHead"/>
            </w:pPr>
            <w:bookmarkStart w:id="3" w:name="secretary"/>
            <w:bookmarkStart w:id="4" w:name="BeginProtocol"/>
            <w:bookmarkEnd w:id="3"/>
            <w:bookmarkEnd w:id="4"/>
            <w:r>
              <w:rPr>
                <w:rtl/>
              </w:rPr>
              <w:t>פסק-דין</w:t>
            </w:r>
          </w:p>
        </w:tc>
      </w:tr>
    </w:tbl>
    <w:p w:rsidR="0065522F" w:rsidRDefault="0065522F">
      <w:pPr>
        <w:pStyle w:val="BODYVERDICT"/>
      </w:pPr>
    </w:p>
    <w:p w:rsidR="00916FF8" w:rsidRPr="00503A3E" w:rsidRDefault="00481214">
      <w:pPr>
        <w:pStyle w:val="BODYVERDICT"/>
        <w:rPr>
          <w:rFonts w:cs="Miriam"/>
          <w:sz w:val="24"/>
          <w:szCs w:val="24"/>
          <w:u w:val="single"/>
          <w:rtl/>
        </w:rPr>
      </w:pPr>
      <w:bookmarkStart w:id="5" w:name="Writer_Name"/>
      <w:bookmarkEnd w:id="5"/>
      <w:r>
        <w:rPr>
          <w:rFonts w:cs="Miriam"/>
          <w:sz w:val="24"/>
          <w:szCs w:val="24"/>
          <w:u w:val="single"/>
          <w:rtl/>
        </w:rPr>
        <w:t>השופט א' שטיין:</w:t>
      </w:r>
    </w:p>
    <w:p w:rsidR="000B1478" w:rsidRDefault="000B1478" w:rsidP="00A51FAE">
      <w:pPr>
        <w:pStyle w:val="Ruller41"/>
        <w:rPr>
          <w:rtl/>
        </w:rPr>
      </w:pPr>
      <w:bookmarkStart w:id="6" w:name="Start_Write"/>
      <w:bookmarkEnd w:id="6"/>
    </w:p>
    <w:p w:rsidR="00B05730" w:rsidRPr="00B62245" w:rsidRDefault="00B05730" w:rsidP="00B05730">
      <w:pPr>
        <w:pStyle w:val="Ruller41"/>
        <w:rPr>
          <w:rFonts w:ascii="Century" w:hAnsi="Century" w:cs="Miriam"/>
          <w:b/>
          <w:spacing w:val="0"/>
          <w:szCs w:val="24"/>
          <w:rtl/>
        </w:rPr>
      </w:pPr>
      <w:r w:rsidRPr="00B62245">
        <w:rPr>
          <w:rFonts w:ascii="Century" w:hAnsi="Century" w:cs="Miriam" w:hint="cs"/>
          <w:b/>
          <w:spacing w:val="0"/>
          <w:szCs w:val="24"/>
          <w:rtl/>
        </w:rPr>
        <w:t>נושא הערעור</w:t>
      </w:r>
    </w:p>
    <w:p w:rsidR="00B05730" w:rsidRDefault="00B05730" w:rsidP="00B05730">
      <w:pPr>
        <w:pStyle w:val="Ruller41"/>
        <w:rPr>
          <w:b/>
          <w:bCs/>
          <w:u w:val="single"/>
          <w:rtl/>
        </w:rPr>
      </w:pPr>
    </w:p>
    <w:p w:rsidR="00B05730" w:rsidRDefault="00B05730" w:rsidP="00B05730">
      <w:pPr>
        <w:pStyle w:val="Ruller4"/>
      </w:pPr>
      <w:r>
        <w:rPr>
          <w:rFonts w:hint="cs"/>
          <w:rtl/>
        </w:rPr>
        <w:t xml:space="preserve">מהו טיבו של תשלום המשולם על ידי יצרנו של מוצר לסוכן שבידו הסכם להפצתו הבלעדית של המוצר (להלן: </w:t>
      </w:r>
      <w:r w:rsidRPr="001B2903">
        <w:rPr>
          <w:rFonts w:ascii="Century" w:hAnsi="Century" w:cs="Miriam" w:hint="cs"/>
          <w:b/>
          <w:spacing w:val="0"/>
          <w:sz w:val="22"/>
          <w:szCs w:val="24"/>
          <w:rtl/>
        </w:rPr>
        <w:t>המפיץ</w:t>
      </w:r>
      <w:r>
        <w:rPr>
          <w:rFonts w:hint="cs"/>
          <w:rtl/>
        </w:rPr>
        <w:t xml:space="preserve">) בתמורה לקיצור תקופת ההתקשרות נשוא ההסכם? האם מדובר בהכנסה הונית, הצומחת ממכירתה של זכות ההפצה תמורת התשלום ששולם, אשר בגינה </w:t>
      </w:r>
      <w:proofErr w:type="spellStart"/>
      <w:r>
        <w:rPr>
          <w:rFonts w:hint="cs"/>
          <w:rtl/>
        </w:rPr>
        <w:t>יחוב</w:t>
      </w:r>
      <w:proofErr w:type="spellEnd"/>
      <w:r>
        <w:rPr>
          <w:rFonts w:hint="cs"/>
          <w:rtl/>
        </w:rPr>
        <w:t xml:space="preserve"> המפיץ במס רווחי הון, או שמא מדובר בהכנסה </w:t>
      </w:r>
      <w:proofErr w:type="spellStart"/>
      <w:r>
        <w:rPr>
          <w:rFonts w:hint="cs"/>
          <w:rtl/>
        </w:rPr>
        <w:lastRenderedPageBreak/>
        <w:t>פירותית</w:t>
      </w:r>
      <w:proofErr w:type="spellEnd"/>
      <w:r>
        <w:rPr>
          <w:rFonts w:hint="cs"/>
          <w:rtl/>
        </w:rPr>
        <w:t xml:space="preserve">, הצומחת מהתשלום בגין אובדן רווחים, אשר בגינה </w:t>
      </w:r>
      <w:proofErr w:type="spellStart"/>
      <w:r>
        <w:rPr>
          <w:rFonts w:hint="cs"/>
          <w:rtl/>
        </w:rPr>
        <w:t>יחוב</w:t>
      </w:r>
      <w:proofErr w:type="spellEnd"/>
      <w:r>
        <w:rPr>
          <w:rFonts w:hint="cs"/>
          <w:rtl/>
        </w:rPr>
        <w:t xml:space="preserve"> המפיץ במס הכנסה בהתאם למדרגות המס שחלות עליו? </w:t>
      </w:r>
    </w:p>
    <w:p w:rsidR="00B05730" w:rsidRDefault="00B05730" w:rsidP="00B05730">
      <w:pPr>
        <w:pStyle w:val="Ruller4"/>
        <w:numPr>
          <w:ilvl w:val="0"/>
          <w:numId w:val="0"/>
        </w:numPr>
        <w:rPr>
          <w:rtl/>
        </w:rPr>
      </w:pPr>
    </w:p>
    <w:p w:rsidR="00B05730" w:rsidRDefault="00B05730" w:rsidP="00B05730">
      <w:pPr>
        <w:pStyle w:val="Ruller4"/>
        <w:numPr>
          <w:ilvl w:val="0"/>
          <w:numId w:val="0"/>
        </w:numPr>
        <w:rPr>
          <w:rtl/>
        </w:rPr>
      </w:pPr>
      <w:r>
        <w:rPr>
          <w:rtl/>
        </w:rPr>
        <w:tab/>
      </w:r>
      <w:r>
        <w:rPr>
          <w:rFonts w:hint="cs"/>
          <w:rtl/>
        </w:rPr>
        <w:t>שאלה זו ניצבת לפנינו בגדרי הערעור הנוכחי.</w:t>
      </w:r>
    </w:p>
    <w:p w:rsidR="00B05730" w:rsidRDefault="00B05730" w:rsidP="00B05730">
      <w:pPr>
        <w:pStyle w:val="Ruller41"/>
        <w:rPr>
          <w:rtl/>
        </w:rPr>
      </w:pPr>
    </w:p>
    <w:p w:rsidR="00B05730" w:rsidRDefault="00B05730" w:rsidP="00B05730">
      <w:pPr>
        <w:pStyle w:val="Ruller4"/>
        <w:rPr>
          <w:rFonts w:ascii="Century" w:hAnsi="Century"/>
          <w:sz w:val="22"/>
          <w:rtl/>
        </w:rPr>
      </w:pPr>
      <w:r>
        <w:rPr>
          <w:rFonts w:hint="cs"/>
          <w:rtl/>
        </w:rPr>
        <w:tab/>
        <w:t xml:space="preserve">ערעור זה נסוב על פסק דינו של בית המשפט המחוזי מרכז-לוד (השופט </w:t>
      </w:r>
      <w:r>
        <w:rPr>
          <w:rFonts w:ascii="Century" w:hAnsi="Century" w:cs="Miriam" w:hint="cs"/>
          <w:b/>
          <w:spacing w:val="0"/>
          <w:sz w:val="22"/>
          <w:szCs w:val="24"/>
          <w:rtl/>
        </w:rPr>
        <w:t>ש' בורנשטיין</w:t>
      </w:r>
      <w:r>
        <w:rPr>
          <w:rFonts w:ascii="Century" w:hAnsi="Century" w:hint="cs"/>
          <w:sz w:val="22"/>
          <w:rtl/>
        </w:rPr>
        <w:t xml:space="preserve">) מיום 2.3.2018 אשר </w:t>
      </w:r>
      <w:r>
        <w:rPr>
          <w:rFonts w:hint="cs"/>
          <w:rtl/>
        </w:rPr>
        <w:t xml:space="preserve">ניתן במאוחד בשני ערעורי שומה: ע"מ 30290-01-13 וע"מ 34660-02-15. </w:t>
      </w:r>
      <w:r>
        <w:rPr>
          <w:rFonts w:ascii="Century" w:hAnsi="Century" w:hint="cs"/>
          <w:sz w:val="22"/>
          <w:rtl/>
        </w:rPr>
        <w:t xml:space="preserve">פסק דין זה קבע כי התשלום ששולם כאמור למפיץ </w:t>
      </w:r>
      <w:r>
        <w:rPr>
          <w:rFonts w:ascii="Century" w:hAnsi="Century"/>
          <w:sz w:val="22"/>
          <w:rtl/>
        </w:rPr>
        <w:t>–</w:t>
      </w:r>
      <w:r>
        <w:rPr>
          <w:rFonts w:ascii="Century" w:hAnsi="Century" w:hint="cs"/>
          <w:sz w:val="22"/>
          <w:rtl/>
        </w:rPr>
        <w:t xml:space="preserve"> המערערים דכאן </w:t>
      </w:r>
      <w:r>
        <w:rPr>
          <w:rFonts w:ascii="Century" w:hAnsi="Century"/>
          <w:sz w:val="22"/>
          <w:rtl/>
        </w:rPr>
        <w:t>–</w:t>
      </w:r>
      <w:r>
        <w:rPr>
          <w:rFonts w:ascii="Century" w:hAnsi="Century" w:hint="cs"/>
          <w:sz w:val="22"/>
          <w:rtl/>
        </w:rPr>
        <w:t xml:space="preserve"> הינו </w:t>
      </w:r>
      <w:proofErr w:type="spellStart"/>
      <w:r>
        <w:rPr>
          <w:rFonts w:ascii="Century" w:hAnsi="Century" w:hint="cs"/>
          <w:sz w:val="22"/>
          <w:rtl/>
        </w:rPr>
        <w:t>פירותי</w:t>
      </w:r>
      <w:proofErr w:type="spellEnd"/>
      <w:r>
        <w:rPr>
          <w:rFonts w:ascii="Century" w:hAnsi="Century" w:hint="cs"/>
          <w:sz w:val="22"/>
          <w:rtl/>
        </w:rPr>
        <w:t xml:space="preserve"> במהותו, להבדיל מהוני, וחייב את המערערים לשלם בגינו מס הכנסה בהתאם למדרגת המס החלות עליהם.  </w:t>
      </w:r>
    </w:p>
    <w:p w:rsidR="00B05730" w:rsidRDefault="00B05730" w:rsidP="00B05730">
      <w:pPr>
        <w:pStyle w:val="Ruller41"/>
        <w:rPr>
          <w:rtl/>
        </w:rPr>
      </w:pPr>
    </w:p>
    <w:p w:rsidR="00B05730" w:rsidRDefault="00B05730" w:rsidP="00B05730">
      <w:pPr>
        <w:pStyle w:val="Ruller41"/>
        <w:rPr>
          <w:rFonts w:ascii="Century" w:hAnsi="Century" w:cs="Miriam"/>
          <w:b/>
          <w:spacing w:val="0"/>
          <w:szCs w:val="24"/>
          <w:rtl/>
        </w:rPr>
      </w:pPr>
      <w:r>
        <w:rPr>
          <w:rFonts w:ascii="Century" w:hAnsi="Century" w:cs="Miriam" w:hint="cs"/>
          <w:b/>
          <w:spacing w:val="0"/>
          <w:szCs w:val="24"/>
          <w:rtl/>
        </w:rPr>
        <w:t>רקע עובדתי</w:t>
      </w:r>
    </w:p>
    <w:p w:rsidR="00B05730" w:rsidRDefault="00B05730" w:rsidP="00B05730">
      <w:pPr>
        <w:pStyle w:val="Ruller41"/>
        <w:rPr>
          <w:rFonts w:ascii="Century" w:hAnsi="Century" w:cs="Miriam"/>
          <w:b/>
          <w:spacing w:val="0"/>
          <w:szCs w:val="24"/>
          <w:rtl/>
        </w:rPr>
      </w:pPr>
    </w:p>
    <w:p w:rsidR="00B05730" w:rsidRDefault="00B05730" w:rsidP="00B05730">
      <w:pPr>
        <w:pStyle w:val="Ruller4"/>
        <w:rPr>
          <w:rFonts w:ascii="Century" w:hAnsi="Century"/>
          <w:sz w:val="22"/>
          <w:rtl/>
        </w:rPr>
      </w:pPr>
      <w:r>
        <w:rPr>
          <w:rFonts w:hint="cs"/>
          <w:rtl/>
        </w:rPr>
        <w:t xml:space="preserve">המערערת 2, צמל </w:t>
      </w:r>
      <w:proofErr w:type="spellStart"/>
      <w:r>
        <w:rPr>
          <w:rFonts w:hint="cs"/>
          <w:rtl/>
        </w:rPr>
        <w:t>מדיקל</w:t>
      </w:r>
      <w:proofErr w:type="spellEnd"/>
      <w:r>
        <w:rPr>
          <w:rFonts w:hint="cs"/>
          <w:rtl/>
        </w:rPr>
        <w:t xml:space="preserve"> בע"מ (להלן: </w:t>
      </w:r>
      <w:r>
        <w:rPr>
          <w:rFonts w:ascii="Century" w:hAnsi="Century" w:cs="Miriam" w:hint="cs"/>
          <w:b/>
          <w:spacing w:val="0"/>
          <w:sz w:val="22"/>
          <w:szCs w:val="24"/>
          <w:rtl/>
        </w:rPr>
        <w:t xml:space="preserve">צמל </w:t>
      </w:r>
      <w:proofErr w:type="spellStart"/>
      <w:r>
        <w:rPr>
          <w:rFonts w:ascii="Century" w:hAnsi="Century" w:cs="Miriam" w:hint="cs"/>
          <w:b/>
          <w:spacing w:val="0"/>
          <w:sz w:val="22"/>
          <w:szCs w:val="24"/>
          <w:rtl/>
        </w:rPr>
        <w:t>מדיקל</w:t>
      </w:r>
      <w:proofErr w:type="spellEnd"/>
      <w:r>
        <w:rPr>
          <w:rFonts w:ascii="Century" w:hAnsi="Century" w:hint="cs"/>
          <w:sz w:val="22"/>
          <w:rtl/>
        </w:rPr>
        <w:t xml:space="preserve">), הינה חברת אחזקות אשר נוסדה בשנת 1999, והמערער </w:t>
      </w:r>
      <w:r>
        <w:rPr>
          <w:rFonts w:hint="cs"/>
          <w:rtl/>
        </w:rPr>
        <w:t xml:space="preserve">1, מר יהושע כץ (להלן: </w:t>
      </w:r>
      <w:r>
        <w:rPr>
          <w:rFonts w:ascii="Century" w:hAnsi="Century" w:cs="Miriam" w:hint="cs"/>
          <w:b/>
          <w:spacing w:val="0"/>
          <w:sz w:val="22"/>
          <w:szCs w:val="24"/>
          <w:rtl/>
        </w:rPr>
        <w:t>כץ</w:t>
      </w:r>
      <w:r>
        <w:rPr>
          <w:rFonts w:ascii="Century" w:hAnsi="Century" w:hint="cs"/>
          <w:sz w:val="22"/>
          <w:rtl/>
        </w:rPr>
        <w:t xml:space="preserve">) מחזיק במלוא מניותיה. צמל </w:t>
      </w:r>
      <w:proofErr w:type="spellStart"/>
      <w:r>
        <w:rPr>
          <w:rFonts w:ascii="Century" w:hAnsi="Century" w:hint="cs"/>
          <w:sz w:val="22"/>
          <w:rtl/>
        </w:rPr>
        <w:t>מדיקל</w:t>
      </w:r>
      <w:proofErr w:type="spellEnd"/>
      <w:r>
        <w:rPr>
          <w:rFonts w:ascii="Century" w:hAnsi="Century" w:hint="cs"/>
          <w:sz w:val="22"/>
          <w:rtl/>
        </w:rPr>
        <w:t xml:space="preserve"> מחזיקה בשליטתה מספר חברות בנות אשר עוסקות בייבוא, בהפצה ובמכירה של ציוד רפואי ותרופות. פעילותה של צמל </w:t>
      </w:r>
      <w:proofErr w:type="spellStart"/>
      <w:r>
        <w:rPr>
          <w:rFonts w:ascii="Century" w:hAnsi="Century" w:hint="cs"/>
          <w:sz w:val="22"/>
          <w:rtl/>
        </w:rPr>
        <w:t>מדיקל</w:t>
      </w:r>
      <w:proofErr w:type="spellEnd"/>
      <w:r>
        <w:rPr>
          <w:rFonts w:ascii="Century" w:hAnsi="Century" w:hint="cs"/>
          <w:sz w:val="22"/>
          <w:rtl/>
        </w:rPr>
        <w:t xml:space="preserve"> מתמקדת בעריכת הסכמי התקשרות עם יצרני הציוד הרפואי ובהענקת זכויות הפצה לחברות הבנות שלה.</w:t>
      </w:r>
    </w:p>
    <w:p w:rsidR="00B05730" w:rsidRDefault="00B05730" w:rsidP="00B05730">
      <w:pPr>
        <w:pStyle w:val="Ruller41"/>
        <w:rPr>
          <w:rtl/>
        </w:rPr>
      </w:pPr>
    </w:p>
    <w:p w:rsidR="00B05730" w:rsidRPr="002D0EA2" w:rsidRDefault="00B05730" w:rsidP="00B05730">
      <w:pPr>
        <w:pStyle w:val="Ruller4"/>
        <w:rPr>
          <w:rFonts w:ascii="Century" w:hAnsi="Century"/>
          <w:sz w:val="22"/>
          <w:rtl/>
        </w:rPr>
      </w:pPr>
      <w:r>
        <w:rPr>
          <w:rFonts w:hint="cs"/>
          <w:rtl/>
        </w:rPr>
        <w:t xml:space="preserve">בשנת 2008 התקשרה צמל </w:t>
      </w:r>
      <w:proofErr w:type="spellStart"/>
      <w:r>
        <w:rPr>
          <w:rFonts w:hint="cs"/>
          <w:rtl/>
        </w:rPr>
        <w:t>מדיקל</w:t>
      </w:r>
      <w:proofErr w:type="spellEnd"/>
      <w:r>
        <w:rPr>
          <w:rFonts w:hint="cs"/>
          <w:rtl/>
        </w:rPr>
        <w:t xml:space="preserve"> עם חברת </w:t>
      </w:r>
      <w:proofErr w:type="spellStart"/>
      <w:r w:rsidRPr="007C501C">
        <w:rPr>
          <w:rFonts w:ascii="Times New Roman" w:hAnsi="Times New Roman" w:cs="Times New Roman"/>
        </w:rPr>
        <w:t>Corevalve</w:t>
      </w:r>
      <w:proofErr w:type="spellEnd"/>
      <w:r w:rsidRPr="007C501C">
        <w:rPr>
          <w:rFonts w:ascii="Times New Roman" w:hAnsi="Times New Roman" w:cs="Times New Roman"/>
        </w:rPr>
        <w:t xml:space="preserve"> Inc.</w:t>
      </w:r>
      <w:r>
        <w:rPr>
          <w:rFonts w:hint="cs"/>
          <w:rtl/>
        </w:rPr>
        <w:t xml:space="preserve"> (להלן: </w:t>
      </w:r>
      <w:proofErr w:type="spellStart"/>
      <w:r>
        <w:rPr>
          <w:rFonts w:ascii="Century" w:hAnsi="Century" w:cs="Miriam" w:hint="cs"/>
          <w:b/>
          <w:spacing w:val="0"/>
          <w:sz w:val="22"/>
          <w:szCs w:val="24"/>
          <w:rtl/>
        </w:rPr>
        <w:t>קורוולב</w:t>
      </w:r>
      <w:proofErr w:type="spellEnd"/>
      <w:r>
        <w:rPr>
          <w:rFonts w:ascii="Century" w:hAnsi="Century" w:hint="cs"/>
          <w:sz w:val="22"/>
          <w:rtl/>
        </w:rPr>
        <w:t xml:space="preserve">) </w:t>
      </w:r>
      <w:r>
        <w:rPr>
          <w:rFonts w:ascii="Century" w:hAnsi="Century"/>
          <w:sz w:val="22"/>
          <w:rtl/>
        </w:rPr>
        <w:t>–</w:t>
      </w:r>
      <w:r>
        <w:rPr>
          <w:rFonts w:ascii="Century" w:hAnsi="Century" w:hint="cs"/>
          <w:sz w:val="22"/>
          <w:rtl/>
        </w:rPr>
        <w:t xml:space="preserve"> חברה אמריקאית שמשרדיה ממוקמים בעיר </w:t>
      </w:r>
      <w:proofErr w:type="spellStart"/>
      <w:r>
        <w:rPr>
          <w:rFonts w:ascii="Century" w:hAnsi="Century" w:hint="cs"/>
          <w:sz w:val="22"/>
          <w:rtl/>
        </w:rPr>
        <w:t>ארוויין</w:t>
      </w:r>
      <w:proofErr w:type="spellEnd"/>
      <w:r>
        <w:rPr>
          <w:rFonts w:ascii="Century" w:hAnsi="Century" w:hint="cs"/>
          <w:sz w:val="22"/>
          <w:rtl/>
        </w:rPr>
        <w:t xml:space="preserve"> שבמדינת קליפורניה, והיא   </w:t>
      </w:r>
      <w:r w:rsidRPr="002D0EA2">
        <w:rPr>
          <w:rFonts w:ascii="Century" w:hAnsi="Century" w:hint="cs"/>
          <w:sz w:val="22"/>
          <w:rtl/>
        </w:rPr>
        <w:t>מאוגדת במדינת דלוור</w:t>
      </w:r>
      <w:r>
        <w:rPr>
          <w:rFonts w:ascii="Century" w:hAnsi="Century" w:hint="cs"/>
          <w:sz w:val="22"/>
          <w:rtl/>
        </w:rPr>
        <w:t xml:space="preserve">. </w:t>
      </w:r>
      <w:proofErr w:type="spellStart"/>
      <w:r>
        <w:rPr>
          <w:rFonts w:ascii="Century" w:hAnsi="Century" w:hint="cs"/>
          <w:sz w:val="22"/>
          <w:rtl/>
        </w:rPr>
        <w:t>קורוולב</w:t>
      </w:r>
      <w:proofErr w:type="spellEnd"/>
      <w:r>
        <w:rPr>
          <w:rFonts w:ascii="Century" w:hAnsi="Century" w:hint="cs"/>
          <w:sz w:val="22"/>
          <w:rtl/>
        </w:rPr>
        <w:t xml:space="preserve"> </w:t>
      </w:r>
      <w:r w:rsidRPr="002D0EA2">
        <w:rPr>
          <w:rFonts w:ascii="Century" w:hAnsi="Century" w:hint="cs"/>
          <w:sz w:val="22"/>
          <w:rtl/>
        </w:rPr>
        <w:t>מייצרת מסתמי לב חדשניים המושתלים בחולים באמצעות צנתור</w:t>
      </w:r>
      <w:r>
        <w:rPr>
          <w:rFonts w:ascii="Century" w:hAnsi="Century" w:hint="cs"/>
          <w:sz w:val="22"/>
          <w:rtl/>
        </w:rPr>
        <w:t xml:space="preserve">. במסגרת התקשרותה עם צמל </w:t>
      </w:r>
      <w:proofErr w:type="spellStart"/>
      <w:r>
        <w:rPr>
          <w:rFonts w:ascii="Century" w:hAnsi="Century" w:hint="cs"/>
          <w:sz w:val="22"/>
          <w:rtl/>
        </w:rPr>
        <w:t>מדיקל</w:t>
      </w:r>
      <w:proofErr w:type="spellEnd"/>
      <w:r>
        <w:rPr>
          <w:rFonts w:ascii="Century" w:hAnsi="Century" w:hint="cs"/>
          <w:sz w:val="22"/>
          <w:rtl/>
        </w:rPr>
        <w:t xml:space="preserve">, העניקה </w:t>
      </w:r>
      <w:proofErr w:type="spellStart"/>
      <w:r>
        <w:rPr>
          <w:rFonts w:ascii="Century" w:hAnsi="Century" w:hint="cs"/>
          <w:sz w:val="22"/>
          <w:rtl/>
        </w:rPr>
        <w:t>קורוולב</w:t>
      </w:r>
      <w:proofErr w:type="spellEnd"/>
      <w:r>
        <w:rPr>
          <w:rFonts w:ascii="Century" w:hAnsi="Century" w:hint="cs"/>
          <w:sz w:val="22"/>
          <w:rtl/>
        </w:rPr>
        <w:t xml:space="preserve"> לצמל </w:t>
      </w:r>
      <w:proofErr w:type="spellStart"/>
      <w:r>
        <w:rPr>
          <w:rFonts w:ascii="Century" w:hAnsi="Century" w:hint="cs"/>
          <w:sz w:val="22"/>
          <w:rtl/>
        </w:rPr>
        <w:t>מדיקל</w:t>
      </w:r>
      <w:proofErr w:type="spellEnd"/>
      <w:r>
        <w:rPr>
          <w:rFonts w:ascii="Century" w:hAnsi="Century" w:hint="cs"/>
          <w:sz w:val="22"/>
          <w:rtl/>
        </w:rPr>
        <w:t xml:space="preserve"> </w:t>
      </w:r>
      <w:r w:rsidRPr="002D0EA2">
        <w:rPr>
          <w:rFonts w:ascii="Century" w:hAnsi="Century" w:hint="cs"/>
          <w:sz w:val="22"/>
          <w:rtl/>
        </w:rPr>
        <w:t>זכות בלעדית להפ</w:t>
      </w:r>
      <w:r>
        <w:rPr>
          <w:rFonts w:ascii="Century" w:hAnsi="Century" w:hint="cs"/>
          <w:sz w:val="22"/>
          <w:rtl/>
        </w:rPr>
        <w:t>צת</w:t>
      </w:r>
      <w:r w:rsidRPr="002D0EA2">
        <w:rPr>
          <w:rFonts w:ascii="Century" w:hAnsi="Century" w:hint="cs"/>
          <w:sz w:val="22"/>
          <w:rtl/>
        </w:rPr>
        <w:t xml:space="preserve"> מוצריה בישראל החל מיום 1.9.2008 ו</w:t>
      </w:r>
      <w:r>
        <w:rPr>
          <w:rFonts w:ascii="Century" w:hAnsi="Century" w:hint="cs"/>
          <w:sz w:val="22"/>
          <w:rtl/>
        </w:rPr>
        <w:t xml:space="preserve">זאת </w:t>
      </w:r>
      <w:r w:rsidRPr="002D0EA2">
        <w:rPr>
          <w:rFonts w:ascii="Century" w:hAnsi="Century" w:hint="cs"/>
          <w:sz w:val="22"/>
          <w:rtl/>
        </w:rPr>
        <w:t xml:space="preserve">למשך שלוש שנים (להלן, בהתאמה: </w:t>
      </w:r>
      <w:r w:rsidRPr="002D0EA2">
        <w:rPr>
          <w:rFonts w:ascii="Century" w:hAnsi="Century" w:cs="Miriam" w:hint="cs"/>
          <w:b/>
          <w:spacing w:val="0"/>
          <w:sz w:val="22"/>
          <w:szCs w:val="24"/>
          <w:rtl/>
        </w:rPr>
        <w:t xml:space="preserve">הסכם ההפצה </w:t>
      </w:r>
      <w:r w:rsidRPr="002D0EA2">
        <w:rPr>
          <w:rFonts w:ascii="Century" w:hAnsi="Century" w:hint="cs"/>
          <w:sz w:val="22"/>
          <w:rtl/>
        </w:rPr>
        <w:t>ו</w:t>
      </w:r>
      <w:r w:rsidRPr="002D0EA2">
        <w:rPr>
          <w:rFonts w:ascii="Century" w:hAnsi="Century" w:cs="Miriam" w:hint="cs"/>
          <w:b/>
          <w:spacing w:val="0"/>
          <w:sz w:val="22"/>
          <w:szCs w:val="24"/>
          <w:rtl/>
        </w:rPr>
        <w:t>זכויות ההפצה</w:t>
      </w:r>
      <w:r w:rsidRPr="002D0EA2">
        <w:rPr>
          <w:rFonts w:ascii="Century" w:hAnsi="Century" w:hint="cs"/>
          <w:sz w:val="22"/>
          <w:rtl/>
        </w:rPr>
        <w:t xml:space="preserve">). בפועל, ההפצה נעשתה על ידי המשיבה 2, צמל </w:t>
      </w:r>
      <w:proofErr w:type="spellStart"/>
      <w:r w:rsidRPr="002D0EA2">
        <w:rPr>
          <w:rFonts w:ascii="Century" w:hAnsi="Century" w:hint="cs"/>
          <w:sz w:val="22"/>
          <w:rtl/>
        </w:rPr>
        <w:t>יעקובסון</w:t>
      </w:r>
      <w:proofErr w:type="spellEnd"/>
      <w:r w:rsidRPr="002D0EA2">
        <w:rPr>
          <w:rFonts w:ascii="Century" w:hAnsi="Century" w:hint="cs"/>
          <w:sz w:val="22"/>
          <w:rtl/>
        </w:rPr>
        <w:t xml:space="preserve"> בע"מ (להלן: </w:t>
      </w:r>
      <w:r w:rsidRPr="002D0EA2">
        <w:rPr>
          <w:rFonts w:ascii="Century" w:hAnsi="Century" w:cs="Miriam" w:hint="cs"/>
          <w:b/>
          <w:spacing w:val="0"/>
          <w:sz w:val="22"/>
          <w:szCs w:val="24"/>
          <w:rtl/>
        </w:rPr>
        <w:t>צמל</w:t>
      </w:r>
      <w:r w:rsidRPr="002D0EA2">
        <w:rPr>
          <w:rFonts w:ascii="Century" w:hAnsi="Century" w:hint="cs"/>
          <w:sz w:val="22"/>
          <w:rtl/>
        </w:rPr>
        <w:t xml:space="preserve"> </w:t>
      </w:r>
      <w:proofErr w:type="spellStart"/>
      <w:r w:rsidRPr="002D0EA2">
        <w:rPr>
          <w:rFonts w:ascii="Century" w:hAnsi="Century" w:cs="Miriam" w:hint="cs"/>
          <w:b/>
          <w:spacing w:val="0"/>
          <w:sz w:val="22"/>
          <w:szCs w:val="24"/>
          <w:rtl/>
        </w:rPr>
        <w:t>יעקובסון</w:t>
      </w:r>
      <w:proofErr w:type="spellEnd"/>
      <w:r w:rsidRPr="002D0EA2">
        <w:rPr>
          <w:rFonts w:ascii="Century" w:hAnsi="Century" w:hint="cs"/>
          <w:sz w:val="22"/>
          <w:rtl/>
        </w:rPr>
        <w:t xml:space="preserve">), חברה נכדה של צמל </w:t>
      </w:r>
      <w:proofErr w:type="spellStart"/>
      <w:r w:rsidRPr="002D0EA2">
        <w:rPr>
          <w:rFonts w:ascii="Century" w:hAnsi="Century" w:hint="cs"/>
          <w:sz w:val="22"/>
          <w:rtl/>
        </w:rPr>
        <w:t>מדיקל</w:t>
      </w:r>
      <w:proofErr w:type="spellEnd"/>
      <w:r w:rsidRPr="002D0EA2">
        <w:rPr>
          <w:rFonts w:ascii="Century" w:hAnsi="Century" w:hint="cs"/>
          <w:sz w:val="22"/>
          <w:rtl/>
        </w:rPr>
        <w:t xml:space="preserve">. בהמשך דבריי, צמל </w:t>
      </w:r>
      <w:proofErr w:type="spellStart"/>
      <w:r w:rsidRPr="002D0EA2">
        <w:rPr>
          <w:rFonts w:ascii="Century" w:hAnsi="Century" w:hint="cs"/>
          <w:sz w:val="22"/>
          <w:rtl/>
        </w:rPr>
        <w:t>מדיקל</w:t>
      </w:r>
      <w:proofErr w:type="spellEnd"/>
      <w:r w:rsidRPr="002D0EA2">
        <w:rPr>
          <w:rFonts w:ascii="Century" w:hAnsi="Century" w:hint="cs"/>
          <w:sz w:val="22"/>
          <w:rtl/>
        </w:rPr>
        <w:t xml:space="preserve"> וצמל </w:t>
      </w:r>
      <w:proofErr w:type="spellStart"/>
      <w:r w:rsidRPr="002D0EA2">
        <w:rPr>
          <w:rFonts w:ascii="Century" w:hAnsi="Century" w:hint="cs"/>
          <w:sz w:val="22"/>
          <w:rtl/>
        </w:rPr>
        <w:t>יעקובסון</w:t>
      </w:r>
      <w:proofErr w:type="spellEnd"/>
      <w:r w:rsidRPr="002D0EA2">
        <w:rPr>
          <w:rFonts w:ascii="Century" w:hAnsi="Century" w:hint="cs"/>
          <w:sz w:val="22"/>
          <w:rtl/>
        </w:rPr>
        <w:t xml:space="preserve"> תכוננה יחדיו </w:t>
      </w:r>
      <w:r w:rsidRPr="002D0EA2">
        <w:rPr>
          <w:rFonts w:ascii="Century" w:hAnsi="Century" w:cs="Miriam" w:hint="cs"/>
          <w:b/>
          <w:spacing w:val="0"/>
          <w:sz w:val="22"/>
          <w:szCs w:val="24"/>
          <w:rtl/>
        </w:rPr>
        <w:t>צמל</w:t>
      </w:r>
      <w:r w:rsidRPr="002D0EA2">
        <w:rPr>
          <w:rFonts w:ascii="Century" w:hAnsi="Century" w:hint="cs"/>
          <w:sz w:val="22"/>
          <w:rtl/>
        </w:rPr>
        <w:t xml:space="preserve"> </w:t>
      </w:r>
      <w:r w:rsidRPr="002D0EA2">
        <w:rPr>
          <w:rFonts w:ascii="Century" w:hAnsi="Century"/>
          <w:sz w:val="22"/>
          <w:rtl/>
        </w:rPr>
        <w:t>–</w:t>
      </w:r>
      <w:r w:rsidRPr="002D0EA2">
        <w:rPr>
          <w:rFonts w:ascii="Century" w:hAnsi="Century" w:hint="cs"/>
          <w:sz w:val="22"/>
          <w:rtl/>
        </w:rPr>
        <w:t xml:space="preserve"> </w:t>
      </w:r>
      <w:r>
        <w:rPr>
          <w:rFonts w:ascii="Century" w:hAnsi="Century" w:hint="cs"/>
          <w:sz w:val="22"/>
          <w:rtl/>
        </w:rPr>
        <w:t>ו</w:t>
      </w:r>
      <w:r w:rsidRPr="002D0EA2">
        <w:rPr>
          <w:rFonts w:ascii="Century" w:hAnsi="Century" w:hint="cs"/>
          <w:sz w:val="22"/>
          <w:rtl/>
        </w:rPr>
        <w:t xml:space="preserve">זאת אך ורק לשם נוחות. </w:t>
      </w:r>
    </w:p>
    <w:p w:rsidR="00B05730" w:rsidRPr="00FF4CCD" w:rsidRDefault="00B05730" w:rsidP="00B05730">
      <w:pPr>
        <w:pStyle w:val="Ruller41"/>
      </w:pPr>
    </w:p>
    <w:p w:rsidR="00B05730" w:rsidRDefault="00B05730" w:rsidP="00B05730">
      <w:pPr>
        <w:pStyle w:val="Ruller4"/>
        <w:rPr>
          <w:rFonts w:ascii="Century" w:hAnsi="Century"/>
          <w:sz w:val="22"/>
          <w:rtl/>
        </w:rPr>
      </w:pPr>
      <w:r>
        <w:rPr>
          <w:rFonts w:ascii="Century" w:hAnsi="Century" w:hint="cs"/>
          <w:sz w:val="22"/>
          <w:rtl/>
        </w:rPr>
        <w:t xml:space="preserve">הסכם ההפצה קבע כי דינו לכל דבר ועניין יהא דין קליפורניה (ראו: סעיף 11.1.1 להסכם). כמו כן נקבעה בהסכם בוררות חובה במחוז אורנג' של מדינת קליפורניה, תוך הקנייה בלעדית של סמכויות שיפוט נלוות לבתי המשפט הפדרליים והמדינתיים אשר פועלים באותו מחוז (ראו: סעיף 11.1.2 להסכם).   </w:t>
      </w:r>
    </w:p>
    <w:p w:rsidR="00B05730" w:rsidRPr="00DE44CD" w:rsidRDefault="00B05730" w:rsidP="00B05730">
      <w:pPr>
        <w:pStyle w:val="Ruller41"/>
      </w:pPr>
    </w:p>
    <w:p w:rsidR="00B05730" w:rsidRPr="000437A0" w:rsidRDefault="00B05730" w:rsidP="00B05730">
      <w:pPr>
        <w:pStyle w:val="Ruller4"/>
        <w:rPr>
          <w:rFonts w:ascii="Century" w:hAnsi="Century"/>
          <w:sz w:val="22"/>
        </w:rPr>
      </w:pPr>
      <w:r>
        <w:rPr>
          <w:rFonts w:ascii="Century" w:hAnsi="Century" w:hint="cs"/>
          <w:sz w:val="22"/>
          <w:rtl/>
        </w:rPr>
        <w:lastRenderedPageBreak/>
        <w:t xml:space="preserve">עוד </w:t>
      </w:r>
      <w:r w:rsidRPr="000437A0">
        <w:rPr>
          <w:rFonts w:ascii="Century" w:hAnsi="Century" w:hint="cs"/>
          <w:sz w:val="22"/>
          <w:rtl/>
        </w:rPr>
        <w:t>קבע</w:t>
      </w:r>
      <w:r>
        <w:rPr>
          <w:rFonts w:ascii="Century" w:hAnsi="Century" w:hint="cs"/>
          <w:sz w:val="22"/>
          <w:rtl/>
        </w:rPr>
        <w:t xml:space="preserve"> ההסכם,</w:t>
      </w:r>
      <w:r w:rsidRPr="000437A0">
        <w:rPr>
          <w:rFonts w:ascii="Century" w:hAnsi="Century" w:hint="cs"/>
          <w:sz w:val="22"/>
          <w:rtl/>
        </w:rPr>
        <w:t xml:space="preserve"> בסעיף 11.3, כי צמל, בפועלה כמפיץ, לא תהא רשאית להעביר או למכור את זכויות ההפצה לשום גורם אחר ללא הסכמתה של </w:t>
      </w:r>
      <w:proofErr w:type="spellStart"/>
      <w:r w:rsidRPr="000437A0">
        <w:rPr>
          <w:rFonts w:ascii="Century" w:hAnsi="Century" w:hint="cs"/>
          <w:sz w:val="22"/>
          <w:rtl/>
        </w:rPr>
        <w:t>קורוולב</w:t>
      </w:r>
      <w:proofErr w:type="spellEnd"/>
      <w:r w:rsidRPr="000437A0">
        <w:rPr>
          <w:rFonts w:ascii="Century" w:hAnsi="Century" w:hint="cs"/>
          <w:sz w:val="22"/>
          <w:rtl/>
        </w:rPr>
        <w:t xml:space="preserve">; ואילו </w:t>
      </w:r>
      <w:proofErr w:type="spellStart"/>
      <w:r w:rsidRPr="000437A0">
        <w:rPr>
          <w:rFonts w:ascii="Century" w:hAnsi="Century" w:hint="cs"/>
          <w:sz w:val="22"/>
          <w:rtl/>
        </w:rPr>
        <w:t>קורוולב</w:t>
      </w:r>
      <w:proofErr w:type="spellEnd"/>
      <w:r w:rsidRPr="000437A0">
        <w:rPr>
          <w:rFonts w:ascii="Century" w:hAnsi="Century" w:hint="cs"/>
          <w:sz w:val="22"/>
          <w:rtl/>
        </w:rPr>
        <w:t xml:space="preserve"> תהא רשאית </w:t>
      </w:r>
      <w:proofErr w:type="spellStart"/>
      <w:r w:rsidRPr="000437A0">
        <w:rPr>
          <w:rFonts w:ascii="Century" w:hAnsi="Century" w:hint="cs"/>
          <w:sz w:val="22"/>
          <w:rtl/>
        </w:rPr>
        <w:t>להמחות</w:t>
      </w:r>
      <w:proofErr w:type="spellEnd"/>
      <w:r w:rsidRPr="000437A0">
        <w:rPr>
          <w:rFonts w:ascii="Century" w:hAnsi="Century" w:hint="cs"/>
          <w:sz w:val="22"/>
          <w:rtl/>
        </w:rPr>
        <w:t xml:space="preserve"> את </w:t>
      </w:r>
      <w:r>
        <w:rPr>
          <w:rFonts w:ascii="Century" w:hAnsi="Century" w:hint="cs"/>
          <w:sz w:val="22"/>
          <w:rtl/>
        </w:rPr>
        <w:t>מ</w:t>
      </w:r>
      <w:r w:rsidRPr="000437A0">
        <w:rPr>
          <w:rFonts w:ascii="Century" w:hAnsi="Century" w:hint="cs"/>
          <w:sz w:val="22"/>
          <w:rtl/>
        </w:rPr>
        <w:t>כל</w:t>
      </w:r>
      <w:r>
        <w:rPr>
          <w:rFonts w:ascii="Century" w:hAnsi="Century" w:hint="cs"/>
          <w:sz w:val="22"/>
          <w:rtl/>
        </w:rPr>
        <w:t>ול</w:t>
      </w:r>
      <w:r w:rsidRPr="000437A0">
        <w:rPr>
          <w:rFonts w:ascii="Century" w:hAnsi="Century" w:hint="cs"/>
          <w:sz w:val="22"/>
          <w:rtl/>
        </w:rPr>
        <w:t xml:space="preserve"> זכויותיה נשוא ההסכם, ו</w:t>
      </w:r>
      <w:r>
        <w:rPr>
          <w:rFonts w:ascii="Century" w:hAnsi="Century" w:hint="cs"/>
          <w:sz w:val="22"/>
          <w:rtl/>
        </w:rPr>
        <w:t xml:space="preserve">אף </w:t>
      </w:r>
      <w:r w:rsidRPr="000437A0">
        <w:rPr>
          <w:rFonts w:ascii="Century" w:hAnsi="Century" w:hint="cs"/>
          <w:sz w:val="22"/>
          <w:rtl/>
        </w:rPr>
        <w:t>להעביר את ההסכם כולו, לגורם אחר בכל דרך שתמצא לנכון</w:t>
      </w:r>
      <w:r>
        <w:rPr>
          <w:rFonts w:ascii="Century" w:hAnsi="Century" w:hint="cs"/>
          <w:sz w:val="22"/>
          <w:rtl/>
        </w:rPr>
        <w:t>, לרבות מיזוג חברות,</w:t>
      </w:r>
      <w:r w:rsidRPr="000437A0">
        <w:rPr>
          <w:rFonts w:ascii="Century" w:hAnsi="Century" w:hint="cs"/>
          <w:sz w:val="22"/>
          <w:rtl/>
        </w:rPr>
        <w:t xml:space="preserve"> ללא הסכמתה של </w:t>
      </w:r>
      <w:r>
        <w:rPr>
          <w:rFonts w:ascii="Century" w:hAnsi="Century" w:hint="cs"/>
          <w:sz w:val="22"/>
          <w:rtl/>
        </w:rPr>
        <w:t xml:space="preserve">צמל </w:t>
      </w:r>
      <w:r>
        <w:rPr>
          <w:rFonts w:ascii="Century" w:hAnsi="Century"/>
          <w:sz w:val="22"/>
          <w:rtl/>
        </w:rPr>
        <w:t>–</w:t>
      </w:r>
      <w:r>
        <w:rPr>
          <w:rFonts w:ascii="Century" w:hAnsi="Century" w:hint="cs"/>
          <w:sz w:val="22"/>
          <w:rtl/>
        </w:rPr>
        <w:t xml:space="preserve"> וזאת, </w:t>
      </w:r>
      <w:r w:rsidRPr="000437A0">
        <w:rPr>
          <w:rFonts w:ascii="Century" w:hAnsi="Century" w:hint="cs"/>
          <w:sz w:val="22"/>
          <w:rtl/>
        </w:rPr>
        <w:t xml:space="preserve">במסגרת ההעברה של כלל נכסיה או מרביתם לאותו גורם. </w:t>
      </w:r>
    </w:p>
    <w:p w:rsidR="00B05730" w:rsidRDefault="00B05730" w:rsidP="00B05730">
      <w:pPr>
        <w:pStyle w:val="Ruller4"/>
        <w:numPr>
          <w:ilvl w:val="0"/>
          <w:numId w:val="0"/>
        </w:numPr>
        <w:rPr>
          <w:rFonts w:ascii="Century" w:hAnsi="Century"/>
          <w:sz w:val="22"/>
          <w:rtl/>
        </w:rPr>
      </w:pPr>
    </w:p>
    <w:p w:rsidR="00B05730" w:rsidRDefault="00B05730" w:rsidP="00B05730">
      <w:pPr>
        <w:pStyle w:val="Ruller4"/>
        <w:numPr>
          <w:ilvl w:val="0"/>
          <w:numId w:val="0"/>
        </w:numPr>
        <w:rPr>
          <w:rFonts w:ascii="Century" w:hAnsi="Century"/>
          <w:sz w:val="22"/>
        </w:rPr>
      </w:pPr>
      <w:r>
        <w:rPr>
          <w:rFonts w:ascii="Century" w:hAnsi="Century"/>
          <w:sz w:val="22"/>
          <w:rtl/>
        </w:rPr>
        <w:tab/>
      </w:r>
      <w:r>
        <w:rPr>
          <w:rFonts w:ascii="Century" w:hAnsi="Century" w:hint="cs"/>
          <w:sz w:val="22"/>
          <w:rtl/>
        </w:rPr>
        <w:t>הסדר זה נקבע בזו הלשון:</w:t>
      </w:r>
    </w:p>
    <w:p w:rsidR="00B05730" w:rsidRDefault="00B05730" w:rsidP="00B05730">
      <w:pPr>
        <w:pStyle w:val="Ruller4"/>
        <w:numPr>
          <w:ilvl w:val="0"/>
          <w:numId w:val="0"/>
        </w:numPr>
        <w:rPr>
          <w:rFonts w:ascii="Century" w:hAnsi="Century"/>
          <w:sz w:val="22"/>
          <w:rtl/>
        </w:rPr>
      </w:pPr>
    </w:p>
    <w:p w:rsidR="00B05730" w:rsidRPr="00525184" w:rsidRDefault="00B05730" w:rsidP="00B05730">
      <w:pPr>
        <w:pStyle w:val="Ruller5"/>
        <w:bidi w:val="0"/>
        <w:rPr>
          <w:rFonts w:ascii="Times New Roman" w:hAnsi="Times New Roman" w:cs="Times New Roman"/>
          <w:sz w:val="24"/>
          <w:szCs w:val="24"/>
          <w:rtl/>
        </w:rPr>
      </w:pPr>
      <w:r w:rsidRPr="00525184">
        <w:rPr>
          <w:rFonts w:ascii="Times New Roman" w:hAnsi="Times New Roman" w:cs="Times New Roman"/>
          <w:sz w:val="24"/>
          <w:szCs w:val="24"/>
        </w:rPr>
        <w:t>"</w:t>
      </w:r>
      <w:r w:rsidRPr="00525184">
        <w:rPr>
          <w:rFonts w:ascii="Times New Roman" w:hAnsi="Times New Roman" w:cs="Times New Roman"/>
          <w:sz w:val="24"/>
          <w:szCs w:val="24"/>
          <w:u w:val="single"/>
        </w:rPr>
        <w:t>Assignment.</w:t>
      </w:r>
      <w:r w:rsidRPr="00525184">
        <w:rPr>
          <w:rFonts w:ascii="Times New Roman" w:hAnsi="Times New Roman" w:cs="Times New Roman"/>
          <w:sz w:val="24"/>
          <w:szCs w:val="24"/>
        </w:rPr>
        <w:t xml:space="preserve"> This Agreement shall not be assignable by either party without the prior written consent of the other party, not to be unreasonably withheld, provided, however, that </w:t>
      </w:r>
      <w:proofErr w:type="spellStart"/>
      <w:r w:rsidRPr="00525184">
        <w:rPr>
          <w:rFonts w:ascii="Times New Roman" w:hAnsi="Times New Roman" w:cs="Times New Roman"/>
          <w:sz w:val="24"/>
          <w:szCs w:val="24"/>
        </w:rPr>
        <w:t>CoreValve</w:t>
      </w:r>
      <w:proofErr w:type="spellEnd"/>
      <w:r w:rsidRPr="00525184">
        <w:rPr>
          <w:rFonts w:ascii="Times New Roman" w:hAnsi="Times New Roman" w:cs="Times New Roman"/>
          <w:sz w:val="24"/>
          <w:szCs w:val="24"/>
        </w:rPr>
        <w:t xml:space="preserve"> may assign this Agreement without such consent in connection with a transfer of all or substantially all of its assets to which this Agreement relates whether by sale, merger, operation of law or otherwise."</w:t>
      </w:r>
    </w:p>
    <w:p w:rsidR="00B05730" w:rsidRDefault="00B05730" w:rsidP="00B05730">
      <w:pPr>
        <w:pStyle w:val="Ruller41"/>
        <w:rPr>
          <w:rtl/>
        </w:rPr>
      </w:pPr>
    </w:p>
    <w:p w:rsidR="00B05730" w:rsidRDefault="00B05730" w:rsidP="00B05730">
      <w:pPr>
        <w:pStyle w:val="Ruller4"/>
        <w:rPr>
          <w:rFonts w:ascii="Century" w:hAnsi="Century"/>
          <w:sz w:val="22"/>
          <w:rtl/>
        </w:rPr>
      </w:pPr>
      <w:r>
        <w:rPr>
          <w:rFonts w:ascii="Century" w:hAnsi="Century" w:hint="cs"/>
          <w:sz w:val="22"/>
          <w:rtl/>
        </w:rPr>
        <w:t xml:space="preserve">כמו כן קבע ההסכם, בסעיפים 10.8.5 ו-10.8.7, כי בסיומו בתום שלוש שנות ההפצה, יהא המפיץ חייב להעביר </w:t>
      </w:r>
      <w:proofErr w:type="spellStart"/>
      <w:r>
        <w:rPr>
          <w:rFonts w:ascii="Century" w:hAnsi="Century" w:hint="cs"/>
          <w:sz w:val="22"/>
          <w:rtl/>
        </w:rPr>
        <w:t>לקורוולב</w:t>
      </w:r>
      <w:proofErr w:type="spellEnd"/>
      <w:r>
        <w:rPr>
          <w:rFonts w:ascii="Century" w:hAnsi="Century" w:hint="cs"/>
          <w:sz w:val="22"/>
          <w:rtl/>
        </w:rPr>
        <w:t xml:space="preserve">, על חשבונו, את כל כתבי ההסמכה, הרישיונות, ההיתרים והאישורים הנוספים, ממשלתיים ואחרים, וכן את כל פניותיו לקבלת אישורים כאמור, ויהא עליו לחתום על כל מסמך שיהא נחוץ, מועיל או נוח להבטחת ההעברה; כאשר הוא מתחייב, בנוסף, לשתף פעולה עם </w:t>
      </w:r>
      <w:proofErr w:type="spellStart"/>
      <w:r>
        <w:rPr>
          <w:rFonts w:ascii="Century" w:hAnsi="Century" w:hint="cs"/>
          <w:sz w:val="22"/>
          <w:rtl/>
        </w:rPr>
        <w:t>קורוולב</w:t>
      </w:r>
      <w:proofErr w:type="spellEnd"/>
      <w:r>
        <w:rPr>
          <w:rFonts w:ascii="Century" w:hAnsi="Century" w:hint="cs"/>
          <w:sz w:val="22"/>
          <w:rtl/>
        </w:rPr>
        <w:t xml:space="preserve"> כדי להבטיח העברה מסודרת וחלקה (</w:t>
      </w:r>
      <w:r w:rsidRPr="00BB60EE">
        <w:rPr>
          <w:rFonts w:ascii="Times New Roman" w:hAnsi="Times New Roman" w:cs="Times New Roman"/>
          <w:szCs w:val="24"/>
        </w:rPr>
        <w:t>smooth</w:t>
      </w:r>
      <w:r>
        <w:rPr>
          <w:rFonts w:ascii="Century" w:hAnsi="Century" w:hint="cs"/>
          <w:sz w:val="22"/>
          <w:rtl/>
        </w:rPr>
        <w:t xml:space="preserve">) של מכירות מוצריה בישראל, ובמסגרת זו לספק </w:t>
      </w:r>
      <w:proofErr w:type="spellStart"/>
      <w:r>
        <w:rPr>
          <w:rFonts w:ascii="Century" w:hAnsi="Century" w:hint="cs"/>
          <w:sz w:val="22"/>
          <w:rtl/>
        </w:rPr>
        <w:t>לקורוולב</w:t>
      </w:r>
      <w:proofErr w:type="spellEnd"/>
      <w:r>
        <w:rPr>
          <w:rFonts w:ascii="Century" w:hAnsi="Century" w:hint="cs"/>
          <w:sz w:val="22"/>
          <w:rtl/>
        </w:rPr>
        <w:t xml:space="preserve"> עותקים ממכירות בשנת ההפצה האחרונה וכן דו"ח המפרט עסקאות מכירה תלויות ועומדות והזדמנויות למכירת המוצרים שזוהו אך טרם נוצלו על ידיו. להוראות אלה יש חשיבות רבה, והן תיקראנה להלן </w:t>
      </w:r>
      <w:r w:rsidRPr="00AF164A">
        <w:rPr>
          <w:rFonts w:ascii="Century" w:hAnsi="Century" w:cs="Miriam" w:hint="cs"/>
          <w:b/>
          <w:spacing w:val="0"/>
          <w:sz w:val="22"/>
          <w:szCs w:val="24"/>
          <w:rtl/>
        </w:rPr>
        <w:t>מנגנון ה</w:t>
      </w:r>
      <w:r>
        <w:rPr>
          <w:rFonts w:ascii="Century" w:hAnsi="Century" w:cs="Miriam" w:hint="cs"/>
          <w:b/>
          <w:spacing w:val="0"/>
          <w:sz w:val="22"/>
          <w:szCs w:val="24"/>
          <w:rtl/>
        </w:rPr>
        <w:t>החזרה של זכויות ההפצה</w:t>
      </w:r>
      <w:r>
        <w:rPr>
          <w:rFonts w:ascii="Century" w:hAnsi="Century" w:hint="cs"/>
          <w:sz w:val="22"/>
          <w:rtl/>
        </w:rPr>
        <w:t>.</w:t>
      </w:r>
    </w:p>
    <w:p w:rsidR="00252DA4" w:rsidRPr="00252DA4" w:rsidRDefault="00252DA4" w:rsidP="00252DA4">
      <w:pPr>
        <w:pStyle w:val="Ruller41"/>
        <w:rPr>
          <w:rtl/>
        </w:rPr>
      </w:pPr>
    </w:p>
    <w:p w:rsidR="00B05730" w:rsidRPr="00691982" w:rsidRDefault="00B05730" w:rsidP="00B05730">
      <w:pPr>
        <w:pStyle w:val="Ruller4"/>
        <w:rPr>
          <w:rFonts w:ascii="Century" w:hAnsi="Century"/>
          <w:sz w:val="22"/>
          <w:rtl/>
        </w:rPr>
      </w:pPr>
      <w:r>
        <w:rPr>
          <w:rFonts w:hint="cs"/>
          <w:rtl/>
        </w:rPr>
        <w:t xml:space="preserve">בחודש אפריל 2009 התמזגה </w:t>
      </w:r>
      <w:proofErr w:type="spellStart"/>
      <w:r>
        <w:rPr>
          <w:rFonts w:hint="cs"/>
          <w:rtl/>
        </w:rPr>
        <w:t>קורוולב</w:t>
      </w:r>
      <w:proofErr w:type="spellEnd"/>
      <w:r>
        <w:rPr>
          <w:rFonts w:hint="cs"/>
          <w:rtl/>
        </w:rPr>
        <w:t xml:space="preserve"> עם קבוצת </w:t>
      </w:r>
      <w:r w:rsidRPr="007C501C">
        <w:rPr>
          <w:rFonts w:ascii="Times New Roman" w:hAnsi="Times New Roman" w:cs="Times New Roman"/>
        </w:rPr>
        <w:t>Medtronic</w:t>
      </w:r>
      <w:r>
        <w:rPr>
          <w:rFonts w:hint="cs"/>
          <w:rtl/>
        </w:rPr>
        <w:t xml:space="preserve"> העולמית (להלן: </w:t>
      </w:r>
      <w:proofErr w:type="spellStart"/>
      <w:r>
        <w:rPr>
          <w:rFonts w:ascii="Century" w:hAnsi="Century" w:cs="Miriam" w:hint="cs"/>
          <w:b/>
          <w:spacing w:val="0"/>
          <w:sz w:val="22"/>
          <w:szCs w:val="24"/>
          <w:rtl/>
        </w:rPr>
        <w:t>מדטרוניק</w:t>
      </w:r>
      <w:proofErr w:type="spellEnd"/>
      <w:r>
        <w:rPr>
          <w:rFonts w:ascii="Century" w:hAnsi="Century" w:hint="cs"/>
          <w:sz w:val="22"/>
          <w:rtl/>
        </w:rPr>
        <w:t xml:space="preserve">) באופן שהעביר את השליטה בנכסיה לידי </w:t>
      </w:r>
      <w:proofErr w:type="spellStart"/>
      <w:r>
        <w:rPr>
          <w:rFonts w:ascii="Century" w:hAnsi="Century" w:hint="cs"/>
          <w:sz w:val="22"/>
          <w:rtl/>
        </w:rPr>
        <w:t>מדטרוניק</w:t>
      </w:r>
      <w:proofErr w:type="spellEnd"/>
      <w:r>
        <w:rPr>
          <w:rFonts w:ascii="Century" w:hAnsi="Century" w:hint="cs"/>
          <w:sz w:val="22"/>
          <w:rtl/>
        </w:rPr>
        <w:t xml:space="preserve">. </w:t>
      </w:r>
      <w:r w:rsidRPr="00691982">
        <w:rPr>
          <w:rFonts w:ascii="Century" w:hAnsi="Century" w:hint="cs"/>
          <w:sz w:val="22"/>
          <w:rtl/>
        </w:rPr>
        <w:t xml:space="preserve">הסכם ההפצה והזכויות במוצרי </w:t>
      </w:r>
      <w:proofErr w:type="spellStart"/>
      <w:r w:rsidRPr="00691982">
        <w:rPr>
          <w:rFonts w:ascii="Century" w:hAnsi="Century" w:hint="cs"/>
          <w:sz w:val="22"/>
          <w:rtl/>
        </w:rPr>
        <w:t>קורוולב</w:t>
      </w:r>
      <w:proofErr w:type="spellEnd"/>
      <w:r w:rsidRPr="00691982">
        <w:rPr>
          <w:rFonts w:ascii="Century" w:hAnsi="Century" w:hint="cs"/>
          <w:sz w:val="22"/>
          <w:rtl/>
        </w:rPr>
        <w:t xml:space="preserve"> עברו אפוא לידי </w:t>
      </w:r>
      <w:proofErr w:type="spellStart"/>
      <w:r w:rsidRPr="00691982">
        <w:rPr>
          <w:rFonts w:ascii="Century" w:hAnsi="Century" w:hint="cs"/>
          <w:sz w:val="22"/>
          <w:rtl/>
        </w:rPr>
        <w:t>מדטרוניק</w:t>
      </w:r>
      <w:proofErr w:type="spellEnd"/>
      <w:r w:rsidRPr="00691982">
        <w:rPr>
          <w:rFonts w:ascii="Century" w:hAnsi="Century" w:hint="cs"/>
          <w:sz w:val="22"/>
          <w:rtl/>
        </w:rPr>
        <w:t xml:space="preserve">, כפי שנצפה בסעיף 11.3 להסכם. </w:t>
      </w:r>
    </w:p>
    <w:p w:rsidR="00B05730" w:rsidRPr="003612C0" w:rsidRDefault="00B05730" w:rsidP="00B05730">
      <w:pPr>
        <w:pStyle w:val="Ruller41"/>
      </w:pPr>
    </w:p>
    <w:p w:rsidR="00B05730" w:rsidRDefault="00B05730" w:rsidP="00B05730">
      <w:pPr>
        <w:pStyle w:val="Ruller4"/>
        <w:rPr>
          <w:rFonts w:ascii="Century" w:hAnsi="Century"/>
          <w:sz w:val="22"/>
          <w:rtl/>
        </w:rPr>
      </w:pPr>
      <w:proofErr w:type="spellStart"/>
      <w:r w:rsidRPr="003612C0">
        <w:rPr>
          <w:rFonts w:ascii="Century" w:hAnsi="Century" w:hint="cs"/>
          <w:sz w:val="22"/>
          <w:rtl/>
        </w:rPr>
        <w:t>מדטרוניק</w:t>
      </w:r>
      <w:proofErr w:type="spellEnd"/>
      <w:r w:rsidRPr="003612C0">
        <w:rPr>
          <w:rFonts w:ascii="Century" w:hAnsi="Century" w:hint="cs"/>
          <w:sz w:val="22"/>
          <w:rtl/>
        </w:rPr>
        <w:t xml:space="preserve"> ביקשה לסיים את ההתקשרות עם צמל, ולהעביר את זכויות ההפצה </w:t>
      </w:r>
      <w:r>
        <w:rPr>
          <w:rFonts w:hint="cs"/>
          <w:rtl/>
        </w:rPr>
        <w:t xml:space="preserve">לסניף הישראלי שלה. בחודש יוני 2009 הציעה </w:t>
      </w:r>
      <w:proofErr w:type="spellStart"/>
      <w:r>
        <w:rPr>
          <w:rFonts w:hint="cs"/>
          <w:rtl/>
        </w:rPr>
        <w:t>מדטרוניק</w:t>
      </w:r>
      <w:proofErr w:type="spellEnd"/>
      <w:r>
        <w:rPr>
          <w:rFonts w:hint="cs"/>
          <w:rtl/>
        </w:rPr>
        <w:t xml:space="preserve"> לשלם לצמל סך של 375,000 דולר ארה"ב בתמורה לסיום הסכם ההפצה </w:t>
      </w:r>
      <w:r>
        <w:rPr>
          <w:rtl/>
        </w:rPr>
        <w:t>–</w:t>
      </w:r>
      <w:r>
        <w:rPr>
          <w:rFonts w:hint="cs"/>
          <w:rtl/>
        </w:rPr>
        <w:t xml:space="preserve"> זאת, בהתאם לנוסחת החישוב שהייתה קבועה בסעיף 10.7.2 לאותו הסכם. צמל דחתה את ההצעה בהתאם לברירה שהוענקה </w:t>
      </w:r>
      <w:r>
        <w:rPr>
          <w:rFonts w:hint="cs"/>
          <w:rtl/>
        </w:rPr>
        <w:lastRenderedPageBreak/>
        <w:t>לה בחלקו השני של סעיף 10.7.1 להסכם, והצדדים המשיכו לשאת ולתת</w:t>
      </w:r>
      <w:r>
        <w:rPr>
          <w:rFonts w:ascii="Century" w:hAnsi="Century" w:hint="cs"/>
          <w:sz w:val="22"/>
          <w:rtl/>
        </w:rPr>
        <w:t>.</w:t>
      </w:r>
      <w:r>
        <w:rPr>
          <w:rFonts w:hint="cs"/>
          <w:rtl/>
        </w:rPr>
        <w:t xml:space="preserve"> משא ומתן זה נשא פרי: בחודש אוגוסט 2009, הצדדים הגיעו להסכם אשר מבטל את הסכם ההפצה (להלן: </w:t>
      </w:r>
      <w:r w:rsidRPr="004459D6">
        <w:rPr>
          <w:rFonts w:ascii="Century" w:hAnsi="Century" w:cs="Miriam" w:hint="cs"/>
          <w:b/>
          <w:spacing w:val="0"/>
          <w:sz w:val="22"/>
          <w:szCs w:val="24"/>
          <w:rtl/>
        </w:rPr>
        <w:t>ההסכם המבטל</w:t>
      </w:r>
      <w:r w:rsidRPr="004459D6">
        <w:rPr>
          <w:rFonts w:ascii="Century" w:hAnsi="Century" w:hint="cs"/>
          <w:sz w:val="22"/>
          <w:rtl/>
        </w:rPr>
        <w:t xml:space="preserve">). </w:t>
      </w:r>
    </w:p>
    <w:p w:rsidR="00B05730" w:rsidRPr="00691982" w:rsidRDefault="00B05730" w:rsidP="00B05730">
      <w:pPr>
        <w:pStyle w:val="Ruller41"/>
      </w:pPr>
    </w:p>
    <w:p w:rsidR="00B05730" w:rsidRDefault="00B05730" w:rsidP="00B05730">
      <w:pPr>
        <w:pStyle w:val="Ruller4"/>
        <w:rPr>
          <w:rFonts w:ascii="Century" w:hAnsi="Century"/>
          <w:sz w:val="22"/>
          <w:rtl/>
        </w:rPr>
      </w:pPr>
      <w:r w:rsidRPr="004459D6">
        <w:rPr>
          <w:rFonts w:ascii="Century" w:hAnsi="Century" w:hint="cs"/>
          <w:sz w:val="22"/>
          <w:rtl/>
        </w:rPr>
        <w:t xml:space="preserve">ההסכם המבטל קבע כי צמל תהא זכאית לקבל </w:t>
      </w:r>
      <w:proofErr w:type="spellStart"/>
      <w:r w:rsidRPr="004459D6">
        <w:rPr>
          <w:rFonts w:ascii="Century" w:hAnsi="Century" w:hint="cs"/>
          <w:sz w:val="22"/>
          <w:rtl/>
        </w:rPr>
        <w:t>ממדטרוניק</w:t>
      </w:r>
      <w:proofErr w:type="spellEnd"/>
      <w:r w:rsidRPr="004459D6">
        <w:rPr>
          <w:rFonts w:ascii="Century" w:hAnsi="Century" w:hint="cs"/>
          <w:sz w:val="22"/>
          <w:rtl/>
        </w:rPr>
        <w:t xml:space="preserve"> תשלום בסך של 2,000,000 דולר ארה"ב בגין ביטול</w:t>
      </w:r>
      <w:r>
        <w:rPr>
          <w:rFonts w:ascii="Century" w:hAnsi="Century" w:hint="cs"/>
          <w:sz w:val="22"/>
          <w:rtl/>
        </w:rPr>
        <w:t>ו של</w:t>
      </w:r>
      <w:r w:rsidRPr="004459D6">
        <w:rPr>
          <w:rFonts w:ascii="Century" w:hAnsi="Century" w:hint="cs"/>
          <w:sz w:val="22"/>
          <w:rtl/>
        </w:rPr>
        <w:t xml:space="preserve"> הסכם ההפצה (להלן: </w:t>
      </w:r>
      <w:r w:rsidRPr="004459D6">
        <w:rPr>
          <w:rFonts w:ascii="Century" w:hAnsi="Century" w:cs="Miriam" w:hint="cs"/>
          <w:b/>
          <w:spacing w:val="0"/>
          <w:sz w:val="22"/>
          <w:szCs w:val="24"/>
          <w:rtl/>
        </w:rPr>
        <w:t>התשלום</w:t>
      </w:r>
      <w:r w:rsidRPr="004459D6">
        <w:rPr>
          <w:rFonts w:ascii="Century" w:hAnsi="Century" w:hint="cs"/>
          <w:sz w:val="22"/>
          <w:rtl/>
        </w:rPr>
        <w:t xml:space="preserve">). זמן קצר לאחר חתימת ההסכם המבטל, בחודש אוקטובר 2009, נחתם הסכם נוסף בין צמל </w:t>
      </w:r>
      <w:proofErr w:type="spellStart"/>
      <w:r w:rsidRPr="004459D6">
        <w:rPr>
          <w:rFonts w:ascii="Century" w:hAnsi="Century" w:hint="cs"/>
          <w:sz w:val="22"/>
          <w:rtl/>
        </w:rPr>
        <w:t>למדטרוניק</w:t>
      </w:r>
      <w:proofErr w:type="spellEnd"/>
      <w:r w:rsidRPr="004459D6">
        <w:rPr>
          <w:rFonts w:ascii="Century" w:hAnsi="Century" w:hint="cs"/>
          <w:sz w:val="22"/>
          <w:rtl/>
        </w:rPr>
        <w:t xml:space="preserve">, אשר תיקן את ההסכם המבטל בהתייחסו למועדי התשלום (להלן: </w:t>
      </w:r>
      <w:r w:rsidRPr="004459D6">
        <w:rPr>
          <w:rFonts w:ascii="Century" w:hAnsi="Century" w:cs="Miriam" w:hint="cs"/>
          <w:b/>
          <w:spacing w:val="0"/>
          <w:sz w:val="22"/>
          <w:szCs w:val="24"/>
          <w:rtl/>
        </w:rPr>
        <w:t>ההסכם המתקן</w:t>
      </w:r>
      <w:r w:rsidRPr="004459D6">
        <w:rPr>
          <w:rFonts w:ascii="Century" w:hAnsi="Century" w:hint="cs"/>
          <w:sz w:val="22"/>
          <w:rtl/>
        </w:rPr>
        <w:t xml:space="preserve">). </w:t>
      </w:r>
    </w:p>
    <w:p w:rsidR="00B05730" w:rsidRPr="00ED61D6" w:rsidRDefault="00B05730" w:rsidP="00B05730">
      <w:pPr>
        <w:pStyle w:val="Ruller41"/>
      </w:pPr>
    </w:p>
    <w:p w:rsidR="00B05730" w:rsidRPr="00ED61D6" w:rsidRDefault="00B05730" w:rsidP="00B05730">
      <w:pPr>
        <w:pStyle w:val="Ruller4"/>
        <w:rPr>
          <w:rFonts w:ascii="Century" w:hAnsi="Century"/>
          <w:sz w:val="22"/>
          <w:rtl/>
        </w:rPr>
      </w:pPr>
      <w:r w:rsidRPr="00ED61D6">
        <w:rPr>
          <w:rFonts w:ascii="Century" w:hAnsi="Century" w:hint="cs"/>
          <w:sz w:val="22"/>
          <w:rtl/>
        </w:rPr>
        <w:t xml:space="preserve">באשר למנגנון הביטול </w:t>
      </w:r>
      <w:r w:rsidRPr="00ED61D6">
        <w:rPr>
          <w:rFonts w:ascii="Century" w:hAnsi="Century"/>
          <w:sz w:val="22"/>
          <w:rtl/>
        </w:rPr>
        <w:t>–</w:t>
      </w:r>
      <w:r w:rsidRPr="00ED61D6">
        <w:rPr>
          <w:rFonts w:ascii="Century" w:hAnsi="Century" w:hint="cs"/>
          <w:sz w:val="22"/>
          <w:rtl/>
        </w:rPr>
        <w:t xml:space="preserve"> האמור בסעיפים 3.1, 4.3 ו-4.4 להסכם המבטל החליף את מנגנון ההחזרה של זכויות ההפצה בהסדר דומה, אשר מחייב את צמל לעשות מאמץ מיטבי של שיתוף פעולה, לנקוט בכל האמצעים הסבירים על מנת להבטיח את העברתו החלקה והיעילה של העסק לידי </w:t>
      </w:r>
      <w:proofErr w:type="spellStart"/>
      <w:r w:rsidRPr="00ED61D6">
        <w:rPr>
          <w:rFonts w:ascii="Century" w:hAnsi="Century" w:hint="cs"/>
          <w:sz w:val="22"/>
          <w:rtl/>
        </w:rPr>
        <w:t>מדטרוניק</w:t>
      </w:r>
      <w:proofErr w:type="spellEnd"/>
      <w:r w:rsidRPr="00ED61D6">
        <w:rPr>
          <w:rFonts w:ascii="Century" w:hAnsi="Century" w:hint="cs"/>
          <w:sz w:val="22"/>
          <w:rtl/>
        </w:rPr>
        <w:t xml:space="preserve">, ובכלל זה להעביר לידי </w:t>
      </w:r>
      <w:proofErr w:type="spellStart"/>
      <w:r w:rsidRPr="00ED61D6">
        <w:rPr>
          <w:rFonts w:ascii="Century" w:hAnsi="Century" w:hint="cs"/>
          <w:sz w:val="22"/>
          <w:rtl/>
        </w:rPr>
        <w:t>מדטרוניק</w:t>
      </w:r>
      <w:proofErr w:type="spellEnd"/>
      <w:r w:rsidRPr="00ED61D6">
        <w:rPr>
          <w:rFonts w:ascii="Century" w:hAnsi="Century" w:hint="cs"/>
          <w:sz w:val="22"/>
          <w:rtl/>
        </w:rPr>
        <w:t xml:space="preserve"> רשימה מלאה של לקוחות </w:t>
      </w:r>
      <w:r>
        <w:rPr>
          <w:rFonts w:ascii="Century" w:hAnsi="Century" w:hint="cs"/>
          <w:sz w:val="22"/>
          <w:rtl/>
        </w:rPr>
        <w:t xml:space="preserve">צמל </w:t>
      </w:r>
      <w:r w:rsidRPr="00ED61D6">
        <w:rPr>
          <w:rFonts w:ascii="Century" w:hAnsi="Century" w:hint="cs"/>
          <w:sz w:val="22"/>
          <w:rtl/>
        </w:rPr>
        <w:t xml:space="preserve">וכל מידע אחר שיידרש. </w:t>
      </w:r>
      <w:r>
        <w:rPr>
          <w:rFonts w:ascii="Century" w:hAnsi="Century" w:hint="cs"/>
          <w:sz w:val="22"/>
          <w:rtl/>
        </w:rPr>
        <w:t xml:space="preserve">הוראות אלה של ההסכם המבטל תיקראנה להלן </w:t>
      </w:r>
      <w:r w:rsidRPr="00ED61D6">
        <w:rPr>
          <w:rFonts w:ascii="Century" w:hAnsi="Century" w:cs="Miriam" w:hint="cs"/>
          <w:b/>
          <w:spacing w:val="0"/>
          <w:sz w:val="22"/>
          <w:szCs w:val="24"/>
          <w:rtl/>
        </w:rPr>
        <w:t>מנגנון הסיום</w:t>
      </w:r>
      <w:r>
        <w:rPr>
          <w:rFonts w:ascii="Century" w:hAnsi="Century" w:hint="cs"/>
          <w:sz w:val="22"/>
          <w:rtl/>
        </w:rPr>
        <w:t>.</w:t>
      </w:r>
    </w:p>
    <w:p w:rsidR="00B05730" w:rsidRDefault="00B05730" w:rsidP="00B05730">
      <w:pPr>
        <w:pStyle w:val="Ruller41"/>
        <w:rPr>
          <w:rtl/>
        </w:rPr>
      </w:pPr>
    </w:p>
    <w:p w:rsidR="00B05730" w:rsidRDefault="00B05730" w:rsidP="00B05730">
      <w:pPr>
        <w:pStyle w:val="Ruller4"/>
        <w:rPr>
          <w:rtl/>
        </w:rPr>
      </w:pPr>
      <w:r>
        <w:rPr>
          <w:rFonts w:hint="cs"/>
          <w:rtl/>
        </w:rPr>
        <w:t xml:space="preserve">צמל דיווחה למשיב  על התשלום ששולם לה לפי ההסכם המבטל כרווח הון ושילמה את המס בהתאם לדיווח זה. לדידה, במסגרת ההסכם המבטל היא מכרה </w:t>
      </w:r>
      <w:proofErr w:type="spellStart"/>
      <w:r>
        <w:rPr>
          <w:rFonts w:hint="cs"/>
          <w:rtl/>
        </w:rPr>
        <w:t>למדטרוניק</w:t>
      </w:r>
      <w:proofErr w:type="spellEnd"/>
      <w:r>
        <w:rPr>
          <w:rFonts w:hint="cs"/>
          <w:rtl/>
        </w:rPr>
        <w:t xml:space="preserve"> את זכויות ההפצה שהיו בידיה, ולמעשה העבירה </w:t>
      </w:r>
      <w:proofErr w:type="spellStart"/>
      <w:r>
        <w:rPr>
          <w:rFonts w:hint="cs"/>
          <w:rtl/>
        </w:rPr>
        <w:t>למדטרוניק</w:t>
      </w:r>
      <w:proofErr w:type="spellEnd"/>
      <w:r>
        <w:rPr>
          <w:rFonts w:hint="cs"/>
          <w:rtl/>
        </w:rPr>
        <w:t xml:space="preserve"> את כל זכויות ההפצה שלה מכוח הסכם ההפצה. לחלופין טענה צמל, כי התשלום בא לכסות אובדן מקור הכנסה יסודי בעסק שלה, ועל כן מדובר בתמורה שנתקבלה במישור ההוני בהתאם ל"עיקרון הפרצה" אשר חל </w:t>
      </w:r>
      <w:proofErr w:type="spellStart"/>
      <w:r>
        <w:rPr>
          <w:rFonts w:hint="cs"/>
          <w:rtl/>
        </w:rPr>
        <w:t>בכגון</w:t>
      </w:r>
      <w:proofErr w:type="spellEnd"/>
      <w:r>
        <w:rPr>
          <w:rFonts w:hint="cs"/>
          <w:rtl/>
        </w:rPr>
        <w:t xml:space="preserve"> דא.</w:t>
      </w:r>
    </w:p>
    <w:p w:rsidR="00B05730" w:rsidRDefault="00B05730" w:rsidP="00B05730">
      <w:pPr>
        <w:pStyle w:val="Ruller41"/>
        <w:rPr>
          <w:rtl/>
        </w:rPr>
      </w:pPr>
    </w:p>
    <w:p w:rsidR="00B05730" w:rsidRDefault="00B05730" w:rsidP="00B05730">
      <w:pPr>
        <w:pStyle w:val="Ruller4"/>
        <w:rPr>
          <w:rFonts w:ascii="Century" w:hAnsi="Century"/>
          <w:sz w:val="22"/>
          <w:rtl/>
        </w:rPr>
      </w:pPr>
      <w:r>
        <w:rPr>
          <w:rFonts w:hint="cs"/>
          <w:rtl/>
        </w:rPr>
        <w:t xml:space="preserve">מנגד, המשיב סבר כי </w:t>
      </w:r>
      <w:proofErr w:type="spellStart"/>
      <w:r>
        <w:rPr>
          <w:rFonts w:hint="cs"/>
          <w:rtl/>
        </w:rPr>
        <w:t>מדטרוניק</w:t>
      </w:r>
      <w:proofErr w:type="spellEnd"/>
      <w:r>
        <w:rPr>
          <w:rFonts w:hint="cs"/>
          <w:rtl/>
        </w:rPr>
        <w:t xml:space="preserve"> שילמה לצמל את התשלום בגין ביטול הסכם ההפצה, ועל כן מדובר בפיצוי בגין אובדן הכנסות בתקופה בת-השנתיים אשר נותרה עד לגמר הסכם. לפיכך, לשיטת המשיב, מדובר בהכנסה </w:t>
      </w:r>
      <w:proofErr w:type="spellStart"/>
      <w:r>
        <w:rPr>
          <w:rFonts w:hint="cs"/>
          <w:rtl/>
        </w:rPr>
        <w:t>פירותית</w:t>
      </w:r>
      <w:proofErr w:type="spellEnd"/>
      <w:r>
        <w:rPr>
          <w:rFonts w:hint="cs"/>
          <w:rtl/>
        </w:rPr>
        <w:t xml:space="preserve">, אותה יש למסות לפי סעיף 2(1) לפקודת מס הכנסה [נוסח חדש] (להלן: </w:t>
      </w:r>
      <w:r>
        <w:rPr>
          <w:rFonts w:ascii="Century" w:hAnsi="Century" w:cs="Miriam" w:hint="cs"/>
          <w:b/>
          <w:spacing w:val="0"/>
          <w:sz w:val="22"/>
          <w:szCs w:val="24"/>
          <w:rtl/>
        </w:rPr>
        <w:t>הפקודה</w:t>
      </w:r>
      <w:r>
        <w:rPr>
          <w:rFonts w:ascii="Century" w:hAnsi="Century" w:hint="cs"/>
          <w:sz w:val="22"/>
          <w:rtl/>
        </w:rPr>
        <w:t>). בהתאם לכך, ביום 23.11.2011 הוציא המשיב לצמל הודעה על שומה לפי מיטב השפיטה אשר החליפה את מס רווח ההון במס הכנסה רגיל.</w:t>
      </w:r>
    </w:p>
    <w:p w:rsidR="00B05730" w:rsidRDefault="00B05730" w:rsidP="00B05730">
      <w:pPr>
        <w:pStyle w:val="Ruller41"/>
        <w:rPr>
          <w:rtl/>
        </w:rPr>
      </w:pPr>
    </w:p>
    <w:p w:rsidR="00B05730" w:rsidRDefault="00B05730" w:rsidP="00B05730">
      <w:pPr>
        <w:pStyle w:val="Ruller4"/>
        <w:rPr>
          <w:rtl/>
        </w:rPr>
      </w:pPr>
      <w:r>
        <w:rPr>
          <w:rFonts w:hint="cs"/>
          <w:rtl/>
        </w:rPr>
        <w:t xml:space="preserve">בשולי הדברים </w:t>
      </w:r>
      <w:proofErr w:type="spellStart"/>
      <w:r>
        <w:rPr>
          <w:rFonts w:hint="cs"/>
          <w:rtl/>
        </w:rPr>
        <w:t>יצויין</w:t>
      </w:r>
      <w:proofErr w:type="spellEnd"/>
      <w:r>
        <w:rPr>
          <w:rFonts w:hint="cs"/>
          <w:rtl/>
        </w:rPr>
        <w:t xml:space="preserve"> כי במסגרת ההתקשרות בין צמל </w:t>
      </w:r>
      <w:proofErr w:type="spellStart"/>
      <w:r>
        <w:rPr>
          <w:rFonts w:hint="cs"/>
          <w:rtl/>
        </w:rPr>
        <w:t>לקורוולב</w:t>
      </w:r>
      <w:proofErr w:type="spellEnd"/>
      <w:r>
        <w:rPr>
          <w:rFonts w:hint="cs"/>
          <w:rtl/>
        </w:rPr>
        <w:t xml:space="preserve"> נעזרה צמל בשירותיו של מר ספי ארגמן (להלן: </w:t>
      </w:r>
      <w:r>
        <w:rPr>
          <w:rFonts w:ascii="Century" w:hAnsi="Century" w:cs="Miriam" w:hint="cs"/>
          <w:b/>
          <w:spacing w:val="0"/>
          <w:sz w:val="22"/>
          <w:szCs w:val="24"/>
          <w:rtl/>
        </w:rPr>
        <w:t>ארגמן</w:t>
      </w:r>
      <w:r>
        <w:rPr>
          <w:rFonts w:ascii="Century" w:hAnsi="Century" w:hint="cs"/>
          <w:sz w:val="22"/>
          <w:rtl/>
        </w:rPr>
        <w:t xml:space="preserve">) </w:t>
      </w:r>
      <w:r>
        <w:rPr>
          <w:rFonts w:ascii="Century" w:hAnsi="Century"/>
          <w:sz w:val="22"/>
          <w:rtl/>
        </w:rPr>
        <w:t>–</w:t>
      </w:r>
      <w:r>
        <w:rPr>
          <w:rFonts w:ascii="Century" w:hAnsi="Century" w:hint="cs"/>
          <w:sz w:val="22"/>
          <w:rtl/>
        </w:rPr>
        <w:t xml:space="preserve"> איש עסקים בעל קשרים והשפעה בתחום הציוד הרפואי. הצדדים סיכמו ביניהם כי ארגמן יהיה זכאי לתשלום עבור תרומתו </w:t>
      </w:r>
      <w:r>
        <w:rPr>
          <w:rFonts w:ascii="Century" w:hAnsi="Century" w:hint="cs"/>
          <w:sz w:val="22"/>
          <w:rtl/>
        </w:rPr>
        <w:lastRenderedPageBreak/>
        <w:t xml:space="preserve">לכריתת הסכם ההפצה לאחר שצמל תפיק מכוחו הכנסות משמעותיות. באוגוסט 2011 סוכם בין צמל לארגמן כי ארגמן יקבל תשלום בסך של 790,000 </w:t>
      </w:r>
      <w:r>
        <w:rPr>
          <w:rFonts w:ascii="Century" w:hAnsi="Century" w:hint="eastAsia"/>
          <w:sz w:val="22"/>
          <w:rtl/>
        </w:rPr>
        <w:t>₪</w:t>
      </w:r>
      <w:r>
        <w:rPr>
          <w:rFonts w:ascii="Century" w:hAnsi="Century" w:hint="cs"/>
          <w:sz w:val="22"/>
          <w:rtl/>
        </w:rPr>
        <w:t xml:space="preserve"> עבור תרומתו לכריתת הסכם ההפצה. ארגמן דיווח על התשלום האמור למשיב ושילם עליו מס. </w:t>
      </w:r>
    </w:p>
    <w:p w:rsidR="00B05730" w:rsidRDefault="00B05730" w:rsidP="00B05730">
      <w:pPr>
        <w:pStyle w:val="Ruller41"/>
        <w:rPr>
          <w:rtl/>
        </w:rPr>
      </w:pPr>
    </w:p>
    <w:p w:rsidR="00B05730" w:rsidRDefault="00B05730" w:rsidP="00B05730">
      <w:pPr>
        <w:pStyle w:val="Ruller4"/>
      </w:pPr>
      <w:r>
        <w:rPr>
          <w:rFonts w:hint="cs"/>
          <w:rtl/>
        </w:rPr>
        <w:t xml:space="preserve">ביום 15.12.2011 הגישו המערערים בקשה לתיקון הדו"חות מטעמם לשנים 2009 ו-2010, ובמסגרתה ביקשו לנכות מהתשלום שהתקבל </w:t>
      </w:r>
      <w:proofErr w:type="spellStart"/>
      <w:r>
        <w:rPr>
          <w:rFonts w:hint="cs"/>
          <w:rtl/>
        </w:rPr>
        <w:t>ממדטרוניק</w:t>
      </w:r>
      <w:proofErr w:type="spellEnd"/>
      <w:r>
        <w:rPr>
          <w:rFonts w:hint="cs"/>
          <w:rtl/>
        </w:rPr>
        <w:t xml:space="preserve"> את התשלום ששולם לארגמן </w:t>
      </w:r>
      <w:r>
        <w:rPr>
          <w:rtl/>
        </w:rPr>
        <w:t>–</w:t>
      </w:r>
      <w:r>
        <w:rPr>
          <w:rFonts w:hint="cs"/>
          <w:rtl/>
        </w:rPr>
        <w:t xml:space="preserve"> 790,000 </w:t>
      </w:r>
      <w:r>
        <w:rPr>
          <w:rFonts w:hint="eastAsia"/>
          <w:rtl/>
        </w:rPr>
        <w:t>₪</w:t>
      </w:r>
      <w:r>
        <w:rPr>
          <w:rFonts w:hint="cs"/>
          <w:rtl/>
        </w:rPr>
        <w:t xml:space="preserve"> </w:t>
      </w:r>
      <w:r>
        <w:rPr>
          <w:rtl/>
        </w:rPr>
        <w:t>–</w:t>
      </w:r>
      <w:r>
        <w:rPr>
          <w:rFonts w:hint="cs"/>
          <w:rtl/>
        </w:rPr>
        <w:t xml:space="preserve"> כהוצאה אשר הוצאה לשם הפקת הכנסה. המשיב סירב לבקשה זו. </w:t>
      </w:r>
    </w:p>
    <w:p w:rsidR="00B05730" w:rsidRDefault="00B05730" w:rsidP="00B05730">
      <w:pPr>
        <w:pStyle w:val="Ruller4"/>
        <w:numPr>
          <w:ilvl w:val="0"/>
          <w:numId w:val="0"/>
        </w:numPr>
      </w:pPr>
    </w:p>
    <w:p w:rsidR="00B05730" w:rsidRPr="00BE583F" w:rsidRDefault="00B05730" w:rsidP="00B05730">
      <w:pPr>
        <w:pStyle w:val="Ruller4"/>
        <w:rPr>
          <w:rtl/>
        </w:rPr>
      </w:pPr>
      <w:r>
        <w:rPr>
          <w:rFonts w:hint="cs"/>
          <w:rtl/>
        </w:rPr>
        <w:t xml:space="preserve">הצדדים נשארו חלוקים ביניהם לגבי סיווגו של התשלום בסך של 2,000,000 דולר ארה"ב, שכאמור שולם לצמל על ידי </w:t>
      </w:r>
      <w:proofErr w:type="spellStart"/>
      <w:r>
        <w:rPr>
          <w:rFonts w:hint="cs"/>
          <w:rtl/>
        </w:rPr>
        <w:t>מדטרוניק</w:t>
      </w:r>
      <w:proofErr w:type="spellEnd"/>
      <w:r>
        <w:rPr>
          <w:rFonts w:hint="cs"/>
          <w:rtl/>
        </w:rPr>
        <w:t>; ומחלוקתם הובאה להכרעתו של בית משפט קמא</w:t>
      </w:r>
      <w:r w:rsidR="00762BE8">
        <w:rPr>
          <w:rFonts w:hint="cs"/>
          <w:rtl/>
        </w:rPr>
        <w:t>.</w:t>
      </w:r>
      <w:r>
        <w:rPr>
          <w:rFonts w:hint="cs"/>
          <w:rtl/>
        </w:rPr>
        <w:t xml:space="preserve"> </w:t>
      </w:r>
    </w:p>
    <w:p w:rsidR="00B05730" w:rsidRDefault="00B05730" w:rsidP="00B05730">
      <w:pPr>
        <w:pStyle w:val="Ruller41"/>
        <w:rPr>
          <w:rtl/>
        </w:rPr>
      </w:pPr>
    </w:p>
    <w:p w:rsidR="00B05730" w:rsidRDefault="00B05730" w:rsidP="00B05730">
      <w:pPr>
        <w:pStyle w:val="Ruller41"/>
        <w:rPr>
          <w:rFonts w:ascii="Century" w:hAnsi="Century" w:cs="Miriam"/>
          <w:b/>
          <w:spacing w:val="0"/>
          <w:szCs w:val="24"/>
          <w:rtl/>
        </w:rPr>
      </w:pPr>
      <w:r>
        <w:rPr>
          <w:rFonts w:ascii="Century" w:hAnsi="Century" w:cs="Miriam" w:hint="cs"/>
          <w:b/>
          <w:spacing w:val="0"/>
          <w:szCs w:val="24"/>
          <w:rtl/>
        </w:rPr>
        <w:t>פסק הדין קמא</w:t>
      </w:r>
    </w:p>
    <w:p w:rsidR="00B05730" w:rsidRDefault="00B05730" w:rsidP="00B05730">
      <w:pPr>
        <w:pStyle w:val="Ruller41"/>
        <w:rPr>
          <w:rFonts w:ascii="Century" w:hAnsi="Century" w:cs="Miriam"/>
          <w:b/>
          <w:spacing w:val="0"/>
          <w:szCs w:val="24"/>
          <w:rtl/>
        </w:rPr>
      </w:pPr>
    </w:p>
    <w:p w:rsidR="00B05730" w:rsidRDefault="00B05730" w:rsidP="00B05730">
      <w:pPr>
        <w:pStyle w:val="Ruller4"/>
        <w:rPr>
          <w:rtl/>
        </w:rPr>
      </w:pPr>
      <w:r>
        <w:rPr>
          <w:rFonts w:hint="cs"/>
          <w:rtl/>
        </w:rPr>
        <w:t xml:space="preserve">במישור העובדתי, קבע בית משפט קמא כי לא נמצא בחומר הראיות בסיס לטענותיהם של המערערים, אשר נמנעו מלהביא לבית המשפט מסמכים ועדים רלבנטיים מהם ניתן היה ללמוד על סיווג העסקה ועל טיבו של התשלום. למשל: לא הובאה לעדות נציגת חברת </w:t>
      </w:r>
      <w:proofErr w:type="spellStart"/>
      <w:r>
        <w:rPr>
          <w:rFonts w:hint="cs"/>
          <w:rtl/>
        </w:rPr>
        <w:t>מדטרוניק</w:t>
      </w:r>
      <w:proofErr w:type="spellEnd"/>
      <w:r>
        <w:rPr>
          <w:rFonts w:hint="cs"/>
          <w:rtl/>
        </w:rPr>
        <w:t xml:space="preserve"> שמולה ניהלה צמל משא ומתן לכריתת ההסכם המבטל וקביעת התשלום, אשר הייתה יכולה לשפוך אור על נסיבות המקרה ועל טיבו של התשלום. בהקשר זה, קבע בית משפט קמא כי בעל דין אשר נמנע מלהביא ראיה חשובה מוחזק כמי שחשש מהבאתה בהעריכו כי הראיה לא תתמוך בגרסתו, אלא להיפך. </w:t>
      </w:r>
    </w:p>
    <w:p w:rsidR="00B05730" w:rsidRDefault="00B05730" w:rsidP="00B05730">
      <w:pPr>
        <w:pStyle w:val="Ruller41"/>
        <w:rPr>
          <w:rtl/>
        </w:rPr>
      </w:pPr>
    </w:p>
    <w:p w:rsidR="00B05730" w:rsidRDefault="00B05730" w:rsidP="00B05730">
      <w:pPr>
        <w:pStyle w:val="Ruller4"/>
        <w:rPr>
          <w:rtl/>
        </w:rPr>
      </w:pPr>
      <w:r>
        <w:rPr>
          <w:rFonts w:hint="cs"/>
          <w:rtl/>
        </w:rPr>
        <w:t xml:space="preserve">זאת ועוד: בית משפט קמא סבר כי המסמכים שהובאו על ידי המערערים </w:t>
      </w:r>
      <w:r>
        <w:rPr>
          <w:rtl/>
        </w:rPr>
        <w:t>–</w:t>
      </w:r>
      <w:r>
        <w:rPr>
          <w:rFonts w:hint="cs"/>
          <w:rtl/>
        </w:rPr>
        <w:t xml:space="preserve"> הסכם ההפצה, ההסכם המבטל וההסכם עם ארגמן </w:t>
      </w:r>
      <w:r>
        <w:rPr>
          <w:rtl/>
        </w:rPr>
        <w:t>–</w:t>
      </w:r>
      <w:r>
        <w:rPr>
          <w:rFonts w:hint="cs"/>
          <w:rtl/>
        </w:rPr>
        <w:t xml:space="preserve"> אינם תומכים בגרסת המערערים כי מדובר במכירה של זכויות ההפצה של צמל </w:t>
      </w:r>
      <w:proofErr w:type="spellStart"/>
      <w:r>
        <w:rPr>
          <w:rFonts w:hint="cs"/>
          <w:rtl/>
        </w:rPr>
        <w:t>למדטרוניק</w:t>
      </w:r>
      <w:proofErr w:type="spellEnd"/>
      <w:r>
        <w:rPr>
          <w:rFonts w:hint="cs"/>
          <w:rtl/>
        </w:rPr>
        <w:t xml:space="preserve">. לדעת בית המשפט, האמור במסמכים אלה רק מחזק את טענת המשיב כי עסקינן בפיצוי בגין ביטול הסכם ההפצה והפסדי ההכנסה שביטול זה גרם לצמל. בית המשפט הוסיף וקבע כי המערערים אף נמנעו מלהציג ראיות בנוגע לאופן שבו נקבע התשלום </w:t>
      </w:r>
      <w:r>
        <w:rPr>
          <w:rtl/>
        </w:rPr>
        <w:t>–</w:t>
      </w:r>
      <w:r>
        <w:rPr>
          <w:rFonts w:hint="cs"/>
          <w:rtl/>
        </w:rPr>
        <w:t xml:space="preserve"> זאת, חרף טענתם כי הרווחים שהיו מופקים על ידיהם, אם הסכם ההפצה היה נותר בעינו עד לסיומו, נופלים באופן משמעותי מהתשלום שהם קיבלו </w:t>
      </w:r>
      <w:proofErr w:type="spellStart"/>
      <w:r>
        <w:rPr>
          <w:rFonts w:hint="cs"/>
          <w:rtl/>
        </w:rPr>
        <w:t>ממדטרוניק</w:t>
      </w:r>
      <w:proofErr w:type="spellEnd"/>
      <w:r>
        <w:rPr>
          <w:rFonts w:hint="cs"/>
          <w:rtl/>
        </w:rPr>
        <w:t xml:space="preserve">. בית משפט קמא קבע אפוא כי התשלום בא לפצות את צמל בגין אובדן הכנסות אשר נבע מסיומו המוקדם של ההסכם על ידי </w:t>
      </w:r>
      <w:proofErr w:type="spellStart"/>
      <w:r>
        <w:rPr>
          <w:rFonts w:hint="cs"/>
          <w:rtl/>
        </w:rPr>
        <w:t>מדטרוניק</w:t>
      </w:r>
      <w:proofErr w:type="spellEnd"/>
      <w:r>
        <w:rPr>
          <w:rFonts w:hint="cs"/>
          <w:rtl/>
        </w:rPr>
        <w:t>.</w:t>
      </w:r>
    </w:p>
    <w:p w:rsidR="00B05730" w:rsidRPr="001F21ED" w:rsidRDefault="00B05730" w:rsidP="00B05730">
      <w:pPr>
        <w:pStyle w:val="Ruller41"/>
        <w:rPr>
          <w:rtl/>
        </w:rPr>
      </w:pPr>
    </w:p>
    <w:p w:rsidR="00B05730" w:rsidRDefault="00B05730" w:rsidP="00B05730">
      <w:pPr>
        <w:pStyle w:val="Ruller4"/>
        <w:rPr>
          <w:rtl/>
        </w:rPr>
      </w:pPr>
      <w:r>
        <w:rPr>
          <w:rFonts w:hint="cs"/>
          <w:rtl/>
        </w:rPr>
        <w:lastRenderedPageBreak/>
        <w:t xml:space="preserve">לצד קביעות אלה, החליט בית משפט קמא כי לסיווג העסקה כמכירת זכויות ההפצה, כסברת המערערים, או כפיצוי בגין הפסקת ההפצה, כדעת המשיב, ממילא אין כל חשיבות. בית המשפט סבר כי הניסיון להגדיר את העסקה כמכירה או כפיצוי חוטא לעיקר, שכן העיקר הוא לא הכינוי שניתן לתשלום אלא ה"פרצה" הכלכלית שהתשלום נועד לכסות. לשיטת בית משפט קמא, "עיקרון הפרצה" נועד לחול במקרים בלתי ברורים בהם הפיצוי משולם בעד נכס שאינו נכס הון גולמי. בבואו ליישם את "עיקרון הפרצה" על המקרה דנן, התייחס בית משפט קמא לכך שזכויות ההפצה תרמו בסופו של דבר להפקת 15% מרווחיה של צמל, ולא למעלה מכך. זאת ועוד: מכיוון שחיי ההסכם נקצבו מלכתחילה לשלוש שנים, ההסכם לא היה כה מהותי לעסק שסיומו שנתיים לפני מועד פקיעתו הביא לשינוי יסודי בפני העסק; וממילא לא ניתן לראות בזכויות ההפצה מושא ההסכם את "נשמת אפו" של העסק. מטעמים אלו, קבע בית משפט קמא כי התשלום שבו עסקינן נושא אופי </w:t>
      </w:r>
      <w:proofErr w:type="spellStart"/>
      <w:r>
        <w:rPr>
          <w:rFonts w:hint="cs"/>
          <w:rtl/>
        </w:rPr>
        <w:t>פירותי</w:t>
      </w:r>
      <w:proofErr w:type="spellEnd"/>
      <w:r>
        <w:rPr>
          <w:rFonts w:hint="cs"/>
          <w:rtl/>
        </w:rPr>
        <w:t xml:space="preserve">, ולא הוני. </w:t>
      </w:r>
      <w:r>
        <w:rPr>
          <w:rtl/>
        </w:rPr>
        <w:br/>
      </w:r>
    </w:p>
    <w:p w:rsidR="00B05730" w:rsidRDefault="00B05730" w:rsidP="00B05730">
      <w:pPr>
        <w:pStyle w:val="Ruller4"/>
        <w:rPr>
          <w:rtl/>
        </w:rPr>
      </w:pPr>
      <w:r>
        <w:rPr>
          <w:rFonts w:hint="cs"/>
          <w:rtl/>
        </w:rPr>
        <w:t xml:space="preserve">כמו כן דחה בית משפט קמא את טענות המערערים בנוגע לתשלום שאלה שילמו לארגמן בתורת "דמי מאמץ" ולבקשה לשינוי השומה אשר באה בעקבותיו. נקבע כי בהעדר אסמכתא בדבר זכויותיו של ארגמן, שאף לא נקרא </w:t>
      </w:r>
      <w:proofErr w:type="spellStart"/>
      <w:r>
        <w:rPr>
          <w:rFonts w:hint="cs"/>
          <w:rtl/>
        </w:rPr>
        <w:t>ליתן</w:t>
      </w:r>
      <w:proofErr w:type="spellEnd"/>
      <w:r>
        <w:rPr>
          <w:rFonts w:hint="cs"/>
          <w:rtl/>
        </w:rPr>
        <w:t xml:space="preserve"> עדות מטעם המערערים, לא ניתן להקטין את ההכנסה המיוחסת לצמל בשנות המס נשוא הערעור בגין הכספים ששולמו לארגמן בשלב מאוחר יותר. </w:t>
      </w:r>
      <w:r>
        <w:rPr>
          <w:rtl/>
        </w:rPr>
        <w:tab/>
      </w:r>
    </w:p>
    <w:p w:rsidR="00B05730" w:rsidRDefault="00B05730" w:rsidP="00B05730">
      <w:pPr>
        <w:pStyle w:val="Ruller41"/>
        <w:rPr>
          <w:rtl/>
        </w:rPr>
      </w:pPr>
    </w:p>
    <w:p w:rsidR="00B05730" w:rsidRPr="00D06461" w:rsidRDefault="00B05730" w:rsidP="00B05730">
      <w:pPr>
        <w:pStyle w:val="Ruller41"/>
      </w:pPr>
      <w:r>
        <w:rPr>
          <w:rtl/>
        </w:rPr>
        <w:tab/>
      </w:r>
      <w:r>
        <w:rPr>
          <w:rFonts w:hint="cs"/>
          <w:rtl/>
        </w:rPr>
        <w:t>מכאן הערעור שלפנינו.</w:t>
      </w:r>
    </w:p>
    <w:p w:rsidR="00B05730" w:rsidRDefault="00B05730" w:rsidP="00B05730">
      <w:pPr>
        <w:pStyle w:val="Ruller41"/>
        <w:rPr>
          <w:rtl/>
        </w:rPr>
      </w:pPr>
    </w:p>
    <w:p w:rsidR="00B05730" w:rsidRPr="00ED60DB" w:rsidRDefault="00B05730" w:rsidP="00B05730">
      <w:pPr>
        <w:pStyle w:val="Ruller41"/>
        <w:rPr>
          <w:rFonts w:ascii="Century" w:hAnsi="Century" w:cs="Miriam"/>
          <w:b/>
          <w:spacing w:val="0"/>
          <w:szCs w:val="24"/>
          <w:rtl/>
        </w:rPr>
      </w:pPr>
      <w:r>
        <w:rPr>
          <w:rFonts w:ascii="Century" w:hAnsi="Century" w:cs="Miriam" w:hint="cs"/>
          <w:b/>
          <w:spacing w:val="0"/>
          <w:szCs w:val="24"/>
          <w:rtl/>
        </w:rPr>
        <w:t>טענות המערערים</w:t>
      </w:r>
    </w:p>
    <w:p w:rsidR="00B05730" w:rsidRDefault="00B05730" w:rsidP="00B05730">
      <w:pPr>
        <w:pStyle w:val="Ruller41"/>
        <w:rPr>
          <w:rFonts w:ascii="Century" w:hAnsi="Century" w:cs="Miriam"/>
          <w:b/>
          <w:spacing w:val="0"/>
          <w:szCs w:val="24"/>
          <w:rtl/>
        </w:rPr>
      </w:pPr>
    </w:p>
    <w:p w:rsidR="00B05730" w:rsidRDefault="00B05730" w:rsidP="00B05730">
      <w:pPr>
        <w:pStyle w:val="Ruller4"/>
        <w:rPr>
          <w:rtl/>
        </w:rPr>
      </w:pPr>
      <w:r>
        <w:rPr>
          <w:rFonts w:hint="cs"/>
          <w:rtl/>
        </w:rPr>
        <w:t xml:space="preserve">לשיטת המערערים, פסק הדין קמא יסודו בטעות ויש לבטלו. ראשית לכל, טוענים המערערים כי הכרעות עובדתיות רבות של בית משפט קמא מבוססות על עובדות שאינן נכונות בעניינה של צמל </w:t>
      </w:r>
      <w:proofErr w:type="spellStart"/>
      <w:r>
        <w:rPr>
          <w:rFonts w:hint="cs"/>
          <w:rtl/>
        </w:rPr>
        <w:t>מדיקל</w:t>
      </w:r>
      <w:proofErr w:type="spellEnd"/>
      <w:r>
        <w:rPr>
          <w:rFonts w:hint="cs"/>
          <w:rtl/>
        </w:rPr>
        <w:t xml:space="preserve"> אלא קשורות לפעילותה של צמל </w:t>
      </w:r>
      <w:proofErr w:type="spellStart"/>
      <w:r>
        <w:rPr>
          <w:rFonts w:hint="cs"/>
          <w:rtl/>
        </w:rPr>
        <w:t>יעקובסון</w:t>
      </w:r>
      <w:proofErr w:type="spellEnd"/>
      <w:r>
        <w:rPr>
          <w:rFonts w:hint="cs"/>
          <w:rtl/>
        </w:rPr>
        <w:t xml:space="preserve">, ולכן יש לבטל את פסק הדין קמא אף מבלי לדון בו לגופו. במסגרת זו, תוקפים המערערים את קביעתו של בית המשפט כי צמל </w:t>
      </w:r>
      <w:proofErr w:type="spellStart"/>
      <w:r>
        <w:rPr>
          <w:rFonts w:hint="cs"/>
          <w:rtl/>
        </w:rPr>
        <w:t>מדיקל</w:t>
      </w:r>
      <w:proofErr w:type="spellEnd"/>
      <w:r>
        <w:rPr>
          <w:rFonts w:hint="cs"/>
          <w:rtl/>
        </w:rPr>
        <w:t xml:space="preserve"> היא בעלת התקבול אשר שולם מכוחו של ההסכם המבטל וכי תקבול זה מהווה הכנסה </w:t>
      </w:r>
      <w:proofErr w:type="spellStart"/>
      <w:r>
        <w:rPr>
          <w:rFonts w:hint="cs"/>
          <w:rtl/>
        </w:rPr>
        <w:t>פירותית</w:t>
      </w:r>
      <w:proofErr w:type="spellEnd"/>
      <w:r>
        <w:rPr>
          <w:rFonts w:hint="cs"/>
          <w:rtl/>
        </w:rPr>
        <w:t xml:space="preserve"> בידיה, בשעה שפעילותה של צמל </w:t>
      </w:r>
      <w:proofErr w:type="spellStart"/>
      <w:r>
        <w:rPr>
          <w:rFonts w:hint="cs"/>
          <w:rtl/>
        </w:rPr>
        <w:t>מדיקל</w:t>
      </w:r>
      <w:proofErr w:type="spellEnd"/>
      <w:r>
        <w:rPr>
          <w:rFonts w:hint="cs"/>
          <w:rtl/>
        </w:rPr>
        <w:t xml:space="preserve"> מוגבלת להחזקת נכסים </w:t>
      </w:r>
      <w:r>
        <w:rPr>
          <w:rtl/>
        </w:rPr>
        <w:t>–</w:t>
      </w:r>
      <w:r>
        <w:rPr>
          <w:rFonts w:hint="cs"/>
          <w:rtl/>
        </w:rPr>
        <w:t xml:space="preserve"> מניות בחברות בנות, אשר מחזיקות בחברות נכדות ובהסכמי הפצה. לדברי המערערים, צמל </w:t>
      </w:r>
      <w:proofErr w:type="spellStart"/>
      <w:r>
        <w:rPr>
          <w:rFonts w:hint="cs"/>
          <w:rtl/>
        </w:rPr>
        <w:t>מדיקל</w:t>
      </w:r>
      <w:proofErr w:type="spellEnd"/>
      <w:r>
        <w:rPr>
          <w:rFonts w:hint="cs"/>
          <w:rtl/>
        </w:rPr>
        <w:t xml:space="preserve">, להבדיל מצמל </w:t>
      </w:r>
      <w:proofErr w:type="spellStart"/>
      <w:r>
        <w:rPr>
          <w:rFonts w:hint="cs"/>
          <w:rtl/>
        </w:rPr>
        <w:t>יעקובסון</w:t>
      </w:r>
      <w:proofErr w:type="spellEnd"/>
      <w:r>
        <w:rPr>
          <w:rFonts w:hint="cs"/>
          <w:rtl/>
        </w:rPr>
        <w:t>, אינה מעסיקה עובדים ואינה מוכרת דבר.</w:t>
      </w:r>
    </w:p>
    <w:p w:rsidR="00B05730" w:rsidRDefault="00B05730" w:rsidP="00B05730">
      <w:pPr>
        <w:pStyle w:val="Ruller41"/>
        <w:rPr>
          <w:rtl/>
        </w:rPr>
      </w:pPr>
    </w:p>
    <w:p w:rsidR="00B05730" w:rsidRDefault="00B05730" w:rsidP="00B05730">
      <w:pPr>
        <w:pStyle w:val="Ruller4"/>
        <w:rPr>
          <w:rtl/>
        </w:rPr>
      </w:pPr>
      <w:r>
        <w:rPr>
          <w:rFonts w:hint="cs"/>
          <w:rtl/>
        </w:rPr>
        <w:lastRenderedPageBreak/>
        <w:t xml:space="preserve">המערערים מלינים גם על מבחן העזר של "נכס ההון הגולמי" עליו הסתמך בית משפט קמא בפסיקתו. לטענתם, בית המשפט יצר מבחן זה יש מאין, והצדדים כלל לא התייחסו אליו בטיעוניהם. </w:t>
      </w:r>
    </w:p>
    <w:p w:rsidR="00B05730" w:rsidRPr="002104E6" w:rsidRDefault="00B05730" w:rsidP="00B05730">
      <w:pPr>
        <w:pStyle w:val="Ruller41"/>
      </w:pPr>
    </w:p>
    <w:p w:rsidR="00B05730" w:rsidRDefault="00B05730" w:rsidP="00B05730">
      <w:pPr>
        <w:pStyle w:val="Ruller4"/>
      </w:pPr>
      <w:r>
        <w:rPr>
          <w:rFonts w:hint="cs"/>
          <w:rtl/>
        </w:rPr>
        <w:t xml:space="preserve">לגופם של דברים, טוענים המערערים כי בית משפט קמא שגה בקבעו שהתשלום נשוא המחלוקת הצמיח לצמל הכנסה </w:t>
      </w:r>
      <w:proofErr w:type="spellStart"/>
      <w:r>
        <w:rPr>
          <w:rFonts w:hint="cs"/>
          <w:rtl/>
        </w:rPr>
        <w:t>פירותית</w:t>
      </w:r>
      <w:proofErr w:type="spellEnd"/>
      <w:r>
        <w:rPr>
          <w:rFonts w:hint="cs"/>
          <w:rtl/>
        </w:rPr>
        <w:t xml:space="preserve"> ולא הכנסה הונית. טענה זו נסמכת בעיקרה על ארבעה מאפייני העסקה אשר נקשרה בין צמל </w:t>
      </w:r>
      <w:proofErr w:type="spellStart"/>
      <w:r>
        <w:rPr>
          <w:rFonts w:hint="cs"/>
          <w:rtl/>
        </w:rPr>
        <w:t>למדטרוניק</w:t>
      </w:r>
      <w:proofErr w:type="spellEnd"/>
      <w:r>
        <w:rPr>
          <w:rFonts w:hint="cs"/>
          <w:rtl/>
        </w:rPr>
        <w:t xml:space="preserve"> בהסכם הביטול. </w:t>
      </w:r>
    </w:p>
    <w:p w:rsidR="00B05730" w:rsidRDefault="00B05730" w:rsidP="00B05730">
      <w:pPr>
        <w:pStyle w:val="Ruller4"/>
        <w:numPr>
          <w:ilvl w:val="0"/>
          <w:numId w:val="0"/>
        </w:numPr>
        <w:rPr>
          <w:rtl/>
        </w:rPr>
      </w:pPr>
    </w:p>
    <w:p w:rsidR="00B05730" w:rsidRDefault="00B05730" w:rsidP="00B05730">
      <w:pPr>
        <w:pStyle w:val="Ruller4"/>
        <w:numPr>
          <w:ilvl w:val="0"/>
          <w:numId w:val="0"/>
        </w:numPr>
        <w:rPr>
          <w:rtl/>
        </w:rPr>
      </w:pPr>
      <w:r>
        <w:rPr>
          <w:rtl/>
        </w:rPr>
        <w:tab/>
      </w:r>
      <w:r>
        <w:rPr>
          <w:rFonts w:hint="cs"/>
          <w:rtl/>
        </w:rPr>
        <w:t>לשיטת המערערים:</w:t>
      </w:r>
    </w:p>
    <w:p w:rsidR="00B05730" w:rsidRDefault="00B05730" w:rsidP="00B05730">
      <w:pPr>
        <w:pStyle w:val="Ruller4"/>
        <w:numPr>
          <w:ilvl w:val="0"/>
          <w:numId w:val="0"/>
        </w:numPr>
        <w:rPr>
          <w:rtl/>
        </w:rPr>
      </w:pPr>
    </w:p>
    <w:p w:rsidR="00B05730" w:rsidRDefault="00B05730" w:rsidP="00B05730">
      <w:pPr>
        <w:pStyle w:val="Ruller4"/>
        <w:numPr>
          <w:ilvl w:val="0"/>
          <w:numId w:val="14"/>
        </w:numPr>
        <w:rPr>
          <w:rtl/>
        </w:rPr>
      </w:pPr>
      <w:r w:rsidRPr="003408BC">
        <w:rPr>
          <w:rFonts w:ascii="Century" w:hAnsi="Century" w:cs="Miriam" w:hint="cs"/>
          <w:b/>
          <w:spacing w:val="0"/>
          <w:sz w:val="22"/>
          <w:szCs w:val="24"/>
          <w:rtl/>
        </w:rPr>
        <w:t>גודל</w:t>
      </w:r>
      <w:r>
        <w:rPr>
          <w:rFonts w:ascii="Century" w:hAnsi="Century" w:cs="Miriam" w:hint="cs"/>
          <w:b/>
          <w:spacing w:val="0"/>
          <w:sz w:val="22"/>
          <w:szCs w:val="24"/>
          <w:rtl/>
        </w:rPr>
        <w:t xml:space="preserve"> הפרצה שכוסתה. </w:t>
      </w:r>
      <w:r>
        <w:rPr>
          <w:rFonts w:hint="cs"/>
          <w:rtl/>
        </w:rPr>
        <w:t xml:space="preserve">בית משפט קמא התעלם מנתונים מספריים אשר תומכים בסיווגה של זכות ההפצה כנכס הון מובהק ומהותי. למשל: הרווח הגולמי ממכירת המסתם הגיע לשיעור של 66% מהרווח הגולמי של חטיבת הקרדיולוגיה של קבוצת צמל. זאת ועוד: התשלום שקיבלה צמל בגדרו של ההסכם המבטל לא שיקף רק את אובדן הרווחים הצפויים, אלא גם את אובדן התרומה הכוללת של זכות ההפצה, לרבות המוניטין שצמח ממנה. מסיבות אלו, הסכום </w:t>
      </w:r>
      <w:proofErr w:type="spellStart"/>
      <w:r>
        <w:rPr>
          <w:rFonts w:hint="cs"/>
          <w:rtl/>
        </w:rPr>
        <w:t>שמדטרוניק</w:t>
      </w:r>
      <w:proofErr w:type="spellEnd"/>
      <w:r>
        <w:rPr>
          <w:rFonts w:hint="cs"/>
          <w:rtl/>
        </w:rPr>
        <w:t xml:space="preserve"> שילמה לצמל </w:t>
      </w:r>
      <w:r>
        <w:rPr>
          <w:rtl/>
        </w:rPr>
        <w:t>–</w:t>
      </w:r>
      <w:r>
        <w:rPr>
          <w:rFonts w:hint="cs"/>
          <w:rtl/>
        </w:rPr>
        <w:t xml:space="preserve"> 2,000,000 דולר ארה"ב </w:t>
      </w:r>
      <w:r>
        <w:rPr>
          <w:rtl/>
        </w:rPr>
        <w:t>–</w:t>
      </w:r>
      <w:r>
        <w:rPr>
          <w:rFonts w:hint="cs"/>
          <w:rtl/>
        </w:rPr>
        <w:t xml:space="preserve"> עלה לאין שיעור על הסכום שהיה עליה לשלם בהתאם לסעיף 10.7.2 להסכם ההפצה, אשר משקף את אובדן ההכנסה בלבד. המערערים ממשיכים וטוענים כי הסכום ששולם לצמל על ידי </w:t>
      </w:r>
      <w:proofErr w:type="spellStart"/>
      <w:r>
        <w:rPr>
          <w:rFonts w:hint="cs"/>
          <w:rtl/>
        </w:rPr>
        <w:t>מדטרוניק</w:t>
      </w:r>
      <w:proofErr w:type="spellEnd"/>
      <w:r>
        <w:rPr>
          <w:rFonts w:hint="cs"/>
          <w:rtl/>
        </w:rPr>
        <w:t xml:space="preserve"> היווה למעלה מ- 50% מהונה העצמי של הקבוצה כולה, נכון למועד מכירת זכויות ההפצה. אליבא </w:t>
      </w:r>
      <w:proofErr w:type="spellStart"/>
      <w:r>
        <w:rPr>
          <w:rFonts w:hint="cs"/>
          <w:rtl/>
        </w:rPr>
        <w:t>דמערערים</w:t>
      </w:r>
      <w:proofErr w:type="spellEnd"/>
      <w:r>
        <w:rPr>
          <w:rFonts w:hint="cs"/>
          <w:rtl/>
        </w:rPr>
        <w:t xml:space="preserve">, בכל אלו יש כדי להביא למסקנה חד-משמעית כי מדובר בהכנסה הונית ולא </w:t>
      </w:r>
      <w:proofErr w:type="spellStart"/>
      <w:r>
        <w:rPr>
          <w:rFonts w:hint="cs"/>
          <w:rtl/>
        </w:rPr>
        <w:t>פירותית</w:t>
      </w:r>
      <w:proofErr w:type="spellEnd"/>
      <w:r>
        <w:rPr>
          <w:rFonts w:hint="cs"/>
          <w:rtl/>
        </w:rPr>
        <w:t xml:space="preserve">. </w:t>
      </w:r>
    </w:p>
    <w:p w:rsidR="00B05730" w:rsidRPr="000E7501" w:rsidRDefault="00B05730" w:rsidP="00B05730">
      <w:pPr>
        <w:pStyle w:val="Ruller41"/>
      </w:pPr>
    </w:p>
    <w:p w:rsidR="00B05730" w:rsidRPr="006841F8" w:rsidRDefault="00B05730" w:rsidP="00B05730">
      <w:pPr>
        <w:pStyle w:val="Ruller4"/>
        <w:numPr>
          <w:ilvl w:val="0"/>
          <w:numId w:val="14"/>
        </w:numPr>
        <w:rPr>
          <w:rFonts w:ascii="Century" w:hAnsi="Century"/>
          <w:sz w:val="22"/>
          <w:rtl/>
        </w:rPr>
      </w:pPr>
      <w:r w:rsidRPr="000E7501">
        <w:rPr>
          <w:rFonts w:ascii="Century" w:hAnsi="Century" w:cs="Miriam" w:hint="cs"/>
          <w:b/>
          <w:spacing w:val="0"/>
          <w:sz w:val="22"/>
          <w:szCs w:val="24"/>
          <w:rtl/>
        </w:rPr>
        <w:t>מהותו הכלכלית של התשלום מושא המחלוקת.</w:t>
      </w:r>
      <w:r>
        <w:rPr>
          <w:rFonts w:ascii="Century" w:hAnsi="Century" w:hint="cs"/>
          <w:sz w:val="22"/>
          <w:rtl/>
        </w:rPr>
        <w:t xml:space="preserve"> ה</w:t>
      </w:r>
      <w:r>
        <w:rPr>
          <w:rFonts w:ascii="Century" w:hAnsi="Century" w:hint="cs"/>
          <w:rtl/>
        </w:rPr>
        <w:t xml:space="preserve">רווח שצמל הפיקה מקבלת התשלום מושא המחלוקת </w:t>
      </w:r>
      <w:r w:rsidRPr="000E7501">
        <w:rPr>
          <w:rFonts w:ascii="Century" w:hAnsi="Century" w:hint="cs"/>
          <w:rtl/>
        </w:rPr>
        <w:t>הינו "רווח הון"</w:t>
      </w:r>
      <w:r>
        <w:rPr>
          <w:rFonts w:ascii="Century" w:hAnsi="Century" w:hint="cs"/>
          <w:rtl/>
        </w:rPr>
        <w:t xml:space="preserve"> מאחר שמדובר בתשלום</w:t>
      </w:r>
      <w:r w:rsidRPr="000E7501">
        <w:rPr>
          <w:rFonts w:ascii="Century" w:hAnsi="Century" w:hint="cs"/>
          <w:rtl/>
        </w:rPr>
        <w:t xml:space="preserve"> </w:t>
      </w:r>
      <w:r>
        <w:rPr>
          <w:rFonts w:ascii="Century" w:hAnsi="Century" w:hint="cs"/>
          <w:rtl/>
        </w:rPr>
        <w:t>חד פעמי אשר נקבע מראש לא כפועל יוצא של אובדן הרווחים הצפויים, אלא כפיצוי</w:t>
      </w:r>
      <w:r w:rsidRPr="006841F8">
        <w:rPr>
          <w:rFonts w:ascii="Century" w:hAnsi="Century" w:hint="cs"/>
          <w:rtl/>
        </w:rPr>
        <w:t xml:space="preserve"> </w:t>
      </w:r>
      <w:r>
        <w:rPr>
          <w:rFonts w:ascii="Century" w:hAnsi="Century" w:hint="cs"/>
          <w:rtl/>
        </w:rPr>
        <w:t xml:space="preserve">בגין </w:t>
      </w:r>
      <w:r w:rsidRPr="006841F8">
        <w:rPr>
          <w:rFonts w:ascii="Century" w:hAnsi="Century" w:hint="cs"/>
          <w:rtl/>
        </w:rPr>
        <w:t>אובד</w:t>
      </w:r>
      <w:r>
        <w:rPr>
          <w:rFonts w:ascii="Century" w:hAnsi="Century" w:hint="cs"/>
          <w:rtl/>
        </w:rPr>
        <w:t xml:space="preserve">ן </w:t>
      </w:r>
      <w:r w:rsidRPr="006841F8">
        <w:rPr>
          <w:rFonts w:ascii="Century" w:hAnsi="Century" w:hint="cs"/>
          <w:rtl/>
        </w:rPr>
        <w:t>התרומה הכוללת של זכות ההפצה</w:t>
      </w:r>
      <w:r>
        <w:rPr>
          <w:rFonts w:ascii="Century" w:hAnsi="Century" w:hint="cs"/>
          <w:rtl/>
        </w:rPr>
        <w:t xml:space="preserve"> לעסקי צמל.</w:t>
      </w:r>
      <w:r w:rsidRPr="006841F8">
        <w:rPr>
          <w:rFonts w:ascii="Century" w:hAnsi="Century" w:hint="cs"/>
          <w:rtl/>
        </w:rPr>
        <w:t xml:space="preserve"> </w:t>
      </w:r>
    </w:p>
    <w:p w:rsidR="00B05730" w:rsidRPr="003408BC" w:rsidRDefault="00B05730" w:rsidP="00B05730">
      <w:pPr>
        <w:pStyle w:val="Ruller41"/>
      </w:pPr>
    </w:p>
    <w:p w:rsidR="00B05730" w:rsidRDefault="00B05730" w:rsidP="00B05730">
      <w:pPr>
        <w:pStyle w:val="Ruller4"/>
        <w:numPr>
          <w:ilvl w:val="0"/>
          <w:numId w:val="14"/>
        </w:numPr>
        <w:rPr>
          <w:rtl/>
        </w:rPr>
      </w:pPr>
      <w:r w:rsidRPr="003408BC">
        <w:rPr>
          <w:rFonts w:ascii="Century" w:hAnsi="Century" w:cs="Miriam" w:hint="cs"/>
          <w:b/>
          <w:spacing w:val="0"/>
          <w:sz w:val="22"/>
          <w:szCs w:val="24"/>
          <w:rtl/>
        </w:rPr>
        <w:t>זכות ההפצה כ"עץ".</w:t>
      </w:r>
      <w:r>
        <w:rPr>
          <w:rFonts w:hint="cs"/>
          <w:rtl/>
        </w:rPr>
        <w:t xml:space="preserve"> זכות ההפצה הבלעדית, שהייתה בידיה של צמל </w:t>
      </w:r>
      <w:proofErr w:type="spellStart"/>
      <w:r>
        <w:rPr>
          <w:rFonts w:hint="cs"/>
          <w:rtl/>
        </w:rPr>
        <w:t>מדיקל</w:t>
      </w:r>
      <w:proofErr w:type="spellEnd"/>
      <w:r>
        <w:rPr>
          <w:rFonts w:hint="cs"/>
          <w:rtl/>
        </w:rPr>
        <w:t xml:space="preserve">, היא בגדר "עץ" המצמיח פירות, ואילו העמלות בעד מכירת </w:t>
      </w:r>
      <w:r>
        <w:rPr>
          <w:rFonts w:hint="cs"/>
          <w:rtl/>
        </w:rPr>
        <w:lastRenderedPageBreak/>
        <w:t xml:space="preserve">המוצרים, אשר מתקבלות מכוחה של זכות ההפצה הן "הפירות" המופקים מהעץ. בהקשר זה, ממשיכים המערערים ומפנים אותנו לפסקי דין שלטענתם סיווגו זכות הפצה לצרכי מס כ"נכס הון", דהיינו: כ"נכס" במובנו של סעיף 88 לפקודה. </w:t>
      </w:r>
    </w:p>
    <w:p w:rsidR="00B05730" w:rsidRPr="003408BC" w:rsidRDefault="00B05730" w:rsidP="00B05730">
      <w:pPr>
        <w:pStyle w:val="Ruller41"/>
      </w:pPr>
    </w:p>
    <w:p w:rsidR="00B05730" w:rsidRDefault="00B05730" w:rsidP="00B05730">
      <w:pPr>
        <w:pStyle w:val="Ruller4"/>
        <w:numPr>
          <w:ilvl w:val="0"/>
          <w:numId w:val="14"/>
        </w:numPr>
        <w:rPr>
          <w:rFonts w:ascii="Century" w:hAnsi="Century"/>
          <w:sz w:val="22"/>
          <w:rtl/>
        </w:rPr>
      </w:pPr>
      <w:r w:rsidRPr="003408BC">
        <w:rPr>
          <w:rFonts w:ascii="Century" w:hAnsi="Century" w:cs="Miriam" w:hint="cs"/>
          <w:b/>
          <w:spacing w:val="0"/>
          <w:sz w:val="22"/>
          <w:szCs w:val="24"/>
          <w:rtl/>
        </w:rPr>
        <w:t>מכירת זכות הפצה בלעדית על ידי מי שאוחז בה כמוה כמכירת נכס ה</w:t>
      </w:r>
      <w:r>
        <w:rPr>
          <w:rFonts w:ascii="Century" w:hAnsi="Century" w:cs="Miriam" w:hint="cs"/>
          <w:b/>
          <w:spacing w:val="0"/>
          <w:sz w:val="22"/>
          <w:szCs w:val="24"/>
          <w:rtl/>
        </w:rPr>
        <w:t>ון</w:t>
      </w:r>
      <w:r w:rsidRPr="003408BC">
        <w:rPr>
          <w:rFonts w:ascii="Century" w:hAnsi="Century" w:cs="Miriam" w:hint="cs"/>
          <w:b/>
          <w:spacing w:val="0"/>
          <w:sz w:val="22"/>
          <w:szCs w:val="24"/>
          <w:rtl/>
        </w:rPr>
        <w:t xml:space="preserve">. </w:t>
      </w:r>
      <w:r w:rsidRPr="000E7501">
        <w:rPr>
          <w:rFonts w:ascii="Century" w:hAnsi="Century" w:hint="cs"/>
          <w:sz w:val="22"/>
          <w:rtl/>
        </w:rPr>
        <w:t>בהקשר זה</w:t>
      </w:r>
      <w:r>
        <w:rPr>
          <w:rFonts w:ascii="Century" w:hAnsi="Century" w:hint="cs"/>
          <w:sz w:val="22"/>
          <w:rtl/>
        </w:rPr>
        <w:t xml:space="preserve">, מפנים אותנו המערערים לפסקי דין מהם עולה, לשיטתם, כי </w:t>
      </w:r>
      <w:r w:rsidRPr="000E7501">
        <w:rPr>
          <w:rFonts w:ascii="Century" w:hAnsi="Century" w:hint="cs"/>
          <w:rtl/>
        </w:rPr>
        <w:t xml:space="preserve">העברת זכות הפצה בלעדית מידיו של בעל הזכות </w:t>
      </w:r>
      <w:r>
        <w:rPr>
          <w:rFonts w:ascii="Century" w:hAnsi="Century" w:hint="cs"/>
          <w:rtl/>
        </w:rPr>
        <w:t xml:space="preserve">מהווה </w:t>
      </w:r>
      <w:r w:rsidRPr="000E7501">
        <w:rPr>
          <w:rFonts w:ascii="Century" w:hAnsi="Century" w:hint="cs"/>
          <w:rtl/>
        </w:rPr>
        <w:t>מכיר</w:t>
      </w:r>
      <w:r>
        <w:rPr>
          <w:rFonts w:ascii="Century" w:hAnsi="Century" w:hint="cs"/>
          <w:rtl/>
        </w:rPr>
        <w:t xml:space="preserve">ת נכס הון </w:t>
      </w:r>
      <w:r>
        <w:rPr>
          <w:rFonts w:ascii="Century" w:hAnsi="Century"/>
          <w:rtl/>
        </w:rPr>
        <w:t>–</w:t>
      </w:r>
      <w:r>
        <w:rPr>
          <w:rFonts w:ascii="Century" w:hAnsi="Century" w:hint="cs"/>
          <w:rtl/>
        </w:rPr>
        <w:t xml:space="preserve"> </w:t>
      </w:r>
      <w:r w:rsidRPr="000E7501">
        <w:rPr>
          <w:rFonts w:ascii="Century" w:hAnsi="Century" w:hint="cs"/>
          <w:rtl/>
        </w:rPr>
        <w:t xml:space="preserve">דבר </w:t>
      </w:r>
      <w:r>
        <w:rPr>
          <w:rFonts w:ascii="Century" w:hAnsi="Century" w:hint="cs"/>
          <w:rtl/>
        </w:rPr>
        <w:t>ה</w:t>
      </w:r>
      <w:r w:rsidRPr="000E7501">
        <w:rPr>
          <w:rFonts w:ascii="Century" w:hAnsi="Century" w:hint="cs"/>
          <w:rtl/>
        </w:rPr>
        <w:t xml:space="preserve">נכון הן במקרה </w:t>
      </w:r>
      <w:r>
        <w:rPr>
          <w:rFonts w:ascii="Century" w:hAnsi="Century" w:hint="cs"/>
          <w:rtl/>
        </w:rPr>
        <w:t>ש</w:t>
      </w:r>
      <w:r w:rsidRPr="000E7501">
        <w:rPr>
          <w:rFonts w:ascii="Century" w:hAnsi="Century" w:hint="cs"/>
          <w:rtl/>
        </w:rPr>
        <w:t>בו הזכות נמכר</w:t>
      </w:r>
      <w:r>
        <w:rPr>
          <w:rFonts w:ascii="Century" w:hAnsi="Century" w:hint="cs"/>
          <w:rtl/>
        </w:rPr>
        <w:t>ת</w:t>
      </w:r>
      <w:r w:rsidRPr="000E7501">
        <w:rPr>
          <w:rFonts w:ascii="Century" w:hAnsi="Century" w:hint="cs"/>
          <w:rtl/>
        </w:rPr>
        <w:t xml:space="preserve"> למפיץ אחר ו</w:t>
      </w:r>
      <w:r>
        <w:rPr>
          <w:rFonts w:ascii="Century" w:hAnsi="Century" w:hint="cs"/>
          <w:rtl/>
        </w:rPr>
        <w:t>הן</w:t>
      </w:r>
      <w:r w:rsidRPr="000E7501">
        <w:rPr>
          <w:rFonts w:ascii="Century" w:hAnsi="Century" w:hint="cs"/>
          <w:rtl/>
        </w:rPr>
        <w:t xml:space="preserve"> במקרה </w:t>
      </w:r>
      <w:r>
        <w:rPr>
          <w:rFonts w:ascii="Century" w:hAnsi="Century" w:hint="cs"/>
          <w:rtl/>
        </w:rPr>
        <w:t>ש</w:t>
      </w:r>
      <w:r w:rsidRPr="000E7501">
        <w:rPr>
          <w:rFonts w:ascii="Century" w:hAnsi="Century" w:hint="cs"/>
          <w:rtl/>
        </w:rPr>
        <w:t xml:space="preserve">בו הזכות </w:t>
      </w:r>
      <w:r>
        <w:rPr>
          <w:rFonts w:ascii="Century" w:hAnsi="Century" w:hint="cs"/>
          <w:rtl/>
        </w:rPr>
        <w:t>מוחזרת</w:t>
      </w:r>
      <w:r w:rsidRPr="000E7501">
        <w:rPr>
          <w:rFonts w:ascii="Century" w:hAnsi="Century" w:hint="cs"/>
          <w:rtl/>
        </w:rPr>
        <w:t xml:space="preserve"> לידיו של היצרן</w:t>
      </w:r>
      <w:r>
        <w:rPr>
          <w:rFonts w:ascii="Century" w:hAnsi="Century" w:hint="cs"/>
          <w:rtl/>
        </w:rPr>
        <w:t xml:space="preserve">, המשלם עבורה טבין ותקילין, כמו בענייננו-שלנו. המערערים מוסיפים וטוענים כי </w:t>
      </w:r>
      <w:r w:rsidRPr="000E7501">
        <w:rPr>
          <w:rFonts w:ascii="Century" w:hAnsi="Century" w:hint="cs"/>
          <w:rtl/>
        </w:rPr>
        <w:t>ההסכם המבטל וההסכם המתקן</w:t>
      </w:r>
      <w:r>
        <w:rPr>
          <w:rFonts w:ascii="Century" w:hAnsi="Century" w:hint="cs"/>
          <w:rtl/>
        </w:rPr>
        <w:t xml:space="preserve"> הגדירו </w:t>
      </w:r>
      <w:r w:rsidRPr="000E7501">
        <w:rPr>
          <w:rFonts w:ascii="Century" w:hAnsi="Century" w:hint="cs"/>
          <w:rtl/>
        </w:rPr>
        <w:t xml:space="preserve">העברת זכויות </w:t>
      </w:r>
      <w:r>
        <w:rPr>
          <w:rFonts w:ascii="Century" w:hAnsi="Century" w:hint="cs"/>
          <w:rtl/>
        </w:rPr>
        <w:t>ה</w:t>
      </w:r>
      <w:r w:rsidRPr="000E7501">
        <w:rPr>
          <w:rFonts w:ascii="Century" w:hAnsi="Century" w:hint="cs"/>
          <w:rtl/>
        </w:rPr>
        <w:t xml:space="preserve">הפצה </w:t>
      </w:r>
      <w:r>
        <w:rPr>
          <w:rFonts w:ascii="Century" w:hAnsi="Century" w:hint="cs"/>
          <w:rtl/>
        </w:rPr>
        <w:t xml:space="preserve">כאמור </w:t>
      </w:r>
      <w:r w:rsidRPr="000E7501">
        <w:rPr>
          <w:rFonts w:ascii="Century" w:hAnsi="Century" w:hint="cs"/>
          <w:rtl/>
        </w:rPr>
        <w:t xml:space="preserve">כמכירה. </w:t>
      </w:r>
    </w:p>
    <w:p w:rsidR="00B05730" w:rsidRDefault="00B05730" w:rsidP="00B05730">
      <w:pPr>
        <w:pStyle w:val="Ruller41"/>
        <w:rPr>
          <w:rtl/>
        </w:rPr>
      </w:pPr>
    </w:p>
    <w:p w:rsidR="00B05730" w:rsidRPr="00C95BCD" w:rsidRDefault="00B05730" w:rsidP="00B05730">
      <w:pPr>
        <w:pStyle w:val="Ruller4"/>
        <w:rPr>
          <w:rtl/>
        </w:rPr>
      </w:pPr>
      <w:r>
        <w:rPr>
          <w:rFonts w:hint="cs"/>
          <w:rtl/>
        </w:rPr>
        <w:t xml:space="preserve">המערערים לא פירטו בסיכומיהם את טענותיהם אשר תוקפות את החלטת בית משפט קמא בעניין "דמי המאמץ" ששולמו לארגמן והאפשרות להכיר בהם כהוצאה לשנת 2009. דומה, אפוא, כי טענות אלה נזנחו, וטוב שכך. בית משפט קמא קבע ממצאים ברורים אשר שוללים טענות אלה, בהתבססו על אי-הבאתו של ארגמן כעד, על כך שהמערערים לא טרחו להגיש "כל מסמך המלמד על זכות כלשהי </w:t>
      </w:r>
      <w:proofErr w:type="spellStart"/>
      <w:r>
        <w:rPr>
          <w:rFonts w:hint="cs"/>
          <w:rtl/>
        </w:rPr>
        <w:t>שהיתה</w:t>
      </w:r>
      <w:proofErr w:type="spellEnd"/>
      <w:r>
        <w:rPr>
          <w:rFonts w:hint="cs"/>
          <w:rtl/>
        </w:rPr>
        <w:t xml:space="preserve"> קיימת למר ארגמן בזיכיון", ועל כך ש"דמי המאמץ" שולמו לארגמן בשנת מס מאוחרת שמחוץ למסגרתם של ערעורי השומה נשוא הדיון. בקביעות אלה ובמסקנה הברורה שעולה מהן ממילא אין בידינו להתערב (ראו</w:t>
      </w:r>
      <w:r w:rsidRPr="00811DC7">
        <w:rPr>
          <w:rFonts w:hint="cs"/>
          <w:rtl/>
        </w:rPr>
        <w:t xml:space="preserve">: </w:t>
      </w:r>
      <w:hyperlink r:id="rId8" w:history="1">
        <w:r w:rsidRPr="00811DC7">
          <w:rPr>
            <w:rStyle w:val="Hyperlink"/>
            <w:color w:val="auto"/>
            <w:u w:val="none"/>
            <w:rtl/>
          </w:rPr>
          <w:t>ע"א 10225/02</w:t>
        </w:r>
      </w:hyperlink>
      <w:r w:rsidRPr="00CC1F5C">
        <w:t> </w:t>
      </w:r>
      <w:r w:rsidRPr="00311F55">
        <w:rPr>
          <w:rFonts w:ascii="Miriam" w:hAnsi="Miriam" w:cs="Miriam" w:hint="eastAsia"/>
          <w:sz w:val="22"/>
          <w:szCs w:val="24"/>
          <w:rtl/>
        </w:rPr>
        <w:t>פרץ</w:t>
      </w:r>
      <w:r w:rsidRPr="00311F55">
        <w:rPr>
          <w:rFonts w:ascii="Miriam" w:hAnsi="Miriam" w:cs="Miriam"/>
          <w:sz w:val="22"/>
          <w:szCs w:val="24"/>
          <w:rtl/>
        </w:rPr>
        <w:t xml:space="preserve"> </w:t>
      </w:r>
      <w:r w:rsidRPr="00311F55">
        <w:rPr>
          <w:rFonts w:ascii="Miriam" w:hAnsi="Miriam" w:cs="Miriam" w:hint="eastAsia"/>
          <w:sz w:val="22"/>
          <w:szCs w:val="24"/>
          <w:rtl/>
        </w:rPr>
        <w:t>נ</w:t>
      </w:r>
      <w:r w:rsidRPr="00311F55">
        <w:rPr>
          <w:rFonts w:ascii="Miriam" w:hAnsi="Miriam" w:cs="Miriam"/>
          <w:sz w:val="22"/>
          <w:szCs w:val="24"/>
          <w:rtl/>
        </w:rPr>
        <w:t xml:space="preserve">' </w:t>
      </w:r>
      <w:r w:rsidRPr="00311F55">
        <w:rPr>
          <w:rFonts w:ascii="Miriam" w:hAnsi="Miriam" w:cs="Miriam" w:hint="eastAsia"/>
          <w:sz w:val="22"/>
          <w:szCs w:val="24"/>
          <w:rtl/>
        </w:rPr>
        <w:t>פרץ</w:t>
      </w:r>
      <w:r w:rsidRPr="00311F55">
        <w:rPr>
          <w:rFonts w:ascii="Miriam" w:hAnsi="Miriam" w:cs="Miriam"/>
          <w:sz w:val="22"/>
          <w:szCs w:val="24"/>
          <w:rtl/>
        </w:rPr>
        <w:t xml:space="preserve"> </w:t>
      </w:r>
      <w:r w:rsidRPr="00311F55">
        <w:rPr>
          <w:rFonts w:ascii="Miriam" w:hAnsi="Miriam" w:cs="Miriam" w:hint="eastAsia"/>
          <w:sz w:val="22"/>
          <w:szCs w:val="24"/>
          <w:rtl/>
        </w:rPr>
        <w:t>בוני</w:t>
      </w:r>
      <w:r w:rsidRPr="00311F55">
        <w:rPr>
          <w:rFonts w:ascii="Miriam" w:hAnsi="Miriam" w:cs="Miriam"/>
          <w:sz w:val="22"/>
          <w:szCs w:val="24"/>
          <w:rtl/>
        </w:rPr>
        <w:t xml:space="preserve"> </w:t>
      </w:r>
      <w:r w:rsidRPr="00311F55">
        <w:rPr>
          <w:rFonts w:ascii="Miriam" w:hAnsi="Miriam" w:cs="Miriam" w:hint="eastAsia"/>
          <w:sz w:val="22"/>
          <w:szCs w:val="24"/>
          <w:rtl/>
        </w:rPr>
        <w:t>הנגב</w:t>
      </w:r>
      <w:r w:rsidRPr="00311F55">
        <w:rPr>
          <w:rFonts w:ascii="Miriam" w:hAnsi="Miriam" w:cs="Miriam"/>
          <w:sz w:val="22"/>
          <w:szCs w:val="24"/>
          <w:rtl/>
        </w:rPr>
        <w:t xml:space="preserve"> </w:t>
      </w:r>
      <w:r w:rsidRPr="00311F55">
        <w:rPr>
          <w:rFonts w:ascii="Miriam" w:hAnsi="Miriam" w:cs="Miriam" w:hint="eastAsia"/>
          <w:sz w:val="22"/>
          <w:szCs w:val="24"/>
          <w:rtl/>
        </w:rPr>
        <w:t>אחים</w:t>
      </w:r>
      <w:r w:rsidRPr="00311F55">
        <w:rPr>
          <w:rFonts w:ascii="Miriam" w:hAnsi="Miriam" w:cs="Miriam"/>
          <w:sz w:val="22"/>
          <w:szCs w:val="24"/>
          <w:rtl/>
        </w:rPr>
        <w:t xml:space="preserve"> </w:t>
      </w:r>
      <w:r w:rsidRPr="00311F55">
        <w:rPr>
          <w:rFonts w:ascii="Miriam" w:hAnsi="Miriam" w:cs="Miriam" w:hint="eastAsia"/>
          <w:sz w:val="22"/>
          <w:szCs w:val="24"/>
          <w:rtl/>
        </w:rPr>
        <w:t>פרץ</w:t>
      </w:r>
      <w:r w:rsidRPr="00311F55">
        <w:rPr>
          <w:rFonts w:ascii="Miriam" w:hAnsi="Miriam" w:cs="Miriam"/>
          <w:sz w:val="22"/>
          <w:szCs w:val="24"/>
          <w:rtl/>
        </w:rPr>
        <w:t xml:space="preserve"> </w:t>
      </w:r>
      <w:r w:rsidRPr="00311F55">
        <w:rPr>
          <w:rFonts w:ascii="Miriam" w:hAnsi="Miriam" w:cs="Miriam" w:hint="eastAsia"/>
          <w:sz w:val="22"/>
          <w:szCs w:val="24"/>
          <w:rtl/>
        </w:rPr>
        <w:t>בע</w:t>
      </w:r>
      <w:r w:rsidRPr="00311F55">
        <w:rPr>
          <w:rFonts w:ascii="Miriam" w:hAnsi="Miriam" w:cs="Miriam"/>
          <w:sz w:val="22"/>
          <w:szCs w:val="24"/>
          <w:rtl/>
        </w:rPr>
        <w:t>"</w:t>
      </w:r>
      <w:r w:rsidRPr="00311F55">
        <w:rPr>
          <w:rFonts w:ascii="Miriam" w:hAnsi="Miriam" w:cs="Miriam" w:hint="eastAsia"/>
          <w:sz w:val="22"/>
          <w:szCs w:val="24"/>
          <w:rtl/>
        </w:rPr>
        <w:t>מ</w:t>
      </w:r>
      <w:r>
        <w:rPr>
          <w:rFonts w:hint="cs"/>
          <w:rtl/>
        </w:rPr>
        <w:t xml:space="preserve">, פסקה 3 </w:t>
      </w:r>
      <w:r w:rsidRPr="00311F55">
        <w:rPr>
          <w:rFonts w:ascii="FrankRuehl" w:hAnsi="FrankRuehl"/>
          <w:sz w:val="28"/>
          <w:szCs w:val="32"/>
        </w:rPr>
        <w:t>(15.1.2014)</w:t>
      </w:r>
      <w:r>
        <w:rPr>
          <w:rFonts w:hint="cs"/>
          <w:rtl/>
        </w:rPr>
        <w:t>). טענות המערערים בעניין "דמי המאמץ" שצמל שילמה לארגמן נדחות אפוא בזאת.</w:t>
      </w:r>
    </w:p>
    <w:p w:rsidR="001106C6" w:rsidRDefault="001106C6" w:rsidP="00B05730">
      <w:pPr>
        <w:pStyle w:val="Ruller41"/>
        <w:rPr>
          <w:rFonts w:ascii="Century" w:hAnsi="Century"/>
          <w:rtl/>
        </w:rPr>
      </w:pPr>
    </w:p>
    <w:p w:rsidR="00B05730" w:rsidRDefault="00B05730" w:rsidP="00B05730">
      <w:pPr>
        <w:pStyle w:val="Ruller41"/>
        <w:rPr>
          <w:rFonts w:ascii="Century" w:hAnsi="Century" w:cs="Miriam"/>
          <w:b/>
          <w:spacing w:val="0"/>
          <w:szCs w:val="24"/>
          <w:rtl/>
        </w:rPr>
      </w:pPr>
      <w:r>
        <w:rPr>
          <w:rFonts w:ascii="Century" w:hAnsi="Century" w:cs="Miriam" w:hint="cs"/>
          <w:b/>
          <w:spacing w:val="0"/>
          <w:szCs w:val="24"/>
          <w:rtl/>
        </w:rPr>
        <w:t>טענות המשיב</w:t>
      </w:r>
    </w:p>
    <w:p w:rsidR="00B05730" w:rsidRDefault="00B05730" w:rsidP="00B05730">
      <w:pPr>
        <w:pStyle w:val="Ruller41"/>
        <w:rPr>
          <w:rFonts w:ascii="Century" w:hAnsi="Century" w:cs="Miriam"/>
          <w:b/>
          <w:spacing w:val="0"/>
          <w:szCs w:val="24"/>
          <w:rtl/>
        </w:rPr>
      </w:pPr>
    </w:p>
    <w:p w:rsidR="00B05730" w:rsidRDefault="00B05730" w:rsidP="00B05730">
      <w:pPr>
        <w:pStyle w:val="Ruller4"/>
        <w:rPr>
          <w:rtl/>
        </w:rPr>
      </w:pPr>
      <w:r>
        <w:rPr>
          <w:rFonts w:hint="cs"/>
          <w:rtl/>
        </w:rPr>
        <w:t xml:space="preserve">המשיב סומך את ידיו על פסק הדין קמא על נימוקיו וטוען כי דין הערעור להידחות. לשיטת המשיב, אין בסיס לטרוניית המערערים אשר מייחסת לבית משפט קמא בלבול בין צמל </w:t>
      </w:r>
      <w:proofErr w:type="spellStart"/>
      <w:r>
        <w:rPr>
          <w:rFonts w:hint="cs"/>
          <w:rtl/>
        </w:rPr>
        <w:t>מדיקל</w:t>
      </w:r>
      <w:proofErr w:type="spellEnd"/>
      <w:r>
        <w:rPr>
          <w:rFonts w:hint="cs"/>
          <w:rtl/>
        </w:rPr>
        <w:t xml:space="preserve"> לבין צמל </w:t>
      </w:r>
      <w:proofErr w:type="spellStart"/>
      <w:r>
        <w:rPr>
          <w:rFonts w:hint="cs"/>
          <w:rtl/>
        </w:rPr>
        <w:t>יעקובסון</w:t>
      </w:r>
      <w:proofErr w:type="spellEnd"/>
      <w:r>
        <w:rPr>
          <w:rFonts w:hint="cs"/>
          <w:rtl/>
        </w:rPr>
        <w:t xml:space="preserve">. כמו כן טוען המשיב, כי היזקקותו של בית משפט קמא לעניינו של "נכס הון גולמי" באה כנימוק עזר במסגרת ההבחנה המקובלת בין הכנסה הונית להכנסה </w:t>
      </w:r>
      <w:proofErr w:type="spellStart"/>
      <w:r>
        <w:rPr>
          <w:rFonts w:hint="cs"/>
          <w:rtl/>
        </w:rPr>
        <w:t>פירותית</w:t>
      </w:r>
      <w:proofErr w:type="spellEnd"/>
      <w:r>
        <w:rPr>
          <w:rFonts w:hint="cs"/>
          <w:rtl/>
        </w:rPr>
        <w:t xml:space="preserve">. </w:t>
      </w:r>
    </w:p>
    <w:p w:rsidR="00B05730" w:rsidRDefault="00B05730" w:rsidP="00B05730">
      <w:pPr>
        <w:pStyle w:val="Ruller41"/>
        <w:rPr>
          <w:rtl/>
        </w:rPr>
      </w:pPr>
    </w:p>
    <w:p w:rsidR="00B05730" w:rsidRDefault="00B05730" w:rsidP="00B05730">
      <w:pPr>
        <w:pStyle w:val="Ruller4"/>
        <w:rPr>
          <w:rtl/>
        </w:rPr>
      </w:pPr>
      <w:r>
        <w:rPr>
          <w:rFonts w:hint="cs"/>
          <w:rtl/>
        </w:rPr>
        <w:lastRenderedPageBreak/>
        <w:t xml:space="preserve">המשיב מוסיף וטוען כי חלק ניכר מטענותיהם של המערערים מהווה חזרה על טענות עובדתיות אשר נדונו ונדחו בדין על ידי בית משפט קמא. בהקשר זה מפנה המשיב להלכה הידועה בדבר אי-התערבותה של ערכאת הערעור בממצאי עובדה שנקבעו על ידי הערכאה הדיונית, שאליה כבר הפניתי בהקשרו של התשלום אשר שולם לארגמן. </w:t>
      </w:r>
    </w:p>
    <w:p w:rsidR="00B05730" w:rsidRDefault="00B05730" w:rsidP="00B05730">
      <w:pPr>
        <w:pStyle w:val="Ruller41"/>
        <w:rPr>
          <w:rtl/>
        </w:rPr>
      </w:pPr>
    </w:p>
    <w:p w:rsidR="00B05730" w:rsidRDefault="00B05730" w:rsidP="00B05730">
      <w:pPr>
        <w:pStyle w:val="Ruller4"/>
        <w:rPr>
          <w:rtl/>
        </w:rPr>
      </w:pPr>
      <w:r>
        <w:rPr>
          <w:rFonts w:hint="cs"/>
          <w:rtl/>
        </w:rPr>
        <w:t xml:space="preserve">לגופם של דברים </w:t>
      </w:r>
      <w:r>
        <w:rPr>
          <w:rtl/>
        </w:rPr>
        <w:t>–</w:t>
      </w:r>
      <w:r>
        <w:rPr>
          <w:rFonts w:hint="cs"/>
          <w:rtl/>
        </w:rPr>
        <w:t xml:space="preserve"> המשיב טוען, כי טענת המערערים שהסכם הפצה מסווג תמיד כנכס הון איננה נכונה ודינה להידחות. המשיב מפרט וטוען כי אין די בכך שלנכס יש מאפיינים הוניים כדי לסווג פיצוי או תשלום המשולמים בגינו כהכנסה הונית. לדבריו, הפסיקה הולכת </w:t>
      </w:r>
      <w:proofErr w:type="spellStart"/>
      <w:r>
        <w:rPr>
          <w:rFonts w:hint="cs"/>
          <w:rtl/>
        </w:rPr>
        <w:t>בכגון</w:t>
      </w:r>
      <w:proofErr w:type="spellEnd"/>
      <w:r>
        <w:rPr>
          <w:rFonts w:hint="cs"/>
          <w:rtl/>
        </w:rPr>
        <w:t xml:space="preserve"> דא ממקרה למקרה בשיטת עקב-בצד-אגודל מבלי לקבוע כללים </w:t>
      </w:r>
      <w:proofErr w:type="spellStart"/>
      <w:r>
        <w:rPr>
          <w:rFonts w:hint="cs"/>
          <w:rtl/>
        </w:rPr>
        <w:t>חובקי</w:t>
      </w:r>
      <w:proofErr w:type="spellEnd"/>
      <w:r>
        <w:rPr>
          <w:rFonts w:hint="cs"/>
          <w:rtl/>
        </w:rPr>
        <w:t xml:space="preserve">-כל שיהיו נכונים לכל המקרים. לשיטת המשיב, המקרה שלפנינו הוא מקרה של הכנסה </w:t>
      </w:r>
      <w:proofErr w:type="spellStart"/>
      <w:r>
        <w:rPr>
          <w:rFonts w:hint="cs"/>
          <w:rtl/>
        </w:rPr>
        <w:t>פירותית</w:t>
      </w:r>
      <w:proofErr w:type="spellEnd"/>
      <w:r>
        <w:rPr>
          <w:rFonts w:hint="cs"/>
          <w:rtl/>
        </w:rPr>
        <w:t xml:space="preserve"> ולא הונית מאחר שהניסיון לסווג את התשלום אשר שולם לצמל על ידי </w:t>
      </w:r>
      <w:proofErr w:type="spellStart"/>
      <w:r>
        <w:rPr>
          <w:rFonts w:hint="cs"/>
          <w:rtl/>
        </w:rPr>
        <w:t>מדטרוניק</w:t>
      </w:r>
      <w:proofErr w:type="spellEnd"/>
      <w:r>
        <w:rPr>
          <w:rFonts w:hint="cs"/>
          <w:rtl/>
        </w:rPr>
        <w:t xml:space="preserve"> כדמי רכישה שבעל המוצר משלם בעד הזכות להפיץ את מוצרו שלו הינו מלאכותי. המשיב מזמיננו לראות את הדברים כהווייתם, כפי שהצדדים להסכם המבטל ראו אותם בעצמם בזמן אמת כאשר הם כתבו באותו הסכם, במו ידיהם, כי ההסכם בא לבטל את הסכם ההפצה שהיה בידי צמל, ולא להקנות לבעל המוצר </w:t>
      </w:r>
      <w:r>
        <w:rPr>
          <w:rtl/>
        </w:rPr>
        <w:t>–</w:t>
      </w:r>
      <w:r>
        <w:rPr>
          <w:rFonts w:hint="cs"/>
          <w:rtl/>
        </w:rPr>
        <w:t xml:space="preserve"> </w:t>
      </w:r>
      <w:proofErr w:type="spellStart"/>
      <w:r>
        <w:rPr>
          <w:rFonts w:hint="cs"/>
          <w:rtl/>
        </w:rPr>
        <w:t>מדטרוניק</w:t>
      </w:r>
      <w:proofErr w:type="spellEnd"/>
      <w:r>
        <w:rPr>
          <w:rFonts w:hint="cs"/>
          <w:rtl/>
        </w:rPr>
        <w:t xml:space="preserve"> </w:t>
      </w:r>
      <w:r>
        <w:rPr>
          <w:rtl/>
        </w:rPr>
        <w:t>–</w:t>
      </w:r>
      <w:r>
        <w:rPr>
          <w:rFonts w:hint="cs"/>
          <w:rtl/>
        </w:rPr>
        <w:t xml:space="preserve"> את זכות הבלעדית להפיץ את מוצרו שלו בישראל. </w:t>
      </w:r>
    </w:p>
    <w:p w:rsidR="00B05730" w:rsidRPr="003D394A" w:rsidRDefault="00B05730" w:rsidP="00B05730">
      <w:pPr>
        <w:pStyle w:val="Ruller41"/>
      </w:pPr>
    </w:p>
    <w:p w:rsidR="00B05730" w:rsidRPr="00287FF8" w:rsidRDefault="00B05730" w:rsidP="00B05730">
      <w:pPr>
        <w:pStyle w:val="Ruller41"/>
        <w:rPr>
          <w:rFonts w:ascii="Century" w:hAnsi="Century" w:cs="Miriam"/>
          <w:b/>
          <w:spacing w:val="0"/>
          <w:szCs w:val="24"/>
          <w:rtl/>
        </w:rPr>
      </w:pPr>
      <w:r w:rsidRPr="00287FF8">
        <w:rPr>
          <w:rFonts w:ascii="Century" w:hAnsi="Century" w:cs="Miriam" w:hint="cs"/>
          <w:b/>
          <w:spacing w:val="0"/>
          <w:szCs w:val="24"/>
          <w:rtl/>
        </w:rPr>
        <w:t>דיון והכרעה</w:t>
      </w:r>
    </w:p>
    <w:p w:rsidR="00B05730" w:rsidRDefault="00B05730" w:rsidP="00B05730">
      <w:pPr>
        <w:pStyle w:val="Ruller41"/>
        <w:rPr>
          <w:rFonts w:ascii="Century" w:hAnsi="Century" w:cs="Miriam"/>
          <w:b/>
          <w:spacing w:val="0"/>
          <w:szCs w:val="24"/>
          <w:rtl/>
        </w:rPr>
      </w:pPr>
    </w:p>
    <w:p w:rsidR="00B05730" w:rsidRDefault="00B05730" w:rsidP="00B05730">
      <w:pPr>
        <w:pStyle w:val="Ruller41"/>
        <w:rPr>
          <w:rFonts w:ascii="Century" w:hAnsi="Century" w:cs="Miriam"/>
          <w:b/>
          <w:spacing w:val="0"/>
          <w:szCs w:val="24"/>
          <w:rtl/>
        </w:rPr>
      </w:pPr>
      <w:r>
        <w:rPr>
          <w:rFonts w:ascii="Century" w:hAnsi="Century" w:cs="Miriam" w:hint="cs"/>
          <w:b/>
          <w:spacing w:val="0"/>
          <w:szCs w:val="24"/>
          <w:rtl/>
        </w:rPr>
        <w:t xml:space="preserve">מבט כללי </w:t>
      </w:r>
      <w:r>
        <w:rPr>
          <w:rFonts w:ascii="Century" w:hAnsi="Century" w:cs="Miriam"/>
          <w:b/>
          <w:spacing w:val="0"/>
          <w:szCs w:val="24"/>
          <w:rtl/>
        </w:rPr>
        <w:t>–</w:t>
      </w:r>
      <w:r>
        <w:rPr>
          <w:rFonts w:ascii="Century" w:hAnsi="Century" w:cs="Miriam" w:hint="cs"/>
          <w:b/>
          <w:spacing w:val="0"/>
          <w:szCs w:val="24"/>
          <w:rtl/>
        </w:rPr>
        <w:t xml:space="preserve"> הכנסה </w:t>
      </w:r>
      <w:proofErr w:type="spellStart"/>
      <w:r>
        <w:rPr>
          <w:rFonts w:ascii="Century" w:hAnsi="Century" w:cs="Miriam" w:hint="cs"/>
          <w:b/>
          <w:spacing w:val="0"/>
          <w:szCs w:val="24"/>
          <w:rtl/>
        </w:rPr>
        <w:t>פירותית</w:t>
      </w:r>
      <w:proofErr w:type="spellEnd"/>
      <w:r>
        <w:rPr>
          <w:rFonts w:ascii="Century" w:hAnsi="Century" w:cs="Miriam" w:hint="cs"/>
          <w:b/>
          <w:spacing w:val="0"/>
          <w:szCs w:val="24"/>
          <w:rtl/>
        </w:rPr>
        <w:t xml:space="preserve"> או הכנסה הונית?</w:t>
      </w:r>
    </w:p>
    <w:p w:rsidR="00B05730" w:rsidRDefault="00B05730" w:rsidP="00B05730">
      <w:pPr>
        <w:pStyle w:val="Ruller41"/>
        <w:rPr>
          <w:rFonts w:ascii="Century" w:hAnsi="Century" w:cs="Miriam"/>
          <w:b/>
          <w:spacing w:val="0"/>
          <w:szCs w:val="24"/>
          <w:rtl/>
        </w:rPr>
      </w:pPr>
    </w:p>
    <w:p w:rsidR="00B05730" w:rsidRDefault="00B05730" w:rsidP="00B05730">
      <w:pPr>
        <w:pStyle w:val="Ruller4"/>
        <w:rPr>
          <w:rtl/>
        </w:rPr>
      </w:pPr>
      <w:r>
        <w:rPr>
          <w:rFonts w:hint="cs"/>
          <w:rtl/>
        </w:rPr>
        <w:t xml:space="preserve">הצדדים שלפנינו חלוקים ביניהם באשר לטיב התשלום שהתקבל </w:t>
      </w:r>
      <w:proofErr w:type="spellStart"/>
      <w:r>
        <w:rPr>
          <w:rFonts w:hint="cs"/>
          <w:rtl/>
        </w:rPr>
        <w:t>ממדטרוניק</w:t>
      </w:r>
      <w:proofErr w:type="spellEnd"/>
      <w:r>
        <w:rPr>
          <w:rFonts w:hint="cs"/>
          <w:rtl/>
        </w:rPr>
        <w:t xml:space="preserve"> והיכן יש לשבצו בגדרי פקודת מס הכנסה. מחד גיסא, טוען המשיב כי מדובר בהכנסה "</w:t>
      </w:r>
      <w:proofErr w:type="spellStart"/>
      <w:r>
        <w:rPr>
          <w:rFonts w:hint="cs"/>
          <w:rtl/>
        </w:rPr>
        <w:t>פירותית</w:t>
      </w:r>
      <w:proofErr w:type="spellEnd"/>
      <w:r>
        <w:rPr>
          <w:rFonts w:hint="cs"/>
          <w:rtl/>
        </w:rPr>
        <w:t>" הנופלת בגדרו של סעיף 2(1) לפקודה. הסעיף האמור נוקט לשון מרחיבה: "</w:t>
      </w:r>
      <w:r w:rsidRPr="001A72C8">
        <w:rPr>
          <w:rtl/>
        </w:rPr>
        <w:t>השתכרות או ריווח מכל עסק או משלח-יד שעסקו בו תקופת זמן כלשהי, או מעסקה או מעסק אקראי בעלי אופי מסחרי</w:t>
      </w:r>
      <w:r w:rsidRPr="001A72C8">
        <w:rPr>
          <w:rFonts w:hint="cs"/>
          <w:rtl/>
        </w:rPr>
        <w:t>"</w:t>
      </w:r>
      <w:r>
        <w:rPr>
          <w:rFonts w:hint="cs"/>
          <w:rtl/>
        </w:rPr>
        <w:t xml:space="preserve">. מאידך גיסא, טוענים המערערים כי התשלום שהתקבל </w:t>
      </w:r>
      <w:proofErr w:type="spellStart"/>
      <w:r>
        <w:rPr>
          <w:rFonts w:hint="cs"/>
          <w:rtl/>
        </w:rPr>
        <w:t>ממדטרוניק</w:t>
      </w:r>
      <w:proofErr w:type="spellEnd"/>
      <w:r>
        <w:rPr>
          <w:rFonts w:hint="cs"/>
          <w:rtl/>
        </w:rPr>
        <w:t xml:space="preserve"> שולם בגין מכירה של זכויות ההפצה שהיו אצל צמל לנכס הון. נכס זה </w:t>
      </w:r>
      <w:r>
        <w:rPr>
          <w:rtl/>
        </w:rPr>
        <w:t>–</w:t>
      </w:r>
      <w:r>
        <w:rPr>
          <w:rFonts w:hint="cs"/>
          <w:rtl/>
        </w:rPr>
        <w:t xml:space="preserve"> כך לדברי המערערים </w:t>
      </w:r>
      <w:r>
        <w:rPr>
          <w:rtl/>
        </w:rPr>
        <w:t>–</w:t>
      </w:r>
      <w:r>
        <w:rPr>
          <w:rFonts w:hint="cs"/>
          <w:rtl/>
        </w:rPr>
        <w:t xml:space="preserve"> נופל בחיקו של סעיף 88 לפקודה שעניינו "כ</w:t>
      </w:r>
      <w:r w:rsidRPr="00377F47">
        <w:rPr>
          <w:rtl/>
        </w:rPr>
        <w:t>ל זכות או טובת הנאה ראויות או מוחזקות</w:t>
      </w:r>
      <w:r>
        <w:rPr>
          <w:rFonts w:hint="cs"/>
          <w:rtl/>
        </w:rPr>
        <w:t xml:space="preserve">"; ולפיכך, המכירה של זכויות ההפצה הצמיחה להם רווח הון. </w:t>
      </w:r>
    </w:p>
    <w:p w:rsidR="00B05730" w:rsidRDefault="00B05730" w:rsidP="00B05730">
      <w:pPr>
        <w:pStyle w:val="Ruller41"/>
        <w:rPr>
          <w:rtl/>
        </w:rPr>
      </w:pPr>
    </w:p>
    <w:p w:rsidR="00B05730" w:rsidRDefault="00B05730" w:rsidP="00B05730">
      <w:pPr>
        <w:pStyle w:val="Ruller4"/>
        <w:rPr>
          <w:rtl/>
        </w:rPr>
      </w:pPr>
      <w:r>
        <w:rPr>
          <w:rFonts w:hint="cs"/>
          <w:rtl/>
        </w:rPr>
        <w:t>מחלוקת זו איננה מחלוקת לשם שמיים. בגין הכנסה "</w:t>
      </w:r>
      <w:proofErr w:type="spellStart"/>
      <w:r>
        <w:rPr>
          <w:rFonts w:hint="cs"/>
          <w:rtl/>
        </w:rPr>
        <w:t>פירותית</w:t>
      </w:r>
      <w:proofErr w:type="spellEnd"/>
      <w:r>
        <w:rPr>
          <w:rFonts w:hint="cs"/>
          <w:rtl/>
        </w:rPr>
        <w:t xml:space="preserve">" יש לשלם מס הכנסה לפי מדרגות המס השולי הקבועות בפקודה, ואילו בגין הכנסה המתקבלת כתוצאה ממכירת נכס הון בהתאם לאמור בסעיף 88 לפקודה יש לשלם מס רווחי הון. שיעורו של המס האחרון בזמן הנוגע לענייננו, וגם כיום, נופל בהרבה משיעור המס אשר מוטל על </w:t>
      </w:r>
      <w:r>
        <w:rPr>
          <w:rFonts w:hint="cs"/>
          <w:rtl/>
        </w:rPr>
        <w:lastRenderedPageBreak/>
        <w:t xml:space="preserve">הכנסה רגילה מעבודה או עסק. אין תמה אפוא שצמל טוענות כי התשלום ששולם לה על ידי </w:t>
      </w:r>
      <w:proofErr w:type="spellStart"/>
      <w:r>
        <w:rPr>
          <w:rFonts w:hint="cs"/>
          <w:rtl/>
        </w:rPr>
        <w:t>מדטרוניק</w:t>
      </w:r>
      <w:proofErr w:type="spellEnd"/>
      <w:r>
        <w:rPr>
          <w:rFonts w:hint="cs"/>
          <w:rtl/>
        </w:rPr>
        <w:t xml:space="preserve"> שולם בעד נכס הוני, ואילו לעמדת המשיב מדובר בהכנסה.</w:t>
      </w:r>
    </w:p>
    <w:p w:rsidR="00B05730" w:rsidRDefault="00B05730" w:rsidP="00B05730">
      <w:pPr>
        <w:pStyle w:val="Ruller41"/>
        <w:rPr>
          <w:rtl/>
        </w:rPr>
      </w:pPr>
    </w:p>
    <w:p w:rsidR="00B05730" w:rsidRDefault="00B05730" w:rsidP="00323793">
      <w:pPr>
        <w:pStyle w:val="Ruller4"/>
        <w:rPr>
          <w:rFonts w:ascii="Century" w:hAnsi="Century"/>
          <w:sz w:val="22"/>
          <w:rtl/>
        </w:rPr>
      </w:pPr>
      <w:r>
        <w:rPr>
          <w:rFonts w:hint="cs"/>
          <w:rtl/>
        </w:rPr>
        <w:t xml:space="preserve">הצורך להבחין בין הכנסה </w:t>
      </w:r>
      <w:proofErr w:type="spellStart"/>
      <w:r>
        <w:rPr>
          <w:rFonts w:hint="cs"/>
          <w:rtl/>
        </w:rPr>
        <w:t>פירותית</w:t>
      </w:r>
      <w:proofErr w:type="spellEnd"/>
      <w:r>
        <w:rPr>
          <w:rFonts w:hint="cs"/>
          <w:rtl/>
        </w:rPr>
        <w:t xml:space="preserve"> להכנסה הונית הינ</w:t>
      </w:r>
      <w:r w:rsidR="00323793">
        <w:rPr>
          <w:rFonts w:hint="cs"/>
          <w:rtl/>
        </w:rPr>
        <w:t>ו</w:t>
      </w:r>
      <w:r>
        <w:rPr>
          <w:rFonts w:hint="cs"/>
          <w:rtl/>
        </w:rPr>
        <w:t xml:space="preserve"> מלאכת יסוד בדיני המס.  לעיתים, מלאכה זאת איננה פשוטה. לא בכדי שמענו לאורך השנים כי ההבחנה בין רווח הון להכנסה </w:t>
      </w:r>
      <w:proofErr w:type="spellStart"/>
      <w:r>
        <w:rPr>
          <w:rFonts w:hint="cs"/>
          <w:rtl/>
        </w:rPr>
        <w:t>פירותית</w:t>
      </w:r>
      <w:proofErr w:type="spellEnd"/>
      <w:r>
        <w:rPr>
          <w:rFonts w:hint="cs"/>
          <w:rtl/>
        </w:rPr>
        <w:t xml:space="preserve"> היא "הבעיה המרכזית בכל תורת מס ההכנסה" (אלפרד ויתקון </w:t>
      </w:r>
      <w:r w:rsidRPr="009E79B4">
        <w:rPr>
          <w:rFonts w:ascii="Century" w:hAnsi="Century" w:hint="cs"/>
          <w:sz w:val="22"/>
          <w:rtl/>
        </w:rPr>
        <w:t>"קרן ופירות במס הכנסה"</w:t>
      </w:r>
      <w:r>
        <w:rPr>
          <w:rFonts w:ascii="Century" w:hAnsi="Century" w:hint="cs"/>
          <w:sz w:val="22"/>
          <w:rtl/>
        </w:rPr>
        <w:t xml:space="preserve"> </w:t>
      </w:r>
      <w:r>
        <w:rPr>
          <w:rFonts w:ascii="Century" w:hAnsi="Century" w:cs="Miriam" w:hint="cs"/>
          <w:b/>
          <w:spacing w:val="0"/>
          <w:sz w:val="22"/>
          <w:szCs w:val="24"/>
          <w:rtl/>
        </w:rPr>
        <w:t>הפרקליט</w:t>
      </w:r>
      <w:r>
        <w:rPr>
          <w:rFonts w:ascii="Century" w:hAnsi="Century" w:hint="cs"/>
          <w:sz w:val="22"/>
          <w:rtl/>
        </w:rPr>
        <w:t xml:space="preserve"> יא 25 (תשט"ו)). המשפט הישראלי פיתח לאורך השנים מבחנים ומבחני-עזר רבים אשר נועדו לסייע לבתי המשפט במלאכת ההבחנה, כאשר אחד המבחנים המרכזיים שנקבעו הוא המשל </w:t>
      </w:r>
      <w:r>
        <w:rPr>
          <w:rFonts w:hint="cs"/>
          <w:rtl/>
        </w:rPr>
        <w:t xml:space="preserve">של "עץ ופירות". לעניינו של משל זה יפים הם דבריו של השופט </w:t>
      </w:r>
      <w:r>
        <w:rPr>
          <w:rFonts w:ascii="Century" w:hAnsi="Century" w:cs="Miriam" w:hint="cs"/>
          <w:b/>
          <w:spacing w:val="0"/>
          <w:sz w:val="22"/>
          <w:szCs w:val="24"/>
          <w:rtl/>
        </w:rPr>
        <w:t xml:space="preserve">י' </w:t>
      </w:r>
      <w:proofErr w:type="spellStart"/>
      <w:r>
        <w:rPr>
          <w:rFonts w:ascii="Century" w:hAnsi="Century" w:cs="Miriam" w:hint="cs"/>
          <w:b/>
          <w:spacing w:val="0"/>
          <w:sz w:val="22"/>
          <w:szCs w:val="24"/>
          <w:rtl/>
        </w:rPr>
        <w:t>דנציגר</w:t>
      </w:r>
      <w:proofErr w:type="spellEnd"/>
      <w:r>
        <w:rPr>
          <w:rFonts w:ascii="Century" w:hAnsi="Century" w:hint="cs"/>
          <w:sz w:val="22"/>
          <w:rtl/>
        </w:rPr>
        <w:t xml:space="preserve">, אשר נאמרו בע"א 9187/06 </w:t>
      </w:r>
      <w:r>
        <w:rPr>
          <w:rFonts w:ascii="Century" w:hAnsi="Century" w:cs="Miriam" w:hint="cs"/>
          <w:b/>
          <w:spacing w:val="0"/>
          <w:sz w:val="22"/>
          <w:szCs w:val="24"/>
          <w:rtl/>
        </w:rPr>
        <w:t>מגיד נ' פקיד שומה פתח תקוה</w:t>
      </w:r>
      <w:r>
        <w:rPr>
          <w:rFonts w:ascii="Century" w:hAnsi="Century" w:hint="cs"/>
          <w:sz w:val="22"/>
          <w:rtl/>
        </w:rPr>
        <w:t xml:space="preserve">, פסקה 18 (16.3.2009) (להלן: עניין </w:t>
      </w:r>
      <w:r>
        <w:rPr>
          <w:rFonts w:ascii="Century" w:hAnsi="Century" w:cs="Miriam" w:hint="cs"/>
          <w:b/>
          <w:spacing w:val="0"/>
          <w:sz w:val="22"/>
          <w:szCs w:val="24"/>
          <w:rtl/>
        </w:rPr>
        <w:t>מגיד</w:t>
      </w:r>
      <w:r>
        <w:rPr>
          <w:rFonts w:ascii="Century" w:hAnsi="Century" w:hint="cs"/>
          <w:sz w:val="22"/>
          <w:rtl/>
        </w:rPr>
        <w:t>):</w:t>
      </w:r>
    </w:p>
    <w:p w:rsidR="00B05730" w:rsidRDefault="00B05730" w:rsidP="00B05730">
      <w:pPr>
        <w:pStyle w:val="Ruller5"/>
        <w:rPr>
          <w:rtl/>
        </w:rPr>
      </w:pPr>
    </w:p>
    <w:p w:rsidR="00B05730" w:rsidRDefault="00B05730" w:rsidP="00B05730">
      <w:pPr>
        <w:pStyle w:val="Ruller5"/>
        <w:rPr>
          <w:rtl/>
        </w:rPr>
      </w:pPr>
      <w:r>
        <w:rPr>
          <w:rFonts w:hint="cs"/>
          <w:sz w:val="28"/>
          <w:rtl/>
        </w:rPr>
        <w:t>"דיני המס מבחינים בין הכנסה '</w:t>
      </w:r>
      <w:proofErr w:type="spellStart"/>
      <w:r>
        <w:rPr>
          <w:rFonts w:hint="cs"/>
          <w:sz w:val="28"/>
          <w:rtl/>
        </w:rPr>
        <w:t>פירותית</w:t>
      </w:r>
      <w:proofErr w:type="spellEnd"/>
      <w:r>
        <w:rPr>
          <w:rFonts w:hint="cs"/>
          <w:sz w:val="28"/>
          <w:rtl/>
        </w:rPr>
        <w:t xml:space="preserve">' לבין הכנסה 'הונית', אם כי ההבחנה ביניהן אינה פשוטה. המטפורה המקובלת להסביר את ההבדל בין השניים היא המטפורה של 'עץ ופירות'. מקור ההכנסה הוא העץ אשר יש לו פוטנציאל להניב פירות באופן חוזר ונשנה, ופירות אלו, הם ההכנסה מהמקור. לעומתה, הכנסה ממכירת העץ עצמו, כלומר, מקור ההכנסה, היא 'הכנסה הונית'  [...]. במילים אחרות, הכנסה </w:t>
      </w:r>
      <w:proofErr w:type="spellStart"/>
      <w:r>
        <w:rPr>
          <w:rFonts w:hint="cs"/>
          <w:sz w:val="28"/>
          <w:rtl/>
        </w:rPr>
        <w:t>פירותית</w:t>
      </w:r>
      <w:proofErr w:type="spellEnd"/>
      <w:r>
        <w:rPr>
          <w:rFonts w:hint="cs"/>
          <w:sz w:val="28"/>
          <w:rtl/>
        </w:rPr>
        <w:t xml:space="preserve"> מאופיינת בכך שהיא נובעת באופן מחזורי ממקור הכנסה קבוע. לעומת זאת, הכנסה הונית נובעת ממכירת מקור ההכנסה עצמו [...]"</w:t>
      </w:r>
      <w:bookmarkStart w:id="7" w:name="Text1"/>
      <w:r>
        <w:rPr>
          <w:rFonts w:hint="cs"/>
          <w:sz w:val="28"/>
          <w:rtl/>
        </w:rPr>
        <w:t xml:space="preserve">. </w:t>
      </w:r>
      <w:bookmarkEnd w:id="7"/>
    </w:p>
    <w:p w:rsidR="00B05730" w:rsidRDefault="00B05730" w:rsidP="00B05730">
      <w:pPr>
        <w:pStyle w:val="Ruller41"/>
        <w:rPr>
          <w:rFonts w:ascii="Century" w:hAnsi="Century" w:cs="Miriam"/>
          <w:b/>
          <w:spacing w:val="0"/>
          <w:szCs w:val="24"/>
          <w:rtl/>
        </w:rPr>
      </w:pPr>
    </w:p>
    <w:p w:rsidR="00B05730" w:rsidRDefault="00B05730" w:rsidP="00B05730">
      <w:pPr>
        <w:pStyle w:val="Ruller4"/>
        <w:rPr>
          <w:rtl/>
        </w:rPr>
      </w:pPr>
      <w:r>
        <w:rPr>
          <w:rFonts w:hint="cs"/>
          <w:rtl/>
        </w:rPr>
        <w:t xml:space="preserve">משל העץ והפירות מסייע לעתים תכופות בהבחנה בין הכנסה </w:t>
      </w:r>
      <w:proofErr w:type="spellStart"/>
      <w:r>
        <w:rPr>
          <w:rFonts w:hint="cs"/>
          <w:rtl/>
        </w:rPr>
        <w:t>פירותית</w:t>
      </w:r>
      <w:proofErr w:type="spellEnd"/>
      <w:r>
        <w:rPr>
          <w:rFonts w:hint="cs"/>
          <w:rtl/>
        </w:rPr>
        <w:t xml:space="preserve"> להונית. חרף יתרונותיו הרבים, ההבחנה בין שני סוגי ההכנסות </w:t>
      </w:r>
      <w:r>
        <w:rPr>
          <w:rtl/>
        </w:rPr>
        <w:t>–</w:t>
      </w:r>
      <w:r>
        <w:rPr>
          <w:rFonts w:hint="cs"/>
          <w:rtl/>
        </w:rPr>
        <w:t xml:space="preserve"> אלו שבאים ממכירתו של "העץ" או של חלקים ממנו, ואלו שנחשבים ל"פירות" </w:t>
      </w:r>
      <w:r>
        <w:rPr>
          <w:rtl/>
        </w:rPr>
        <w:t>–</w:t>
      </w:r>
      <w:r>
        <w:rPr>
          <w:rFonts w:hint="cs"/>
          <w:rtl/>
        </w:rPr>
        <w:t xml:space="preserve"> איננה תמיד ברורה, פשוטה ונקיה מספקות. הקביעה כי מדובר בהכנסה </w:t>
      </w:r>
      <w:proofErr w:type="spellStart"/>
      <w:r>
        <w:rPr>
          <w:rFonts w:hint="cs"/>
          <w:rtl/>
        </w:rPr>
        <w:t>פירותית</w:t>
      </w:r>
      <w:proofErr w:type="spellEnd"/>
      <w:r>
        <w:rPr>
          <w:rFonts w:hint="cs"/>
          <w:rtl/>
        </w:rPr>
        <w:t xml:space="preserve">, להבדיל מהונית, או להפך, גם לא תמיד עולה בקנה אחד עם האינטואיציה (ראו: ע"א 5083/13 </w:t>
      </w:r>
      <w:r w:rsidRPr="00046AFF">
        <w:rPr>
          <w:rFonts w:cs="Miriam" w:hint="cs"/>
          <w:b/>
          <w:spacing w:val="0"/>
          <w:szCs w:val="24"/>
          <w:rtl/>
        </w:rPr>
        <w:t>פקיד שומה כפר סבא נ' ברנע</w:t>
      </w:r>
      <w:r>
        <w:rPr>
          <w:rFonts w:hint="cs"/>
          <w:rtl/>
        </w:rPr>
        <w:t xml:space="preserve">, פסקאות 21-20 (10.8.2016) (להלן: עניין </w:t>
      </w:r>
      <w:r w:rsidRPr="00046AFF">
        <w:rPr>
          <w:rFonts w:cs="Miriam" w:hint="cs"/>
          <w:b/>
          <w:spacing w:val="0"/>
          <w:szCs w:val="24"/>
          <w:rtl/>
        </w:rPr>
        <w:t>ברנע</w:t>
      </w:r>
      <w:r>
        <w:rPr>
          <w:rFonts w:hint="cs"/>
          <w:rtl/>
        </w:rPr>
        <w:t xml:space="preserve">). בשל הקושי להבחין בין שני סוגי ההכנסות הללו פותחו לאורך השנים מבחנים נוספים שמטרתם לסייע במלאכה. עמד על כך השופט </w:t>
      </w:r>
      <w:r w:rsidRPr="00046AFF">
        <w:rPr>
          <w:rFonts w:cs="Miriam" w:hint="cs"/>
          <w:b/>
          <w:spacing w:val="0"/>
          <w:szCs w:val="24"/>
          <w:rtl/>
        </w:rPr>
        <w:t xml:space="preserve">י' </w:t>
      </w:r>
      <w:proofErr w:type="spellStart"/>
      <w:r w:rsidRPr="00046AFF">
        <w:rPr>
          <w:rFonts w:cs="Miriam" w:hint="cs"/>
          <w:b/>
          <w:spacing w:val="0"/>
          <w:szCs w:val="24"/>
          <w:rtl/>
        </w:rPr>
        <w:t>דנציגר</w:t>
      </w:r>
      <w:proofErr w:type="spellEnd"/>
      <w:r w:rsidRPr="00046AFF">
        <w:rPr>
          <w:rFonts w:cs="Miriam" w:hint="cs"/>
          <w:b/>
          <w:spacing w:val="0"/>
          <w:szCs w:val="24"/>
          <w:rtl/>
        </w:rPr>
        <w:t xml:space="preserve"> </w:t>
      </w:r>
      <w:r>
        <w:rPr>
          <w:rFonts w:hint="cs"/>
          <w:rtl/>
        </w:rPr>
        <w:t xml:space="preserve">בע"א 1834/07 </w:t>
      </w:r>
      <w:r w:rsidRPr="00046AFF">
        <w:rPr>
          <w:rFonts w:cs="Miriam" w:hint="cs"/>
          <w:b/>
          <w:spacing w:val="0"/>
          <w:szCs w:val="24"/>
          <w:rtl/>
        </w:rPr>
        <w:t>קרן נ' פקיד שומה גוש דן</w:t>
      </w:r>
      <w:r>
        <w:rPr>
          <w:rFonts w:hint="cs"/>
          <w:rtl/>
        </w:rPr>
        <w:t>, פסקאות 35, 37 (12.8.2012), במילים אלו:</w:t>
      </w:r>
    </w:p>
    <w:p w:rsidR="00B05730" w:rsidRDefault="00B05730" w:rsidP="00B05730">
      <w:pPr>
        <w:pStyle w:val="Ruller5"/>
        <w:rPr>
          <w:rtl/>
        </w:rPr>
      </w:pPr>
    </w:p>
    <w:p w:rsidR="00B05730" w:rsidRDefault="00B05730" w:rsidP="00B05730">
      <w:pPr>
        <w:pStyle w:val="Ruller5"/>
        <w:rPr>
          <w:rtl/>
        </w:rPr>
      </w:pPr>
      <w:r>
        <w:rPr>
          <w:rFonts w:hint="cs"/>
          <w:rtl/>
        </w:rPr>
        <w:t>"לשם הבחינה האמורה נהוג להיעזר במבחנים שהותוו בפסיקה שמטרתם לבחון האם הכנסה מסוימת הינה הכנסה "הונית" או הכנסה "</w:t>
      </w:r>
      <w:proofErr w:type="spellStart"/>
      <w:r>
        <w:rPr>
          <w:rFonts w:hint="cs"/>
          <w:rtl/>
        </w:rPr>
        <w:t>פירותית</w:t>
      </w:r>
      <w:proofErr w:type="spellEnd"/>
      <w:r>
        <w:rPr>
          <w:rFonts w:hint="cs"/>
          <w:rtl/>
        </w:rPr>
        <w:t>" [...]. הטעם לכך הוא שעל דרך הכלל הכנסה עסקית מאופיינת בכך שהיא מניבה הכנסת "פירות" בעלת אופי תדיר ומחזורי [...].</w:t>
      </w:r>
      <w:r>
        <w:rPr>
          <w:rFonts w:hint="cs"/>
          <w:sz w:val="28"/>
          <w:rtl/>
        </w:rPr>
        <w:t xml:space="preserve"> כן ראו את ההבחנה המקבילה בהתייחס למקורות הקבועים </w:t>
      </w:r>
      <w:r w:rsidRPr="0059721A">
        <w:rPr>
          <w:rFonts w:hint="eastAsia"/>
          <w:sz w:val="28"/>
          <w:rtl/>
        </w:rPr>
        <w:t>בסעיף</w:t>
      </w:r>
      <w:r>
        <w:rPr>
          <w:sz w:val="28"/>
          <w:rtl/>
        </w:rPr>
        <w:t xml:space="preserve"> 2</w:t>
      </w:r>
      <w:r>
        <w:rPr>
          <w:rFonts w:hint="cs"/>
          <w:sz w:val="28"/>
          <w:rtl/>
        </w:rPr>
        <w:t xml:space="preserve"> לפקודה בין הכנסה "אקטיבית" לבין הכנסה </w:t>
      </w:r>
      <w:r>
        <w:rPr>
          <w:rFonts w:hint="cs"/>
          <w:sz w:val="28"/>
          <w:rtl/>
        </w:rPr>
        <w:lastRenderedPageBreak/>
        <w:t>"פסיבית" [...].</w:t>
      </w:r>
      <w:r>
        <w:rPr>
          <w:rFonts w:hint="cs"/>
          <w:rtl/>
        </w:rPr>
        <w:t xml:space="preserve"> בפסיקתו של בית משפט זה אוזכרו מבחני משנה רבים </w:t>
      </w:r>
      <w:r>
        <w:rPr>
          <w:rFonts w:hint="cs"/>
          <w:sz w:val="28"/>
          <w:rtl/>
        </w:rPr>
        <w:t>באמצעותם תבחן השאלה האם הכנסה הינה "עסקית-מסחרית" אם לאו (או "</w:t>
      </w:r>
      <w:proofErr w:type="spellStart"/>
      <w:r>
        <w:rPr>
          <w:rFonts w:hint="cs"/>
          <w:sz w:val="28"/>
          <w:rtl/>
        </w:rPr>
        <w:t>פירותית</w:t>
      </w:r>
      <w:proofErr w:type="spellEnd"/>
      <w:r>
        <w:rPr>
          <w:rFonts w:hint="cs"/>
          <w:sz w:val="28"/>
          <w:rtl/>
        </w:rPr>
        <w:t xml:space="preserve">" או "הונית", בהתאמה), וביניהם: </w:t>
      </w:r>
      <w:r w:rsidRPr="008056B5">
        <w:rPr>
          <w:rFonts w:ascii="Century" w:hAnsi="Century" w:cs="Miriam" w:hint="cs"/>
          <w:b/>
          <w:spacing w:val="0"/>
          <w:szCs w:val="24"/>
          <w:rtl/>
        </w:rPr>
        <w:t>טיב הנכס ואופיו</w:t>
      </w:r>
      <w:r>
        <w:rPr>
          <w:rFonts w:hint="cs"/>
          <w:sz w:val="28"/>
          <w:rtl/>
        </w:rPr>
        <w:t xml:space="preserve">; </w:t>
      </w:r>
      <w:r w:rsidRPr="008056B5">
        <w:rPr>
          <w:rFonts w:ascii="Century" w:hAnsi="Century" w:cs="Miriam" w:hint="cs"/>
          <w:b/>
          <w:spacing w:val="0"/>
          <w:szCs w:val="24"/>
          <w:rtl/>
        </w:rPr>
        <w:t>תדירות העסקאות</w:t>
      </w:r>
      <w:r w:rsidRPr="008056B5">
        <w:rPr>
          <w:rFonts w:hint="cs"/>
          <w:sz w:val="28"/>
          <w:rtl/>
        </w:rPr>
        <w:t xml:space="preserve"> </w:t>
      </w:r>
      <w:r>
        <w:rPr>
          <w:rFonts w:hint="cs"/>
          <w:sz w:val="28"/>
          <w:rtl/>
        </w:rPr>
        <w:t xml:space="preserve">או הפעולות המבוצעות בו; קיומו של </w:t>
      </w:r>
      <w:r w:rsidRPr="008056B5">
        <w:rPr>
          <w:rFonts w:ascii="Century" w:hAnsi="Century" w:cs="Miriam" w:hint="cs"/>
          <w:b/>
          <w:spacing w:val="0"/>
          <w:szCs w:val="24"/>
          <w:rtl/>
        </w:rPr>
        <w:t>סיכון עסקי</w:t>
      </w:r>
      <w:r>
        <w:rPr>
          <w:rFonts w:hint="cs"/>
          <w:sz w:val="28"/>
          <w:rtl/>
        </w:rPr>
        <w:t xml:space="preserve">; </w:t>
      </w:r>
      <w:r w:rsidRPr="008056B5">
        <w:rPr>
          <w:rFonts w:ascii="Century" w:hAnsi="Century" w:cs="Miriam" w:hint="cs"/>
          <w:b/>
          <w:spacing w:val="0"/>
          <w:szCs w:val="24"/>
          <w:rtl/>
        </w:rPr>
        <w:t>אופן מימון</w:t>
      </w:r>
      <w:r w:rsidRPr="008056B5">
        <w:rPr>
          <w:rFonts w:cs="Miriam" w:hint="cs"/>
          <w:sz w:val="28"/>
          <w:rtl/>
        </w:rPr>
        <w:t xml:space="preserve"> </w:t>
      </w:r>
      <w:r w:rsidRPr="00656715">
        <w:rPr>
          <w:rFonts w:ascii="Century" w:hAnsi="Century" w:cs="Miriam" w:hint="cs"/>
          <w:b/>
          <w:spacing w:val="0"/>
          <w:szCs w:val="24"/>
          <w:rtl/>
        </w:rPr>
        <w:t>העסקה</w:t>
      </w:r>
      <w:r>
        <w:rPr>
          <w:rFonts w:hint="cs"/>
          <w:sz w:val="28"/>
          <w:rtl/>
        </w:rPr>
        <w:t xml:space="preserve">; קיומו של מנגנון כלכלי – </w:t>
      </w:r>
      <w:r w:rsidRPr="008056B5">
        <w:rPr>
          <w:rFonts w:ascii="Century" w:hAnsi="Century" w:cs="Miriam" w:hint="cs"/>
          <w:b/>
          <w:spacing w:val="0"/>
          <w:szCs w:val="24"/>
          <w:rtl/>
        </w:rPr>
        <w:t>פיתוח</w:t>
      </w:r>
      <w:r>
        <w:rPr>
          <w:rFonts w:cs="Miriam" w:hint="cs"/>
          <w:sz w:val="28"/>
          <w:rtl/>
        </w:rPr>
        <w:t xml:space="preserve">, </w:t>
      </w:r>
      <w:r w:rsidRPr="008056B5">
        <w:rPr>
          <w:rFonts w:ascii="Century" w:hAnsi="Century" w:cs="Miriam" w:hint="cs"/>
          <w:b/>
          <w:spacing w:val="0"/>
          <w:szCs w:val="24"/>
          <w:rtl/>
        </w:rPr>
        <w:t>טיפוח, יזמות ושיווק; תקופת ההחזקה</w:t>
      </w:r>
      <w:r>
        <w:rPr>
          <w:rFonts w:hint="cs"/>
          <w:sz w:val="28"/>
          <w:rtl/>
        </w:rPr>
        <w:t xml:space="preserve"> בנכס; </w:t>
      </w:r>
      <w:r w:rsidRPr="008056B5">
        <w:rPr>
          <w:rFonts w:ascii="Century" w:hAnsi="Century" w:cs="Miriam" w:hint="cs"/>
          <w:b/>
          <w:spacing w:val="0"/>
          <w:szCs w:val="24"/>
          <w:rtl/>
        </w:rPr>
        <w:t>ידענותו ובקיאות של הנישום</w:t>
      </w:r>
      <w:r>
        <w:rPr>
          <w:rFonts w:hint="cs"/>
          <w:sz w:val="28"/>
          <w:rtl/>
        </w:rPr>
        <w:t xml:space="preserve"> בתחום אשר בו מתבצעת העסקה; </w:t>
      </w:r>
      <w:r w:rsidRPr="008056B5">
        <w:rPr>
          <w:rFonts w:ascii="Century" w:hAnsi="Century" w:cs="Miriam" w:hint="cs"/>
          <w:b/>
          <w:spacing w:val="0"/>
          <w:szCs w:val="24"/>
          <w:rtl/>
        </w:rPr>
        <w:t>פעילות קבועה</w:t>
      </w:r>
      <w:r>
        <w:rPr>
          <w:rFonts w:hint="cs"/>
          <w:sz w:val="28"/>
          <w:rtl/>
        </w:rPr>
        <w:t xml:space="preserve"> ומתמשכת; </w:t>
      </w:r>
      <w:r w:rsidRPr="008056B5">
        <w:rPr>
          <w:rFonts w:ascii="Century" w:hAnsi="Century" w:cs="Miriam" w:hint="cs"/>
          <w:b/>
          <w:spacing w:val="0"/>
          <w:szCs w:val="24"/>
          <w:rtl/>
        </w:rPr>
        <w:t>היקף כספי</w:t>
      </w:r>
      <w:r w:rsidRPr="008056B5">
        <w:rPr>
          <w:rFonts w:hint="cs"/>
          <w:sz w:val="28"/>
          <w:rtl/>
        </w:rPr>
        <w:t xml:space="preserve"> </w:t>
      </w:r>
      <w:r>
        <w:rPr>
          <w:rFonts w:hint="cs"/>
          <w:sz w:val="28"/>
          <w:rtl/>
        </w:rPr>
        <w:t>נרחב; ו</w:t>
      </w:r>
      <w:r w:rsidRPr="008056B5">
        <w:rPr>
          <w:rFonts w:ascii="Century" w:hAnsi="Century" w:cs="Miriam" w:hint="cs"/>
          <w:b/>
          <w:spacing w:val="0"/>
          <w:szCs w:val="24"/>
          <w:rtl/>
        </w:rPr>
        <w:t xml:space="preserve">מבחן הנסיבות </w:t>
      </w:r>
      <w:r>
        <w:rPr>
          <w:rFonts w:hint="cs"/>
          <w:sz w:val="28"/>
          <w:rtl/>
        </w:rPr>
        <w:t>האופפות את העסקה</w:t>
      </w:r>
      <w:r>
        <w:rPr>
          <w:rFonts w:hint="cs"/>
          <w:rtl/>
        </w:rPr>
        <w:t xml:space="preserve"> [...].</w:t>
      </w:r>
    </w:p>
    <w:p w:rsidR="00B05730" w:rsidRDefault="00B05730" w:rsidP="00B05730">
      <w:pPr>
        <w:pStyle w:val="Ruller5"/>
        <w:rPr>
          <w:rtl/>
        </w:rPr>
      </w:pPr>
    </w:p>
    <w:p w:rsidR="00B05730" w:rsidRDefault="00B05730" w:rsidP="000C143F">
      <w:pPr>
        <w:pStyle w:val="Ruller5"/>
        <w:rPr>
          <w:rtl/>
        </w:rPr>
      </w:pPr>
      <w:r>
        <w:rPr>
          <w:rFonts w:hint="cs"/>
          <w:rtl/>
        </w:rPr>
        <w:t xml:space="preserve">הדברים האמורים מובאים בשים לב לכך שממילא המבחנים </w:t>
      </w:r>
      <w:proofErr w:type="spellStart"/>
      <w:r>
        <w:rPr>
          <w:rFonts w:hint="cs"/>
          <w:rtl/>
        </w:rPr>
        <w:t>שצויינו</w:t>
      </w:r>
      <w:proofErr w:type="spellEnd"/>
      <w:r>
        <w:rPr>
          <w:rFonts w:hint="cs"/>
          <w:rtl/>
        </w:rPr>
        <w:t xml:space="preserve"> לעיל אינם אלא מבחני </w:t>
      </w:r>
      <w:r w:rsidRPr="009A48D9">
        <w:rPr>
          <w:rFonts w:ascii="Century" w:hAnsi="Century" w:cs="Miriam" w:hint="cs"/>
          <w:b/>
          <w:spacing w:val="0"/>
          <w:szCs w:val="24"/>
          <w:rtl/>
        </w:rPr>
        <w:t>עזר</w:t>
      </w:r>
      <w:r>
        <w:rPr>
          <w:rFonts w:hint="cs"/>
          <w:rtl/>
        </w:rPr>
        <w:t>, כאשר "שיבוץ פעילות כלכלית זו או אחרת במשבצת עסק או עסקה, ייגזר מנסיבות כל מקרה ומקרה על ידי בחינת התמונה השלמה של מכלול מרכיביה של הפעולה המסוימת</w:t>
      </w:r>
      <w:r w:rsidR="000C143F">
        <w:rPr>
          <w:rFonts w:hint="cs"/>
          <w:rtl/>
        </w:rPr>
        <w:t>.</w:t>
      </w:r>
      <w:r>
        <w:rPr>
          <w:rFonts w:hint="cs"/>
          <w:rtl/>
        </w:rPr>
        <w:t xml:space="preserve">" (הציטוטים הוסרו </w:t>
      </w:r>
      <w:r>
        <w:rPr>
          <w:rtl/>
        </w:rPr>
        <w:t>–</w:t>
      </w:r>
      <w:r>
        <w:rPr>
          <w:rFonts w:hint="cs"/>
          <w:rtl/>
        </w:rPr>
        <w:t xml:space="preserve"> א.ש.)</w:t>
      </w:r>
      <w:r w:rsidR="004E2F0E">
        <w:rPr>
          <w:rFonts w:hint="cs"/>
          <w:rtl/>
        </w:rPr>
        <w:t>.</w:t>
      </w:r>
    </w:p>
    <w:p w:rsidR="00B05730" w:rsidRDefault="00B05730" w:rsidP="00B05730">
      <w:pPr>
        <w:pStyle w:val="Ruller5"/>
        <w:rPr>
          <w:rtl/>
        </w:rPr>
      </w:pPr>
    </w:p>
    <w:p w:rsidR="00B05730" w:rsidRPr="00F013A3" w:rsidRDefault="00252DA4" w:rsidP="00B05730">
      <w:pPr>
        <w:pStyle w:val="Ruller4"/>
        <w:numPr>
          <w:ilvl w:val="0"/>
          <w:numId w:val="0"/>
        </w:numPr>
        <w:rPr>
          <w:rFonts w:ascii="Century" w:hAnsi="Century"/>
          <w:sz w:val="22"/>
          <w:rtl/>
        </w:rPr>
      </w:pPr>
      <w:r>
        <w:rPr>
          <w:rtl/>
        </w:rPr>
        <w:tab/>
      </w:r>
      <w:r w:rsidR="00B05730">
        <w:rPr>
          <w:rFonts w:hint="cs"/>
          <w:rtl/>
        </w:rPr>
        <w:t xml:space="preserve">במבט-על, ניתן לומר כי לא קיים מבחן ממצה אחד אשר לפיו נוכל לקבוע באופן אחיד ולגבי כלל המקרים האם לפנינו הכנסה </w:t>
      </w:r>
      <w:proofErr w:type="spellStart"/>
      <w:r w:rsidR="00B05730">
        <w:rPr>
          <w:rFonts w:hint="cs"/>
          <w:rtl/>
        </w:rPr>
        <w:t>פירותית</w:t>
      </w:r>
      <w:proofErr w:type="spellEnd"/>
      <w:r w:rsidR="00B05730">
        <w:rPr>
          <w:rFonts w:hint="cs"/>
          <w:rtl/>
        </w:rPr>
        <w:t xml:space="preserve"> או הכנסה הונית. </w:t>
      </w:r>
      <w:r w:rsidR="00B05730" w:rsidRPr="00862893">
        <w:rPr>
          <w:rFonts w:ascii="Century" w:hAnsi="Century" w:hint="cs"/>
          <w:sz w:val="22"/>
          <w:rtl/>
        </w:rPr>
        <w:t>עסקינן במבחן רב-משתנים מורכב (</w:t>
      </w:r>
      <w:r w:rsidR="00B05730" w:rsidRPr="00BB60EE">
        <w:rPr>
          <w:rFonts w:ascii="Times New Roman" w:hAnsi="Times New Roman" w:cs="Times New Roman"/>
          <w:szCs w:val="24"/>
        </w:rPr>
        <w:t>multifactor</w:t>
      </w:r>
      <w:r w:rsidR="00B05730" w:rsidRPr="00862893">
        <w:rPr>
          <w:rFonts w:ascii="Century" w:hAnsi="Century" w:hint="cs"/>
          <w:sz w:val="22"/>
          <w:rtl/>
        </w:rPr>
        <w:t xml:space="preserve">). </w:t>
      </w:r>
      <w:r w:rsidR="00B05730">
        <w:rPr>
          <w:rFonts w:hint="cs"/>
          <w:rtl/>
        </w:rPr>
        <w:t xml:space="preserve">כדברי השופט </w:t>
      </w:r>
      <w:proofErr w:type="spellStart"/>
      <w:r w:rsidR="00B05730" w:rsidRPr="00862893">
        <w:rPr>
          <w:rFonts w:ascii="Century" w:hAnsi="Century" w:cs="Miriam" w:hint="cs"/>
          <w:b/>
          <w:spacing w:val="0"/>
          <w:sz w:val="22"/>
          <w:szCs w:val="24"/>
          <w:rtl/>
        </w:rPr>
        <w:t>דנציגר</w:t>
      </w:r>
      <w:proofErr w:type="spellEnd"/>
      <w:r w:rsidR="00B05730">
        <w:rPr>
          <w:rFonts w:hint="cs"/>
          <w:rtl/>
        </w:rPr>
        <w:t xml:space="preserve"> בפסקי הדין דלעיל, המבחנים שבידינו הם מבחני עזר בלבד, ללא יוצא מן הכלל. כל הכנסה צריכה להיבחן על פי אמות המידה המתאימות לה, בהתאם לנסיבות הפקתה, תוך שימוש במבחני העזר שהותוו לאורך השנים (עניין </w:t>
      </w:r>
      <w:r w:rsidR="00B05730" w:rsidRPr="00862893">
        <w:rPr>
          <w:rFonts w:ascii="Century" w:hAnsi="Century" w:cs="Miriam" w:hint="cs"/>
          <w:b/>
          <w:spacing w:val="0"/>
          <w:sz w:val="22"/>
          <w:szCs w:val="24"/>
          <w:rtl/>
        </w:rPr>
        <w:t>ברנע</w:t>
      </w:r>
      <w:r w:rsidR="00B05730" w:rsidRPr="00862893">
        <w:rPr>
          <w:rFonts w:ascii="Century" w:hAnsi="Century" w:hint="cs"/>
          <w:sz w:val="22"/>
          <w:rtl/>
        </w:rPr>
        <w:t xml:space="preserve">, פסקה 21), </w:t>
      </w:r>
      <w:proofErr w:type="spellStart"/>
      <w:r w:rsidR="00B05730" w:rsidRPr="00862893">
        <w:rPr>
          <w:rFonts w:ascii="Century" w:hAnsi="Century" w:hint="cs"/>
          <w:sz w:val="22"/>
          <w:rtl/>
        </w:rPr>
        <w:t>ובזוכרנו</w:t>
      </w:r>
      <w:proofErr w:type="spellEnd"/>
      <w:r w:rsidR="00B05730" w:rsidRPr="00862893">
        <w:rPr>
          <w:rFonts w:ascii="Century" w:hAnsi="Century" w:hint="cs"/>
          <w:sz w:val="22"/>
          <w:rtl/>
        </w:rPr>
        <w:t xml:space="preserve"> את אחת ה</w:t>
      </w:r>
      <w:r w:rsidR="00B05730">
        <w:rPr>
          <w:rFonts w:ascii="Century" w:hAnsi="Century" w:hint="cs"/>
          <w:sz w:val="22"/>
          <w:rtl/>
        </w:rPr>
        <w:t>תובנות</w:t>
      </w:r>
      <w:r w:rsidR="00B05730" w:rsidRPr="00862893">
        <w:rPr>
          <w:rFonts w:ascii="Century" w:hAnsi="Century" w:hint="cs"/>
          <w:sz w:val="22"/>
          <w:rtl/>
        </w:rPr>
        <w:t xml:space="preserve"> החשובות ש</w:t>
      </w:r>
      <w:r w:rsidR="00B05730">
        <w:rPr>
          <w:rFonts w:ascii="Century" w:hAnsi="Century" w:hint="cs"/>
          <w:sz w:val="22"/>
          <w:rtl/>
        </w:rPr>
        <w:t>יצר</w:t>
      </w:r>
      <w:r w:rsidR="00B05730" w:rsidRPr="00862893">
        <w:rPr>
          <w:rFonts w:ascii="Century" w:hAnsi="Century" w:hint="cs"/>
          <w:sz w:val="22"/>
          <w:rtl/>
        </w:rPr>
        <w:t xml:space="preserve"> השופט האמריקני הדגול אוליבר וונדל הומס "לאמירות כלליות אין כוח הכרעה במקרים ספציפיים" (ראו: </w:t>
      </w:r>
      <w:proofErr w:type="spellStart"/>
      <w:r w:rsidR="00B05730" w:rsidRPr="00BB60EE">
        <w:rPr>
          <w:rFonts w:ascii="Times New Roman" w:hAnsi="Times New Roman" w:cs="Times New Roman"/>
          <w:szCs w:val="24"/>
        </w:rPr>
        <w:t>Lochner</w:t>
      </w:r>
      <w:proofErr w:type="spellEnd"/>
      <w:r w:rsidR="00B05730" w:rsidRPr="00BB60EE">
        <w:rPr>
          <w:rFonts w:ascii="Times New Roman" w:hAnsi="Times New Roman" w:cs="Times New Roman"/>
          <w:szCs w:val="24"/>
        </w:rPr>
        <w:t xml:space="preserve"> v. New York, 198 U.S. 45, 76 (1915) (Holmes J., dissenting) </w:t>
      </w:r>
      <w:r w:rsidR="00B05730" w:rsidRPr="00BB60EE">
        <w:rPr>
          <w:rFonts w:ascii="Times New Roman" w:hAnsi="Times New Roman" w:cs="Times New Roman"/>
          <w:szCs w:val="24"/>
          <w:lang w:val="en"/>
        </w:rPr>
        <w:t>("General propositions do not decide concrete cases. The decision will depend on a judgment or intuition more subtle than any articulate major premise."</w:t>
      </w:r>
      <w:r w:rsidR="00B05730">
        <w:rPr>
          <w:rFonts w:hint="cs"/>
          <w:rtl/>
          <w:lang w:val="en"/>
        </w:rPr>
        <w:t xml:space="preserve">). </w:t>
      </w:r>
      <w:r w:rsidR="00B05730">
        <w:rPr>
          <w:rFonts w:ascii="Century" w:hAnsi="Century" w:hint="cs"/>
          <w:sz w:val="22"/>
          <w:rtl/>
        </w:rPr>
        <w:t xml:space="preserve">  </w:t>
      </w:r>
    </w:p>
    <w:p w:rsidR="00B05730" w:rsidRDefault="00B05730" w:rsidP="00B05730">
      <w:pPr>
        <w:pStyle w:val="Ruller41"/>
        <w:rPr>
          <w:rtl/>
        </w:rPr>
      </w:pPr>
    </w:p>
    <w:p w:rsidR="00B05730" w:rsidRDefault="00B05730" w:rsidP="00B05730">
      <w:pPr>
        <w:pStyle w:val="Ruller4"/>
        <w:rPr>
          <w:rtl/>
        </w:rPr>
      </w:pPr>
      <w:r>
        <w:rPr>
          <w:rFonts w:hint="cs"/>
          <w:rtl/>
        </w:rPr>
        <w:t xml:space="preserve">בהקשר זה ראוי לעמוד גם על האמור בסעיף 89(ג) לפקודה, אליו עוד נדרש בהמשך: </w:t>
      </w:r>
    </w:p>
    <w:p w:rsidR="00B05730" w:rsidRDefault="00B05730" w:rsidP="00B05730">
      <w:pPr>
        <w:pStyle w:val="Ruller5"/>
        <w:rPr>
          <w:rtl/>
        </w:rPr>
      </w:pPr>
    </w:p>
    <w:p w:rsidR="00B05730" w:rsidRDefault="00B05730" w:rsidP="00B05730">
      <w:pPr>
        <w:pStyle w:val="Ruller5"/>
        <w:rPr>
          <w:rtl/>
        </w:rPr>
      </w:pPr>
      <w:r>
        <w:rPr>
          <w:rStyle w:val="default"/>
          <w:rFonts w:cs="Miriam" w:hint="cs"/>
          <w:spacing w:val="0"/>
          <w:sz w:val="24"/>
          <w:szCs w:val="24"/>
          <w:rtl/>
        </w:rPr>
        <w:t>דין תמורה ודין רווח הון</w:t>
      </w:r>
    </w:p>
    <w:p w:rsidR="00B05730" w:rsidRDefault="00B05730" w:rsidP="00B05730">
      <w:pPr>
        <w:pStyle w:val="Ruller5"/>
        <w:rPr>
          <w:rtl/>
        </w:rPr>
      </w:pPr>
      <w:r>
        <w:rPr>
          <w:rFonts w:hint="cs"/>
          <w:rtl/>
        </w:rPr>
        <w:t>89.  [...]</w:t>
      </w:r>
    </w:p>
    <w:p w:rsidR="00B05730" w:rsidRDefault="00B05730" w:rsidP="00B05730">
      <w:pPr>
        <w:pStyle w:val="Ruller5"/>
        <w:rPr>
          <w:rtl/>
        </w:rPr>
      </w:pPr>
      <w:r>
        <w:rPr>
          <w:rFonts w:hint="cs"/>
          <w:rtl/>
        </w:rPr>
        <w:t xml:space="preserve">(ג)   ריווח ממכירת נכס העשוי להתחייב במס, הן לפי הפרק הראשון לחלק ב' והן לפי חלק זה או חלק ה1, יראוהו כחייב במס לפי הפרק הראשון לחלק ב' בלבד. </w:t>
      </w:r>
    </w:p>
    <w:p w:rsidR="00B05730" w:rsidRPr="00F73343" w:rsidRDefault="00B05730" w:rsidP="00B05730">
      <w:pPr>
        <w:pStyle w:val="Ruller5"/>
        <w:rPr>
          <w:sz w:val="28"/>
          <w:szCs w:val="34"/>
          <w:rtl/>
        </w:rPr>
      </w:pPr>
    </w:p>
    <w:p w:rsidR="00B05730" w:rsidRDefault="00B05730" w:rsidP="00B05730">
      <w:pPr>
        <w:pStyle w:val="Ruller41"/>
        <w:rPr>
          <w:rFonts w:ascii="Century" w:hAnsi="Century"/>
          <w:rtl/>
        </w:rPr>
      </w:pPr>
      <w:r>
        <w:rPr>
          <w:rtl/>
        </w:rPr>
        <w:tab/>
      </w:r>
      <w:r>
        <w:rPr>
          <w:rFonts w:hint="cs"/>
          <w:rtl/>
        </w:rPr>
        <w:t xml:space="preserve">הוראה זו מבוססת על ההכרה בקושי להבחין באופן חד וברור בין הכנסה </w:t>
      </w:r>
      <w:proofErr w:type="spellStart"/>
      <w:r>
        <w:rPr>
          <w:rFonts w:hint="cs"/>
          <w:rtl/>
        </w:rPr>
        <w:t>פירותית</w:t>
      </w:r>
      <w:proofErr w:type="spellEnd"/>
      <w:r>
        <w:rPr>
          <w:rFonts w:hint="cs"/>
          <w:rtl/>
        </w:rPr>
        <w:t xml:space="preserve"> להכנסה הונית, אשר מתעורר לעתים תכופות. כדי לפתור קושי זה ברמה המעשית, ההוראה קובעת מנגנון של "</w:t>
      </w:r>
      <w:r>
        <w:rPr>
          <w:rFonts w:ascii="Century" w:hAnsi="Century" w:cs="Miriam" w:hint="cs"/>
          <w:b/>
          <w:spacing w:val="0"/>
          <w:szCs w:val="24"/>
          <w:rtl/>
        </w:rPr>
        <w:t>שובר שוויון"</w:t>
      </w:r>
      <w:r>
        <w:rPr>
          <w:rFonts w:ascii="Century" w:hAnsi="Century" w:hint="cs"/>
          <w:rtl/>
        </w:rPr>
        <w:t xml:space="preserve">: כאשר ניתן לסווג את הרווח שבו </w:t>
      </w:r>
      <w:r>
        <w:rPr>
          <w:rFonts w:ascii="Century" w:hAnsi="Century" w:hint="cs"/>
          <w:rtl/>
        </w:rPr>
        <w:lastRenderedPageBreak/>
        <w:t xml:space="preserve">עסקינן הן כרווח </w:t>
      </w:r>
      <w:proofErr w:type="spellStart"/>
      <w:r>
        <w:rPr>
          <w:rFonts w:ascii="Century" w:hAnsi="Century" w:hint="cs"/>
          <w:rtl/>
        </w:rPr>
        <w:t>פירותי</w:t>
      </w:r>
      <w:proofErr w:type="spellEnd"/>
      <w:r>
        <w:rPr>
          <w:rFonts w:ascii="Century" w:hAnsi="Century" w:hint="cs"/>
          <w:rtl/>
        </w:rPr>
        <w:t xml:space="preserve"> והן כרווח הוני, מן הדין יהיה לסווג את הרווח כטעון מס אשר חל על הכנסה </w:t>
      </w:r>
      <w:proofErr w:type="spellStart"/>
      <w:r>
        <w:rPr>
          <w:rFonts w:ascii="Century" w:hAnsi="Century" w:hint="cs"/>
          <w:rtl/>
        </w:rPr>
        <w:t>פירותית</w:t>
      </w:r>
      <w:proofErr w:type="spellEnd"/>
      <w:r>
        <w:rPr>
          <w:rFonts w:ascii="Century" w:hAnsi="Century" w:hint="cs"/>
          <w:rtl/>
        </w:rPr>
        <w:t>, ולא מס רווחי הון. במילים אחרות:</w:t>
      </w:r>
      <w:r>
        <w:rPr>
          <w:rFonts w:ascii="Century" w:hAnsi="Century" w:cs="Miriam" w:hint="cs"/>
          <w:b/>
          <w:spacing w:val="0"/>
          <w:szCs w:val="24"/>
          <w:rtl/>
        </w:rPr>
        <w:t xml:space="preserve"> </w:t>
      </w:r>
      <w:proofErr w:type="spellStart"/>
      <w:r>
        <w:rPr>
          <w:rFonts w:ascii="Century" w:hAnsi="Century" w:cs="Miriam" w:hint="cs"/>
          <w:b/>
          <w:spacing w:val="0"/>
          <w:szCs w:val="24"/>
          <w:rtl/>
        </w:rPr>
        <w:t>פירותי</w:t>
      </w:r>
      <w:proofErr w:type="spellEnd"/>
      <w:r>
        <w:rPr>
          <w:rFonts w:ascii="Century" w:hAnsi="Century" w:cs="Miriam" w:hint="cs"/>
          <w:b/>
          <w:spacing w:val="0"/>
          <w:szCs w:val="24"/>
          <w:rtl/>
        </w:rPr>
        <w:t xml:space="preserve"> והוני </w:t>
      </w:r>
      <w:r>
        <w:rPr>
          <w:rFonts w:ascii="Century" w:hAnsi="Century" w:cs="Miriam"/>
          <w:b/>
          <w:spacing w:val="0"/>
          <w:szCs w:val="24"/>
          <w:rtl/>
        </w:rPr>
        <w:t>–</w:t>
      </w:r>
      <w:r>
        <w:rPr>
          <w:rFonts w:ascii="Century" w:hAnsi="Century" w:cs="Miriam" w:hint="cs"/>
          <w:b/>
          <w:spacing w:val="0"/>
          <w:szCs w:val="24"/>
          <w:rtl/>
        </w:rPr>
        <w:t xml:space="preserve"> </w:t>
      </w:r>
      <w:proofErr w:type="spellStart"/>
      <w:r>
        <w:rPr>
          <w:rFonts w:ascii="Century" w:hAnsi="Century" w:cs="Miriam" w:hint="cs"/>
          <w:b/>
          <w:spacing w:val="0"/>
          <w:szCs w:val="24"/>
          <w:rtl/>
        </w:rPr>
        <w:t>פירותי</w:t>
      </w:r>
      <w:proofErr w:type="spellEnd"/>
      <w:r>
        <w:rPr>
          <w:rFonts w:ascii="Century" w:hAnsi="Century" w:cs="Miriam" w:hint="cs"/>
          <w:b/>
          <w:spacing w:val="0"/>
          <w:szCs w:val="24"/>
          <w:rtl/>
        </w:rPr>
        <w:t xml:space="preserve"> עדיף</w:t>
      </w:r>
      <w:r>
        <w:rPr>
          <w:rFonts w:ascii="Century" w:hAnsi="Century" w:hint="cs"/>
          <w:rtl/>
        </w:rPr>
        <w:t xml:space="preserve"> (ראו: עניין </w:t>
      </w:r>
      <w:r>
        <w:rPr>
          <w:rFonts w:ascii="Century" w:hAnsi="Century" w:cs="Miriam" w:hint="cs"/>
          <w:b/>
          <w:spacing w:val="0"/>
          <w:szCs w:val="24"/>
          <w:rtl/>
        </w:rPr>
        <w:t>ברנע</w:t>
      </w:r>
      <w:r>
        <w:rPr>
          <w:rFonts w:ascii="Century" w:hAnsi="Century" w:hint="cs"/>
          <w:rtl/>
        </w:rPr>
        <w:t xml:space="preserve">, פסקה 22). </w:t>
      </w:r>
    </w:p>
    <w:p w:rsidR="00B05730" w:rsidRDefault="00B05730" w:rsidP="00B05730">
      <w:pPr>
        <w:pStyle w:val="Ruller41"/>
        <w:rPr>
          <w:rFonts w:ascii="Century" w:hAnsi="Century"/>
          <w:rtl/>
        </w:rPr>
      </w:pPr>
    </w:p>
    <w:p w:rsidR="00B05730" w:rsidRPr="00B61ADF" w:rsidRDefault="00B05730" w:rsidP="00B05730">
      <w:pPr>
        <w:pStyle w:val="Ruller41"/>
        <w:rPr>
          <w:rtl/>
        </w:rPr>
      </w:pPr>
      <w:r>
        <w:rPr>
          <w:rFonts w:ascii="Century" w:hAnsi="Century"/>
          <w:rtl/>
        </w:rPr>
        <w:tab/>
      </w:r>
      <w:r>
        <w:rPr>
          <w:rFonts w:ascii="Century" w:hAnsi="Century" w:hint="cs"/>
          <w:rtl/>
        </w:rPr>
        <w:t xml:space="preserve">הטיב להסביר זאת השופט </w:t>
      </w:r>
      <w:r w:rsidRPr="00656715">
        <w:rPr>
          <w:rFonts w:ascii="Century" w:hAnsi="Century" w:cs="Miriam" w:hint="cs"/>
          <w:b/>
          <w:spacing w:val="0"/>
          <w:szCs w:val="24"/>
          <w:rtl/>
        </w:rPr>
        <w:t>י' עמית</w:t>
      </w:r>
      <w:r>
        <w:rPr>
          <w:rFonts w:ascii="Century" w:hAnsi="Century" w:hint="cs"/>
          <w:rtl/>
        </w:rPr>
        <w:t>, בכתבו כך:</w:t>
      </w:r>
    </w:p>
    <w:p w:rsidR="00B05730" w:rsidRDefault="00B05730" w:rsidP="00B05730">
      <w:pPr>
        <w:pStyle w:val="Ruller5"/>
        <w:rPr>
          <w:rtl/>
        </w:rPr>
      </w:pPr>
    </w:p>
    <w:p w:rsidR="00B05730" w:rsidRPr="008974A4" w:rsidRDefault="00B05730" w:rsidP="00B05730">
      <w:pPr>
        <w:pStyle w:val="Ruller5"/>
        <w:rPr>
          <w:rFonts w:ascii="Century" w:hAnsi="Century"/>
          <w:rtl/>
        </w:rPr>
      </w:pPr>
      <w:r w:rsidRPr="008974A4">
        <w:rPr>
          <w:rFonts w:hint="cs"/>
          <w:rtl/>
        </w:rPr>
        <w:t>"</w:t>
      </w:r>
      <w:hyperlink w:history="1">
        <w:r w:rsidRPr="008974A4">
          <w:rPr>
            <w:rtl/>
          </w:rPr>
          <w:t>סעיף 89(ג)</w:t>
        </w:r>
      </w:hyperlink>
      <w:r w:rsidRPr="008974A4">
        <w:rPr>
          <w:rFonts w:hint="cs"/>
          <w:rtl/>
        </w:rPr>
        <w:t xml:space="preserve"> קובע כי "</w:t>
      </w:r>
      <w:proofErr w:type="spellStart"/>
      <w:r w:rsidRPr="008974A4">
        <w:rPr>
          <w:rFonts w:hint="cs"/>
          <w:rtl/>
        </w:rPr>
        <w:t>פירותי</w:t>
      </w:r>
      <w:proofErr w:type="spellEnd"/>
      <w:r w:rsidRPr="008974A4">
        <w:rPr>
          <w:rFonts w:hint="cs"/>
          <w:rtl/>
        </w:rPr>
        <w:t xml:space="preserve"> והוני – </w:t>
      </w:r>
      <w:proofErr w:type="spellStart"/>
      <w:r w:rsidRPr="008974A4">
        <w:rPr>
          <w:rFonts w:hint="cs"/>
          <w:rtl/>
        </w:rPr>
        <w:t>פירותי</w:t>
      </w:r>
      <w:proofErr w:type="spellEnd"/>
      <w:r w:rsidRPr="008974A4">
        <w:rPr>
          <w:rFonts w:hint="cs"/>
          <w:rtl/>
        </w:rPr>
        <w:t xml:space="preserve"> עדיף". דהיינו, כאשר ניתן לסווג תקבול הן כהכנסה הונית והן כהכנסה </w:t>
      </w:r>
      <w:proofErr w:type="spellStart"/>
      <w:r w:rsidRPr="008974A4">
        <w:rPr>
          <w:rFonts w:hint="cs"/>
          <w:rtl/>
        </w:rPr>
        <w:t>פירותית</w:t>
      </w:r>
      <w:proofErr w:type="spellEnd"/>
      <w:r w:rsidRPr="008974A4">
        <w:rPr>
          <w:rFonts w:hint="cs"/>
          <w:rtl/>
        </w:rPr>
        <w:t xml:space="preserve">, יש למסות את התקבול כהכנסה </w:t>
      </w:r>
      <w:proofErr w:type="spellStart"/>
      <w:r w:rsidRPr="008974A4">
        <w:rPr>
          <w:rFonts w:hint="cs"/>
          <w:rtl/>
        </w:rPr>
        <w:t>פירותית</w:t>
      </w:r>
      <w:proofErr w:type="spellEnd"/>
      <w:r w:rsidRPr="008974A4">
        <w:rPr>
          <w:rFonts w:hint="cs"/>
          <w:rtl/>
        </w:rPr>
        <w:t xml:space="preserve">. מבחינה כרונולוגית, </w:t>
      </w:r>
      <w:hyperlink w:history="1">
        <w:r w:rsidRPr="008974A4">
          <w:rPr>
            <w:rtl/>
          </w:rPr>
          <w:t>סעיף 89(ג)</w:t>
        </w:r>
      </w:hyperlink>
      <w:r w:rsidRPr="008974A4">
        <w:rPr>
          <w:rFonts w:hint="cs"/>
          <w:rtl/>
        </w:rPr>
        <w:t xml:space="preserve"> ממוקם אפוא </w:t>
      </w:r>
      <w:r w:rsidRPr="008974A4">
        <w:rPr>
          <w:rFonts w:cs="Miriam" w:hint="cs"/>
          <w:spacing w:val="0"/>
          <w:sz w:val="24"/>
          <w:szCs w:val="24"/>
          <w:rtl/>
        </w:rPr>
        <w:t>בסוף הדרך</w:t>
      </w:r>
      <w:r w:rsidRPr="008974A4">
        <w:rPr>
          <w:rFonts w:hint="cs"/>
          <w:rtl/>
        </w:rPr>
        <w:t>, לאחר סיווג התקבול, וכאשר כפות המאזניים מעויינות (זאת, בדומה לכללי הפרשנות בדיני החוזים נוסח "נגד המנסח" או "נגד הצד החזק" או "לטובת המבוטח", כללים המופעלים כאשר הנ</w:t>
      </w:r>
      <w:r>
        <w:rPr>
          <w:rFonts w:hint="cs"/>
          <w:rtl/>
        </w:rPr>
        <w:t>י</w:t>
      </w:r>
      <w:r w:rsidRPr="008974A4">
        <w:rPr>
          <w:rFonts w:hint="cs"/>
          <w:rtl/>
        </w:rPr>
        <w:t>סיון לאתר את אומד דעת הצדדים ותכלית החוזה אינם מביאים לתוצאה חד משמעית."</w:t>
      </w:r>
      <w:r>
        <w:rPr>
          <w:rFonts w:hint="cs"/>
          <w:rtl/>
        </w:rPr>
        <w:t xml:space="preserve"> (עניין </w:t>
      </w:r>
      <w:r>
        <w:rPr>
          <w:rFonts w:ascii="Century" w:hAnsi="Century" w:cs="Miriam" w:hint="cs"/>
          <w:b/>
          <w:spacing w:val="0"/>
          <w:szCs w:val="24"/>
          <w:rtl/>
        </w:rPr>
        <w:t>ברנע</w:t>
      </w:r>
      <w:r>
        <w:rPr>
          <w:rFonts w:ascii="Century" w:hAnsi="Century" w:hint="cs"/>
          <w:rtl/>
        </w:rPr>
        <w:t>, פסקה 27).</w:t>
      </w:r>
    </w:p>
    <w:p w:rsidR="00B05730" w:rsidRDefault="00B05730" w:rsidP="00B05730">
      <w:pPr>
        <w:pStyle w:val="Ruller41"/>
        <w:rPr>
          <w:rtl/>
        </w:rPr>
      </w:pPr>
    </w:p>
    <w:p w:rsidR="00B05730" w:rsidRDefault="00B05730" w:rsidP="00B05730">
      <w:pPr>
        <w:pStyle w:val="Ruller4"/>
        <w:rPr>
          <w:rtl/>
        </w:rPr>
      </w:pPr>
      <w:r>
        <w:rPr>
          <w:rtl/>
        </w:rPr>
        <w:tab/>
      </w:r>
      <w:r>
        <w:rPr>
          <w:rFonts w:hint="cs"/>
          <w:rtl/>
        </w:rPr>
        <w:t xml:space="preserve">אכן כך הוא: מאחורי הוראת סעיף 89(ג) לפקודה עומד רציונל פשוט ונכון. המידע שבידי הנישום לגבי מהות התקבול שקיבל והסיבות לקבלתו הוא מידע אותנטי </w:t>
      </w:r>
      <w:proofErr w:type="spellStart"/>
      <w:r>
        <w:rPr>
          <w:rFonts w:hint="cs"/>
          <w:rtl/>
        </w:rPr>
        <w:t>ומדוייק</w:t>
      </w:r>
      <w:proofErr w:type="spellEnd"/>
      <w:r>
        <w:rPr>
          <w:rFonts w:hint="cs"/>
          <w:rtl/>
        </w:rPr>
        <w:t xml:space="preserve">, אך הוא גם מידע פרטי שלו, ואיננו בגדר נחלת הכלל. לרוב, פקיד השומה אינו יודע על עסקיו של הנישום את מה שיודע הנישום עצמו על עסקיו הוא </w:t>
      </w:r>
      <w:r>
        <w:rPr>
          <w:rtl/>
        </w:rPr>
        <w:t>–</w:t>
      </w:r>
      <w:r>
        <w:rPr>
          <w:rFonts w:hint="cs"/>
          <w:rtl/>
        </w:rPr>
        <w:t xml:space="preserve"> דבר הנכון במיוחד ביחס לאופן שבו הנישום בוחר לנסח את הסכמיו עם גורמים פרטיים בעולם העסקים, בארץ ומחוצה לה. הנישום הוא "הצד החזק" בכל הנוגע למידע הפרטי שבידו. במצב זה של מידע א-סימטרי, יכול הנישום לנצל לרעה את יתרון המידע שבידיו ואת אי-הוודאות אשר אופפת תקבול כזה או אחר שקיבל כדי לחמוק מתשלום מס אמת. הוראת סעיף 89(ג) לפקודה מעמידה אפוא משקל נגד ליתרון שיש לנישום על פני פקיד השומה בכל הקשור למידע אודות מהותו וטיבו של התקבול, בקבעה כי במקרים של חוסר ודאות ובהתעורר צורך בשובר שוויון בהבחנה בין "הון" ל"פירות" תהא ידו של פקיד השומה על העליונה. הוראה זו מטילה על הנישום את נטל השכנוע: הנישום הוא זה שצריך לשכנע את פקיד השומה, ולכשיידרש גם את בית המשפט, כי התקבול שקיבל לידיו הצמיח לו רווח הון ולא הכנסה </w:t>
      </w:r>
      <w:proofErr w:type="spellStart"/>
      <w:r>
        <w:rPr>
          <w:rFonts w:hint="cs"/>
          <w:rtl/>
        </w:rPr>
        <w:t>פירותית</w:t>
      </w:r>
      <w:proofErr w:type="spellEnd"/>
      <w:r>
        <w:rPr>
          <w:rFonts w:hint="cs"/>
          <w:rtl/>
        </w:rPr>
        <w:t xml:space="preserve"> (ראו: עניין </w:t>
      </w:r>
      <w:r w:rsidRPr="000C3FEF">
        <w:rPr>
          <w:rFonts w:ascii="Miriam" w:hAnsi="Miriam" w:cs="Miriam" w:hint="eastAsia"/>
          <w:sz w:val="22"/>
          <w:szCs w:val="24"/>
          <w:rtl/>
        </w:rPr>
        <w:t>ברנע</w:t>
      </w:r>
      <w:r>
        <w:rPr>
          <w:rFonts w:ascii="FrankRuehl" w:hAnsi="FrankRuehl" w:hint="cs"/>
          <w:rtl/>
        </w:rPr>
        <w:t>, פסקה 66;</w:t>
      </w:r>
      <w:r>
        <w:rPr>
          <w:rFonts w:hint="cs"/>
          <w:rtl/>
        </w:rPr>
        <w:t xml:space="preserve"> ראו גם: ע"א 943/16 </w:t>
      </w:r>
      <w:proofErr w:type="spellStart"/>
      <w:r w:rsidRPr="000C3FEF">
        <w:rPr>
          <w:rFonts w:ascii="Miriam" w:hAnsi="Miriam" w:cs="Miriam" w:hint="eastAsia"/>
          <w:sz w:val="22"/>
          <w:szCs w:val="24"/>
          <w:rtl/>
        </w:rPr>
        <w:t>קונטירה</w:t>
      </w:r>
      <w:proofErr w:type="spellEnd"/>
      <w:r w:rsidRPr="000C3FEF">
        <w:rPr>
          <w:rFonts w:ascii="Miriam" w:hAnsi="Miriam" w:cs="Miriam"/>
          <w:sz w:val="22"/>
          <w:szCs w:val="24"/>
          <w:rtl/>
        </w:rPr>
        <w:t xml:space="preserve"> טכנולוגיות בע"מ נ' פקיד שומה תל אביב</w:t>
      </w:r>
      <w:r>
        <w:rPr>
          <w:rFonts w:ascii="Miriam" w:hAnsi="Miriam" w:cs="Miriam" w:hint="cs"/>
          <w:sz w:val="22"/>
          <w:szCs w:val="24"/>
          <w:rtl/>
        </w:rPr>
        <w:t xml:space="preserve"> 3</w:t>
      </w:r>
      <w:r>
        <w:rPr>
          <w:rFonts w:hint="cs"/>
          <w:rtl/>
        </w:rPr>
        <w:t xml:space="preserve">, פסקה 46 (24.4.2018); </w:t>
      </w:r>
      <w:r w:rsidRPr="000C3FEF">
        <w:rPr>
          <w:rtl/>
        </w:rPr>
        <w:t xml:space="preserve">ע"א 468/01 </w:t>
      </w:r>
      <w:proofErr w:type="spellStart"/>
      <w:r w:rsidRPr="000C3FEF">
        <w:rPr>
          <w:rFonts w:ascii="Miriam" w:hAnsi="Miriam" w:cs="Miriam"/>
          <w:szCs w:val="24"/>
          <w:rtl/>
        </w:rPr>
        <w:t>חטר</w:t>
      </w:r>
      <w:proofErr w:type="spellEnd"/>
      <w:r w:rsidRPr="000C3FEF">
        <w:rPr>
          <w:rFonts w:ascii="Miriam" w:hAnsi="Miriam" w:cs="Miriam"/>
          <w:szCs w:val="24"/>
          <w:rtl/>
        </w:rPr>
        <w:t>-ישי נ' פקיד שומה ת"א 4</w:t>
      </w:r>
      <w:r w:rsidRPr="000C3FEF">
        <w:rPr>
          <w:rtl/>
        </w:rPr>
        <w:t>, פ"ד נח</w:t>
      </w:r>
      <w:r w:rsidRPr="000C3FEF">
        <w:rPr>
          <w:rFonts w:ascii="FrankRuehl" w:hAnsi="FrankRuehl" w:hint="cs"/>
          <w:sz w:val="28"/>
          <w:rtl/>
        </w:rPr>
        <w:t xml:space="preserve">(5) </w:t>
      </w:r>
      <w:r w:rsidRPr="000C3FEF">
        <w:rPr>
          <w:rFonts w:ascii="FrankRuehl" w:hAnsi="FrankRuehl"/>
          <w:color w:val="000000"/>
          <w:sz w:val="28"/>
        </w:rPr>
        <w:t>326</w:t>
      </w:r>
      <w:r>
        <w:rPr>
          <w:rFonts w:ascii="FrankRuehl" w:hAnsi="FrankRuehl" w:hint="cs"/>
          <w:color w:val="000000"/>
          <w:sz w:val="28"/>
          <w:rtl/>
        </w:rPr>
        <w:t>,</w:t>
      </w:r>
      <w:r>
        <w:rPr>
          <w:rFonts w:ascii="FrankRuehl" w:hAnsi="FrankRuehl"/>
          <w:color w:val="000000"/>
          <w:sz w:val="28"/>
        </w:rPr>
        <w:t xml:space="preserve"> </w:t>
      </w:r>
      <w:r>
        <w:rPr>
          <w:rFonts w:ascii="FrankRuehl" w:hAnsi="FrankRuehl"/>
          <w:color w:val="000000"/>
          <w:sz w:val="28"/>
          <w:rtl/>
        </w:rPr>
        <w:t>פסקה</w:t>
      </w:r>
      <w:r>
        <w:rPr>
          <w:rFonts w:ascii="FrankRuehl" w:hAnsi="FrankRuehl" w:hint="cs"/>
          <w:color w:val="000000"/>
          <w:sz w:val="28"/>
          <w:rtl/>
        </w:rPr>
        <w:t xml:space="preserve"> </w:t>
      </w:r>
      <w:r>
        <w:rPr>
          <w:rFonts w:ascii="FrankRuehl" w:hAnsi="FrankRuehl"/>
          <w:color w:val="000000"/>
          <w:sz w:val="28"/>
        </w:rPr>
        <w:t>(2004) 11</w:t>
      </w:r>
      <w:r>
        <w:rPr>
          <w:rFonts w:hint="cs"/>
          <w:rtl/>
        </w:rPr>
        <w:t xml:space="preserve">). לפיכך, אם בסוף הדרך נמצא את עצמנו ניצבים מול כפות מאזניים מעויינות, באופן שנוכל לסווג את ההכנסה שבמחלוקת הן כהונית והן </w:t>
      </w:r>
      <w:proofErr w:type="spellStart"/>
      <w:r>
        <w:rPr>
          <w:rFonts w:hint="cs"/>
          <w:rtl/>
        </w:rPr>
        <w:t>כפירותית</w:t>
      </w:r>
      <w:proofErr w:type="spellEnd"/>
      <w:r>
        <w:rPr>
          <w:rFonts w:hint="cs"/>
          <w:rtl/>
        </w:rPr>
        <w:t xml:space="preserve">, נחליט לטובת פקיד השומה ונסווג את ההכנסה </w:t>
      </w:r>
      <w:proofErr w:type="spellStart"/>
      <w:r>
        <w:rPr>
          <w:rFonts w:hint="cs"/>
          <w:rtl/>
        </w:rPr>
        <w:t>כפירותית</w:t>
      </w:r>
      <w:proofErr w:type="spellEnd"/>
      <w:r>
        <w:rPr>
          <w:rFonts w:hint="cs"/>
          <w:rtl/>
        </w:rPr>
        <w:t>.</w:t>
      </w:r>
    </w:p>
    <w:p w:rsidR="00B05730" w:rsidRDefault="00B05730" w:rsidP="00B05730">
      <w:pPr>
        <w:pStyle w:val="Ruller41"/>
        <w:rPr>
          <w:rFonts w:ascii="Century" w:hAnsi="Century" w:cs="Miriam"/>
          <w:b/>
          <w:spacing w:val="0"/>
          <w:szCs w:val="24"/>
          <w:rtl/>
        </w:rPr>
      </w:pPr>
    </w:p>
    <w:p w:rsidR="00252DA4" w:rsidRDefault="00252DA4" w:rsidP="00B05730">
      <w:pPr>
        <w:pStyle w:val="Ruller41"/>
        <w:rPr>
          <w:rFonts w:ascii="Century" w:hAnsi="Century" w:cs="Miriam"/>
          <w:b/>
          <w:spacing w:val="0"/>
          <w:szCs w:val="24"/>
          <w:rtl/>
        </w:rPr>
      </w:pPr>
    </w:p>
    <w:p w:rsidR="00B05730" w:rsidRDefault="00B05730" w:rsidP="00B05730">
      <w:pPr>
        <w:pStyle w:val="Ruller41"/>
        <w:rPr>
          <w:rFonts w:ascii="Century" w:hAnsi="Century" w:cs="Miriam"/>
          <w:b/>
          <w:spacing w:val="0"/>
          <w:szCs w:val="24"/>
          <w:rtl/>
        </w:rPr>
      </w:pPr>
      <w:r>
        <w:rPr>
          <w:rFonts w:ascii="Century" w:hAnsi="Century" w:cs="Miriam" w:hint="cs"/>
          <w:b/>
          <w:spacing w:val="0"/>
          <w:szCs w:val="24"/>
          <w:rtl/>
        </w:rPr>
        <w:lastRenderedPageBreak/>
        <w:t xml:space="preserve">סיווגו של "פיצוי" בדיני המס </w:t>
      </w:r>
      <w:r>
        <w:rPr>
          <w:rFonts w:ascii="Century" w:hAnsi="Century" w:cs="Miriam"/>
          <w:b/>
          <w:spacing w:val="0"/>
          <w:szCs w:val="24"/>
          <w:rtl/>
        </w:rPr>
        <w:t>–</w:t>
      </w:r>
      <w:r>
        <w:rPr>
          <w:rFonts w:ascii="Century" w:hAnsi="Century" w:cs="Miriam" w:hint="cs"/>
          <w:b/>
          <w:spacing w:val="0"/>
          <w:szCs w:val="24"/>
          <w:rtl/>
        </w:rPr>
        <w:t xml:space="preserve"> "עיקרון הפרצה"</w:t>
      </w:r>
    </w:p>
    <w:p w:rsidR="00B05730" w:rsidRDefault="00B05730" w:rsidP="00B05730">
      <w:pPr>
        <w:pStyle w:val="Ruller41"/>
        <w:rPr>
          <w:rFonts w:ascii="Century" w:hAnsi="Century" w:cs="Miriam"/>
          <w:b/>
          <w:spacing w:val="0"/>
          <w:szCs w:val="24"/>
          <w:rtl/>
        </w:rPr>
      </w:pPr>
    </w:p>
    <w:p w:rsidR="00B05730" w:rsidRDefault="00B05730" w:rsidP="00B05730">
      <w:pPr>
        <w:pStyle w:val="Ruller4"/>
      </w:pPr>
      <w:r>
        <w:rPr>
          <w:rFonts w:hint="cs"/>
          <w:rtl/>
        </w:rPr>
        <w:t xml:space="preserve">אחת השאלות המרכזיות שהועמדה לדיון בבית משפט קמא </w:t>
      </w:r>
      <w:proofErr w:type="spellStart"/>
      <w:r>
        <w:rPr>
          <w:rFonts w:hint="cs"/>
          <w:rtl/>
        </w:rPr>
        <w:t>היתה</w:t>
      </w:r>
      <w:proofErr w:type="spellEnd"/>
      <w:r>
        <w:rPr>
          <w:rFonts w:hint="cs"/>
          <w:rtl/>
        </w:rPr>
        <w:t xml:space="preserve"> זו: האם התשלום שהתקבל </w:t>
      </w:r>
      <w:proofErr w:type="spellStart"/>
      <w:r>
        <w:rPr>
          <w:rFonts w:hint="cs"/>
          <w:rtl/>
        </w:rPr>
        <w:t>ממדטרוניק</w:t>
      </w:r>
      <w:proofErr w:type="spellEnd"/>
      <w:r>
        <w:rPr>
          <w:rFonts w:hint="cs"/>
          <w:rtl/>
        </w:rPr>
        <w:t xml:space="preserve"> היווה תמורה ששולמה לצמל בגין מכירת זכויות ההפצה שלה, כטענת המערערים, או שמא פיצוי אשר שולם לצמל בגין אובדן הכנסותיה בעקבות ביטול הסכם ההפצה, כטענת המשיב? בית משפט קמא קבע בפסק דינו כי אין חשיבות לסיווג התשלום כתמורה בגין מכירה או כפיצוי, וסבורני כי אכן כך הוא הדבר. ברי הוא, כי אם נבדוק את הדברים </w:t>
      </w:r>
      <w:proofErr w:type="spellStart"/>
      <w:r>
        <w:rPr>
          <w:rFonts w:hint="cs"/>
          <w:rtl/>
        </w:rPr>
        <w:t>לאשורם</w:t>
      </w:r>
      <w:proofErr w:type="spellEnd"/>
      <w:r>
        <w:rPr>
          <w:rFonts w:hint="cs"/>
          <w:rtl/>
        </w:rPr>
        <w:t xml:space="preserve"> ונמצא כי התשלום שולם בעד העברת זכויות ההפצה של המסתם מצמל בחזרה </w:t>
      </w:r>
      <w:proofErr w:type="spellStart"/>
      <w:r>
        <w:rPr>
          <w:rFonts w:hint="cs"/>
          <w:rtl/>
        </w:rPr>
        <w:t>למדטרוניק</w:t>
      </w:r>
      <w:proofErr w:type="spellEnd"/>
      <w:r>
        <w:rPr>
          <w:rFonts w:hint="cs"/>
          <w:rtl/>
        </w:rPr>
        <w:t xml:space="preserve">, כאשר הוא נגזר מן ההכנסות שצמל אמורה </w:t>
      </w:r>
      <w:proofErr w:type="spellStart"/>
      <w:r>
        <w:rPr>
          <w:rFonts w:hint="cs"/>
          <w:rtl/>
        </w:rPr>
        <w:t>היתה</w:t>
      </w:r>
      <w:proofErr w:type="spellEnd"/>
      <w:r>
        <w:rPr>
          <w:rFonts w:hint="cs"/>
          <w:rtl/>
        </w:rPr>
        <w:t xml:space="preserve"> להפיק מניצול הזכויות הבלעדיות עד תומן </w:t>
      </w:r>
      <w:r>
        <w:rPr>
          <w:rtl/>
        </w:rPr>
        <w:t>–</w:t>
      </w:r>
      <w:r>
        <w:rPr>
          <w:rFonts w:hint="cs"/>
          <w:rtl/>
        </w:rPr>
        <w:t xml:space="preserve"> נגיע למסקנה כי מדובר בתקבול </w:t>
      </w:r>
      <w:proofErr w:type="spellStart"/>
      <w:r>
        <w:rPr>
          <w:rFonts w:hint="cs"/>
          <w:rtl/>
        </w:rPr>
        <w:t>פירותי</w:t>
      </w:r>
      <w:proofErr w:type="spellEnd"/>
      <w:r>
        <w:rPr>
          <w:rFonts w:hint="cs"/>
          <w:rtl/>
        </w:rPr>
        <w:t xml:space="preserve"> ולא הוני. לית מאן דפליג, כי נגיע לאותה מסקנה ממש גם אם ניווכח שהתשלום בא לפצות את צמל בגין אובדן ההכנסות הצפוי מביטול הסכם ההפצה. אשר על כן, ניסיון המערערים להגדיר את התשלום כתמורה בגין מכירה, להבדיל מפיצוי, הינו מלאכותי ואינו מקדם את הדיון. אין ספק </w:t>
      </w:r>
      <w:proofErr w:type="spellStart"/>
      <w:r>
        <w:rPr>
          <w:rFonts w:hint="cs"/>
          <w:rtl/>
        </w:rPr>
        <w:t>שמדטרוניק</w:t>
      </w:r>
      <w:proofErr w:type="spellEnd"/>
      <w:r>
        <w:rPr>
          <w:rFonts w:hint="cs"/>
          <w:rtl/>
        </w:rPr>
        <w:t xml:space="preserve"> לא </w:t>
      </w:r>
      <w:proofErr w:type="spellStart"/>
      <w:r>
        <w:rPr>
          <w:rFonts w:hint="cs"/>
          <w:rtl/>
        </w:rPr>
        <w:t>היתה</w:t>
      </w:r>
      <w:proofErr w:type="spellEnd"/>
      <w:r>
        <w:rPr>
          <w:rFonts w:hint="cs"/>
          <w:rtl/>
        </w:rPr>
        <w:t xml:space="preserve"> משלמת לצמל דבר במקרה שבו תקופת ההפצה נשוא ההסכם רוצתה במלואה ובאה לקיצה. במקרה כזה, </w:t>
      </w:r>
      <w:proofErr w:type="spellStart"/>
      <w:r>
        <w:rPr>
          <w:rFonts w:hint="cs"/>
          <w:rtl/>
        </w:rPr>
        <w:t>מדטרוניק</w:t>
      </w:r>
      <w:proofErr w:type="spellEnd"/>
      <w:r>
        <w:rPr>
          <w:rFonts w:hint="cs"/>
          <w:rtl/>
        </w:rPr>
        <w:t xml:space="preserve"> </w:t>
      </w:r>
      <w:proofErr w:type="spellStart"/>
      <w:r>
        <w:rPr>
          <w:rFonts w:hint="cs"/>
          <w:rtl/>
        </w:rPr>
        <w:t>היתה</w:t>
      </w:r>
      <w:proofErr w:type="spellEnd"/>
      <w:r>
        <w:rPr>
          <w:rFonts w:hint="cs"/>
          <w:rtl/>
        </w:rPr>
        <w:t xml:space="preserve"> חופשית למכור את המסתם שלה בישראל בעצמה, באמצעות ידה הארוכה, </w:t>
      </w:r>
      <w:proofErr w:type="spellStart"/>
      <w:r>
        <w:rPr>
          <w:rFonts w:hint="cs"/>
          <w:rtl/>
        </w:rPr>
        <w:t>מדטרוניק</w:t>
      </w:r>
      <w:proofErr w:type="spellEnd"/>
      <w:r>
        <w:rPr>
          <w:rFonts w:hint="cs"/>
          <w:rtl/>
        </w:rPr>
        <w:t xml:space="preserve">-ישראל, או באמצעות כל מפיץ אחר. מכאן עולה, כי התשלום </w:t>
      </w:r>
      <w:proofErr w:type="spellStart"/>
      <w:r>
        <w:rPr>
          <w:rFonts w:hint="cs"/>
          <w:rtl/>
        </w:rPr>
        <w:t>שמדטרוניק</w:t>
      </w:r>
      <w:proofErr w:type="spellEnd"/>
      <w:r>
        <w:rPr>
          <w:rFonts w:hint="cs"/>
          <w:rtl/>
        </w:rPr>
        <w:t xml:space="preserve"> שילמה לצמל היווה תמורה בעד ויתורה של צמל על זמן ההפצה שאותו נותר לה לנצל במסגרת הסכם ההפצה. מבחינה כלכלית, מדובר אפוא בפיצוי. לפיכך, מה שנותר לנו לעשות הוא לזהות את ה"פרצה" הכלכלית </w:t>
      </w:r>
      <w:r>
        <w:rPr>
          <w:rtl/>
        </w:rPr>
        <w:t>–</w:t>
      </w:r>
      <w:r>
        <w:rPr>
          <w:rFonts w:hint="cs"/>
          <w:rtl/>
        </w:rPr>
        <w:t xml:space="preserve"> </w:t>
      </w:r>
      <w:proofErr w:type="spellStart"/>
      <w:r>
        <w:rPr>
          <w:rFonts w:hint="cs"/>
          <w:rtl/>
        </w:rPr>
        <w:t>פירותית</w:t>
      </w:r>
      <w:proofErr w:type="spellEnd"/>
      <w:r>
        <w:rPr>
          <w:rFonts w:hint="cs"/>
          <w:rtl/>
        </w:rPr>
        <w:t xml:space="preserve"> או הונית </w:t>
      </w:r>
      <w:r>
        <w:rPr>
          <w:rtl/>
        </w:rPr>
        <w:t>–</w:t>
      </w:r>
      <w:r>
        <w:rPr>
          <w:rFonts w:hint="cs"/>
          <w:rtl/>
        </w:rPr>
        <w:t xml:space="preserve"> שפיצוי זה נועד למלא. </w:t>
      </w:r>
    </w:p>
    <w:p w:rsidR="00B05730" w:rsidRDefault="00B05730" w:rsidP="00B05730">
      <w:pPr>
        <w:pStyle w:val="Ruller4"/>
        <w:numPr>
          <w:ilvl w:val="0"/>
          <w:numId w:val="0"/>
        </w:numPr>
        <w:rPr>
          <w:rtl/>
        </w:rPr>
      </w:pPr>
    </w:p>
    <w:p w:rsidR="00B05730" w:rsidRDefault="00B05730" w:rsidP="00B05730">
      <w:pPr>
        <w:pStyle w:val="Ruller4"/>
        <w:numPr>
          <w:ilvl w:val="0"/>
          <w:numId w:val="0"/>
        </w:numPr>
        <w:rPr>
          <w:rtl/>
        </w:rPr>
      </w:pPr>
      <w:r>
        <w:rPr>
          <w:rtl/>
        </w:rPr>
        <w:tab/>
      </w:r>
      <w:r>
        <w:rPr>
          <w:rFonts w:hint="cs"/>
          <w:rtl/>
        </w:rPr>
        <w:t xml:space="preserve">למלאכה זו אגש כעת. </w:t>
      </w:r>
    </w:p>
    <w:p w:rsidR="00B05730" w:rsidRDefault="00B05730" w:rsidP="00B05730">
      <w:pPr>
        <w:pStyle w:val="Ruller41"/>
        <w:rPr>
          <w:rtl/>
        </w:rPr>
      </w:pPr>
    </w:p>
    <w:p w:rsidR="00B05730" w:rsidRDefault="00B05730" w:rsidP="00B05730">
      <w:pPr>
        <w:pStyle w:val="Ruller4"/>
        <w:rPr>
          <w:rFonts w:ascii="Century" w:hAnsi="Century"/>
          <w:sz w:val="22"/>
        </w:rPr>
      </w:pPr>
      <w:r>
        <w:rPr>
          <w:rFonts w:hint="cs"/>
          <w:rtl/>
        </w:rPr>
        <w:t xml:space="preserve">הלכה היא עמנו מימים ימימה, כי דינו של פיצוי שמקבל נישום כדין הפרצה אותה הפיצוי אמור למלא (ראו, למשל: ע"א 171/67 </w:t>
      </w:r>
      <w:r>
        <w:rPr>
          <w:rFonts w:ascii="Century" w:hAnsi="Century" w:cs="Miriam" w:hint="cs"/>
          <w:b/>
          <w:spacing w:val="0"/>
          <w:sz w:val="22"/>
          <w:szCs w:val="24"/>
          <w:rtl/>
        </w:rPr>
        <w:t>פקיד שומה למפעלים גדולים נ' הוצאת ספרים ש' ל' גורדון בע"מ</w:t>
      </w:r>
      <w:r>
        <w:rPr>
          <w:rFonts w:ascii="Century" w:hAnsi="Century" w:hint="cs"/>
          <w:sz w:val="22"/>
          <w:rtl/>
        </w:rPr>
        <w:t xml:space="preserve">, פ"ד </w:t>
      </w:r>
      <w:proofErr w:type="spellStart"/>
      <w:r>
        <w:rPr>
          <w:rFonts w:ascii="Century" w:hAnsi="Century" w:hint="cs"/>
          <w:sz w:val="22"/>
          <w:rtl/>
        </w:rPr>
        <w:t>כא</w:t>
      </w:r>
      <w:proofErr w:type="spellEnd"/>
      <w:r>
        <w:rPr>
          <w:rFonts w:ascii="Century" w:hAnsi="Century" w:hint="cs"/>
          <w:sz w:val="22"/>
          <w:rtl/>
        </w:rPr>
        <w:t xml:space="preserve">(2) 186 (1967) (להלן: עניין </w:t>
      </w:r>
      <w:r>
        <w:rPr>
          <w:rFonts w:ascii="Century" w:hAnsi="Century" w:cs="Miriam" w:hint="cs"/>
          <w:b/>
          <w:spacing w:val="0"/>
          <w:sz w:val="22"/>
          <w:szCs w:val="24"/>
          <w:rtl/>
        </w:rPr>
        <w:t>גורדון</w:t>
      </w:r>
      <w:r>
        <w:rPr>
          <w:rFonts w:ascii="Century" w:hAnsi="Century" w:hint="cs"/>
          <w:sz w:val="22"/>
          <w:rtl/>
        </w:rPr>
        <w:t xml:space="preserve">); ע"א 2640/11 </w:t>
      </w:r>
      <w:r w:rsidRPr="000B44B5">
        <w:rPr>
          <w:rFonts w:ascii="Century" w:hAnsi="Century" w:cs="Miriam" w:hint="cs"/>
          <w:b/>
          <w:spacing w:val="0"/>
          <w:sz w:val="22"/>
          <w:szCs w:val="24"/>
          <w:rtl/>
        </w:rPr>
        <w:t>פקיד שומה חיפה נ' ניסים</w:t>
      </w:r>
      <w:r>
        <w:rPr>
          <w:rFonts w:ascii="Century" w:hAnsi="Century" w:hint="cs"/>
          <w:sz w:val="22"/>
          <w:rtl/>
        </w:rPr>
        <w:t xml:space="preserve">, פסקאות 8-7 לפסק דינה של השופטת </w:t>
      </w:r>
      <w:r w:rsidRPr="0052262B">
        <w:rPr>
          <w:rFonts w:ascii="Century" w:hAnsi="Century" w:cs="Miriam" w:hint="cs"/>
          <w:b/>
          <w:spacing w:val="0"/>
          <w:sz w:val="22"/>
          <w:szCs w:val="24"/>
          <w:rtl/>
        </w:rPr>
        <w:t>א' חיות</w:t>
      </w:r>
      <w:r>
        <w:rPr>
          <w:rFonts w:ascii="Century" w:hAnsi="Century" w:hint="cs"/>
          <w:sz w:val="22"/>
          <w:rtl/>
        </w:rPr>
        <w:t xml:space="preserve"> (כתוארה אז) (2.2.2014) (להלן: פרשת </w:t>
      </w:r>
      <w:r>
        <w:rPr>
          <w:rFonts w:ascii="Century" w:hAnsi="Century" w:cs="Miriam" w:hint="cs"/>
          <w:b/>
          <w:spacing w:val="0"/>
          <w:sz w:val="22"/>
          <w:szCs w:val="24"/>
          <w:rtl/>
        </w:rPr>
        <w:t>ניסים</w:t>
      </w:r>
      <w:r>
        <w:rPr>
          <w:rFonts w:ascii="Century" w:hAnsi="Century" w:hint="cs"/>
          <w:sz w:val="22"/>
          <w:rtl/>
        </w:rPr>
        <w:t xml:space="preserve">); וכן אהרן </w:t>
      </w:r>
      <w:proofErr w:type="spellStart"/>
      <w:r>
        <w:rPr>
          <w:rFonts w:ascii="Century" w:hAnsi="Century" w:hint="cs"/>
          <w:sz w:val="22"/>
          <w:rtl/>
        </w:rPr>
        <w:t>נמדר</w:t>
      </w:r>
      <w:proofErr w:type="spellEnd"/>
      <w:r>
        <w:rPr>
          <w:rFonts w:ascii="Century" w:hAnsi="Century" w:hint="cs"/>
          <w:sz w:val="22"/>
          <w:rtl/>
        </w:rPr>
        <w:t xml:space="preserve"> </w:t>
      </w:r>
      <w:r>
        <w:rPr>
          <w:rFonts w:ascii="Century" w:hAnsi="Century" w:cs="Miriam" w:hint="cs"/>
          <w:b/>
          <w:spacing w:val="0"/>
          <w:sz w:val="22"/>
          <w:szCs w:val="24"/>
          <w:rtl/>
        </w:rPr>
        <w:t>מס הכנסה</w:t>
      </w:r>
      <w:r>
        <w:rPr>
          <w:rFonts w:ascii="Century" w:hAnsi="Century" w:hint="cs"/>
          <w:sz w:val="22"/>
          <w:rtl/>
        </w:rPr>
        <w:t xml:space="preserve"> בעמ' 70-69 (מהדורה שלישית, 2010)). משמעות הדברים היא, כי סיווגו של הפיצוי הוא הליך דו-שלבי: </w:t>
      </w:r>
      <w:r w:rsidRPr="0052262B">
        <w:rPr>
          <w:rFonts w:ascii="Century" w:hAnsi="Century" w:hint="cs"/>
          <w:sz w:val="22"/>
          <w:rtl/>
        </w:rPr>
        <w:t xml:space="preserve">ראשית, </w:t>
      </w:r>
      <w:r>
        <w:rPr>
          <w:rFonts w:ascii="Century" w:hAnsi="Century" w:hint="cs"/>
          <w:sz w:val="22"/>
          <w:rtl/>
        </w:rPr>
        <w:t xml:space="preserve">יש לוודא מהי הפרצה שהפיצוי נועד למלא כעניין של עובדה, דהיינו: מהו הנזק שבגינו משולם הפיצוי; ולאחר מכן, יש לבחון את טיבה של הפרצה האמורה, כפרצה </w:t>
      </w:r>
      <w:proofErr w:type="spellStart"/>
      <w:r>
        <w:rPr>
          <w:rFonts w:ascii="Century" w:hAnsi="Century" w:hint="cs"/>
          <w:sz w:val="22"/>
          <w:rtl/>
        </w:rPr>
        <w:t>פירותית</w:t>
      </w:r>
      <w:proofErr w:type="spellEnd"/>
      <w:r>
        <w:rPr>
          <w:rFonts w:ascii="Century" w:hAnsi="Century" w:hint="cs"/>
          <w:sz w:val="22"/>
          <w:rtl/>
        </w:rPr>
        <w:t xml:space="preserve"> או הונית, כעניין משפטי לפי דיני המס (ראו: ע"א 3721/12 </w:t>
      </w:r>
      <w:proofErr w:type="spellStart"/>
      <w:r>
        <w:rPr>
          <w:rFonts w:ascii="Century" w:hAnsi="Century" w:cs="Miriam" w:hint="cs"/>
          <w:b/>
          <w:spacing w:val="0"/>
          <w:sz w:val="22"/>
          <w:szCs w:val="24"/>
          <w:rtl/>
        </w:rPr>
        <w:t>תופאפ</w:t>
      </w:r>
      <w:proofErr w:type="spellEnd"/>
      <w:r>
        <w:rPr>
          <w:rFonts w:ascii="Century" w:hAnsi="Century" w:cs="Miriam" w:hint="cs"/>
          <w:b/>
          <w:spacing w:val="0"/>
          <w:sz w:val="22"/>
          <w:szCs w:val="24"/>
          <w:rtl/>
        </w:rPr>
        <w:t xml:space="preserve"> תעשיות נ' פקיד שומה</w:t>
      </w:r>
      <w:r>
        <w:rPr>
          <w:rFonts w:ascii="Century" w:hAnsi="Century" w:hint="cs"/>
          <w:sz w:val="22"/>
          <w:rtl/>
        </w:rPr>
        <w:t xml:space="preserve">, פסקה 20 (27.4.2014)). </w:t>
      </w:r>
    </w:p>
    <w:p w:rsidR="00B05730" w:rsidRDefault="00B05730" w:rsidP="00B05730">
      <w:pPr>
        <w:pStyle w:val="Ruller4"/>
        <w:numPr>
          <w:ilvl w:val="0"/>
          <w:numId w:val="0"/>
        </w:numPr>
        <w:rPr>
          <w:rFonts w:ascii="Century" w:hAnsi="Century"/>
          <w:sz w:val="22"/>
          <w:rtl/>
        </w:rPr>
      </w:pPr>
    </w:p>
    <w:p w:rsidR="00B05730" w:rsidRDefault="00B05730" w:rsidP="00B05730">
      <w:pPr>
        <w:pStyle w:val="Ruller4"/>
        <w:numPr>
          <w:ilvl w:val="0"/>
          <w:numId w:val="0"/>
        </w:numPr>
        <w:rPr>
          <w:rFonts w:ascii="Century" w:hAnsi="Century"/>
          <w:sz w:val="22"/>
          <w:rtl/>
        </w:rPr>
      </w:pPr>
      <w:r>
        <w:rPr>
          <w:rFonts w:ascii="Century" w:hAnsi="Century"/>
          <w:sz w:val="22"/>
          <w:rtl/>
        </w:rPr>
        <w:lastRenderedPageBreak/>
        <w:tab/>
      </w:r>
      <w:r>
        <w:rPr>
          <w:rFonts w:ascii="Century" w:hAnsi="Century" w:hint="cs"/>
          <w:sz w:val="22"/>
          <w:rtl/>
        </w:rPr>
        <w:t xml:space="preserve">כדבריו של השופט </w:t>
      </w:r>
      <w:r>
        <w:rPr>
          <w:rFonts w:ascii="Century" w:hAnsi="Century" w:cs="Miriam" w:hint="cs"/>
          <w:b/>
          <w:spacing w:val="0"/>
          <w:sz w:val="22"/>
          <w:szCs w:val="24"/>
          <w:rtl/>
        </w:rPr>
        <w:t>א' ויתקון</w:t>
      </w:r>
      <w:r>
        <w:rPr>
          <w:rFonts w:ascii="Century" w:hAnsi="Century" w:hint="cs"/>
          <w:sz w:val="22"/>
          <w:rtl/>
        </w:rPr>
        <w:t xml:space="preserve"> בעניין </w:t>
      </w:r>
      <w:r>
        <w:rPr>
          <w:rFonts w:ascii="Century" w:hAnsi="Century" w:cs="Miriam" w:hint="cs"/>
          <w:b/>
          <w:spacing w:val="0"/>
          <w:sz w:val="22"/>
          <w:szCs w:val="24"/>
          <w:rtl/>
        </w:rPr>
        <w:t>גורדון</w:t>
      </w:r>
      <w:r>
        <w:rPr>
          <w:rFonts w:ascii="Century" w:hAnsi="Century" w:hint="cs"/>
          <w:sz w:val="22"/>
          <w:rtl/>
        </w:rPr>
        <w:t>:</w:t>
      </w:r>
    </w:p>
    <w:p w:rsidR="00B05730" w:rsidRPr="008D4DCB" w:rsidRDefault="00B05730" w:rsidP="00B05730">
      <w:pPr>
        <w:pStyle w:val="Ruller41"/>
        <w:rPr>
          <w:rtl/>
        </w:rPr>
      </w:pPr>
    </w:p>
    <w:p w:rsidR="00B05730" w:rsidRDefault="00B05730" w:rsidP="00B05730">
      <w:pPr>
        <w:pStyle w:val="Ruller5"/>
        <w:rPr>
          <w:rFonts w:ascii="Century" w:hAnsi="Century"/>
          <w:rtl/>
        </w:rPr>
      </w:pPr>
      <w:r>
        <w:rPr>
          <w:rFonts w:hint="cs"/>
          <w:rtl/>
        </w:rPr>
        <w:t xml:space="preserve">"הקושי המתעורר בסוגיית סיווגו של פיצוי כתקבול הוני או כתקבול שבפירות נובע מן העובדה, שהמלה "פיצוי" יכולה להשתלב יפה בכל אחת משתי הקטגוריות הללו. האבחנה נעוצה במטרה שלשמה ניתן הפיצוי: אם הנזק פגע ברווחים החייבים במס והפיצוי בא לכסות על נזק זה, אין הוא אלא סותם את </w:t>
      </w:r>
      <w:proofErr w:type="spellStart"/>
      <w:r>
        <w:rPr>
          <w:rFonts w:hint="cs"/>
          <w:rtl/>
        </w:rPr>
        <w:t>הפירצה</w:t>
      </w:r>
      <w:proofErr w:type="spellEnd"/>
      <w:r>
        <w:rPr>
          <w:rFonts w:hint="cs"/>
          <w:rtl/>
        </w:rPr>
        <w:t xml:space="preserve"> שהנזק גורם, והריהו משתלב במקומה, ואז יהא אף הוא חייב במס. אם גרם הנזק </w:t>
      </w:r>
      <w:proofErr w:type="spellStart"/>
      <w:r>
        <w:rPr>
          <w:rFonts w:hint="cs"/>
          <w:rtl/>
        </w:rPr>
        <w:t>לפירצה</w:t>
      </w:r>
      <w:proofErr w:type="spellEnd"/>
      <w:r>
        <w:rPr>
          <w:rFonts w:hint="cs"/>
          <w:rtl/>
        </w:rPr>
        <w:t xml:space="preserve"> במקור ההכנסה, יסתום הפיצוי את </w:t>
      </w:r>
      <w:proofErr w:type="spellStart"/>
      <w:r>
        <w:rPr>
          <w:rFonts w:hint="cs"/>
          <w:rtl/>
        </w:rPr>
        <w:t>הפירצה</w:t>
      </w:r>
      <w:proofErr w:type="spellEnd"/>
      <w:r>
        <w:rPr>
          <w:rFonts w:hint="cs"/>
          <w:rtl/>
        </w:rPr>
        <w:t xml:space="preserve"> הזו, וכשישתלב במקומה, לא יהא אלא תקבול שבהון, שאינו חייב במס." (עניין </w:t>
      </w:r>
      <w:r>
        <w:rPr>
          <w:rFonts w:ascii="Century" w:hAnsi="Century" w:cs="Miriam" w:hint="cs"/>
          <w:b/>
          <w:spacing w:val="0"/>
          <w:szCs w:val="24"/>
          <w:rtl/>
        </w:rPr>
        <w:t>גורדון</w:t>
      </w:r>
      <w:r>
        <w:rPr>
          <w:rFonts w:ascii="Century" w:hAnsi="Century" w:hint="cs"/>
          <w:rtl/>
        </w:rPr>
        <w:t>, בעמ' 188)</w:t>
      </w:r>
      <w:r w:rsidR="004E2F0E">
        <w:rPr>
          <w:rFonts w:ascii="Century" w:hAnsi="Century" w:hint="cs"/>
          <w:rtl/>
        </w:rPr>
        <w:t>.</w:t>
      </w:r>
    </w:p>
    <w:p w:rsidR="00B05730" w:rsidRDefault="00B05730" w:rsidP="00B05730">
      <w:pPr>
        <w:pStyle w:val="Ruller5"/>
        <w:rPr>
          <w:rFonts w:ascii="Century" w:hAnsi="Century"/>
          <w:rtl/>
        </w:rPr>
      </w:pPr>
    </w:p>
    <w:p w:rsidR="00B05730" w:rsidRPr="009F4D2D" w:rsidRDefault="00B05730" w:rsidP="00B05730">
      <w:pPr>
        <w:pStyle w:val="Ruller4"/>
        <w:rPr>
          <w:rFonts w:ascii="Century" w:hAnsi="Century"/>
        </w:rPr>
      </w:pPr>
      <w:r>
        <w:rPr>
          <w:rtl/>
        </w:rPr>
        <w:tab/>
      </w:r>
      <w:r>
        <w:rPr>
          <w:rFonts w:hint="cs"/>
          <w:rtl/>
        </w:rPr>
        <w:t xml:space="preserve">סיווגו של פיצוי כאמור, אף הוא אינו תמיד פשוט. כל עסקה ועסקה שבגדרה משולם פיצוי ניתנת לתיאור בשני אופנים </w:t>
      </w:r>
      <w:r>
        <w:rPr>
          <w:rtl/>
        </w:rPr>
        <w:t>–</w:t>
      </w:r>
      <w:r>
        <w:rPr>
          <w:rFonts w:hint="cs"/>
          <w:rtl/>
        </w:rPr>
        <w:t xml:space="preserve"> מחד, ניתן לומר כי משלם הפיצוי קונה ממקבלו את הזכות לדרוש את הפיצוי כמקור הכנסה; ומאידך, ניתן לתאר את העסקה כפיצוי עבור אובדן הכנסה, ולא עבור אובדן המקור. </w:t>
      </w:r>
    </w:p>
    <w:p w:rsidR="00B05730" w:rsidRDefault="00B05730" w:rsidP="00B05730">
      <w:pPr>
        <w:pStyle w:val="Ruller4"/>
        <w:numPr>
          <w:ilvl w:val="0"/>
          <w:numId w:val="0"/>
        </w:numPr>
        <w:rPr>
          <w:rtl/>
        </w:rPr>
      </w:pPr>
    </w:p>
    <w:p w:rsidR="00B05730" w:rsidRPr="00F304F1" w:rsidRDefault="00B05730" w:rsidP="00B05730">
      <w:pPr>
        <w:pStyle w:val="Ruller4"/>
        <w:numPr>
          <w:ilvl w:val="0"/>
          <w:numId w:val="0"/>
        </w:numPr>
        <w:rPr>
          <w:rFonts w:ascii="Century" w:hAnsi="Century"/>
          <w:rtl/>
        </w:rPr>
      </w:pPr>
      <w:r>
        <w:rPr>
          <w:rtl/>
        </w:rPr>
        <w:tab/>
      </w:r>
      <w:r>
        <w:rPr>
          <w:rFonts w:hint="cs"/>
          <w:rtl/>
        </w:rPr>
        <w:t xml:space="preserve">בעניין זה, נצטט את הדברים שאמרה השופטת </w:t>
      </w:r>
      <w:r w:rsidRPr="00F304F1">
        <w:rPr>
          <w:rFonts w:ascii="Century" w:hAnsi="Century" w:cs="Miriam" w:hint="cs"/>
          <w:b/>
          <w:spacing w:val="0"/>
          <w:szCs w:val="24"/>
          <w:rtl/>
        </w:rPr>
        <w:t>א' חיות</w:t>
      </w:r>
      <w:r w:rsidRPr="00F304F1">
        <w:rPr>
          <w:rFonts w:ascii="Century" w:hAnsi="Century" w:hint="cs"/>
          <w:rtl/>
        </w:rPr>
        <w:t xml:space="preserve"> (כתוארה אז) ב</w:t>
      </w:r>
      <w:r>
        <w:rPr>
          <w:rFonts w:ascii="Century" w:hAnsi="Century" w:hint="cs"/>
          <w:rtl/>
        </w:rPr>
        <w:t>פרשת</w:t>
      </w:r>
      <w:r w:rsidRPr="00F304F1">
        <w:rPr>
          <w:rFonts w:ascii="Century" w:hAnsi="Century" w:hint="cs"/>
          <w:rtl/>
        </w:rPr>
        <w:t xml:space="preserve"> </w:t>
      </w:r>
      <w:r w:rsidRPr="00F304F1">
        <w:rPr>
          <w:rFonts w:ascii="Century" w:hAnsi="Century" w:cs="Miriam" w:hint="cs"/>
          <w:b/>
          <w:spacing w:val="0"/>
          <w:szCs w:val="24"/>
          <w:rtl/>
        </w:rPr>
        <w:t>ניסים</w:t>
      </w:r>
      <w:r w:rsidRPr="00F304F1">
        <w:rPr>
          <w:rFonts w:ascii="Century" w:hAnsi="Century" w:hint="cs"/>
          <w:rtl/>
        </w:rPr>
        <w:t>:</w:t>
      </w:r>
    </w:p>
    <w:p w:rsidR="00B05730" w:rsidRDefault="00B05730" w:rsidP="00B05730">
      <w:pPr>
        <w:pStyle w:val="Ruller5"/>
        <w:rPr>
          <w:rtl/>
        </w:rPr>
      </w:pPr>
    </w:p>
    <w:p w:rsidR="00B05730" w:rsidRPr="00E878FE" w:rsidRDefault="00B05730" w:rsidP="00B05730">
      <w:pPr>
        <w:pStyle w:val="Ruller5"/>
        <w:rPr>
          <w:rFonts w:ascii="Century" w:hAnsi="Century"/>
          <w:rtl/>
        </w:rPr>
      </w:pPr>
      <w:r w:rsidRPr="00E878FE">
        <w:rPr>
          <w:rFonts w:hint="cs"/>
          <w:rtl/>
        </w:rPr>
        <w:t>"כמעט כל עסקת פיצוי ניתנת לתיאור גם כעסקה שבה נותן הפיצוי "קונה" ממקבלו את הזכות שעמדה לו לדרוש את תשלום הפיצוי, ובמילים אחרות – כתשלום שניתן עבור ה</w:t>
      </w:r>
      <w:r>
        <w:rPr>
          <w:rFonts w:hint="cs"/>
          <w:rtl/>
        </w:rPr>
        <w:t>ו</w:t>
      </w:r>
      <w:r w:rsidRPr="00E878FE">
        <w:rPr>
          <w:rFonts w:hint="cs"/>
          <w:rtl/>
        </w:rPr>
        <w:t xml:space="preserve">ויתור על הזכות לדרוש את הפיצוי. כך לדוגמא, כאשר נכרת הסכם פשרה לפיו ישלם הנתבע לתובע פיצויים עבור נזק שנגרם לו, ניתן לתאר את העסקה שכרתו הצדדים לפיצוי עבור הנזק גם כתשלום עבור ויתור על זכות התביעה. אך הפסיקה קבעה פעם אחר פעם כי תשלום מסוג זה ייבחן על-פי מהות הנזק שנגרם – נזק לפירות </w:t>
      </w:r>
      <w:r>
        <w:rPr>
          <w:rFonts w:hint="cs"/>
          <w:rtl/>
        </w:rPr>
        <w:t>מ</w:t>
      </w:r>
      <w:r w:rsidRPr="00E878FE">
        <w:rPr>
          <w:rFonts w:hint="cs"/>
          <w:rtl/>
        </w:rPr>
        <w:t>מקור ההכנסה או למקור ההכנסה עצמו – ולא על-פי הזכות לתבוע שעליה ויתר התובע</w:t>
      </w:r>
      <w:r>
        <w:rPr>
          <w:rFonts w:hint="cs"/>
          <w:rtl/>
        </w:rPr>
        <w:t xml:space="preserve"> [</w:t>
      </w:r>
      <w:r w:rsidRPr="00E878FE">
        <w:rPr>
          <w:rFonts w:hint="cs"/>
          <w:rtl/>
        </w:rPr>
        <w:t>...</w:t>
      </w:r>
      <w:r>
        <w:rPr>
          <w:rFonts w:hint="cs"/>
          <w:rtl/>
        </w:rPr>
        <w:t xml:space="preserve">]. </w:t>
      </w:r>
      <w:r w:rsidRPr="00E878FE">
        <w:rPr>
          <w:rFonts w:hint="cs"/>
          <w:rtl/>
        </w:rPr>
        <w:t xml:space="preserve">זאת מתוך התפיסה כי הפיצוי המוסכם שעליו התפשרו הצדדים נועד במהותו להיטיב את הנזק שנגרם, ואת </w:t>
      </w:r>
      <w:proofErr w:type="spellStart"/>
      <w:r w:rsidRPr="00E878FE">
        <w:rPr>
          <w:rFonts w:hint="cs"/>
          <w:rtl/>
        </w:rPr>
        <w:t>הויתור</w:t>
      </w:r>
      <w:proofErr w:type="spellEnd"/>
      <w:r w:rsidRPr="00E878FE">
        <w:rPr>
          <w:rFonts w:hint="cs"/>
          <w:rtl/>
        </w:rPr>
        <w:t xml:space="preserve"> על הזכות לתבוע יש לראות כתוצאת לוואי לכך שרצון התובע לקבלת הפיצוי בא על סיפוקו." (</w:t>
      </w:r>
      <w:r>
        <w:rPr>
          <w:rFonts w:hint="cs"/>
          <w:rtl/>
        </w:rPr>
        <w:t>פרשת</w:t>
      </w:r>
      <w:r w:rsidRPr="00E878FE">
        <w:rPr>
          <w:rFonts w:hint="cs"/>
          <w:rtl/>
        </w:rPr>
        <w:t xml:space="preserve"> </w:t>
      </w:r>
      <w:r w:rsidRPr="00E878FE">
        <w:rPr>
          <w:rFonts w:ascii="Century" w:hAnsi="Century" w:cs="Miriam" w:hint="cs"/>
          <w:b/>
          <w:spacing w:val="0"/>
          <w:szCs w:val="24"/>
          <w:rtl/>
        </w:rPr>
        <w:t>ניסים</w:t>
      </w:r>
      <w:r>
        <w:rPr>
          <w:rFonts w:ascii="Century" w:hAnsi="Century" w:hint="cs"/>
          <w:rtl/>
        </w:rPr>
        <w:t xml:space="preserve">, פסקה 7 לפסק דינה של השופטת </w:t>
      </w:r>
      <w:r>
        <w:rPr>
          <w:rFonts w:ascii="Miriam" w:hAnsi="Miriam" w:cs="Miriam" w:hint="cs"/>
          <w:sz w:val="20"/>
          <w:szCs w:val="24"/>
          <w:rtl/>
        </w:rPr>
        <w:t xml:space="preserve">א' חיות </w:t>
      </w:r>
      <w:r>
        <w:rPr>
          <w:rFonts w:ascii="FrankRuehl" w:hAnsi="FrankRuehl" w:hint="cs"/>
          <w:rtl/>
        </w:rPr>
        <w:t>(כתוארה אז)</w:t>
      </w:r>
      <w:r>
        <w:rPr>
          <w:rFonts w:ascii="Century" w:hAnsi="Century" w:hint="cs"/>
          <w:rtl/>
        </w:rPr>
        <w:t>).</w:t>
      </w:r>
    </w:p>
    <w:p w:rsidR="00B05730" w:rsidRDefault="00B05730" w:rsidP="00B05730">
      <w:pPr>
        <w:pStyle w:val="Ruller5"/>
        <w:rPr>
          <w:rFonts w:ascii="Century" w:hAnsi="Century" w:cs="Miriam"/>
          <w:b/>
          <w:spacing w:val="0"/>
          <w:szCs w:val="24"/>
          <w:rtl/>
        </w:rPr>
      </w:pPr>
      <w:r>
        <w:rPr>
          <w:rFonts w:ascii="Century" w:hAnsi="Century" w:cs="Miriam"/>
          <w:b/>
          <w:spacing w:val="0"/>
          <w:szCs w:val="24"/>
          <w:rtl/>
        </w:rPr>
        <w:t xml:space="preserve"> </w:t>
      </w:r>
    </w:p>
    <w:p w:rsidR="00B05730" w:rsidRDefault="00B05730" w:rsidP="00B05730">
      <w:pPr>
        <w:pStyle w:val="Ruller4"/>
        <w:rPr>
          <w:rFonts w:ascii="Century" w:hAnsi="Century"/>
          <w:sz w:val="22"/>
          <w:rtl/>
        </w:rPr>
      </w:pPr>
      <w:r>
        <w:rPr>
          <w:rFonts w:hint="cs"/>
          <w:rtl/>
        </w:rPr>
        <w:t>הווה אומר:</w:t>
      </w:r>
      <w:r>
        <w:rPr>
          <w:rFonts w:ascii="Century" w:hAnsi="Century" w:hint="cs"/>
          <w:sz w:val="22"/>
          <w:rtl/>
        </w:rPr>
        <w:t xml:space="preserve"> אם הוויתור על עצם הזכות לתבוע בגין הפרת חוזה, לרבות ביטול החוזה שלא בהתאם לתנאיו, נמצא טפל ביחס להטבת הנזק נשוא התביעה, ואותה הטבת נזק </w:t>
      </w:r>
      <w:r>
        <w:rPr>
          <w:rFonts w:ascii="Century" w:hAnsi="Century"/>
          <w:sz w:val="22"/>
          <w:rtl/>
        </w:rPr>
        <w:t>–</w:t>
      </w:r>
      <w:r>
        <w:rPr>
          <w:rFonts w:ascii="Century" w:hAnsi="Century" w:hint="cs"/>
          <w:sz w:val="22"/>
          <w:rtl/>
        </w:rPr>
        <w:t xml:space="preserve"> שהיא העיקר </w:t>
      </w:r>
      <w:r>
        <w:rPr>
          <w:rFonts w:ascii="Century" w:hAnsi="Century"/>
          <w:sz w:val="22"/>
          <w:rtl/>
        </w:rPr>
        <w:t>–</w:t>
      </w:r>
      <w:r>
        <w:rPr>
          <w:rFonts w:ascii="Century" w:hAnsi="Century" w:hint="cs"/>
          <w:sz w:val="22"/>
          <w:rtl/>
        </w:rPr>
        <w:t xml:space="preserve"> באה לסתום את "החור הכלכלי" שבהפסד רווחים מעבודה או מעסק, מן הדין יהיה לסווג את התשלום עבור הוויתור כאמור כהכנסה </w:t>
      </w:r>
      <w:proofErr w:type="spellStart"/>
      <w:r>
        <w:rPr>
          <w:rFonts w:ascii="Century" w:hAnsi="Century" w:hint="cs"/>
          <w:sz w:val="22"/>
          <w:rtl/>
        </w:rPr>
        <w:t>פירותית</w:t>
      </w:r>
      <w:proofErr w:type="spellEnd"/>
      <w:r>
        <w:rPr>
          <w:rFonts w:ascii="Century" w:hAnsi="Century" w:hint="cs"/>
          <w:sz w:val="22"/>
          <w:rtl/>
        </w:rPr>
        <w:t xml:space="preserve">. הבחנה </w:t>
      </w:r>
      <w:r>
        <w:rPr>
          <w:rFonts w:ascii="Century" w:hAnsi="Century" w:hint="cs"/>
          <w:sz w:val="22"/>
          <w:rtl/>
        </w:rPr>
        <w:lastRenderedPageBreak/>
        <w:t xml:space="preserve">זו שבין העיקר והטפל היא הבחנה מהותית-כלכלית. מילותיו של הסכם הפיצויים שבו עסקינן מסמנות את תחילתה של מלאכת ההבחנה, ולא את סופה. </w:t>
      </w:r>
    </w:p>
    <w:p w:rsidR="00B05730" w:rsidRPr="00D93D02" w:rsidRDefault="00B05730" w:rsidP="00B05730">
      <w:pPr>
        <w:pStyle w:val="Ruller41"/>
      </w:pPr>
    </w:p>
    <w:p w:rsidR="00B05730" w:rsidRDefault="00B05730" w:rsidP="00B05730">
      <w:pPr>
        <w:pStyle w:val="Ruller4"/>
        <w:rPr>
          <w:rFonts w:ascii="Century" w:hAnsi="Century"/>
          <w:sz w:val="22"/>
        </w:rPr>
      </w:pPr>
      <w:r>
        <w:rPr>
          <w:rFonts w:ascii="Century" w:hAnsi="Century" w:hint="cs"/>
          <w:sz w:val="22"/>
          <w:rtl/>
        </w:rPr>
        <w:t xml:space="preserve">ההבחנה בין עיקר וטפל נעשית אף היא בעזרת מבחני עזר. אחד ממבחנים אלו מעמיד לדיון את השאלה </w:t>
      </w:r>
      <w:r>
        <w:rPr>
          <w:rFonts w:hint="cs"/>
          <w:rtl/>
        </w:rPr>
        <w:t>האם ביטול החוזה שבגינו משולם הפיצוי מחסל את העסק של מקבלו או פוגע במבנהו הבסיסי של העסק עד כדי איון של עיקר פעילותו.</w:t>
      </w:r>
      <w:r>
        <w:rPr>
          <w:rFonts w:ascii="Century" w:hAnsi="Century" w:hint="cs"/>
          <w:sz w:val="22"/>
          <w:rtl/>
        </w:rPr>
        <w:t xml:space="preserve"> אם כך יהיו פני הדברים, ייחשב הפיצוי להוני ומקבלו </w:t>
      </w:r>
      <w:proofErr w:type="spellStart"/>
      <w:r>
        <w:rPr>
          <w:rFonts w:ascii="Century" w:hAnsi="Century" w:hint="cs"/>
          <w:sz w:val="22"/>
          <w:rtl/>
        </w:rPr>
        <w:t>יחוייב</w:t>
      </w:r>
      <w:proofErr w:type="spellEnd"/>
      <w:r>
        <w:rPr>
          <w:rFonts w:ascii="Century" w:hAnsi="Century" w:hint="cs"/>
          <w:sz w:val="22"/>
          <w:rtl/>
        </w:rPr>
        <w:t xml:space="preserve"> מס בגין רווח הון. מאידך, אם </w:t>
      </w:r>
      <w:r>
        <w:rPr>
          <w:rFonts w:hint="cs"/>
          <w:rtl/>
        </w:rPr>
        <w:t xml:space="preserve">העסק של מקבל הפיצוי יכול להמשיך להתקיים ולהפיק רווחים בזכות התקשרויות בחוזים אחרים, הדומים לזה שבוטל, אזי ייחשב התקבול </w:t>
      </w:r>
      <w:proofErr w:type="spellStart"/>
      <w:r>
        <w:rPr>
          <w:rFonts w:hint="cs"/>
          <w:rtl/>
        </w:rPr>
        <w:t>לפירותי</w:t>
      </w:r>
      <w:proofErr w:type="spellEnd"/>
      <w:r>
        <w:rPr>
          <w:rFonts w:hint="cs"/>
          <w:rtl/>
        </w:rPr>
        <w:t xml:space="preserve"> </w:t>
      </w:r>
      <w:r>
        <w:rPr>
          <w:rFonts w:ascii="Century" w:hAnsi="Century" w:hint="cs"/>
          <w:sz w:val="22"/>
          <w:rtl/>
        </w:rPr>
        <w:t xml:space="preserve">במהותו ומקבלו </w:t>
      </w:r>
      <w:proofErr w:type="spellStart"/>
      <w:r>
        <w:rPr>
          <w:rFonts w:ascii="Century" w:hAnsi="Century" w:hint="cs"/>
          <w:sz w:val="22"/>
          <w:rtl/>
        </w:rPr>
        <w:t>יחוייב</w:t>
      </w:r>
      <w:proofErr w:type="spellEnd"/>
      <w:r>
        <w:rPr>
          <w:rFonts w:ascii="Century" w:hAnsi="Century" w:hint="cs"/>
          <w:sz w:val="22"/>
          <w:rtl/>
        </w:rPr>
        <w:t xml:space="preserve"> במס בגין הכנסה רגילה. </w:t>
      </w:r>
    </w:p>
    <w:p w:rsidR="00B05730" w:rsidRDefault="00B05730" w:rsidP="00B05730">
      <w:pPr>
        <w:pStyle w:val="Ruller4"/>
        <w:numPr>
          <w:ilvl w:val="0"/>
          <w:numId w:val="0"/>
        </w:numPr>
        <w:rPr>
          <w:rFonts w:ascii="Century" w:hAnsi="Century"/>
          <w:sz w:val="22"/>
          <w:rtl/>
        </w:rPr>
      </w:pPr>
    </w:p>
    <w:p w:rsidR="00B05730" w:rsidRPr="000D6882" w:rsidRDefault="00B05730" w:rsidP="00B05730">
      <w:pPr>
        <w:pStyle w:val="Ruller4"/>
        <w:rPr>
          <w:rtl/>
        </w:rPr>
      </w:pPr>
      <w:r>
        <w:rPr>
          <w:rFonts w:hint="cs"/>
          <w:rtl/>
        </w:rPr>
        <w:t xml:space="preserve">הבחנה חשובה זו הוסברה בע"א 391/70 </w:t>
      </w:r>
      <w:r w:rsidRPr="000D6882">
        <w:rPr>
          <w:rFonts w:cs="Miriam" w:hint="cs"/>
          <w:b/>
          <w:spacing w:val="0"/>
          <w:szCs w:val="24"/>
          <w:rtl/>
        </w:rPr>
        <w:t>קציר נ' פקיד שומה, תל-אביב</w:t>
      </w:r>
      <w:r w:rsidRPr="000D6882">
        <w:rPr>
          <w:rFonts w:hint="cs"/>
          <w:rtl/>
        </w:rPr>
        <w:t xml:space="preserve">, כה(1) 762 (1971) (להלן: </w:t>
      </w:r>
      <w:r>
        <w:rPr>
          <w:rFonts w:hint="cs"/>
          <w:rtl/>
        </w:rPr>
        <w:t>הלכת</w:t>
      </w:r>
      <w:r w:rsidRPr="000D6882">
        <w:rPr>
          <w:rFonts w:hint="cs"/>
          <w:rtl/>
        </w:rPr>
        <w:t xml:space="preserve"> </w:t>
      </w:r>
      <w:r w:rsidRPr="000D6882">
        <w:rPr>
          <w:rFonts w:cs="Miriam" w:hint="cs"/>
          <w:b/>
          <w:spacing w:val="0"/>
          <w:szCs w:val="24"/>
          <w:rtl/>
        </w:rPr>
        <w:t>קציר</w:t>
      </w:r>
      <w:r>
        <w:rPr>
          <w:rFonts w:hint="cs"/>
          <w:rtl/>
        </w:rPr>
        <w:t>) במילים אלו:</w:t>
      </w:r>
    </w:p>
    <w:p w:rsidR="00B05730" w:rsidRDefault="00B05730" w:rsidP="00B05730">
      <w:pPr>
        <w:pStyle w:val="Ruller5"/>
        <w:rPr>
          <w:rtl/>
        </w:rPr>
      </w:pPr>
    </w:p>
    <w:p w:rsidR="00B05730" w:rsidRDefault="00B05730" w:rsidP="00B05730">
      <w:pPr>
        <w:pStyle w:val="Ruller5"/>
        <w:rPr>
          <w:rtl/>
        </w:rPr>
      </w:pPr>
      <w:r>
        <w:rPr>
          <w:rFonts w:hint="cs"/>
          <w:rtl/>
        </w:rPr>
        <w:t xml:space="preserve">"כאשר החוזה שהופר הינו אחד מני רבים, חוזה שנעשה במהלך הרגיל של העסק, הרי הפרתו פגעה בדרך-כלל רק ברווחים שהיו צפויים ממילויו, אך הא ותו לא, במסגרת אותו עסק יוכל הנפגע להמשיך ולהפיק רווחים מחוזים דומים, ואם כן, באים פיצויי ההפרה רק כדי לשפות את הנפגע על אבדן ההכנסה </w:t>
      </w:r>
      <w:proofErr w:type="spellStart"/>
      <w:r>
        <w:rPr>
          <w:rFonts w:hint="cs"/>
          <w:rtl/>
        </w:rPr>
        <w:t>שהיתה</w:t>
      </w:r>
      <w:proofErr w:type="spellEnd"/>
      <w:r>
        <w:rPr>
          <w:rFonts w:hint="cs"/>
          <w:rtl/>
        </w:rPr>
        <w:t xml:space="preserve"> צפויה מחוזה זה. לעומת זה, אם הפרת החוזה פגעה במבנה הבסיסי של העסק, אשר לא יוכל לקום (אם החוזה נועד להקים עסק) או לא יוכל להמשיך ולהתקיים (על-כל-פנים לא באופן שהתקיים עד להפרה הנדונה), הרי גרמה ההפרה לא רק לנזק מצומצם של אבדן הרווחים הצפויים מחוזה זה, אלא גם לאבדן רווחים צפויים עתידיים מחוזים דומים שמקבל הפיצויים לא יוכל להיכנס אליהם באשר עסקו נפגע או התמוטט. במקרה כזה עיקר הפיצוי הינו </w:t>
      </w:r>
      <w:proofErr w:type="spellStart"/>
      <w:r>
        <w:rPr>
          <w:rFonts w:hint="cs"/>
          <w:rtl/>
        </w:rPr>
        <w:t>איפוא</w:t>
      </w:r>
      <w:proofErr w:type="spellEnd"/>
      <w:r>
        <w:rPr>
          <w:rFonts w:hint="cs"/>
          <w:rtl/>
        </w:rPr>
        <w:t xml:space="preserve"> על אבדן מקור ההכנסה, וככזה הינו תקבול הוני</w:t>
      </w:r>
      <w:r w:rsidRPr="00EC6100">
        <w:rPr>
          <w:rFonts w:ascii="Century" w:hAnsi="Century" w:cs="Miriam" w:hint="cs"/>
          <w:b/>
          <w:spacing w:val="0"/>
          <w:szCs w:val="24"/>
          <w:rtl/>
        </w:rPr>
        <w:t xml:space="preserve">. ברור </w:t>
      </w:r>
      <w:proofErr w:type="spellStart"/>
      <w:r w:rsidRPr="00EC6100">
        <w:rPr>
          <w:rFonts w:ascii="Century" w:hAnsi="Century" w:cs="Miriam" w:hint="cs"/>
          <w:b/>
          <w:spacing w:val="0"/>
          <w:szCs w:val="24"/>
          <w:rtl/>
        </w:rPr>
        <w:t>איפוא</w:t>
      </w:r>
      <w:proofErr w:type="spellEnd"/>
      <w:r w:rsidRPr="00EC6100">
        <w:rPr>
          <w:rFonts w:ascii="Century" w:hAnsi="Century" w:cs="Miriam" w:hint="cs"/>
          <w:b/>
          <w:spacing w:val="0"/>
          <w:szCs w:val="24"/>
          <w:rtl/>
        </w:rPr>
        <w:t xml:space="preserve"> כי חוזה יוכל להיחשב כמשתייך לסוג השני, רק אם היווה בשביל העסק את "נשמת אפו",</w:t>
      </w:r>
      <w:r w:rsidRPr="00EC6100">
        <w:rPr>
          <w:rFonts w:hint="cs"/>
          <w:rtl/>
        </w:rPr>
        <w:t xml:space="preserve"> </w:t>
      </w:r>
      <w:r>
        <w:rPr>
          <w:rFonts w:hint="cs"/>
          <w:rtl/>
        </w:rPr>
        <w:t>הקיימת אמנם רק בתחום המשפט אך המהווה נכס לא פחות חשוב ולפעמים חשוב יותר מכל נכס ממשי אחר השייך לעסק.</w:t>
      </w:r>
    </w:p>
    <w:p w:rsidR="00B05730" w:rsidRDefault="00B05730" w:rsidP="00B05730">
      <w:pPr>
        <w:pStyle w:val="Ruller5"/>
        <w:rPr>
          <w:rtl/>
        </w:rPr>
      </w:pPr>
    </w:p>
    <w:p w:rsidR="00B05730" w:rsidRDefault="00B05730" w:rsidP="00B05730">
      <w:pPr>
        <w:pStyle w:val="Ruller5"/>
        <w:rPr>
          <w:rtl/>
        </w:rPr>
      </w:pPr>
      <w:r>
        <w:rPr>
          <w:rFonts w:hint="cs"/>
          <w:rtl/>
        </w:rPr>
        <w:t>[...]</w:t>
      </w:r>
    </w:p>
    <w:p w:rsidR="00B05730" w:rsidRDefault="00B05730" w:rsidP="00B05730">
      <w:pPr>
        <w:pStyle w:val="Ruller5"/>
        <w:rPr>
          <w:rtl/>
        </w:rPr>
      </w:pPr>
    </w:p>
    <w:p w:rsidR="00B05730" w:rsidRDefault="00B05730" w:rsidP="00B05730">
      <w:pPr>
        <w:pStyle w:val="Ruller5"/>
        <w:rPr>
          <w:rFonts w:ascii="Century" w:hAnsi="Century"/>
          <w:rtl/>
        </w:rPr>
      </w:pPr>
      <w:r>
        <w:rPr>
          <w:rFonts w:hint="cs"/>
          <w:rtl/>
        </w:rPr>
        <w:t xml:space="preserve">רק במסגרת זו יש לדעתי מקום לדוקטרינה של חוזים הפוגעים במבנה הבסיסי של העסק, אך </w:t>
      </w:r>
      <w:r w:rsidRPr="00EC6100">
        <w:rPr>
          <w:rFonts w:ascii="Century" w:hAnsi="Century" w:cs="Miriam" w:hint="cs"/>
          <w:b/>
          <w:spacing w:val="0"/>
          <w:szCs w:val="24"/>
          <w:rtl/>
        </w:rPr>
        <w:t>אין להרחיב את תחומיה של דוקטרינה זו למקרים בהם ברור, שלמעשה לא נפגעו הנכסים וההון של מקבל הפיצויים, ולראות בפיצויים תקבל הוני אך ורק מפני שניתן אולי באופן מלאכותי לטעון שנפגע המבנה הבסיסי של העסק</w:t>
      </w:r>
      <w:r>
        <w:rPr>
          <w:rFonts w:hint="cs"/>
          <w:rtl/>
        </w:rPr>
        <w:t xml:space="preserve">." (עניין </w:t>
      </w:r>
      <w:r>
        <w:rPr>
          <w:rFonts w:ascii="Century" w:hAnsi="Century" w:cs="Miriam" w:hint="cs"/>
          <w:b/>
          <w:spacing w:val="0"/>
          <w:szCs w:val="24"/>
          <w:rtl/>
        </w:rPr>
        <w:t>קציר</w:t>
      </w:r>
      <w:r>
        <w:rPr>
          <w:rFonts w:ascii="Century" w:hAnsi="Century" w:hint="cs"/>
          <w:rtl/>
        </w:rPr>
        <w:t xml:space="preserve">, עמ' 765-764; ההדגשה הוספה </w:t>
      </w:r>
      <w:r>
        <w:rPr>
          <w:rFonts w:ascii="Century" w:hAnsi="Century"/>
          <w:rtl/>
        </w:rPr>
        <w:t>–</w:t>
      </w:r>
      <w:r>
        <w:rPr>
          <w:rFonts w:ascii="Century" w:hAnsi="Century" w:hint="cs"/>
          <w:rtl/>
        </w:rPr>
        <w:t xml:space="preserve"> א.ש.). </w:t>
      </w:r>
    </w:p>
    <w:p w:rsidR="00B05730" w:rsidRDefault="00B05730" w:rsidP="00B05730">
      <w:pPr>
        <w:pStyle w:val="Ruller41"/>
        <w:rPr>
          <w:rtl/>
        </w:rPr>
      </w:pPr>
      <w:r>
        <w:rPr>
          <w:rtl/>
        </w:rPr>
        <w:tab/>
      </w:r>
    </w:p>
    <w:p w:rsidR="00B05730" w:rsidRPr="00302D2B" w:rsidRDefault="00B05730" w:rsidP="00B05730">
      <w:pPr>
        <w:pStyle w:val="Ruller4"/>
        <w:rPr>
          <w:rtl/>
        </w:rPr>
      </w:pPr>
      <w:r>
        <w:rPr>
          <w:rFonts w:hint="cs"/>
          <w:rtl/>
        </w:rPr>
        <w:lastRenderedPageBreak/>
        <w:t xml:space="preserve">כאן המקום לעבור ליישום המבחנים הללו על המקרה דנן; וכך אעשה. לפני שאעשה כן, ברצוני להסיר משולחננו טיעון שגוי שהעלו המערערים בנוגע להלכת </w:t>
      </w:r>
      <w:r w:rsidRPr="00E47AA7">
        <w:rPr>
          <w:rFonts w:ascii="Century" w:hAnsi="Century" w:cs="Miriam" w:hint="cs"/>
          <w:b/>
          <w:spacing w:val="0"/>
          <w:sz w:val="22"/>
          <w:szCs w:val="24"/>
          <w:rtl/>
        </w:rPr>
        <w:t>קציר</w:t>
      </w:r>
      <w:r>
        <w:rPr>
          <w:rFonts w:hint="cs"/>
          <w:rtl/>
        </w:rPr>
        <w:t xml:space="preserve">. לטענת המערערים, הלכת </w:t>
      </w:r>
      <w:r w:rsidRPr="00E47AA7">
        <w:rPr>
          <w:rFonts w:cs="Miriam" w:hint="cs"/>
          <w:b/>
          <w:spacing w:val="0"/>
          <w:szCs w:val="24"/>
          <w:rtl/>
        </w:rPr>
        <w:t>קציר</w:t>
      </w:r>
      <w:r>
        <w:rPr>
          <w:rFonts w:hint="cs"/>
          <w:rtl/>
        </w:rPr>
        <w:t xml:space="preserve"> איננה חלה על חברה כדוגמת צמל </w:t>
      </w:r>
      <w:proofErr w:type="spellStart"/>
      <w:r>
        <w:rPr>
          <w:rFonts w:hint="cs"/>
          <w:rtl/>
        </w:rPr>
        <w:t>מדיקל</w:t>
      </w:r>
      <w:proofErr w:type="spellEnd"/>
      <w:r>
        <w:rPr>
          <w:rFonts w:hint="cs"/>
          <w:rtl/>
        </w:rPr>
        <w:t xml:space="preserve">, שהינה חברת אחזקות ותו לא; והיא גם מתייחסת להסכמים שבין ספק או נותן שירות לבין לקוח, ולא להסכמים אחרים, דוגמת הסכמי הפצה. סבורני כי המערערים מבקשים לכלול בתוך הלכת </w:t>
      </w:r>
      <w:r w:rsidRPr="00A72001">
        <w:rPr>
          <w:rFonts w:ascii="Century" w:hAnsi="Century" w:cs="Miriam" w:hint="cs"/>
          <w:b/>
          <w:spacing w:val="0"/>
          <w:sz w:val="22"/>
          <w:szCs w:val="24"/>
          <w:rtl/>
        </w:rPr>
        <w:t>קציר</w:t>
      </w:r>
      <w:r>
        <w:rPr>
          <w:rFonts w:hint="cs"/>
          <w:rtl/>
        </w:rPr>
        <w:t xml:space="preserve"> את מה שאין בה. הלכת </w:t>
      </w:r>
      <w:r w:rsidRPr="00A72001">
        <w:rPr>
          <w:rFonts w:cs="Miriam" w:hint="cs"/>
          <w:b/>
          <w:spacing w:val="0"/>
          <w:szCs w:val="24"/>
          <w:rtl/>
        </w:rPr>
        <w:t>קציר</w:t>
      </w:r>
      <w:r>
        <w:rPr>
          <w:rFonts w:hint="cs"/>
          <w:rtl/>
        </w:rPr>
        <w:t xml:space="preserve"> ומבחן העזר שנקבע בה, כפי שנוסחו, חלים על כלל ההסכמים אשר באים להסדיר ביטול מוסכם של התקשרות קודמת בין בעלי הדין או פיצויים בגין הפרתה של אותה התקשרות קודמת. לצמצומה של הלכת </w:t>
      </w:r>
      <w:r w:rsidRPr="00D533C0">
        <w:rPr>
          <w:rFonts w:ascii="Century" w:hAnsi="Century" w:cs="Miriam" w:hint="cs"/>
          <w:b/>
          <w:spacing w:val="0"/>
          <w:sz w:val="22"/>
          <w:szCs w:val="24"/>
          <w:rtl/>
        </w:rPr>
        <w:t>קציר</w:t>
      </w:r>
      <w:r>
        <w:rPr>
          <w:rFonts w:hint="cs"/>
          <w:rtl/>
        </w:rPr>
        <w:t xml:space="preserve"> בדרך שהציעו המערערים לא מצאתי שום אסמכתא בפסיקתנו; ואודה, כי ממילא התקשיתי לזהות את השיקול הכלכלי-חברתי שבכוחו להצדיק את הצמצום הנטען. </w:t>
      </w:r>
    </w:p>
    <w:p w:rsidR="00B05730" w:rsidRDefault="00B05730" w:rsidP="00B05730">
      <w:pPr>
        <w:pStyle w:val="Ruller41"/>
        <w:rPr>
          <w:rtl/>
        </w:rPr>
      </w:pPr>
    </w:p>
    <w:p w:rsidR="00B05730" w:rsidRPr="00545318" w:rsidRDefault="00B05730" w:rsidP="00B05730">
      <w:pPr>
        <w:pStyle w:val="Ruller41"/>
        <w:rPr>
          <w:rFonts w:ascii="Century" w:hAnsi="Century" w:cs="Miriam"/>
          <w:b/>
          <w:spacing w:val="0"/>
          <w:szCs w:val="24"/>
        </w:rPr>
      </w:pPr>
      <w:r>
        <w:rPr>
          <w:rFonts w:ascii="Century" w:hAnsi="Century" w:cs="Miriam" w:hint="cs"/>
          <w:b/>
          <w:spacing w:val="0"/>
          <w:szCs w:val="24"/>
          <w:rtl/>
        </w:rPr>
        <w:t>מן הכלל אל הפרט</w:t>
      </w:r>
    </w:p>
    <w:p w:rsidR="00B05730" w:rsidRDefault="00B05730" w:rsidP="00B05730">
      <w:pPr>
        <w:pStyle w:val="Ruller41"/>
        <w:rPr>
          <w:rtl/>
        </w:rPr>
      </w:pPr>
    </w:p>
    <w:p w:rsidR="00B05730" w:rsidRPr="00A543F1" w:rsidRDefault="00B05730" w:rsidP="00B05730">
      <w:pPr>
        <w:pStyle w:val="Ruller41"/>
        <w:rPr>
          <w:rFonts w:ascii="Century" w:hAnsi="Century" w:cs="Miriam"/>
          <w:b/>
          <w:spacing w:val="0"/>
          <w:szCs w:val="24"/>
          <w:rtl/>
        </w:rPr>
      </w:pPr>
      <w:r w:rsidRPr="00A543F1">
        <w:rPr>
          <w:rFonts w:ascii="Century" w:hAnsi="Century" w:cs="Miriam" w:hint="cs"/>
          <w:b/>
          <w:spacing w:val="0"/>
          <w:szCs w:val="24"/>
          <w:rtl/>
        </w:rPr>
        <w:t>טענות מקדמיות נגד פסק הדין קמא</w:t>
      </w:r>
    </w:p>
    <w:p w:rsidR="00B05730" w:rsidRDefault="00B05730" w:rsidP="00B05730">
      <w:pPr>
        <w:pStyle w:val="Ruller41"/>
        <w:rPr>
          <w:rtl/>
        </w:rPr>
      </w:pPr>
    </w:p>
    <w:p w:rsidR="00B05730" w:rsidRDefault="00B05730" w:rsidP="00B05730">
      <w:pPr>
        <w:pStyle w:val="Ruller4"/>
        <w:rPr>
          <w:rtl/>
        </w:rPr>
      </w:pPr>
      <w:r>
        <w:rPr>
          <w:rFonts w:hint="cs"/>
          <w:rtl/>
        </w:rPr>
        <w:t xml:space="preserve">המערערים העלו לפנינו שתי טענות מקדמיות אשר מצריכות התייחסות במסגרת הנוכחית. כוונתי לבלבול בין חברות צמל, שהמערערים מייחסים לבית משפט קמא, ולטענת המערערים כי בית משפט קמא הבחין בין פיצוי הוני לפיצוי </w:t>
      </w:r>
      <w:proofErr w:type="spellStart"/>
      <w:r>
        <w:rPr>
          <w:rFonts w:hint="cs"/>
          <w:rtl/>
        </w:rPr>
        <w:t>פירותי</w:t>
      </w:r>
      <w:proofErr w:type="spellEnd"/>
      <w:r>
        <w:rPr>
          <w:rFonts w:hint="cs"/>
          <w:rtl/>
        </w:rPr>
        <w:t xml:space="preserve"> בהסתמכו על מבחן בלתי מוכר אשר נסוב על "נכסי הון גולמיים". המערערים סבורים כי מדובר בטעויות אשר צריכות להביא לביטולו של פסק הדין קמא מבלי לדון בו לגופו.</w:t>
      </w:r>
    </w:p>
    <w:p w:rsidR="00B05730" w:rsidRDefault="00B05730" w:rsidP="00B05730">
      <w:pPr>
        <w:pStyle w:val="Ruller41"/>
        <w:rPr>
          <w:rtl/>
        </w:rPr>
      </w:pPr>
    </w:p>
    <w:p w:rsidR="00B05730" w:rsidRDefault="00B05730" w:rsidP="00B05730">
      <w:pPr>
        <w:pStyle w:val="Ruller4"/>
        <w:rPr>
          <w:rtl/>
        </w:rPr>
      </w:pPr>
      <w:r>
        <w:rPr>
          <w:rFonts w:hint="cs"/>
          <w:rtl/>
        </w:rPr>
        <w:t>בטענות אלה אין ממש.</w:t>
      </w:r>
    </w:p>
    <w:p w:rsidR="00B05730" w:rsidRDefault="00B05730" w:rsidP="00B05730">
      <w:pPr>
        <w:pStyle w:val="Ruller41"/>
        <w:rPr>
          <w:rtl/>
        </w:rPr>
      </w:pPr>
    </w:p>
    <w:p w:rsidR="00B05730" w:rsidRDefault="00B05730" w:rsidP="00B05730">
      <w:pPr>
        <w:pStyle w:val="Ruller4"/>
        <w:rPr>
          <w:rtl/>
        </w:rPr>
      </w:pPr>
      <w:r>
        <w:rPr>
          <w:rFonts w:hint="cs"/>
          <w:rtl/>
        </w:rPr>
        <w:t xml:space="preserve">באשר לטענת המערערים בדבר ייחוס העובדות הקשורות לצמל </w:t>
      </w:r>
      <w:proofErr w:type="spellStart"/>
      <w:r>
        <w:rPr>
          <w:rFonts w:hint="cs"/>
          <w:rtl/>
        </w:rPr>
        <w:t>יעקובסון</w:t>
      </w:r>
      <w:proofErr w:type="spellEnd"/>
      <w:r>
        <w:rPr>
          <w:rFonts w:hint="cs"/>
          <w:rtl/>
        </w:rPr>
        <w:t xml:space="preserve"> לצמל </w:t>
      </w:r>
      <w:proofErr w:type="spellStart"/>
      <w:r>
        <w:rPr>
          <w:rFonts w:hint="cs"/>
          <w:rtl/>
        </w:rPr>
        <w:t>מדיקל</w:t>
      </w:r>
      <w:proofErr w:type="spellEnd"/>
      <w:r>
        <w:rPr>
          <w:rFonts w:hint="cs"/>
          <w:rtl/>
        </w:rPr>
        <w:t xml:space="preserve"> וקביעות עובדתיות בפסק הדין קמא בהתאם לכך </w:t>
      </w:r>
      <w:r>
        <w:rPr>
          <w:rtl/>
        </w:rPr>
        <w:t>–</w:t>
      </w:r>
      <w:r>
        <w:rPr>
          <w:rFonts w:hint="cs"/>
          <w:rtl/>
        </w:rPr>
        <w:t xml:space="preserve"> עיון בפסק הדין מלמד כי אין חולק על כך שצמל </w:t>
      </w:r>
      <w:proofErr w:type="spellStart"/>
      <w:r>
        <w:rPr>
          <w:rFonts w:hint="cs"/>
          <w:rtl/>
        </w:rPr>
        <w:t>מדיקל</w:t>
      </w:r>
      <w:proofErr w:type="spellEnd"/>
      <w:r>
        <w:rPr>
          <w:rFonts w:hint="cs"/>
          <w:rtl/>
        </w:rPr>
        <w:t xml:space="preserve"> היא חברת האחזקות אשר התקשרה בהסכמים שונים שעניינם הפצה של מכשור רפואי, ואילו ההפצה בפועל בוצעה על ידי החברות השונות שבשליטתה </w:t>
      </w:r>
      <w:r>
        <w:rPr>
          <w:rtl/>
        </w:rPr>
        <w:t>–</w:t>
      </w:r>
      <w:r>
        <w:rPr>
          <w:rFonts w:hint="cs"/>
          <w:rtl/>
        </w:rPr>
        <w:t xml:space="preserve"> חברות בנות וחברות נכדות </w:t>
      </w:r>
      <w:r>
        <w:rPr>
          <w:rtl/>
        </w:rPr>
        <w:t>–</w:t>
      </w:r>
      <w:r>
        <w:rPr>
          <w:rFonts w:hint="cs"/>
          <w:rtl/>
        </w:rPr>
        <w:t xml:space="preserve"> כאשר הפצתו של המסתם בוצעה על ידי צמל </w:t>
      </w:r>
      <w:proofErr w:type="spellStart"/>
      <w:r>
        <w:rPr>
          <w:rFonts w:hint="cs"/>
          <w:rtl/>
        </w:rPr>
        <w:t>יעקובסון</w:t>
      </w:r>
      <w:proofErr w:type="spellEnd"/>
      <w:r>
        <w:rPr>
          <w:rFonts w:hint="cs"/>
          <w:rtl/>
        </w:rPr>
        <w:t xml:space="preserve">. לפיכך, על מנת לבחון את מהותו של התשלום הגלובלי של 2,000,000 דולר ארה"ב, אשר שולם על ידי </w:t>
      </w:r>
      <w:proofErr w:type="spellStart"/>
      <w:r>
        <w:rPr>
          <w:rFonts w:hint="cs"/>
          <w:rtl/>
        </w:rPr>
        <w:t>מדטרוניק</w:t>
      </w:r>
      <w:proofErr w:type="spellEnd"/>
      <w:r>
        <w:rPr>
          <w:rFonts w:hint="cs"/>
          <w:rtl/>
        </w:rPr>
        <w:t xml:space="preserve">, יש לבחון את פעילותן של צמל </w:t>
      </w:r>
      <w:proofErr w:type="spellStart"/>
      <w:r>
        <w:rPr>
          <w:rFonts w:hint="cs"/>
          <w:rtl/>
        </w:rPr>
        <w:t>מדיקל</w:t>
      </w:r>
      <w:proofErr w:type="spellEnd"/>
      <w:r>
        <w:rPr>
          <w:rFonts w:hint="cs"/>
          <w:rtl/>
        </w:rPr>
        <w:t xml:space="preserve"> ושל צמל </w:t>
      </w:r>
      <w:proofErr w:type="spellStart"/>
      <w:r>
        <w:rPr>
          <w:rFonts w:hint="cs"/>
          <w:rtl/>
        </w:rPr>
        <w:t>יעקובסון</w:t>
      </w:r>
      <w:proofErr w:type="spellEnd"/>
      <w:r>
        <w:rPr>
          <w:rFonts w:hint="cs"/>
          <w:rtl/>
        </w:rPr>
        <w:t xml:space="preserve"> בצוותא </w:t>
      </w:r>
      <w:proofErr w:type="spellStart"/>
      <w:r>
        <w:rPr>
          <w:rFonts w:hint="cs"/>
          <w:rtl/>
        </w:rPr>
        <w:t>חדא</w:t>
      </w:r>
      <w:proofErr w:type="spellEnd"/>
      <w:r>
        <w:rPr>
          <w:rFonts w:hint="cs"/>
          <w:rtl/>
        </w:rPr>
        <w:t xml:space="preserve">, מבלי לנסות ולבצע הפרדה מלאכותית בין פעילותן של שתי החברות. בהקשר זה, מקובלת עלי טענת המשיב כי המערערים עצמם נסמכו בהוכחת טענותיהם על פעילותה של צמל </w:t>
      </w:r>
      <w:proofErr w:type="spellStart"/>
      <w:r>
        <w:rPr>
          <w:rFonts w:hint="cs"/>
          <w:rtl/>
        </w:rPr>
        <w:t>יעקובסון</w:t>
      </w:r>
      <w:proofErr w:type="spellEnd"/>
      <w:r>
        <w:rPr>
          <w:rFonts w:hint="cs"/>
          <w:rtl/>
        </w:rPr>
        <w:t xml:space="preserve"> לצד פעילותה של צמל </w:t>
      </w:r>
      <w:proofErr w:type="spellStart"/>
      <w:r>
        <w:rPr>
          <w:rFonts w:hint="cs"/>
          <w:rtl/>
        </w:rPr>
        <w:t>מדיקל</w:t>
      </w:r>
      <w:proofErr w:type="spellEnd"/>
      <w:r>
        <w:rPr>
          <w:rFonts w:hint="cs"/>
          <w:rtl/>
        </w:rPr>
        <w:t xml:space="preserve">. למשל: המערערים נצמדו לפעילותה של צמל </w:t>
      </w:r>
      <w:proofErr w:type="spellStart"/>
      <w:r>
        <w:rPr>
          <w:rFonts w:hint="cs"/>
          <w:rtl/>
        </w:rPr>
        <w:t>יעקובסון</w:t>
      </w:r>
      <w:proofErr w:type="spellEnd"/>
      <w:r>
        <w:rPr>
          <w:rFonts w:hint="cs"/>
          <w:rtl/>
        </w:rPr>
        <w:t xml:space="preserve"> ביחס להסכם ההפצה ונמנעו מלהתייחס </w:t>
      </w:r>
      <w:r>
        <w:rPr>
          <w:rFonts w:hint="cs"/>
          <w:rtl/>
        </w:rPr>
        <w:lastRenderedPageBreak/>
        <w:t xml:space="preserve">למכלול פעילותה של צמל </w:t>
      </w:r>
      <w:proofErr w:type="spellStart"/>
      <w:r>
        <w:rPr>
          <w:rFonts w:hint="cs"/>
          <w:rtl/>
        </w:rPr>
        <w:t>מדיקל</w:t>
      </w:r>
      <w:proofErr w:type="spellEnd"/>
      <w:r>
        <w:rPr>
          <w:rFonts w:hint="cs"/>
          <w:rtl/>
        </w:rPr>
        <w:t xml:space="preserve"> אשר מחזיקה בהסכמי הפצה רבים המבוצעים בפועל על ידי חברות בנות וחברות נכדות שונות. </w:t>
      </w:r>
    </w:p>
    <w:p w:rsidR="00B05730" w:rsidRDefault="00B05730" w:rsidP="00B05730">
      <w:pPr>
        <w:pStyle w:val="Ruller41"/>
        <w:rPr>
          <w:rtl/>
        </w:rPr>
      </w:pPr>
    </w:p>
    <w:p w:rsidR="00B05730" w:rsidRPr="007E194D" w:rsidRDefault="00B05730" w:rsidP="00B05730">
      <w:pPr>
        <w:pStyle w:val="Ruller4"/>
      </w:pPr>
      <w:r>
        <w:rPr>
          <w:rFonts w:hint="cs"/>
          <w:rtl/>
        </w:rPr>
        <w:t xml:space="preserve">באשר לטרוניית המערערים כי בית משפט קמא נסמך על נימוק בנוגע להגדרת "נכס הון גולמי", אשר לא עלה בטענות הצדדים </w:t>
      </w:r>
      <w:r>
        <w:rPr>
          <w:rtl/>
        </w:rPr>
        <w:t>–</w:t>
      </w:r>
      <w:r>
        <w:rPr>
          <w:rFonts w:hint="cs"/>
          <w:rtl/>
        </w:rPr>
        <w:t xml:space="preserve"> ברי הוא, כי הדבר נעשה כחלק מיישומם של מבחני עזר ידועים ונושנים אשר משמשים את בתי המשפט בעשיית ההבחנה בין הכנסה </w:t>
      </w:r>
      <w:proofErr w:type="spellStart"/>
      <w:r>
        <w:rPr>
          <w:rFonts w:hint="cs"/>
          <w:rtl/>
        </w:rPr>
        <w:t>פירותית</w:t>
      </w:r>
      <w:proofErr w:type="spellEnd"/>
      <w:r>
        <w:rPr>
          <w:rFonts w:hint="cs"/>
          <w:rtl/>
        </w:rPr>
        <w:t xml:space="preserve"> להכנסה הונית (ראו, למשל: הלכת </w:t>
      </w:r>
      <w:r w:rsidRPr="00012FC4">
        <w:rPr>
          <w:rFonts w:ascii="Century" w:hAnsi="Century" w:cs="Miriam" w:hint="cs"/>
          <w:b/>
          <w:spacing w:val="0"/>
          <w:sz w:val="22"/>
          <w:szCs w:val="24"/>
          <w:rtl/>
        </w:rPr>
        <w:t>קציר</w:t>
      </w:r>
      <w:r w:rsidRPr="00012FC4">
        <w:rPr>
          <w:rFonts w:ascii="Century" w:hAnsi="Century" w:hint="cs"/>
          <w:sz w:val="22"/>
          <w:rtl/>
        </w:rPr>
        <w:t xml:space="preserve"> </w:t>
      </w:r>
      <w:r>
        <w:rPr>
          <w:rFonts w:hint="cs"/>
          <w:rtl/>
        </w:rPr>
        <w:t xml:space="preserve">ופסקי הדין הישראליים והאנגליים הנזכרים שם, וכן פסיקה מאוחרת יותר הנזכרת בפסק דיני הנוכחי). </w:t>
      </w:r>
      <w:r w:rsidRPr="00AA7434">
        <w:rPr>
          <w:rFonts w:ascii="Century" w:hAnsi="Century" w:hint="cs"/>
          <w:sz w:val="22"/>
          <w:rtl/>
        </w:rPr>
        <w:t xml:space="preserve">קביעתו של בית משפט קמא </w:t>
      </w:r>
      <w:r>
        <w:rPr>
          <w:rFonts w:ascii="Century" w:hAnsi="Century" w:hint="cs"/>
          <w:sz w:val="22"/>
          <w:rtl/>
        </w:rPr>
        <w:t>בהקשר שבו דברים אלה הופיעו אינה אומרת אלא זאת: מקום שקיים</w:t>
      </w:r>
      <w:r w:rsidRPr="00AA7434">
        <w:rPr>
          <w:rFonts w:ascii="Century" w:hAnsi="Century" w:hint="cs"/>
          <w:sz w:val="22"/>
          <w:rtl/>
        </w:rPr>
        <w:t xml:space="preserve"> ספק אם מדובר בהכנסה </w:t>
      </w:r>
      <w:proofErr w:type="spellStart"/>
      <w:r w:rsidRPr="00AA7434">
        <w:rPr>
          <w:rFonts w:ascii="Century" w:hAnsi="Century" w:hint="cs"/>
          <w:sz w:val="22"/>
          <w:rtl/>
        </w:rPr>
        <w:t>פירותית</w:t>
      </w:r>
      <w:proofErr w:type="spellEnd"/>
      <w:r w:rsidRPr="00AA7434">
        <w:rPr>
          <w:rFonts w:ascii="Century" w:hAnsi="Century" w:hint="cs"/>
          <w:sz w:val="22"/>
          <w:rtl/>
        </w:rPr>
        <w:t xml:space="preserve"> או הונית</w:t>
      </w:r>
      <w:r>
        <w:rPr>
          <w:rFonts w:ascii="Century" w:hAnsi="Century" w:hint="cs"/>
          <w:sz w:val="22"/>
          <w:rtl/>
        </w:rPr>
        <w:t>,</w:t>
      </w:r>
      <w:r w:rsidRPr="00AA7434">
        <w:rPr>
          <w:rFonts w:ascii="Century" w:hAnsi="Century" w:hint="cs"/>
          <w:sz w:val="22"/>
          <w:rtl/>
        </w:rPr>
        <w:t xml:space="preserve"> עלינו </w:t>
      </w:r>
      <w:r>
        <w:rPr>
          <w:rFonts w:ascii="Century" w:hAnsi="Century" w:hint="cs"/>
          <w:sz w:val="22"/>
          <w:rtl/>
        </w:rPr>
        <w:t>לנסות להתירו על ידי בחינת ה</w:t>
      </w:r>
      <w:r w:rsidRPr="00AA7434">
        <w:rPr>
          <w:rFonts w:ascii="Century" w:hAnsi="Century" w:hint="cs"/>
          <w:sz w:val="22"/>
          <w:rtl/>
        </w:rPr>
        <w:t xml:space="preserve">מהות </w:t>
      </w:r>
      <w:r>
        <w:rPr>
          <w:rFonts w:ascii="Century" w:hAnsi="Century" w:hint="cs"/>
          <w:sz w:val="22"/>
          <w:rtl/>
        </w:rPr>
        <w:t xml:space="preserve">הכלכלית של </w:t>
      </w:r>
      <w:r w:rsidRPr="00AA7434">
        <w:rPr>
          <w:rFonts w:ascii="Century" w:hAnsi="Century" w:hint="cs"/>
          <w:sz w:val="22"/>
          <w:rtl/>
        </w:rPr>
        <w:t xml:space="preserve">התשלום </w:t>
      </w:r>
      <w:r>
        <w:rPr>
          <w:rFonts w:ascii="Century" w:hAnsi="Century" w:hint="cs"/>
          <w:sz w:val="22"/>
          <w:rtl/>
        </w:rPr>
        <w:t xml:space="preserve">שבו עסקינן בהתייחס לטיב הנכסים או הזכויות שנמכרו. </w:t>
      </w:r>
      <w:r>
        <w:rPr>
          <w:rFonts w:hint="cs"/>
          <w:rtl/>
        </w:rPr>
        <w:t xml:space="preserve">כלל משפטי זה הוא כלל נכון שאין בו כל חידוש. למעלה מן הנדרש, אוסיף כי המערערים הם אלה שצריכים להיות מעוניינים בהתרת הספק, שכן הנטל להוכיח כי בידם הכנסה הונית ולא </w:t>
      </w:r>
      <w:proofErr w:type="spellStart"/>
      <w:r>
        <w:rPr>
          <w:rFonts w:hint="cs"/>
          <w:rtl/>
        </w:rPr>
        <w:t>פירותית</w:t>
      </w:r>
      <w:proofErr w:type="spellEnd"/>
      <w:r>
        <w:rPr>
          <w:rFonts w:hint="cs"/>
          <w:rtl/>
        </w:rPr>
        <w:t xml:space="preserve"> רובץ עליהם, וחוסר ודאות </w:t>
      </w:r>
      <w:proofErr w:type="spellStart"/>
      <w:r>
        <w:rPr>
          <w:rFonts w:hint="cs"/>
          <w:rtl/>
        </w:rPr>
        <w:t>בכגון</w:t>
      </w:r>
      <w:proofErr w:type="spellEnd"/>
      <w:r>
        <w:rPr>
          <w:rFonts w:hint="cs"/>
          <w:rtl/>
        </w:rPr>
        <w:t xml:space="preserve"> דא פועל לרעתם, בהתאם לאמור בסעיף 89(ג) לפקודה ולרציונל אשר עומד מאחורי סעיף זה, כמוסבר לעיל.</w:t>
      </w:r>
    </w:p>
    <w:p w:rsidR="00B05730" w:rsidRPr="00023CB0" w:rsidRDefault="00B05730" w:rsidP="00B05730">
      <w:pPr>
        <w:pStyle w:val="Ruller4"/>
        <w:numPr>
          <w:ilvl w:val="0"/>
          <w:numId w:val="0"/>
        </w:numPr>
        <w:rPr>
          <w:rtl/>
        </w:rPr>
      </w:pPr>
    </w:p>
    <w:p w:rsidR="00B05730" w:rsidRDefault="00B05730" w:rsidP="00B05730">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 xml:space="preserve">התשלום ששולם על ידי </w:t>
      </w:r>
      <w:proofErr w:type="spellStart"/>
      <w:r>
        <w:rPr>
          <w:rFonts w:ascii="Century" w:hAnsi="Century" w:cs="Miriam" w:hint="cs"/>
          <w:b/>
          <w:spacing w:val="0"/>
          <w:sz w:val="22"/>
          <w:szCs w:val="24"/>
          <w:rtl/>
        </w:rPr>
        <w:t>מדטרוניק</w:t>
      </w:r>
      <w:proofErr w:type="spellEnd"/>
      <w:r>
        <w:rPr>
          <w:rFonts w:ascii="Century" w:hAnsi="Century" w:cs="Miriam" w:hint="cs"/>
          <w:b/>
          <w:spacing w:val="0"/>
          <w:sz w:val="22"/>
          <w:szCs w:val="24"/>
          <w:rtl/>
        </w:rPr>
        <w:t xml:space="preserve"> לצמל הינו </w:t>
      </w:r>
      <w:proofErr w:type="spellStart"/>
      <w:r>
        <w:rPr>
          <w:rFonts w:ascii="Century" w:hAnsi="Century" w:cs="Miriam" w:hint="cs"/>
          <w:b/>
          <w:spacing w:val="0"/>
          <w:sz w:val="22"/>
          <w:szCs w:val="24"/>
          <w:rtl/>
        </w:rPr>
        <w:t>פירותי</w:t>
      </w:r>
      <w:proofErr w:type="spellEnd"/>
      <w:r>
        <w:rPr>
          <w:rFonts w:ascii="Century" w:hAnsi="Century" w:cs="Miriam" w:hint="cs"/>
          <w:b/>
          <w:spacing w:val="0"/>
          <w:sz w:val="22"/>
          <w:szCs w:val="24"/>
          <w:rtl/>
        </w:rPr>
        <w:t>, ולא הוני</w:t>
      </w:r>
    </w:p>
    <w:p w:rsidR="00B05730" w:rsidRDefault="00B05730" w:rsidP="00B05730">
      <w:pPr>
        <w:pStyle w:val="Ruller41"/>
        <w:rPr>
          <w:rtl/>
        </w:rPr>
      </w:pPr>
    </w:p>
    <w:p w:rsidR="00B05730" w:rsidRDefault="00B05730" w:rsidP="00B05730">
      <w:pPr>
        <w:pStyle w:val="Ruller4"/>
        <w:rPr>
          <w:rtl/>
        </w:rPr>
      </w:pPr>
      <w:r>
        <w:rPr>
          <w:rFonts w:hint="cs"/>
          <w:rtl/>
        </w:rPr>
        <w:t xml:space="preserve">נחזור למשל העץ והפירות. כזכור, פיצוי בגין קטיעתו של העץ או של אחד מענפיו </w:t>
      </w:r>
      <w:r>
        <w:rPr>
          <w:rtl/>
        </w:rPr>
        <w:t>–</w:t>
      </w:r>
      <w:r>
        <w:rPr>
          <w:rFonts w:hint="cs"/>
          <w:rtl/>
        </w:rPr>
        <w:t xml:space="preserve"> דהיינו: פיצוי בגין פגיעה במקור ההכנסה </w:t>
      </w:r>
      <w:r>
        <w:rPr>
          <w:rtl/>
        </w:rPr>
        <w:t>–</w:t>
      </w:r>
      <w:r>
        <w:rPr>
          <w:rFonts w:hint="cs"/>
          <w:rtl/>
        </w:rPr>
        <w:t xml:space="preserve"> מהווה תשלום שמהותו הונית; ומאידך, פיצוי המשולם בגין קטיף הפירות של העץ שנשלל מבעליו </w:t>
      </w:r>
      <w:r>
        <w:rPr>
          <w:rtl/>
        </w:rPr>
        <w:t>–</w:t>
      </w:r>
      <w:r>
        <w:rPr>
          <w:rFonts w:hint="cs"/>
          <w:rtl/>
        </w:rPr>
        <w:t xml:space="preserve"> דהיינו: פיצוי בגין פגיעה בהכנסה המופקת ממקור כזה או אחר </w:t>
      </w:r>
      <w:r>
        <w:rPr>
          <w:rtl/>
        </w:rPr>
        <w:t>–</w:t>
      </w:r>
      <w:r>
        <w:rPr>
          <w:rFonts w:hint="cs"/>
          <w:rtl/>
        </w:rPr>
        <w:t xml:space="preserve"> מהווה תשלום שמהותו </w:t>
      </w:r>
      <w:proofErr w:type="spellStart"/>
      <w:r>
        <w:rPr>
          <w:rFonts w:hint="cs"/>
          <w:rtl/>
        </w:rPr>
        <w:t>פירותית</w:t>
      </w:r>
      <w:proofErr w:type="spellEnd"/>
      <w:r>
        <w:rPr>
          <w:rFonts w:hint="cs"/>
          <w:rtl/>
        </w:rPr>
        <w:t xml:space="preserve">. מנקודת ראות זו, אבחן כעת את מקור הכנסתה של צמל מהפצת המסתם ומכשירים רפואיים אחרים (ככל שהיו כאלה) של חברת </w:t>
      </w:r>
      <w:proofErr w:type="spellStart"/>
      <w:r>
        <w:rPr>
          <w:rFonts w:hint="cs"/>
          <w:rtl/>
        </w:rPr>
        <w:t>קורוולב</w:t>
      </w:r>
      <w:proofErr w:type="spellEnd"/>
      <w:r>
        <w:rPr>
          <w:rFonts w:hint="cs"/>
          <w:rtl/>
        </w:rPr>
        <w:t xml:space="preserve">. </w:t>
      </w:r>
    </w:p>
    <w:p w:rsidR="00B05730" w:rsidRPr="00A44F82" w:rsidRDefault="00B05730" w:rsidP="00B05730">
      <w:pPr>
        <w:pStyle w:val="Ruller41"/>
      </w:pPr>
    </w:p>
    <w:p w:rsidR="00B05730" w:rsidRDefault="00B05730" w:rsidP="00B05730">
      <w:pPr>
        <w:pStyle w:val="Ruller4"/>
        <w:rPr>
          <w:rtl/>
        </w:rPr>
      </w:pPr>
      <w:r>
        <w:rPr>
          <w:rFonts w:hint="cs"/>
          <w:rtl/>
        </w:rPr>
        <w:t xml:space="preserve">מקור הכנסה זה אינו אלא הסכם ההפצה גופו, אשר קבע, כזכור, כי בתום שלוש שנות קיומו זכויות ההפצה שהיו בידי צמל תתפוגגנה כלא היו וצמל תהא חייבת </w:t>
      </w:r>
      <w:r>
        <w:rPr>
          <w:rtl/>
        </w:rPr>
        <w:t>–</w:t>
      </w:r>
      <w:r>
        <w:rPr>
          <w:rFonts w:hint="cs"/>
          <w:rtl/>
        </w:rPr>
        <w:t xml:space="preserve"> בהתאם למנגנון </w:t>
      </w:r>
      <w:r w:rsidRPr="009C1050">
        <w:rPr>
          <w:rFonts w:hint="eastAsia"/>
          <w:rtl/>
        </w:rPr>
        <w:t>ההחזרה</w:t>
      </w:r>
      <w:r w:rsidRPr="009C1050">
        <w:rPr>
          <w:rtl/>
        </w:rPr>
        <w:t xml:space="preserve"> </w:t>
      </w:r>
      <w:r w:rsidRPr="009C1050">
        <w:rPr>
          <w:rFonts w:hint="eastAsia"/>
          <w:rtl/>
        </w:rPr>
        <w:t>של</w:t>
      </w:r>
      <w:r w:rsidRPr="009C1050">
        <w:rPr>
          <w:rtl/>
        </w:rPr>
        <w:t xml:space="preserve"> </w:t>
      </w:r>
      <w:r w:rsidRPr="009C1050">
        <w:rPr>
          <w:rFonts w:hint="eastAsia"/>
          <w:rtl/>
        </w:rPr>
        <w:t>זכויות</w:t>
      </w:r>
      <w:r w:rsidRPr="009C1050">
        <w:rPr>
          <w:rtl/>
        </w:rPr>
        <w:t xml:space="preserve"> </w:t>
      </w:r>
      <w:r w:rsidRPr="009C1050">
        <w:rPr>
          <w:rFonts w:hint="eastAsia"/>
          <w:rtl/>
        </w:rPr>
        <w:t>ההפצה</w:t>
      </w:r>
      <w:r>
        <w:rPr>
          <w:rFonts w:hint="cs"/>
          <w:rtl/>
        </w:rPr>
        <w:t xml:space="preserve">, הקבוע מראש </w:t>
      </w:r>
      <w:r>
        <w:rPr>
          <w:rtl/>
        </w:rPr>
        <w:t>–</w:t>
      </w:r>
      <w:r>
        <w:rPr>
          <w:rFonts w:hint="cs"/>
          <w:rtl/>
        </w:rPr>
        <w:t xml:space="preserve"> ל</w:t>
      </w:r>
      <w:r w:rsidRPr="00A44F82">
        <w:rPr>
          <w:rFonts w:ascii="Century" w:hAnsi="Century" w:hint="cs"/>
          <w:sz w:val="22"/>
          <w:rtl/>
        </w:rPr>
        <w:t xml:space="preserve">שתף פעולה עם </w:t>
      </w:r>
      <w:proofErr w:type="spellStart"/>
      <w:r w:rsidRPr="00A44F82">
        <w:rPr>
          <w:rFonts w:ascii="Century" w:hAnsi="Century" w:hint="cs"/>
          <w:sz w:val="22"/>
          <w:rtl/>
        </w:rPr>
        <w:t>קורוולב</w:t>
      </w:r>
      <w:proofErr w:type="spellEnd"/>
      <w:r w:rsidRPr="00A44F82">
        <w:rPr>
          <w:rFonts w:ascii="Century" w:hAnsi="Century" w:hint="cs"/>
          <w:sz w:val="22"/>
          <w:rtl/>
        </w:rPr>
        <w:t xml:space="preserve"> כדי להבטיח העברה מסודרת וחלקה של מכירות מוצריה של </w:t>
      </w:r>
      <w:proofErr w:type="spellStart"/>
      <w:r w:rsidRPr="00A44F82">
        <w:rPr>
          <w:rFonts w:ascii="Century" w:hAnsi="Century" w:hint="cs"/>
          <w:sz w:val="22"/>
          <w:rtl/>
        </w:rPr>
        <w:t>קורוולב</w:t>
      </w:r>
      <w:proofErr w:type="spellEnd"/>
      <w:r w:rsidRPr="00A44F82">
        <w:rPr>
          <w:rFonts w:ascii="Century" w:hAnsi="Century" w:hint="cs"/>
          <w:sz w:val="22"/>
          <w:rtl/>
        </w:rPr>
        <w:t xml:space="preserve"> בישראל לידי </w:t>
      </w:r>
      <w:proofErr w:type="spellStart"/>
      <w:r w:rsidRPr="00A44F82">
        <w:rPr>
          <w:rFonts w:ascii="Century" w:hAnsi="Century" w:hint="cs"/>
          <w:sz w:val="22"/>
          <w:rtl/>
        </w:rPr>
        <w:t>קורוולב</w:t>
      </w:r>
      <w:proofErr w:type="spellEnd"/>
      <w:r w:rsidRPr="00A44F82">
        <w:rPr>
          <w:rFonts w:ascii="Century" w:hAnsi="Century" w:hint="cs"/>
          <w:sz w:val="22"/>
          <w:rtl/>
        </w:rPr>
        <w:t xml:space="preserve">; לספק </w:t>
      </w:r>
      <w:proofErr w:type="spellStart"/>
      <w:r w:rsidRPr="00A44F82">
        <w:rPr>
          <w:rFonts w:ascii="Century" w:hAnsi="Century" w:hint="cs"/>
          <w:sz w:val="22"/>
          <w:rtl/>
        </w:rPr>
        <w:t>לקורוולב</w:t>
      </w:r>
      <w:proofErr w:type="spellEnd"/>
      <w:r w:rsidRPr="00A44F82">
        <w:rPr>
          <w:rFonts w:ascii="Century" w:hAnsi="Century" w:hint="cs"/>
          <w:sz w:val="22"/>
          <w:rtl/>
        </w:rPr>
        <w:t xml:space="preserve"> עותקים ממכירות בשנת ההפצה האחרונה, לרבות דו"ח המפרט עסקאות מכירה תלויות ועומדות והזדמנויות למכירת המוצרים שזוהו אך טרם נוצלו; להעביר </w:t>
      </w:r>
      <w:proofErr w:type="spellStart"/>
      <w:r w:rsidRPr="00A44F82">
        <w:rPr>
          <w:rFonts w:ascii="Century" w:hAnsi="Century" w:hint="cs"/>
          <w:sz w:val="22"/>
          <w:rtl/>
        </w:rPr>
        <w:t>לקורוולב</w:t>
      </w:r>
      <w:proofErr w:type="spellEnd"/>
      <w:r w:rsidRPr="00A44F82">
        <w:rPr>
          <w:rFonts w:ascii="Century" w:hAnsi="Century" w:hint="cs"/>
          <w:sz w:val="22"/>
          <w:rtl/>
        </w:rPr>
        <w:t xml:space="preserve"> את כל כתבי ההסמכה, הרישיונות, ההיתרים והאישורים הנוספים, ממשלתיים ואחרים</w:t>
      </w:r>
      <w:r>
        <w:rPr>
          <w:rFonts w:ascii="Century" w:hAnsi="Century" w:hint="cs"/>
          <w:sz w:val="22"/>
          <w:rtl/>
        </w:rPr>
        <w:t xml:space="preserve">, </w:t>
      </w:r>
      <w:r w:rsidRPr="00A44F82">
        <w:rPr>
          <w:rFonts w:ascii="Century" w:hAnsi="Century" w:hint="cs"/>
          <w:sz w:val="22"/>
          <w:rtl/>
        </w:rPr>
        <w:t xml:space="preserve">שבידי צמל יחד עם </w:t>
      </w:r>
      <w:r>
        <w:rPr>
          <w:rFonts w:ascii="Century" w:hAnsi="Century" w:hint="cs"/>
          <w:sz w:val="22"/>
          <w:rtl/>
        </w:rPr>
        <w:t xml:space="preserve">תיעוד של </w:t>
      </w:r>
      <w:r w:rsidRPr="00A44F82">
        <w:rPr>
          <w:rFonts w:ascii="Century" w:hAnsi="Century" w:hint="cs"/>
          <w:sz w:val="22"/>
          <w:rtl/>
        </w:rPr>
        <w:t xml:space="preserve">כל פניותיה של צמל לקבלת אישורים כאמור; וכן לחתום על כל מסמך אשר יהא נחוץ, מועיל או נוח להבטחת </w:t>
      </w:r>
      <w:r w:rsidRPr="00A44F82">
        <w:rPr>
          <w:rFonts w:ascii="Century" w:hAnsi="Century" w:hint="cs"/>
          <w:sz w:val="22"/>
          <w:rtl/>
        </w:rPr>
        <w:lastRenderedPageBreak/>
        <w:t xml:space="preserve">ההעברה. </w:t>
      </w:r>
      <w:r>
        <w:rPr>
          <w:rFonts w:hint="cs"/>
          <w:rtl/>
        </w:rPr>
        <w:t xml:space="preserve">מנגנון חוזי זה, הזהה במהותו למנגנון הסיום שבהסכם המבטל, מראה באופן שאינו משתמע לשתי פנים כי הסכם ההפצה </w:t>
      </w:r>
      <w:r>
        <w:rPr>
          <w:rtl/>
        </w:rPr>
        <w:t>–</w:t>
      </w:r>
      <w:r>
        <w:rPr>
          <w:rFonts w:hint="cs"/>
          <w:rtl/>
        </w:rPr>
        <w:t xml:space="preserve"> מעיקרו </w:t>
      </w:r>
      <w:r>
        <w:rPr>
          <w:rtl/>
        </w:rPr>
        <w:t>–</w:t>
      </w:r>
      <w:r>
        <w:rPr>
          <w:rFonts w:hint="cs"/>
          <w:rtl/>
        </w:rPr>
        <w:t xml:space="preserve"> לא העניק לצמל שום נכס הוני בדמותה של זכות בת קיימא במקור להפקת הכנסה, להבדיל מזכות להפקת הכנסות ממכירת מוצריה של </w:t>
      </w:r>
      <w:proofErr w:type="spellStart"/>
      <w:r>
        <w:rPr>
          <w:rFonts w:hint="cs"/>
          <w:rtl/>
        </w:rPr>
        <w:t>קורוולב</w:t>
      </w:r>
      <w:proofErr w:type="spellEnd"/>
      <w:r>
        <w:rPr>
          <w:rFonts w:hint="cs"/>
          <w:rtl/>
        </w:rPr>
        <w:t xml:space="preserve"> בישראל. אם נדָמה את הזכות הבלעדית למכירת מוצריה של </w:t>
      </w:r>
      <w:proofErr w:type="spellStart"/>
      <w:r>
        <w:rPr>
          <w:rFonts w:hint="cs"/>
          <w:rtl/>
        </w:rPr>
        <w:t>קורוולב</w:t>
      </w:r>
      <w:proofErr w:type="spellEnd"/>
      <w:r>
        <w:rPr>
          <w:rFonts w:hint="cs"/>
          <w:rtl/>
        </w:rPr>
        <w:t xml:space="preserve"> בישראל לסוכנות או לזכיינות, נוכל לראות בבירור כי הזכות בסוכנות או בזכיינות, </w:t>
      </w:r>
      <w:proofErr w:type="spellStart"/>
      <w:r>
        <w:rPr>
          <w:rFonts w:hint="cs"/>
          <w:rtl/>
        </w:rPr>
        <w:t>שקורוולב</w:t>
      </w:r>
      <w:proofErr w:type="spellEnd"/>
      <w:r>
        <w:rPr>
          <w:rFonts w:hint="cs"/>
          <w:rtl/>
        </w:rPr>
        <w:t xml:space="preserve"> העניקה לצמל, לא </w:t>
      </w:r>
      <w:proofErr w:type="spellStart"/>
      <w:r>
        <w:rPr>
          <w:rFonts w:hint="cs"/>
          <w:rtl/>
        </w:rPr>
        <w:t>היתה</w:t>
      </w:r>
      <w:proofErr w:type="spellEnd"/>
      <w:r>
        <w:rPr>
          <w:rFonts w:hint="cs"/>
          <w:rtl/>
        </w:rPr>
        <w:t xml:space="preserve"> בגדר בעלות, והיא אף לא הגיעה כדי שכירות, להבדיל מרשות גרידא להשתמש בשמה ובמוצריה של </w:t>
      </w:r>
      <w:proofErr w:type="spellStart"/>
      <w:r>
        <w:rPr>
          <w:rFonts w:hint="cs"/>
          <w:rtl/>
        </w:rPr>
        <w:t>קורוולב</w:t>
      </w:r>
      <w:proofErr w:type="spellEnd"/>
      <w:r>
        <w:rPr>
          <w:rFonts w:hint="cs"/>
          <w:rtl/>
        </w:rPr>
        <w:t xml:space="preserve"> בתקופת הבלעדיות שמכוח ההסכם. זאת, כאשר לחייו של ההסכם נקצבו, כאמור, שלוש שנים בלבד; ובסיומן המצב שהיה לפני ההסכם חוזר לקדמותו והסוכנות (או הזכיינות) כולה </w:t>
      </w:r>
      <w:r>
        <w:rPr>
          <w:rtl/>
        </w:rPr>
        <w:t>–</w:t>
      </w:r>
      <w:r>
        <w:rPr>
          <w:rFonts w:hint="cs"/>
          <w:rtl/>
        </w:rPr>
        <w:t xml:space="preserve"> יחד עם המוניטין שצמל צברה בקשר עם מכירות מוצריה של </w:t>
      </w:r>
      <w:proofErr w:type="spellStart"/>
      <w:r>
        <w:rPr>
          <w:rFonts w:hint="cs"/>
          <w:rtl/>
        </w:rPr>
        <w:t>קורוולב</w:t>
      </w:r>
      <w:proofErr w:type="spellEnd"/>
      <w:r>
        <w:rPr>
          <w:rFonts w:hint="cs"/>
          <w:rtl/>
        </w:rPr>
        <w:t xml:space="preserve"> בישראל ורשימות הלקוחות, הקיימים והפוטנציאליים, שצמל יצרה בתקופת ההסכם </w:t>
      </w:r>
      <w:r>
        <w:rPr>
          <w:rtl/>
        </w:rPr>
        <w:t>–</w:t>
      </w:r>
      <w:r>
        <w:rPr>
          <w:rFonts w:hint="cs"/>
          <w:rtl/>
        </w:rPr>
        <w:t xml:space="preserve"> עוברת לידיה של </w:t>
      </w:r>
      <w:proofErr w:type="spellStart"/>
      <w:r>
        <w:rPr>
          <w:rFonts w:hint="cs"/>
          <w:rtl/>
        </w:rPr>
        <w:t>קורוולב</w:t>
      </w:r>
      <w:proofErr w:type="spellEnd"/>
      <w:r>
        <w:rPr>
          <w:rFonts w:hint="cs"/>
          <w:rtl/>
        </w:rPr>
        <w:t xml:space="preserve"> חינם אין כסף. </w:t>
      </w:r>
    </w:p>
    <w:p w:rsidR="00B05730" w:rsidRPr="00AE1428" w:rsidRDefault="00B05730" w:rsidP="00B05730">
      <w:pPr>
        <w:pStyle w:val="Ruller41"/>
      </w:pPr>
    </w:p>
    <w:p w:rsidR="00B05730" w:rsidRDefault="00B05730" w:rsidP="00B05730">
      <w:pPr>
        <w:pStyle w:val="Ruller4"/>
        <w:rPr>
          <w:rtl/>
        </w:rPr>
      </w:pPr>
      <w:r>
        <w:rPr>
          <w:rFonts w:ascii="Century" w:hAnsi="Century" w:hint="cs"/>
          <w:sz w:val="22"/>
          <w:rtl/>
        </w:rPr>
        <w:t xml:space="preserve">מושכלות היסוד של דיני החוזים והקניין אומרות לנו כי אדם יכול למכור או להעביר לאחר רק את מה שיש לו, ואינו יכול למכור או להעביר את אשר אינו בידו: </w:t>
      </w:r>
      <w:r w:rsidRPr="003809B9">
        <w:rPr>
          <w:rFonts w:ascii="Times New Roman" w:hAnsi="Times New Roman" w:cs="Times New Roman"/>
        </w:rPr>
        <w:t xml:space="preserve">Nemo </w:t>
      </w:r>
      <w:proofErr w:type="spellStart"/>
      <w:r w:rsidRPr="003809B9">
        <w:rPr>
          <w:rFonts w:ascii="Times New Roman" w:hAnsi="Times New Roman" w:cs="Times New Roman"/>
        </w:rPr>
        <w:t>dat</w:t>
      </w:r>
      <w:proofErr w:type="spellEnd"/>
      <w:r w:rsidRPr="003809B9">
        <w:rPr>
          <w:rFonts w:ascii="Times New Roman" w:hAnsi="Times New Roman" w:cs="Times New Roman"/>
        </w:rPr>
        <w:t xml:space="preserve"> quod not </w:t>
      </w:r>
      <w:proofErr w:type="spellStart"/>
      <w:r w:rsidRPr="003809B9">
        <w:rPr>
          <w:rFonts w:ascii="Times New Roman" w:hAnsi="Times New Roman" w:cs="Times New Roman"/>
        </w:rPr>
        <w:t>habet</w:t>
      </w:r>
      <w:proofErr w:type="spellEnd"/>
      <w:r>
        <w:rPr>
          <w:rFonts w:hint="cs"/>
          <w:rtl/>
        </w:rPr>
        <w:t xml:space="preserve">. ברי הוא, אפוא, לטעמי, כי הפיצוי </w:t>
      </w:r>
      <w:proofErr w:type="spellStart"/>
      <w:r>
        <w:rPr>
          <w:rFonts w:hint="cs"/>
          <w:rtl/>
        </w:rPr>
        <w:t>שמדטרוניק</w:t>
      </w:r>
      <w:proofErr w:type="spellEnd"/>
      <w:r>
        <w:rPr>
          <w:rFonts w:hint="cs"/>
          <w:rtl/>
        </w:rPr>
        <w:t xml:space="preserve"> שילמה לצמל שולם עבור מה שהיה באותה עת לצמל, ולא עבור מה שמעולם לא היה בידיה; ומה שהיה בידי צמל הוא הזכות להפקת הכנסות בתקופת ההסכם, הא ותו לא. באומרי "הא ותו לא", הנני רחוק מלהמעיט בערכה הכלכלי של הזכות: 2,000,000 דולר ארה"ב, שקונה מרצון, </w:t>
      </w:r>
      <w:proofErr w:type="spellStart"/>
      <w:r>
        <w:rPr>
          <w:rFonts w:hint="cs"/>
          <w:rtl/>
        </w:rPr>
        <w:t>מדטרוניק</w:t>
      </w:r>
      <w:proofErr w:type="spellEnd"/>
      <w:r>
        <w:rPr>
          <w:rFonts w:hint="cs"/>
          <w:rtl/>
        </w:rPr>
        <w:t xml:space="preserve">, שילמה למוכרת מרצון, צמל. באומרי "הא ותו לא", הנני מתכוון רק לכך שמה שנמכר על ידי צמל </w:t>
      </w:r>
      <w:proofErr w:type="spellStart"/>
      <w:r>
        <w:rPr>
          <w:rFonts w:hint="cs"/>
          <w:rtl/>
        </w:rPr>
        <w:t>למדטרוניק</w:t>
      </w:r>
      <w:proofErr w:type="spellEnd"/>
      <w:r>
        <w:rPr>
          <w:rFonts w:hint="cs"/>
          <w:rtl/>
        </w:rPr>
        <w:t xml:space="preserve"> היה בגדר פירות, להבדיל מעץ אשר מניב את הפירות </w:t>
      </w:r>
      <w:r>
        <w:rPr>
          <w:rtl/>
        </w:rPr>
        <w:t>–</w:t>
      </w:r>
      <w:r>
        <w:rPr>
          <w:rFonts w:hint="cs"/>
          <w:rtl/>
        </w:rPr>
        <w:t xml:space="preserve"> זאת, מאחר שהעץ עצמו, או אחד מענפיו, מעולם לא היה שייך לצמל. </w:t>
      </w:r>
      <w:proofErr w:type="spellStart"/>
      <w:r>
        <w:rPr>
          <w:rFonts w:hint="cs"/>
          <w:rtl/>
        </w:rPr>
        <w:t>קורוולב</w:t>
      </w:r>
      <w:proofErr w:type="spellEnd"/>
      <w:r>
        <w:rPr>
          <w:rFonts w:hint="cs"/>
          <w:rtl/>
        </w:rPr>
        <w:t xml:space="preserve">, ואחריה </w:t>
      </w:r>
      <w:proofErr w:type="spellStart"/>
      <w:r>
        <w:rPr>
          <w:rFonts w:hint="cs"/>
          <w:rtl/>
        </w:rPr>
        <w:t>מדטרוניק</w:t>
      </w:r>
      <w:proofErr w:type="spellEnd"/>
      <w:r>
        <w:rPr>
          <w:rFonts w:hint="cs"/>
          <w:rtl/>
        </w:rPr>
        <w:t xml:space="preserve">, אחזה באותו עץ ובכל ענפיו תוך שהיא מרשה לצמל רק לגעת בעץ כדי לקטוף את פירותיו, למכרם בישראל, ולשלשל לכיסה את חלקה בשרשרת השיווק. </w:t>
      </w:r>
    </w:p>
    <w:p w:rsidR="00B05730" w:rsidRPr="001402D2" w:rsidRDefault="00B05730" w:rsidP="00B05730">
      <w:pPr>
        <w:pStyle w:val="Ruller41"/>
      </w:pPr>
    </w:p>
    <w:p w:rsidR="00B05730" w:rsidRDefault="00B05730" w:rsidP="00B05730">
      <w:pPr>
        <w:pStyle w:val="Ruller4"/>
        <w:rPr>
          <w:rtl/>
        </w:rPr>
      </w:pPr>
      <w:r>
        <w:rPr>
          <w:rFonts w:hint="cs"/>
          <w:rtl/>
        </w:rPr>
        <w:t xml:space="preserve">המערערים טוענים כי מסקנה זו איננה נכונה לנוכח עיגונו של הסדר הפיצוי </w:t>
      </w:r>
      <w:proofErr w:type="spellStart"/>
      <w:r>
        <w:rPr>
          <w:rFonts w:hint="cs"/>
          <w:rtl/>
        </w:rPr>
        <w:t>הפירותי</w:t>
      </w:r>
      <w:proofErr w:type="spellEnd"/>
      <w:r>
        <w:rPr>
          <w:rFonts w:hint="cs"/>
          <w:rtl/>
        </w:rPr>
        <w:t xml:space="preserve"> בסעיף 10.7.2 להסכם ההפצה </w:t>
      </w:r>
      <w:r>
        <w:rPr>
          <w:rtl/>
        </w:rPr>
        <w:t>–</w:t>
      </w:r>
      <w:r>
        <w:rPr>
          <w:rFonts w:hint="cs"/>
          <w:rtl/>
        </w:rPr>
        <w:t xml:space="preserve"> הסדר שלפיו יכלה צמל לקבל </w:t>
      </w:r>
      <w:proofErr w:type="spellStart"/>
      <w:r>
        <w:rPr>
          <w:rFonts w:hint="cs"/>
          <w:rtl/>
        </w:rPr>
        <w:t>ממדטרוניק</w:t>
      </w:r>
      <w:proofErr w:type="spellEnd"/>
      <w:r>
        <w:rPr>
          <w:rFonts w:hint="cs"/>
          <w:rtl/>
        </w:rPr>
        <w:t xml:space="preserve">, בתמורה לסיום ההסכם, 375,000 דולר ארה"ב </w:t>
      </w:r>
      <w:r w:rsidRPr="00832B8B">
        <w:rPr>
          <w:rFonts w:ascii="Century" w:hAnsi="Century" w:cs="Miriam" w:hint="cs"/>
          <w:b/>
          <w:spacing w:val="0"/>
          <w:sz w:val="22"/>
          <w:szCs w:val="24"/>
          <w:rtl/>
        </w:rPr>
        <w:t>בלבד</w:t>
      </w:r>
      <w:r>
        <w:rPr>
          <w:rFonts w:hint="cs"/>
          <w:rtl/>
        </w:rPr>
        <w:t xml:space="preserve"> בחודש יוני 2009. המערערים ממשיכים וטוענים, כי צמל דחתה את הצעת הפיצוי כאמור, אשר באה </w:t>
      </w:r>
      <w:proofErr w:type="spellStart"/>
      <w:r>
        <w:rPr>
          <w:rFonts w:hint="cs"/>
          <w:rtl/>
        </w:rPr>
        <w:t>ממדטרוניק</w:t>
      </w:r>
      <w:proofErr w:type="spellEnd"/>
      <w:r>
        <w:rPr>
          <w:rFonts w:hint="cs"/>
          <w:rtl/>
        </w:rPr>
        <w:t xml:space="preserve">, והסכימה לסיים את הסכם ההפצה רק לאחר שהובטח לה הפיצוי בסך של 2,000,000 דולר ארה"ב. מכאן מבקשים המערערים כי נסיק שהסכום של 2,000,000 דולר ארה"ב, </w:t>
      </w:r>
      <w:r>
        <w:rPr>
          <w:rFonts w:hint="cs"/>
          <w:rtl/>
        </w:rPr>
        <w:lastRenderedPageBreak/>
        <w:t xml:space="preserve">העולה </w:t>
      </w:r>
      <w:proofErr w:type="spellStart"/>
      <w:r>
        <w:rPr>
          <w:rFonts w:hint="cs"/>
          <w:rtl/>
        </w:rPr>
        <w:t>בלמעלה</w:t>
      </w:r>
      <w:proofErr w:type="spellEnd"/>
      <w:r>
        <w:rPr>
          <w:rFonts w:hint="cs"/>
          <w:rtl/>
        </w:rPr>
        <w:t xml:space="preserve"> מ-500% על הפיצוי </w:t>
      </w:r>
      <w:proofErr w:type="spellStart"/>
      <w:r>
        <w:rPr>
          <w:rFonts w:hint="cs"/>
          <w:rtl/>
        </w:rPr>
        <w:t>הפירותי</w:t>
      </w:r>
      <w:proofErr w:type="spellEnd"/>
      <w:r>
        <w:rPr>
          <w:rFonts w:hint="cs"/>
          <w:rtl/>
        </w:rPr>
        <w:t xml:space="preserve"> לפי סעיף 10.7.2 להסכם ההפצה, מהווה פיצוי הוני. </w:t>
      </w:r>
    </w:p>
    <w:p w:rsidR="00B05730" w:rsidRPr="005B5DE4" w:rsidRDefault="00B05730" w:rsidP="00B05730">
      <w:pPr>
        <w:pStyle w:val="Ruller41"/>
      </w:pPr>
    </w:p>
    <w:p w:rsidR="00B05730" w:rsidRDefault="00B05730" w:rsidP="00B05730">
      <w:pPr>
        <w:pStyle w:val="Ruller4"/>
        <w:rPr>
          <w:rtl/>
        </w:rPr>
      </w:pPr>
      <w:r>
        <w:rPr>
          <w:rFonts w:hint="cs"/>
          <w:rtl/>
        </w:rPr>
        <w:t xml:space="preserve">טענה זו מקפלת בתוכה כשל לוגי וכשל כלכלי, ועל כן אין בידי לקבלה. בהיבט הלוגי, העובדה שהפיצוי </w:t>
      </w:r>
      <w:proofErr w:type="spellStart"/>
      <w:r>
        <w:rPr>
          <w:rFonts w:hint="cs"/>
          <w:rtl/>
        </w:rPr>
        <w:t>הפירותי</w:t>
      </w:r>
      <w:proofErr w:type="spellEnd"/>
      <w:r>
        <w:rPr>
          <w:rFonts w:hint="cs"/>
          <w:rtl/>
        </w:rPr>
        <w:t xml:space="preserve"> בסך של 375,000 דולר ארה"ב נמוך בהרבה מהפיצוי בסך של 2,000,000 דולר ארה"ב איננה הופכת את הפיצוי האחרון להוני. ברי הוא, כי גם נזק </w:t>
      </w:r>
      <w:proofErr w:type="spellStart"/>
      <w:r>
        <w:rPr>
          <w:rFonts w:hint="cs"/>
          <w:rtl/>
        </w:rPr>
        <w:t>פירותי</w:t>
      </w:r>
      <w:proofErr w:type="spellEnd"/>
      <w:r>
        <w:rPr>
          <w:rFonts w:hint="cs"/>
          <w:rtl/>
        </w:rPr>
        <w:t xml:space="preserve"> יכול להגיע לסך של 2,000,000 דולר ארה"ב. בהיבט הכלכלי, זכותה של צמל שלא להצטרף להסדר הפיצויים אשר נקבע בסעיף 10.7.2 להסכם ההפצה מהווה אינדיקציה לכך שהפיצוי אשר עשוי להיזקף לזכותה </w:t>
      </w:r>
      <w:r>
        <w:rPr>
          <w:rtl/>
        </w:rPr>
        <w:t>–</w:t>
      </w:r>
      <w:r>
        <w:rPr>
          <w:rFonts w:hint="cs"/>
          <w:rtl/>
        </w:rPr>
        <w:t xml:space="preserve"> </w:t>
      </w:r>
      <w:proofErr w:type="spellStart"/>
      <w:r>
        <w:rPr>
          <w:rFonts w:hint="cs"/>
          <w:rtl/>
        </w:rPr>
        <w:t>פירותי</w:t>
      </w:r>
      <w:proofErr w:type="spellEnd"/>
      <w:r>
        <w:rPr>
          <w:rFonts w:hint="cs"/>
          <w:rtl/>
        </w:rPr>
        <w:t xml:space="preserve"> או הוני </w:t>
      </w:r>
      <w:r>
        <w:rPr>
          <w:rtl/>
        </w:rPr>
        <w:t>–</w:t>
      </w:r>
      <w:r>
        <w:rPr>
          <w:rFonts w:hint="cs"/>
          <w:rtl/>
        </w:rPr>
        <w:t xml:space="preserve"> יכול לעלות על אותו סכום באופן משמעותי. תרחיש זה אכן התממש במציאות, שכן צמל דחתה את הצעתה של </w:t>
      </w:r>
      <w:proofErr w:type="spellStart"/>
      <w:r>
        <w:rPr>
          <w:rFonts w:hint="cs"/>
          <w:rtl/>
        </w:rPr>
        <w:t>מדטרוניק</w:t>
      </w:r>
      <w:proofErr w:type="spellEnd"/>
      <w:r>
        <w:rPr>
          <w:rFonts w:hint="cs"/>
          <w:rtl/>
        </w:rPr>
        <w:t xml:space="preserve"> </w:t>
      </w:r>
      <w:proofErr w:type="spellStart"/>
      <w:r>
        <w:rPr>
          <w:rFonts w:hint="cs"/>
          <w:rtl/>
        </w:rPr>
        <w:t>לפצותה</w:t>
      </w:r>
      <w:proofErr w:type="spellEnd"/>
      <w:r>
        <w:rPr>
          <w:rFonts w:hint="cs"/>
          <w:rtl/>
        </w:rPr>
        <w:t xml:space="preserve"> לפי הנוסחה של סעיף 10.7.2. אשר על כן, מוטל עלינו לסווג את התשלום ששולם לצמל ללא כל תלות בנוסחת הפיצוי שבסעיף 10.7.2 להסכם, שהפעלתה </w:t>
      </w:r>
      <w:proofErr w:type="spellStart"/>
      <w:r>
        <w:rPr>
          <w:rFonts w:hint="cs"/>
          <w:rtl/>
        </w:rPr>
        <w:t>היתה</w:t>
      </w:r>
      <w:proofErr w:type="spellEnd"/>
      <w:r>
        <w:rPr>
          <w:rFonts w:hint="cs"/>
          <w:rtl/>
        </w:rPr>
        <w:t xml:space="preserve"> תלויה בהסכמת הצדדים. </w:t>
      </w:r>
    </w:p>
    <w:p w:rsidR="00B05730" w:rsidRPr="00832B8B" w:rsidRDefault="00B05730" w:rsidP="00B05730">
      <w:pPr>
        <w:pStyle w:val="Ruller41"/>
      </w:pPr>
    </w:p>
    <w:p w:rsidR="00B05730" w:rsidRDefault="00B05730" w:rsidP="00B05730">
      <w:pPr>
        <w:pStyle w:val="Ruller4"/>
        <w:rPr>
          <w:rtl/>
        </w:rPr>
      </w:pPr>
      <w:r>
        <w:rPr>
          <w:rFonts w:hint="cs"/>
          <w:rtl/>
        </w:rPr>
        <w:t xml:space="preserve">במסגרת זו, נזכור כי </w:t>
      </w:r>
      <w:proofErr w:type="spellStart"/>
      <w:r>
        <w:rPr>
          <w:rFonts w:hint="cs"/>
          <w:rtl/>
        </w:rPr>
        <w:t>למדטרוניק</w:t>
      </w:r>
      <w:proofErr w:type="spellEnd"/>
      <w:r>
        <w:rPr>
          <w:rFonts w:hint="cs"/>
          <w:rtl/>
        </w:rPr>
        <w:t xml:space="preserve"> לא </w:t>
      </w:r>
      <w:proofErr w:type="spellStart"/>
      <w:r>
        <w:rPr>
          <w:rFonts w:hint="cs"/>
          <w:rtl/>
        </w:rPr>
        <w:t>היתה</w:t>
      </w:r>
      <w:proofErr w:type="spellEnd"/>
      <w:r>
        <w:rPr>
          <w:rFonts w:hint="cs"/>
          <w:rtl/>
        </w:rPr>
        <w:t xml:space="preserve"> שום סיבה לשלם לצמל סכום כסף אשר עולה על ההכנסות הצפויות ממכירת המסתמים ומוצריה האחרים של </w:t>
      </w:r>
      <w:proofErr w:type="spellStart"/>
      <w:r>
        <w:rPr>
          <w:rFonts w:hint="cs"/>
          <w:rtl/>
        </w:rPr>
        <w:t>קורוולב</w:t>
      </w:r>
      <w:proofErr w:type="spellEnd"/>
      <w:r>
        <w:rPr>
          <w:rFonts w:hint="cs"/>
          <w:rtl/>
        </w:rPr>
        <w:t xml:space="preserve"> בישראל בפרק הזמן שנותר לה לרצות לפי הסכם ההפצה. זאת, מאחר </w:t>
      </w:r>
      <w:proofErr w:type="spellStart"/>
      <w:r>
        <w:rPr>
          <w:rFonts w:hint="cs"/>
          <w:rtl/>
        </w:rPr>
        <w:t>שהיתה</w:t>
      </w:r>
      <w:proofErr w:type="spellEnd"/>
      <w:r>
        <w:rPr>
          <w:rFonts w:hint="cs"/>
          <w:rtl/>
        </w:rPr>
        <w:t xml:space="preserve"> בידי </w:t>
      </w:r>
      <w:proofErr w:type="spellStart"/>
      <w:r>
        <w:rPr>
          <w:rFonts w:hint="cs"/>
          <w:rtl/>
        </w:rPr>
        <w:t>מדטרוניק</w:t>
      </w:r>
      <w:proofErr w:type="spellEnd"/>
      <w:r>
        <w:rPr>
          <w:rFonts w:hint="cs"/>
          <w:rtl/>
        </w:rPr>
        <w:t xml:space="preserve"> אופציה אחרת, משתלמת יותר: היא יכלה לאפשר לצמל להמשיך ולהפיץ את מוצרי </w:t>
      </w:r>
      <w:proofErr w:type="spellStart"/>
      <w:r>
        <w:rPr>
          <w:rFonts w:hint="cs"/>
          <w:rtl/>
        </w:rPr>
        <w:t>קורוולב</w:t>
      </w:r>
      <w:proofErr w:type="spellEnd"/>
      <w:r>
        <w:rPr>
          <w:rFonts w:hint="cs"/>
          <w:rtl/>
        </w:rPr>
        <w:t xml:space="preserve"> בישראל עד לגמר ההסכם ואז להפעיל את מנגנון </w:t>
      </w:r>
      <w:r w:rsidRPr="009C1050">
        <w:rPr>
          <w:rFonts w:hint="eastAsia"/>
          <w:rtl/>
        </w:rPr>
        <w:t>ההחזרה</w:t>
      </w:r>
      <w:r w:rsidRPr="009C1050">
        <w:rPr>
          <w:rtl/>
        </w:rPr>
        <w:t xml:space="preserve"> </w:t>
      </w:r>
      <w:r w:rsidRPr="009C1050">
        <w:rPr>
          <w:rFonts w:hint="eastAsia"/>
          <w:rtl/>
        </w:rPr>
        <w:t>של</w:t>
      </w:r>
      <w:r w:rsidRPr="009C1050">
        <w:rPr>
          <w:rtl/>
        </w:rPr>
        <w:t xml:space="preserve"> </w:t>
      </w:r>
      <w:r w:rsidRPr="009C1050">
        <w:rPr>
          <w:rFonts w:hint="eastAsia"/>
          <w:rtl/>
        </w:rPr>
        <w:t>זכויות</w:t>
      </w:r>
      <w:r w:rsidRPr="009C1050">
        <w:rPr>
          <w:rtl/>
        </w:rPr>
        <w:t xml:space="preserve"> </w:t>
      </w:r>
      <w:r w:rsidRPr="009C1050">
        <w:rPr>
          <w:rFonts w:hint="eastAsia"/>
          <w:rtl/>
        </w:rPr>
        <w:t>ההפצה</w:t>
      </w:r>
      <w:r>
        <w:rPr>
          <w:rFonts w:hint="cs"/>
          <w:rtl/>
        </w:rPr>
        <w:t xml:space="preserve">, שכאמור היה זהה במהותו למנגנון הסיום אשר נקבע בינה לבין צמל בהסכם המבטל. מכאן ניתן ללמוד בבירור כי הפיצוי בסך של 2,000,000 דולר ארה"ב, </w:t>
      </w:r>
      <w:proofErr w:type="spellStart"/>
      <w:r>
        <w:rPr>
          <w:rFonts w:hint="cs"/>
          <w:rtl/>
        </w:rPr>
        <w:t>שמדטרוניק</w:t>
      </w:r>
      <w:proofErr w:type="spellEnd"/>
      <w:r>
        <w:rPr>
          <w:rFonts w:hint="cs"/>
          <w:rtl/>
        </w:rPr>
        <w:t xml:space="preserve"> שילמה לצמל, שולם בעד הפירות שהיו אמורים להיקטף מהעץ ולא נקטפו, ולא בעד העץ שלצמל לא </w:t>
      </w:r>
      <w:proofErr w:type="spellStart"/>
      <w:r>
        <w:rPr>
          <w:rFonts w:hint="cs"/>
          <w:rtl/>
        </w:rPr>
        <w:t>היתה</w:t>
      </w:r>
      <w:proofErr w:type="spellEnd"/>
      <w:r>
        <w:rPr>
          <w:rFonts w:hint="cs"/>
          <w:rtl/>
        </w:rPr>
        <w:t xml:space="preserve"> בו שום זכות בת קיימא, להבדיל מרישיון גרידא. </w:t>
      </w:r>
    </w:p>
    <w:p w:rsidR="00B05730" w:rsidRPr="00C87717" w:rsidRDefault="00B05730" w:rsidP="00B05730">
      <w:pPr>
        <w:pStyle w:val="Ruller41"/>
      </w:pPr>
    </w:p>
    <w:p w:rsidR="00B05730" w:rsidRDefault="00B05730" w:rsidP="00160C2F">
      <w:pPr>
        <w:pStyle w:val="Ruller4"/>
      </w:pPr>
      <w:r>
        <w:rPr>
          <w:rFonts w:hint="cs"/>
          <w:rtl/>
        </w:rPr>
        <w:t>זאת ועוד: דיני מדינת קליפורניה, שלפיהם חוזה ההפצה אמור היה להתפרש ולהתנהל, ממילא שוללים את האפשרות של מתן צו בדבר אכיפת ההסכם לטובת המפיץ (ראו:</w:t>
      </w:r>
      <w:proofErr w:type="spellStart"/>
      <w:r>
        <w:rPr>
          <w:rFonts w:asciiTheme="majorBidi" w:hAnsiTheme="majorBidi" w:cstheme="majorBidi"/>
        </w:rPr>
        <w:t>Copylease</w:t>
      </w:r>
      <w:proofErr w:type="spellEnd"/>
      <w:r>
        <w:rPr>
          <w:rFonts w:asciiTheme="majorBidi" w:hAnsiTheme="majorBidi" w:cstheme="majorBidi"/>
        </w:rPr>
        <w:t xml:space="preserve"> Corp. of America v. Memorex Corp., 408 </w:t>
      </w:r>
      <w:proofErr w:type="spellStart"/>
      <w:r>
        <w:rPr>
          <w:rFonts w:asciiTheme="majorBidi" w:hAnsiTheme="majorBidi" w:cstheme="majorBidi"/>
        </w:rPr>
        <w:t>F</w:t>
      </w:r>
      <w:r w:rsidR="00160C2F">
        <w:rPr>
          <w:rFonts w:asciiTheme="majorBidi" w:hAnsiTheme="majorBidi" w:cstheme="majorBidi"/>
        </w:rPr>
        <w:t>.Supp</w:t>
      </w:r>
      <w:proofErr w:type="spellEnd"/>
      <w:r w:rsidR="00160C2F">
        <w:rPr>
          <w:rFonts w:asciiTheme="majorBidi" w:hAnsiTheme="majorBidi" w:cstheme="majorBidi"/>
        </w:rPr>
        <w:t>, 758, 759 (S.D.N.Y. 1976)</w:t>
      </w:r>
      <w:r w:rsidRPr="00EB6470">
        <w:rPr>
          <w:rFonts w:asciiTheme="majorBidi" w:hAnsiTheme="majorBidi" w:cstheme="majorBidi"/>
        </w:rPr>
        <w:t>; Long Beach Drug Co. v. United Drug Co., 13 Cal. 2d 158, 171 (1939)</w:t>
      </w:r>
      <w:r w:rsidR="00160C2F">
        <w:rPr>
          <w:rFonts w:asciiTheme="majorBidi" w:hAnsiTheme="majorBidi" w:cstheme="majorBidi"/>
        </w:rPr>
        <w:t xml:space="preserve">; </w:t>
      </w:r>
      <w:r w:rsidR="00160C2F" w:rsidRPr="00EB6470">
        <w:rPr>
          <w:rFonts w:asciiTheme="majorBidi" w:hAnsiTheme="majorBidi" w:cstheme="majorBidi"/>
        </w:rPr>
        <w:t xml:space="preserve">Thayer Plymouth Center, Inc. v. Chrysler Motors Corp., 63 Cal. </w:t>
      </w:r>
      <w:proofErr w:type="spellStart"/>
      <w:r w:rsidR="00160C2F" w:rsidRPr="00EB6470">
        <w:rPr>
          <w:rFonts w:asciiTheme="majorBidi" w:hAnsiTheme="majorBidi" w:cstheme="majorBidi"/>
        </w:rPr>
        <w:t>Rptr</w:t>
      </w:r>
      <w:proofErr w:type="spellEnd"/>
      <w:r w:rsidR="00160C2F" w:rsidRPr="00EB6470">
        <w:rPr>
          <w:rFonts w:asciiTheme="majorBidi" w:hAnsiTheme="majorBidi" w:cstheme="majorBidi"/>
        </w:rPr>
        <w:t>. 148, 150-151 (4th Dist. Ct. App. 1967</w:t>
      </w:r>
      <w:r w:rsidR="00160C2F">
        <w:rPr>
          <w:rFonts w:asciiTheme="majorBidi" w:hAnsiTheme="majorBidi" w:cstheme="majorBidi"/>
        </w:rPr>
        <w:t xml:space="preserve">) </w:t>
      </w:r>
      <w:r w:rsidR="00160C2F">
        <w:rPr>
          <w:rFonts w:asciiTheme="majorBidi" w:hAnsiTheme="majorBidi" w:cstheme="majorBidi" w:hint="cs"/>
          <w:rtl/>
        </w:rPr>
        <w:t xml:space="preserve"> (</w:t>
      </w:r>
      <w:r w:rsidR="00160C2F" w:rsidRPr="00160C2F">
        <w:rPr>
          <w:rFonts w:ascii="FrankRuehl" w:hAnsi="FrankRuehl"/>
          <w:rtl/>
        </w:rPr>
        <w:t>להלן:</w:t>
      </w:r>
      <w:r w:rsidR="00160C2F">
        <w:rPr>
          <w:rFonts w:asciiTheme="majorBidi" w:hAnsiTheme="majorBidi" w:cstheme="majorBidi" w:hint="cs"/>
          <w:rtl/>
        </w:rPr>
        <w:t xml:space="preserve"> </w:t>
      </w:r>
      <w:r w:rsidR="00160C2F" w:rsidRPr="000E5A4F">
        <w:rPr>
          <w:rFonts w:asciiTheme="majorBidi" w:hAnsiTheme="majorBidi" w:cstheme="majorBidi"/>
          <w:i/>
          <w:iCs/>
        </w:rPr>
        <w:t>Thayer</w:t>
      </w:r>
      <w:r w:rsidR="00160C2F">
        <w:rPr>
          <w:rFonts w:asciiTheme="majorBidi" w:hAnsiTheme="majorBidi" w:cstheme="majorBidi" w:hint="cs"/>
          <w:rtl/>
        </w:rPr>
        <w:t>)</w:t>
      </w:r>
      <w:r w:rsidRPr="00EB6470">
        <w:rPr>
          <w:rFonts w:asciiTheme="majorBidi" w:hAnsiTheme="majorBidi" w:cstheme="majorBidi"/>
          <w:rtl/>
        </w:rPr>
        <w:t>)</w:t>
      </w:r>
      <w:r>
        <w:rPr>
          <w:rFonts w:hint="cs"/>
          <w:rtl/>
        </w:rPr>
        <w:t xml:space="preserve">. כל מה שהמפיץ זכאי לו הוא פיצויים בגין אובדן רווחים ממכירות המוצרים, אשר מכסים את הנזק </w:t>
      </w:r>
      <w:proofErr w:type="spellStart"/>
      <w:r>
        <w:rPr>
          <w:rFonts w:hint="cs"/>
          <w:rtl/>
        </w:rPr>
        <w:t>הפירותי</w:t>
      </w:r>
      <w:proofErr w:type="spellEnd"/>
      <w:r>
        <w:rPr>
          <w:rFonts w:hint="cs"/>
          <w:rtl/>
        </w:rPr>
        <w:t xml:space="preserve">, להבדיל מהוני (ראו: </w:t>
      </w:r>
      <w:r w:rsidRPr="00EB6470">
        <w:rPr>
          <w:rFonts w:asciiTheme="majorBidi" w:hAnsiTheme="majorBidi" w:cstheme="majorBidi"/>
        </w:rPr>
        <w:t>Thayer, 152</w:t>
      </w:r>
      <w:r>
        <w:rPr>
          <w:rFonts w:hint="cs"/>
          <w:rtl/>
        </w:rPr>
        <w:t xml:space="preserve">). לפיכך, האופציה הנוספת שעמדה בפני </w:t>
      </w:r>
      <w:proofErr w:type="spellStart"/>
      <w:r>
        <w:rPr>
          <w:rFonts w:hint="cs"/>
          <w:rtl/>
        </w:rPr>
        <w:t>מדטרוניק</w:t>
      </w:r>
      <w:proofErr w:type="spellEnd"/>
      <w:r>
        <w:rPr>
          <w:rFonts w:hint="cs"/>
          <w:rtl/>
        </w:rPr>
        <w:t xml:space="preserve"> היא הפרת הסכם ההפצה על ידי מכירה חד-צדדית של מוצרי </w:t>
      </w:r>
      <w:proofErr w:type="spellStart"/>
      <w:r>
        <w:rPr>
          <w:rFonts w:hint="cs"/>
          <w:rtl/>
        </w:rPr>
        <w:t>קורוולב</w:t>
      </w:r>
      <w:proofErr w:type="spellEnd"/>
      <w:r>
        <w:rPr>
          <w:rFonts w:hint="cs"/>
          <w:rtl/>
        </w:rPr>
        <w:t xml:space="preserve"> בישראל </w:t>
      </w:r>
      <w:r>
        <w:rPr>
          <w:rFonts w:hint="cs"/>
          <w:rtl/>
        </w:rPr>
        <w:lastRenderedPageBreak/>
        <w:t xml:space="preserve">ותשלום פיצויים </w:t>
      </w:r>
      <w:proofErr w:type="spellStart"/>
      <w:r>
        <w:rPr>
          <w:rFonts w:hint="cs"/>
          <w:rtl/>
        </w:rPr>
        <w:t>פירותיים</w:t>
      </w:r>
      <w:proofErr w:type="spellEnd"/>
      <w:r>
        <w:rPr>
          <w:rFonts w:hint="cs"/>
          <w:rtl/>
        </w:rPr>
        <w:t xml:space="preserve"> בגין ההפרה, אשר אמורים היו להיקבע, לפי דיני קליפורניה, על ידי הבורר שימונה. יוער בהקשר זה, כי הסכם ההפצה שלל במפורש זכאות לפיצויים מוגברים או </w:t>
      </w:r>
      <w:proofErr w:type="spellStart"/>
      <w:r>
        <w:rPr>
          <w:rFonts w:hint="cs"/>
          <w:rtl/>
        </w:rPr>
        <w:t>עונשיים</w:t>
      </w:r>
      <w:proofErr w:type="spellEnd"/>
      <w:r>
        <w:rPr>
          <w:rFonts w:hint="cs"/>
          <w:rtl/>
        </w:rPr>
        <w:t xml:space="preserve"> ולפיצויים לדוגמא בגין הפרת הסכם</w:t>
      </w:r>
      <w:r w:rsidR="004865E4">
        <w:rPr>
          <w:rFonts w:hint="cs"/>
          <w:rtl/>
        </w:rPr>
        <w:t xml:space="preserve"> ההפצה</w:t>
      </w:r>
      <w:r>
        <w:rPr>
          <w:rFonts w:hint="cs"/>
          <w:rtl/>
        </w:rPr>
        <w:t xml:space="preserve"> (ראו: סעיף 11.1.2 להסכם). באומרי זאת, אינני בא לאמוד את הסתברות </w:t>
      </w:r>
      <w:r w:rsidR="00690606">
        <w:rPr>
          <w:rFonts w:hint="cs"/>
          <w:rtl/>
        </w:rPr>
        <w:t xml:space="preserve">ההפצה </w:t>
      </w:r>
      <w:r>
        <w:rPr>
          <w:rFonts w:hint="cs"/>
          <w:rtl/>
        </w:rPr>
        <w:t xml:space="preserve">התרחיש שבו חברה רצינית ובעלת מוניטין כדוגמת </w:t>
      </w:r>
      <w:proofErr w:type="spellStart"/>
      <w:r>
        <w:rPr>
          <w:rFonts w:hint="cs"/>
          <w:rtl/>
        </w:rPr>
        <w:t>מדטרוניק</w:t>
      </w:r>
      <w:proofErr w:type="spellEnd"/>
      <w:r>
        <w:rPr>
          <w:rFonts w:hint="cs"/>
          <w:rtl/>
        </w:rPr>
        <w:t xml:space="preserve"> תחליט להפר הסכם בריש גלי. באומרי את אשר אמרתי, אני בא לאמוד את מהותה של זכות ההפצה מושא ההסכם שצמל ויתרה עליה בתמורה לקבלת הפיצוי בסך של 2,000,000 דולר ארה"ב מידי </w:t>
      </w:r>
      <w:proofErr w:type="spellStart"/>
      <w:r>
        <w:rPr>
          <w:rFonts w:hint="cs"/>
          <w:rtl/>
        </w:rPr>
        <w:t>מדטרוניק</w:t>
      </w:r>
      <w:proofErr w:type="spellEnd"/>
      <w:r>
        <w:rPr>
          <w:rFonts w:hint="cs"/>
          <w:rtl/>
        </w:rPr>
        <w:t xml:space="preserve">. בחינתה של זכות זו, לפי כל קנה מידה, מוליכה למסקנה חד משמעית כי מדובר בזכות להפקת רווחים מעסק שהיה שייך בכוליותו </w:t>
      </w:r>
      <w:proofErr w:type="spellStart"/>
      <w:r>
        <w:rPr>
          <w:rFonts w:hint="cs"/>
          <w:rtl/>
        </w:rPr>
        <w:t>לקורוולב</w:t>
      </w:r>
      <w:proofErr w:type="spellEnd"/>
      <w:r>
        <w:rPr>
          <w:rFonts w:hint="cs"/>
          <w:rtl/>
        </w:rPr>
        <w:t xml:space="preserve"> ואחר כך עבר בכוליותו </w:t>
      </w:r>
      <w:proofErr w:type="spellStart"/>
      <w:r>
        <w:rPr>
          <w:rFonts w:hint="cs"/>
          <w:rtl/>
        </w:rPr>
        <w:t>למדטרוניק</w:t>
      </w:r>
      <w:proofErr w:type="spellEnd"/>
      <w:r>
        <w:rPr>
          <w:rFonts w:hint="cs"/>
          <w:rtl/>
        </w:rPr>
        <w:t xml:space="preserve">. מדובר אפוא בזכות </w:t>
      </w:r>
      <w:proofErr w:type="spellStart"/>
      <w:r>
        <w:rPr>
          <w:rFonts w:hint="cs"/>
          <w:rtl/>
        </w:rPr>
        <w:t>פירותית</w:t>
      </w:r>
      <w:proofErr w:type="spellEnd"/>
      <w:r>
        <w:rPr>
          <w:rFonts w:hint="cs"/>
          <w:rtl/>
        </w:rPr>
        <w:t xml:space="preserve"> והפיצוי </w:t>
      </w:r>
      <w:proofErr w:type="spellStart"/>
      <w:r>
        <w:rPr>
          <w:rFonts w:hint="cs"/>
          <w:rtl/>
        </w:rPr>
        <w:t>שמדטרוניק</w:t>
      </w:r>
      <w:proofErr w:type="spellEnd"/>
      <w:r>
        <w:rPr>
          <w:rFonts w:hint="cs"/>
          <w:rtl/>
        </w:rPr>
        <w:t xml:space="preserve"> שילמה בעבורה לצמל היה </w:t>
      </w:r>
      <w:proofErr w:type="spellStart"/>
      <w:r>
        <w:rPr>
          <w:rFonts w:hint="cs"/>
          <w:rtl/>
        </w:rPr>
        <w:t>פירותי</w:t>
      </w:r>
      <w:proofErr w:type="spellEnd"/>
      <w:r>
        <w:rPr>
          <w:rFonts w:hint="cs"/>
          <w:rtl/>
        </w:rPr>
        <w:t xml:space="preserve"> אף הוא.</w:t>
      </w:r>
    </w:p>
    <w:p w:rsidR="00B05730" w:rsidRDefault="00B05730" w:rsidP="00B05730">
      <w:pPr>
        <w:pStyle w:val="Ruller4"/>
        <w:numPr>
          <w:ilvl w:val="0"/>
          <w:numId w:val="0"/>
        </w:numPr>
        <w:rPr>
          <w:rtl/>
        </w:rPr>
      </w:pPr>
    </w:p>
    <w:p w:rsidR="00B05730" w:rsidRDefault="00B05730" w:rsidP="00B05730">
      <w:pPr>
        <w:pStyle w:val="Ruller4"/>
        <w:rPr>
          <w:rtl/>
        </w:rPr>
      </w:pPr>
      <w:r>
        <w:rPr>
          <w:rFonts w:hint="cs"/>
          <w:rtl/>
        </w:rPr>
        <w:t xml:space="preserve">למסקנה כי עסקינן בפיצוי </w:t>
      </w:r>
      <w:proofErr w:type="spellStart"/>
      <w:r>
        <w:rPr>
          <w:rFonts w:hint="cs"/>
          <w:rtl/>
        </w:rPr>
        <w:t>פירותי</w:t>
      </w:r>
      <w:proofErr w:type="spellEnd"/>
      <w:r>
        <w:rPr>
          <w:rFonts w:hint="cs"/>
          <w:rtl/>
        </w:rPr>
        <w:t xml:space="preserve">, ולא הוני, נוכל להגיע גם מזווית אחרת אם נבחן את מהותו של ההסכם המבטל. לנוכח ההוראות שנקבעו בהסכם ההפצה אשר צוטטו לעיל, ברי הוא כי צמל לא יכלה למכור את זכויות ההפצה שלה לשום גורם זולת </w:t>
      </w:r>
      <w:proofErr w:type="spellStart"/>
      <w:r>
        <w:rPr>
          <w:rFonts w:hint="cs"/>
          <w:rtl/>
        </w:rPr>
        <w:t>קורוולב</w:t>
      </w:r>
      <w:proofErr w:type="spellEnd"/>
      <w:r>
        <w:rPr>
          <w:rFonts w:hint="cs"/>
          <w:rtl/>
        </w:rPr>
        <w:t xml:space="preserve"> </w:t>
      </w:r>
      <w:proofErr w:type="spellStart"/>
      <w:r>
        <w:rPr>
          <w:rFonts w:hint="cs"/>
          <w:rtl/>
        </w:rPr>
        <w:t>ומדטרוניק</w:t>
      </w:r>
      <w:proofErr w:type="spellEnd"/>
      <w:r>
        <w:rPr>
          <w:rFonts w:hint="cs"/>
          <w:rtl/>
        </w:rPr>
        <w:t xml:space="preserve">. בנקודת הזמן בה ביקשה </w:t>
      </w:r>
      <w:proofErr w:type="spellStart"/>
      <w:r>
        <w:rPr>
          <w:rFonts w:hint="cs"/>
          <w:rtl/>
        </w:rPr>
        <w:t>מדטרוניק</w:t>
      </w:r>
      <w:proofErr w:type="spellEnd"/>
      <w:r>
        <w:rPr>
          <w:rFonts w:hint="cs"/>
          <w:rtl/>
        </w:rPr>
        <w:t xml:space="preserve"> למכור את מסתמי </w:t>
      </w:r>
      <w:proofErr w:type="spellStart"/>
      <w:r>
        <w:rPr>
          <w:rFonts w:hint="cs"/>
          <w:rtl/>
        </w:rPr>
        <w:t>קורוולב</w:t>
      </w:r>
      <w:proofErr w:type="spellEnd"/>
      <w:r>
        <w:rPr>
          <w:rFonts w:hint="cs"/>
          <w:rtl/>
        </w:rPr>
        <w:t xml:space="preserve"> בישראל באמצעות סניפה, ולא באמצעות צמל, היא </w:t>
      </w:r>
      <w:proofErr w:type="spellStart"/>
      <w:r>
        <w:rPr>
          <w:rFonts w:hint="cs"/>
          <w:rtl/>
        </w:rPr>
        <w:t>היתה</w:t>
      </w:r>
      <w:proofErr w:type="spellEnd"/>
      <w:r>
        <w:rPr>
          <w:rFonts w:hint="cs"/>
          <w:rtl/>
        </w:rPr>
        <w:t xml:space="preserve"> זקוקה להסכמת צמל שהחזיקה בידה זכויות הפצה בלעדיות. ההסכם המבטל נכרת אפוא בתנאים של מונופולין דו-צדדי: צמל יכלה למכור את זכויות ההפצה שלה אך ורק </w:t>
      </w:r>
      <w:proofErr w:type="spellStart"/>
      <w:r>
        <w:rPr>
          <w:rFonts w:hint="cs"/>
          <w:rtl/>
        </w:rPr>
        <w:t>למדטרוניק</w:t>
      </w:r>
      <w:proofErr w:type="spellEnd"/>
      <w:r>
        <w:rPr>
          <w:rFonts w:hint="cs"/>
          <w:rtl/>
        </w:rPr>
        <w:t xml:space="preserve">, ואילו </w:t>
      </w:r>
      <w:proofErr w:type="spellStart"/>
      <w:r>
        <w:rPr>
          <w:rFonts w:hint="cs"/>
          <w:rtl/>
        </w:rPr>
        <w:t>מדטרוניק</w:t>
      </w:r>
      <w:proofErr w:type="spellEnd"/>
      <w:r>
        <w:rPr>
          <w:rFonts w:hint="cs"/>
          <w:rtl/>
        </w:rPr>
        <w:t xml:space="preserve"> יכלה לקנות זכויות אלה אך ורק מצמל. במצב של מונופולין דו-צדדי, דמי המכירה והקניה אינם נקבעים על ידי כוחות השוק החופשי, המנוטרלים על ידי המונופולין, אלא על ידי כוחותיהם היחסיים של בעלי ההסכם (ראו:</w:t>
      </w:r>
      <w:r w:rsidRPr="00EB6470">
        <w:rPr>
          <w:rFonts w:asciiTheme="majorBidi" w:hAnsiTheme="majorBidi" w:cstheme="majorBidi"/>
          <w:smallCaps/>
          <w:szCs w:val="24"/>
        </w:rPr>
        <w:t xml:space="preserve">Robert Cooter &amp; Thomas </w:t>
      </w:r>
      <w:proofErr w:type="spellStart"/>
      <w:r w:rsidRPr="00EB6470">
        <w:rPr>
          <w:rFonts w:asciiTheme="majorBidi" w:hAnsiTheme="majorBidi" w:cstheme="majorBidi"/>
          <w:smallCaps/>
          <w:szCs w:val="24"/>
        </w:rPr>
        <w:t>Ulen</w:t>
      </w:r>
      <w:proofErr w:type="spellEnd"/>
      <w:r w:rsidRPr="00EB6470">
        <w:rPr>
          <w:rFonts w:asciiTheme="majorBidi" w:hAnsiTheme="majorBidi" w:cstheme="majorBidi"/>
          <w:szCs w:val="24"/>
        </w:rPr>
        <w:t xml:space="preserve">, </w:t>
      </w:r>
      <w:r w:rsidRPr="00EB6470">
        <w:rPr>
          <w:rFonts w:asciiTheme="majorBidi" w:hAnsiTheme="majorBidi" w:cstheme="majorBidi"/>
          <w:smallCaps/>
          <w:szCs w:val="24"/>
        </w:rPr>
        <w:t>Law &amp; Economics</w:t>
      </w:r>
      <w:r w:rsidRPr="00EB6470">
        <w:rPr>
          <w:rFonts w:asciiTheme="majorBidi" w:hAnsiTheme="majorBidi" w:cstheme="majorBidi"/>
          <w:szCs w:val="24"/>
        </w:rPr>
        <w:t xml:space="preserve"> 301 (5</w:t>
      </w:r>
      <w:r w:rsidRPr="00EB6470">
        <w:rPr>
          <w:rFonts w:asciiTheme="majorBidi" w:hAnsiTheme="majorBidi" w:cstheme="majorBidi"/>
          <w:szCs w:val="24"/>
          <w:vertAlign w:val="superscript"/>
        </w:rPr>
        <w:t>th</w:t>
      </w:r>
      <w:r w:rsidRPr="00EB6470">
        <w:rPr>
          <w:rFonts w:asciiTheme="majorBidi" w:hAnsiTheme="majorBidi" w:cstheme="majorBidi"/>
          <w:szCs w:val="24"/>
        </w:rPr>
        <w:t xml:space="preserve"> ed. 2007)</w:t>
      </w:r>
      <w:r>
        <w:rPr>
          <w:rFonts w:hint="cs"/>
          <w:rtl/>
        </w:rPr>
        <w:t xml:space="preserve">). הסכם ההפצה שבין </w:t>
      </w:r>
      <w:proofErr w:type="spellStart"/>
      <w:r>
        <w:rPr>
          <w:rFonts w:hint="cs"/>
          <w:rtl/>
        </w:rPr>
        <w:t>קורוולב</w:t>
      </w:r>
      <w:proofErr w:type="spellEnd"/>
      <w:r>
        <w:rPr>
          <w:rFonts w:hint="cs"/>
          <w:rtl/>
        </w:rPr>
        <w:t xml:space="preserve"> לצמל הגביל את כוחה של צמל לתקופת חייו הקצרה ולרווחים שצמל יכלה להפיק באותה תקופה ממכירת מוצריה של </w:t>
      </w:r>
      <w:proofErr w:type="spellStart"/>
      <w:r>
        <w:rPr>
          <w:rFonts w:hint="cs"/>
          <w:rtl/>
        </w:rPr>
        <w:t>קורוולב</w:t>
      </w:r>
      <w:proofErr w:type="spellEnd"/>
      <w:r>
        <w:rPr>
          <w:rFonts w:hint="cs"/>
          <w:rtl/>
        </w:rPr>
        <w:t xml:space="preserve"> בישראל. עובדה זו </w:t>
      </w:r>
      <w:proofErr w:type="spellStart"/>
      <w:r>
        <w:rPr>
          <w:rFonts w:hint="cs"/>
          <w:rtl/>
        </w:rPr>
        <w:t>היתה</w:t>
      </w:r>
      <w:proofErr w:type="spellEnd"/>
      <w:r>
        <w:rPr>
          <w:rFonts w:hint="cs"/>
          <w:rtl/>
        </w:rPr>
        <w:t xml:space="preserve"> ידועה היטב </w:t>
      </w:r>
      <w:proofErr w:type="spellStart"/>
      <w:r>
        <w:rPr>
          <w:rFonts w:hint="cs"/>
          <w:rtl/>
        </w:rPr>
        <w:t>למדטרוניק</w:t>
      </w:r>
      <w:proofErr w:type="spellEnd"/>
      <w:r>
        <w:rPr>
          <w:rFonts w:hint="cs"/>
          <w:rtl/>
        </w:rPr>
        <w:t xml:space="preserve"> אחרי שזו נכנסה לנעליה של </w:t>
      </w:r>
      <w:proofErr w:type="spellStart"/>
      <w:r>
        <w:rPr>
          <w:rFonts w:hint="cs"/>
          <w:rtl/>
        </w:rPr>
        <w:t>קורוולב</w:t>
      </w:r>
      <w:proofErr w:type="spellEnd"/>
      <w:r>
        <w:rPr>
          <w:rFonts w:hint="cs"/>
          <w:rtl/>
        </w:rPr>
        <w:t xml:space="preserve">. הדעת נותנת אפוא </w:t>
      </w:r>
      <w:proofErr w:type="spellStart"/>
      <w:r>
        <w:rPr>
          <w:rFonts w:hint="cs"/>
          <w:rtl/>
        </w:rPr>
        <w:t>שמדטרוניק</w:t>
      </w:r>
      <w:proofErr w:type="spellEnd"/>
      <w:r>
        <w:rPr>
          <w:rFonts w:hint="cs"/>
          <w:rtl/>
        </w:rPr>
        <w:t xml:space="preserve"> </w:t>
      </w:r>
      <w:r>
        <w:rPr>
          <w:rtl/>
        </w:rPr>
        <w:t>–</w:t>
      </w:r>
      <w:r>
        <w:rPr>
          <w:rFonts w:hint="cs"/>
          <w:rtl/>
        </w:rPr>
        <w:t xml:space="preserve"> שחקנית ותיקה, מנוסה וחזקה בענף המכשירים הרפואיים </w:t>
      </w:r>
      <w:r>
        <w:rPr>
          <w:rtl/>
        </w:rPr>
        <w:t>–</w:t>
      </w:r>
      <w:r>
        <w:rPr>
          <w:rFonts w:hint="cs"/>
          <w:rtl/>
        </w:rPr>
        <w:t xml:space="preserve"> לא </w:t>
      </w:r>
      <w:proofErr w:type="spellStart"/>
      <w:r>
        <w:rPr>
          <w:rFonts w:hint="cs"/>
          <w:rtl/>
        </w:rPr>
        <w:t>היתה</w:t>
      </w:r>
      <w:proofErr w:type="spellEnd"/>
      <w:r>
        <w:rPr>
          <w:rFonts w:hint="cs"/>
          <w:rtl/>
        </w:rPr>
        <w:t xml:space="preserve"> משלמת לצמל בעד סיום ההסכם סכום כסף שעולה על "הרע ההכרחי" מבחינתה. הסכום של 2,000,000 דולר ארה"ב, אשר שולם על ידי </w:t>
      </w:r>
      <w:proofErr w:type="spellStart"/>
      <w:r>
        <w:rPr>
          <w:rFonts w:hint="cs"/>
          <w:rtl/>
        </w:rPr>
        <w:t>מדטרוניק</w:t>
      </w:r>
      <w:proofErr w:type="spellEnd"/>
      <w:r>
        <w:rPr>
          <w:rFonts w:hint="cs"/>
          <w:rtl/>
        </w:rPr>
        <w:t xml:space="preserve"> לצמל, שולם אפוא מחמת "שנאת המן" (הימשכותו של הסכם ההפצה שבידי צמל עד סוף חייו הקצרים), להבדיל מ"אהבת מרדכי" (צמל). </w:t>
      </w:r>
      <w:proofErr w:type="spellStart"/>
      <w:r>
        <w:rPr>
          <w:rFonts w:hint="cs"/>
          <w:rtl/>
        </w:rPr>
        <w:t>מדטרוניק</w:t>
      </w:r>
      <w:proofErr w:type="spellEnd"/>
      <w:r>
        <w:rPr>
          <w:rFonts w:hint="cs"/>
          <w:rtl/>
        </w:rPr>
        <w:t xml:space="preserve"> חישבה סכום זה כסכום שיהא אטרקטיבי מספיק בעיני צמל כדי לשכנעה לוותר את ההכנסות שנותר לה להפיק ממכירת מוצרי </w:t>
      </w:r>
      <w:proofErr w:type="spellStart"/>
      <w:r>
        <w:rPr>
          <w:rFonts w:hint="cs"/>
          <w:rtl/>
        </w:rPr>
        <w:t>קורוולב</w:t>
      </w:r>
      <w:proofErr w:type="spellEnd"/>
      <w:r>
        <w:rPr>
          <w:rFonts w:hint="cs"/>
          <w:rtl/>
        </w:rPr>
        <w:t xml:space="preserve"> בישראל. הווה אומר: עסקינן בפיצוי </w:t>
      </w:r>
      <w:proofErr w:type="spellStart"/>
      <w:r>
        <w:rPr>
          <w:rFonts w:hint="cs"/>
          <w:rtl/>
        </w:rPr>
        <w:t>פירותי</w:t>
      </w:r>
      <w:proofErr w:type="spellEnd"/>
      <w:r>
        <w:rPr>
          <w:rFonts w:hint="cs"/>
          <w:rtl/>
        </w:rPr>
        <w:t>, ולא בפיצוי הוני.</w:t>
      </w:r>
    </w:p>
    <w:p w:rsidR="00B05730" w:rsidRDefault="00B05730" w:rsidP="00B05730">
      <w:pPr>
        <w:pStyle w:val="Ruller41"/>
        <w:rPr>
          <w:rtl/>
        </w:rPr>
      </w:pPr>
    </w:p>
    <w:p w:rsidR="00B05730" w:rsidRDefault="00B05730" w:rsidP="00B05730">
      <w:pPr>
        <w:pStyle w:val="Ruller4"/>
        <w:rPr>
          <w:rtl/>
        </w:rPr>
      </w:pPr>
      <w:r>
        <w:rPr>
          <w:rFonts w:hint="cs"/>
          <w:rtl/>
        </w:rPr>
        <w:lastRenderedPageBreak/>
        <w:t xml:space="preserve">הניתוח שעשיתי עד כה לא נעשה על ידי בית משפט קמא, למרות שלטעמי הוא מתבקש לנוכח פרטי ההסכמים שבהם עסקינן. בית משפט קמא בחן הסכמים אלה בחינה גלובלית במסגרת המתווה של טענות הצדדים בהליך אדוורסרי אשר נוהל לפניו. בעלי הדין חזרו על מתווה זה גם במסגרת הטיעון שלפנינו מבלי לצלול אל תוך פרטי ההסכמים, כפי שעשיתי אני בניסיוני להתחקות אחר האמת. מסיבה זו, ולמען הזהירות, אבחן כעת את מהותו של הסכם ההפצה בחינה גלובלית כדרכם של בעלי הדין ושל בית משפט קמא. </w:t>
      </w:r>
    </w:p>
    <w:p w:rsidR="00B05730" w:rsidRPr="004D500D" w:rsidRDefault="00B05730" w:rsidP="00B05730">
      <w:pPr>
        <w:pStyle w:val="Ruller41"/>
      </w:pPr>
    </w:p>
    <w:p w:rsidR="00B05730" w:rsidRDefault="00B05730" w:rsidP="00B05730">
      <w:pPr>
        <w:pStyle w:val="Ruller4"/>
        <w:rPr>
          <w:rtl/>
        </w:rPr>
      </w:pPr>
      <w:r>
        <w:rPr>
          <w:rFonts w:hint="cs"/>
          <w:rtl/>
        </w:rPr>
        <w:t xml:space="preserve">בחינה זו של הסכם ההפצה ושל זכויות ההפצה עליהן ויתרה צמל בתמורה לקבלת פיצוי בסך של 2,000,000 דולר ארה"ב </w:t>
      </w:r>
      <w:proofErr w:type="spellStart"/>
      <w:r>
        <w:rPr>
          <w:rFonts w:hint="cs"/>
          <w:rtl/>
        </w:rPr>
        <w:t>ממדטרוניק</w:t>
      </w:r>
      <w:proofErr w:type="spellEnd"/>
      <w:r>
        <w:rPr>
          <w:rFonts w:hint="cs"/>
          <w:rtl/>
        </w:rPr>
        <w:t xml:space="preserve">, אף היא מוליכה למסקנה כי התקבול מושא המחלוקת הוא תקבול </w:t>
      </w:r>
      <w:proofErr w:type="spellStart"/>
      <w:r>
        <w:rPr>
          <w:rFonts w:hint="cs"/>
          <w:rtl/>
        </w:rPr>
        <w:t>פירותי</w:t>
      </w:r>
      <w:proofErr w:type="spellEnd"/>
      <w:r>
        <w:rPr>
          <w:rFonts w:hint="cs"/>
          <w:rtl/>
        </w:rPr>
        <w:t xml:space="preserve"> ולא הוני. למסקנה זאת נגיע בהתבסס על מהותן של זכויות ההפצה אשר היו בידי צמל לפי הדין הישראלי והמבחן של עיקר-מול-טפל, שבעניינו פירטתי לעיל. לאור מהות הזכויות שבהן עסקינן, ברי הוא כי התשלום שהתקבל על ידי צמל שולם לה חלף הסעד שהיה מגיע לה במקרה של הפרת הסכם ההפצה על ידי </w:t>
      </w:r>
      <w:proofErr w:type="spellStart"/>
      <w:r>
        <w:rPr>
          <w:rFonts w:hint="cs"/>
          <w:rtl/>
        </w:rPr>
        <w:t>מדטרוניק</w:t>
      </w:r>
      <w:proofErr w:type="spellEnd"/>
      <w:r>
        <w:rPr>
          <w:rFonts w:hint="cs"/>
          <w:rtl/>
        </w:rPr>
        <w:t xml:space="preserve">. כך עולה בבירור מהאמור בהסכם המבטל. הסעד שברגיל מגיע למפיץ המוצר בגין הפרת הסכם הפצה בלעדי על ידי היצרן של אותו מוצר הוא סעד של פיצויים בגין אובדן רווחים, ולא סעד של אכיפה וביצוע בעין של ההסכם. כך אומר משפטנו-שלנו, וכך אומר גם אני כשאני מתעלם מדיניה של מדינת קליפורניה אשר חלים על הסכם ההפצה שבו עסקינן (ראו: </w:t>
      </w:r>
      <w:r w:rsidRPr="00AB707C">
        <w:rPr>
          <w:rFonts w:hint="eastAsia"/>
          <w:rtl/>
        </w:rPr>
        <w:t>ע</w:t>
      </w:r>
      <w:r>
        <w:rPr>
          <w:rFonts w:hint="cs"/>
          <w:rtl/>
        </w:rPr>
        <w:t>"</w:t>
      </w:r>
      <w:r w:rsidRPr="00AB707C">
        <w:rPr>
          <w:rFonts w:hint="eastAsia"/>
          <w:rtl/>
        </w:rPr>
        <w:t>א</w:t>
      </w:r>
      <w:r w:rsidRPr="00AB707C">
        <w:rPr>
          <w:rtl/>
        </w:rPr>
        <w:t xml:space="preserve"> 442/85 </w:t>
      </w:r>
      <w:r w:rsidRPr="00B43CB5">
        <w:rPr>
          <w:rFonts w:ascii="Century" w:hAnsi="Century" w:cs="Miriam" w:hint="eastAsia"/>
          <w:b/>
          <w:spacing w:val="0"/>
          <w:szCs w:val="24"/>
          <w:rtl/>
        </w:rPr>
        <w:t>זוהר</w:t>
      </w:r>
      <w:r w:rsidRPr="00B43CB5">
        <w:rPr>
          <w:rFonts w:ascii="Century" w:hAnsi="Century" w:cs="Miriam"/>
          <w:b/>
          <w:spacing w:val="0"/>
          <w:szCs w:val="24"/>
          <w:rtl/>
        </w:rPr>
        <w:t xml:space="preserve"> </w:t>
      </w:r>
      <w:r w:rsidRPr="00B43CB5">
        <w:rPr>
          <w:rFonts w:ascii="Century" w:hAnsi="Century" w:cs="Miriam" w:hint="eastAsia"/>
          <w:b/>
          <w:spacing w:val="0"/>
          <w:szCs w:val="24"/>
          <w:rtl/>
        </w:rPr>
        <w:t>ושות</w:t>
      </w:r>
      <w:r w:rsidRPr="00B43CB5">
        <w:rPr>
          <w:rFonts w:ascii="Century" w:hAnsi="Century" w:cs="Miriam"/>
          <w:b/>
          <w:spacing w:val="0"/>
          <w:szCs w:val="24"/>
          <w:rtl/>
        </w:rPr>
        <w:t xml:space="preserve">' </w:t>
      </w:r>
      <w:r w:rsidRPr="00B43CB5">
        <w:rPr>
          <w:rFonts w:ascii="Century" w:hAnsi="Century" w:cs="Miriam" w:hint="eastAsia"/>
          <w:b/>
          <w:spacing w:val="0"/>
          <w:szCs w:val="24"/>
          <w:rtl/>
        </w:rPr>
        <w:t>נ</w:t>
      </w:r>
      <w:r w:rsidRPr="00B43CB5">
        <w:rPr>
          <w:rFonts w:ascii="Century" w:hAnsi="Century" w:cs="Miriam"/>
          <w:b/>
          <w:spacing w:val="0"/>
          <w:szCs w:val="24"/>
          <w:rtl/>
        </w:rPr>
        <w:t xml:space="preserve">' </w:t>
      </w:r>
      <w:r w:rsidRPr="00B43CB5">
        <w:rPr>
          <w:rFonts w:ascii="Century" w:hAnsi="Century" w:cs="Miriam" w:hint="eastAsia"/>
          <w:b/>
          <w:spacing w:val="0"/>
          <w:szCs w:val="24"/>
          <w:rtl/>
        </w:rPr>
        <w:t>מעבדות</w:t>
      </w:r>
      <w:r w:rsidRPr="00B43CB5">
        <w:rPr>
          <w:rFonts w:ascii="Century" w:hAnsi="Century" w:cs="Miriam"/>
          <w:b/>
          <w:spacing w:val="0"/>
          <w:szCs w:val="24"/>
          <w:rtl/>
        </w:rPr>
        <w:t xml:space="preserve"> </w:t>
      </w:r>
      <w:proofErr w:type="spellStart"/>
      <w:r w:rsidRPr="00B43CB5">
        <w:rPr>
          <w:rFonts w:ascii="Century" w:hAnsi="Century" w:cs="Miriam" w:hint="eastAsia"/>
          <w:b/>
          <w:spacing w:val="0"/>
          <w:szCs w:val="24"/>
          <w:rtl/>
        </w:rPr>
        <w:t>טרבנול</w:t>
      </w:r>
      <w:proofErr w:type="spellEnd"/>
      <w:r w:rsidRPr="00AB707C">
        <w:rPr>
          <w:rtl/>
        </w:rPr>
        <w:t xml:space="preserve">, </w:t>
      </w:r>
      <w:r>
        <w:rPr>
          <w:rFonts w:hint="cs"/>
          <w:rtl/>
        </w:rPr>
        <w:t xml:space="preserve">פ"ד </w:t>
      </w:r>
      <w:r w:rsidRPr="00AB707C">
        <w:rPr>
          <w:rFonts w:hint="eastAsia"/>
          <w:rtl/>
        </w:rPr>
        <w:t>מד</w:t>
      </w:r>
      <w:r w:rsidRPr="00AB707C">
        <w:rPr>
          <w:rtl/>
        </w:rPr>
        <w:t>(3) 661</w:t>
      </w:r>
      <w:r>
        <w:rPr>
          <w:rFonts w:hint="cs"/>
          <w:rtl/>
        </w:rPr>
        <w:t xml:space="preserve">, 672, 683 (1990); </w:t>
      </w:r>
      <w:r w:rsidRPr="008E310A">
        <w:rPr>
          <w:rFonts w:hint="eastAsia"/>
          <w:rtl/>
        </w:rPr>
        <w:t>רע</w:t>
      </w:r>
      <w:r>
        <w:rPr>
          <w:rFonts w:hint="cs"/>
          <w:rtl/>
        </w:rPr>
        <w:t>"</w:t>
      </w:r>
      <w:r w:rsidRPr="008E310A">
        <w:rPr>
          <w:rFonts w:hint="eastAsia"/>
          <w:rtl/>
        </w:rPr>
        <w:t>א</w:t>
      </w:r>
      <w:r>
        <w:rPr>
          <w:rFonts w:hint="cs"/>
          <w:rtl/>
        </w:rPr>
        <w:t xml:space="preserve"> </w:t>
      </w:r>
      <w:r w:rsidRPr="008E310A">
        <w:rPr>
          <w:rtl/>
        </w:rPr>
        <w:t xml:space="preserve">5284/95 </w:t>
      </w:r>
      <w:proofErr w:type="spellStart"/>
      <w:r w:rsidRPr="00B43CB5">
        <w:rPr>
          <w:rFonts w:ascii="Century" w:hAnsi="Century" w:cs="Miriam" w:hint="eastAsia"/>
          <w:b/>
          <w:spacing w:val="0"/>
          <w:szCs w:val="24"/>
          <w:rtl/>
        </w:rPr>
        <w:t>ג</w:t>
      </w:r>
      <w:r w:rsidRPr="00B43CB5">
        <w:rPr>
          <w:rFonts w:ascii="Century" w:hAnsi="Century" w:cs="Miriam"/>
          <w:b/>
          <w:spacing w:val="0"/>
          <w:szCs w:val="24"/>
          <w:rtl/>
        </w:rPr>
        <w:t>'</w:t>
      </w:r>
      <w:r w:rsidRPr="00B43CB5">
        <w:rPr>
          <w:rFonts w:ascii="Century" w:hAnsi="Century" w:cs="Miriam" w:hint="eastAsia"/>
          <w:b/>
          <w:spacing w:val="0"/>
          <w:szCs w:val="24"/>
          <w:rtl/>
        </w:rPr>
        <w:t>יג</w:t>
      </w:r>
      <w:r w:rsidRPr="00B43CB5">
        <w:rPr>
          <w:rFonts w:ascii="Century" w:hAnsi="Century" w:cs="Miriam"/>
          <w:b/>
          <w:spacing w:val="0"/>
          <w:szCs w:val="24"/>
          <w:rtl/>
        </w:rPr>
        <w:t>'</w:t>
      </w:r>
      <w:r w:rsidRPr="00B43CB5">
        <w:rPr>
          <w:rFonts w:ascii="Century" w:hAnsi="Century" w:cs="Miriam" w:hint="eastAsia"/>
          <w:b/>
          <w:spacing w:val="0"/>
          <w:szCs w:val="24"/>
          <w:rtl/>
        </w:rPr>
        <w:t>י</w:t>
      </w:r>
      <w:proofErr w:type="spellEnd"/>
      <w:r w:rsidRPr="00B43CB5">
        <w:rPr>
          <w:rFonts w:ascii="Century" w:hAnsi="Century" w:cs="Miriam"/>
          <w:b/>
          <w:spacing w:val="0"/>
          <w:szCs w:val="24"/>
          <w:rtl/>
        </w:rPr>
        <w:t xml:space="preserve"> </w:t>
      </w:r>
      <w:r w:rsidRPr="00B43CB5">
        <w:rPr>
          <w:rFonts w:ascii="Century" w:hAnsi="Century" w:cs="Miriam" w:hint="eastAsia"/>
          <w:b/>
          <w:spacing w:val="0"/>
          <w:szCs w:val="24"/>
          <w:rtl/>
        </w:rPr>
        <w:t>מעבדות</w:t>
      </w:r>
      <w:r w:rsidRPr="00B43CB5">
        <w:rPr>
          <w:rFonts w:ascii="Century" w:hAnsi="Century" w:cs="Miriam"/>
          <w:b/>
          <w:spacing w:val="0"/>
          <w:szCs w:val="24"/>
          <w:rtl/>
        </w:rPr>
        <w:t xml:space="preserve"> </w:t>
      </w:r>
      <w:r w:rsidRPr="00B43CB5">
        <w:rPr>
          <w:rFonts w:ascii="Century" w:hAnsi="Century" w:cs="Miriam" w:hint="eastAsia"/>
          <w:b/>
          <w:spacing w:val="0"/>
          <w:szCs w:val="24"/>
          <w:rtl/>
        </w:rPr>
        <w:t>קוסמטיקה</w:t>
      </w:r>
      <w:r w:rsidRPr="00B43CB5">
        <w:rPr>
          <w:rFonts w:ascii="Century" w:hAnsi="Century" w:cs="Miriam"/>
          <w:b/>
          <w:spacing w:val="0"/>
          <w:szCs w:val="24"/>
          <w:rtl/>
        </w:rPr>
        <w:t xml:space="preserve">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sidRPr="00B43CB5">
        <w:rPr>
          <w:rFonts w:ascii="Century" w:hAnsi="Century" w:cs="Miriam"/>
          <w:b/>
          <w:spacing w:val="0"/>
          <w:szCs w:val="24"/>
          <w:rtl/>
        </w:rPr>
        <w:t xml:space="preserve"> </w:t>
      </w:r>
      <w:r w:rsidRPr="00B43CB5">
        <w:rPr>
          <w:rFonts w:ascii="Century" w:hAnsi="Century" w:cs="Miriam" w:hint="eastAsia"/>
          <w:b/>
          <w:spacing w:val="0"/>
          <w:szCs w:val="24"/>
          <w:rtl/>
        </w:rPr>
        <w:t>נ</w:t>
      </w:r>
      <w:r w:rsidRPr="00B43CB5">
        <w:rPr>
          <w:rFonts w:ascii="Century" w:hAnsi="Century" w:cs="Miriam"/>
          <w:b/>
          <w:spacing w:val="0"/>
          <w:szCs w:val="24"/>
          <w:rtl/>
        </w:rPr>
        <w:t>'</w:t>
      </w:r>
      <w:r w:rsidRPr="00B43CB5">
        <w:rPr>
          <w:rFonts w:ascii="Century" w:hAnsi="Century" w:cs="Miriam" w:hint="cs"/>
          <w:b/>
          <w:spacing w:val="0"/>
          <w:szCs w:val="24"/>
          <w:rtl/>
        </w:rPr>
        <w:t xml:space="preserve"> של</w:t>
      </w:r>
      <w:r w:rsidRPr="00B43CB5">
        <w:rPr>
          <w:rFonts w:ascii="Century" w:hAnsi="Century" w:cs="Miriam"/>
          <w:b/>
          <w:spacing w:val="0"/>
          <w:szCs w:val="24"/>
          <w:rtl/>
        </w:rPr>
        <w:t xml:space="preserve"> </w:t>
      </w:r>
      <w:r w:rsidRPr="00B43CB5">
        <w:rPr>
          <w:rFonts w:ascii="Century" w:hAnsi="Century" w:cs="Miriam" w:hint="eastAsia"/>
          <w:b/>
          <w:spacing w:val="0"/>
          <w:szCs w:val="24"/>
          <w:rtl/>
        </w:rPr>
        <w:t>סוכנויות</w:t>
      </w:r>
      <w:r w:rsidRPr="00B43CB5">
        <w:rPr>
          <w:rFonts w:ascii="Century" w:hAnsi="Century" w:cs="Miriam"/>
          <w:b/>
          <w:spacing w:val="0"/>
          <w:szCs w:val="24"/>
          <w:rtl/>
        </w:rPr>
        <w:t xml:space="preserve"> </w:t>
      </w:r>
      <w:r w:rsidRPr="00B43CB5">
        <w:rPr>
          <w:rFonts w:ascii="Century" w:hAnsi="Century" w:cs="Miriam" w:hint="eastAsia"/>
          <w:b/>
          <w:spacing w:val="0"/>
          <w:szCs w:val="24"/>
          <w:rtl/>
        </w:rPr>
        <w:t>יופי</w:t>
      </w:r>
      <w:r w:rsidRPr="00B43CB5">
        <w:rPr>
          <w:rFonts w:ascii="Century" w:hAnsi="Century" w:cs="Miriam"/>
          <w:b/>
          <w:spacing w:val="0"/>
          <w:szCs w:val="24"/>
          <w:rtl/>
        </w:rPr>
        <w:t xml:space="preserve">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Pr>
          <w:rFonts w:hint="cs"/>
          <w:rtl/>
        </w:rPr>
        <w:t xml:space="preserve"> (</w:t>
      </w:r>
      <w:r w:rsidRPr="008E310A">
        <w:rPr>
          <w:rtl/>
        </w:rPr>
        <w:t>24.10.</w:t>
      </w:r>
      <w:r>
        <w:rPr>
          <w:rFonts w:hint="cs"/>
          <w:rtl/>
        </w:rPr>
        <w:t>19</w:t>
      </w:r>
      <w:r w:rsidRPr="008E310A">
        <w:rPr>
          <w:rtl/>
        </w:rPr>
        <w:t>95</w:t>
      </w:r>
      <w:r>
        <w:rPr>
          <w:rFonts w:hint="cs"/>
          <w:rtl/>
        </w:rPr>
        <w:t xml:space="preserve">); </w:t>
      </w:r>
      <w:r w:rsidRPr="0037428D">
        <w:rPr>
          <w:rFonts w:hint="eastAsia"/>
          <w:rtl/>
        </w:rPr>
        <w:t>ע</w:t>
      </w:r>
      <w:r>
        <w:rPr>
          <w:rFonts w:hint="cs"/>
          <w:rtl/>
        </w:rPr>
        <w:t>"</w:t>
      </w:r>
      <w:r w:rsidRPr="0037428D">
        <w:rPr>
          <w:rFonts w:hint="eastAsia"/>
          <w:rtl/>
        </w:rPr>
        <w:t>א</w:t>
      </w:r>
      <w:r w:rsidRPr="0037428D">
        <w:rPr>
          <w:rtl/>
        </w:rPr>
        <w:t xml:space="preserve"> 1319/06‏‏ </w:t>
      </w:r>
      <w:r w:rsidRPr="00B43CB5">
        <w:rPr>
          <w:rFonts w:ascii="Century" w:hAnsi="Century" w:cs="Miriam" w:hint="eastAsia"/>
          <w:b/>
          <w:spacing w:val="0"/>
          <w:szCs w:val="24"/>
          <w:rtl/>
        </w:rPr>
        <w:t>שלק</w:t>
      </w:r>
      <w:r w:rsidRPr="00B43CB5">
        <w:rPr>
          <w:rFonts w:ascii="Century" w:hAnsi="Century" w:cs="Miriam"/>
          <w:b/>
          <w:spacing w:val="0"/>
          <w:szCs w:val="24"/>
          <w:rtl/>
        </w:rPr>
        <w:t xml:space="preserve"> </w:t>
      </w:r>
      <w:r w:rsidRPr="00B43CB5">
        <w:rPr>
          <w:rFonts w:ascii="Century" w:hAnsi="Century" w:cs="Miriam" w:hint="eastAsia"/>
          <w:b/>
          <w:spacing w:val="0"/>
          <w:szCs w:val="24"/>
          <w:rtl/>
        </w:rPr>
        <w:t>נ</w:t>
      </w:r>
      <w:r w:rsidRPr="00B43CB5">
        <w:rPr>
          <w:rFonts w:ascii="Century" w:hAnsi="Century" w:cs="Miriam"/>
          <w:b/>
          <w:spacing w:val="0"/>
          <w:szCs w:val="24"/>
          <w:rtl/>
        </w:rPr>
        <w:t xml:space="preserve">' </w:t>
      </w:r>
      <w:r w:rsidRPr="00B43CB5">
        <w:rPr>
          <w:rFonts w:ascii="Century" w:hAnsi="Century" w:cs="Miriam" w:hint="eastAsia"/>
          <w:b/>
          <w:spacing w:val="0"/>
          <w:szCs w:val="24"/>
          <w:rtl/>
        </w:rPr>
        <w:t>טנא</w:t>
      </w:r>
      <w:r w:rsidRPr="00B43CB5">
        <w:rPr>
          <w:rFonts w:ascii="Century" w:hAnsi="Century" w:cs="Miriam"/>
          <w:b/>
          <w:spacing w:val="0"/>
          <w:szCs w:val="24"/>
          <w:rtl/>
        </w:rPr>
        <w:t xml:space="preserve"> </w:t>
      </w:r>
      <w:r w:rsidRPr="00B43CB5">
        <w:rPr>
          <w:rFonts w:ascii="Century" w:hAnsi="Century" w:cs="Miriam" w:hint="eastAsia"/>
          <w:b/>
          <w:spacing w:val="0"/>
          <w:szCs w:val="24"/>
          <w:rtl/>
        </w:rPr>
        <w:t>נגה</w:t>
      </w:r>
      <w:r w:rsidRPr="00B43CB5">
        <w:rPr>
          <w:rFonts w:ascii="Century" w:hAnsi="Century" w:cs="Miriam"/>
          <w:b/>
          <w:spacing w:val="0"/>
          <w:szCs w:val="24"/>
          <w:rtl/>
        </w:rPr>
        <w:t xml:space="preserve"> (</w:t>
      </w:r>
      <w:r w:rsidRPr="00B43CB5">
        <w:rPr>
          <w:rFonts w:ascii="Century" w:hAnsi="Century" w:cs="Miriam" w:hint="eastAsia"/>
          <w:b/>
          <w:spacing w:val="0"/>
          <w:szCs w:val="24"/>
          <w:rtl/>
        </w:rPr>
        <w:t>שווק</w:t>
      </w:r>
      <w:r w:rsidRPr="00B43CB5">
        <w:rPr>
          <w:rFonts w:ascii="Century" w:hAnsi="Century" w:cs="Miriam"/>
          <w:b/>
          <w:spacing w:val="0"/>
          <w:szCs w:val="24"/>
          <w:rtl/>
        </w:rPr>
        <w:t xml:space="preserve">) 1981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Pr>
          <w:rFonts w:hint="cs"/>
          <w:rtl/>
        </w:rPr>
        <w:t xml:space="preserve">, פסקה 20 לפסק דינו של השופט </w:t>
      </w:r>
      <w:r w:rsidRPr="00B43CB5">
        <w:rPr>
          <w:rFonts w:ascii="Century" w:hAnsi="Century" w:cs="Miriam" w:hint="cs"/>
          <w:b/>
          <w:spacing w:val="0"/>
          <w:szCs w:val="24"/>
          <w:rtl/>
        </w:rPr>
        <w:t>ס' ג'ובראן</w:t>
      </w:r>
      <w:r>
        <w:rPr>
          <w:rFonts w:hint="cs"/>
          <w:rtl/>
        </w:rPr>
        <w:t xml:space="preserve"> (כתוארו אז) (</w:t>
      </w:r>
      <w:r w:rsidRPr="0037428D">
        <w:rPr>
          <w:rtl/>
        </w:rPr>
        <w:t>20.3.2007</w:t>
      </w:r>
      <w:r>
        <w:rPr>
          <w:rFonts w:hint="cs"/>
          <w:rtl/>
        </w:rPr>
        <w:t xml:space="preserve">); </w:t>
      </w:r>
      <w:r w:rsidRPr="00062489">
        <w:rPr>
          <w:rFonts w:hint="eastAsia"/>
          <w:rtl/>
        </w:rPr>
        <w:t>ע</w:t>
      </w:r>
      <w:r>
        <w:rPr>
          <w:rFonts w:hint="cs"/>
          <w:rtl/>
        </w:rPr>
        <w:t>"</w:t>
      </w:r>
      <w:r w:rsidRPr="00062489">
        <w:rPr>
          <w:rFonts w:hint="eastAsia"/>
          <w:rtl/>
        </w:rPr>
        <w:t>א</w:t>
      </w:r>
      <w:r>
        <w:rPr>
          <w:rtl/>
        </w:rPr>
        <w:t xml:space="preserve"> 4232/13 ‏</w:t>
      </w:r>
      <w:proofErr w:type="spellStart"/>
      <w:r w:rsidRPr="00B43CB5">
        <w:rPr>
          <w:rFonts w:ascii="Century" w:hAnsi="Century" w:cs="Miriam" w:hint="eastAsia"/>
          <w:b/>
          <w:spacing w:val="0"/>
          <w:szCs w:val="24"/>
          <w:rtl/>
        </w:rPr>
        <w:t>אנגלו</w:t>
      </w:r>
      <w:proofErr w:type="spellEnd"/>
      <w:r w:rsidRPr="00B43CB5">
        <w:rPr>
          <w:rFonts w:ascii="Century" w:hAnsi="Century" w:cs="Miriam"/>
          <w:b/>
          <w:spacing w:val="0"/>
          <w:szCs w:val="24"/>
          <w:rtl/>
        </w:rPr>
        <w:t xml:space="preserve"> </w:t>
      </w:r>
      <w:proofErr w:type="spellStart"/>
      <w:r w:rsidRPr="00B43CB5">
        <w:rPr>
          <w:rFonts w:ascii="Century" w:hAnsi="Century" w:cs="Miriam" w:hint="eastAsia"/>
          <w:b/>
          <w:spacing w:val="0"/>
          <w:szCs w:val="24"/>
          <w:rtl/>
        </w:rPr>
        <w:t>סכסון</w:t>
      </w:r>
      <w:proofErr w:type="spellEnd"/>
      <w:r w:rsidRPr="00B43CB5">
        <w:rPr>
          <w:rFonts w:ascii="Century" w:hAnsi="Century" w:cs="Miriam"/>
          <w:b/>
          <w:spacing w:val="0"/>
          <w:szCs w:val="24"/>
          <w:rtl/>
        </w:rPr>
        <w:t xml:space="preserve"> </w:t>
      </w:r>
      <w:r w:rsidRPr="00B43CB5">
        <w:rPr>
          <w:rFonts w:ascii="Century" w:hAnsi="Century" w:cs="Miriam" w:hint="eastAsia"/>
          <w:b/>
          <w:spacing w:val="0"/>
          <w:szCs w:val="24"/>
          <w:rtl/>
        </w:rPr>
        <w:t>סוכנות</w:t>
      </w:r>
      <w:r w:rsidRPr="00B43CB5">
        <w:rPr>
          <w:rFonts w:ascii="Century" w:hAnsi="Century" w:cs="Miriam"/>
          <w:b/>
          <w:spacing w:val="0"/>
          <w:szCs w:val="24"/>
          <w:rtl/>
        </w:rPr>
        <w:t xml:space="preserve"> </w:t>
      </w:r>
      <w:r w:rsidRPr="00B43CB5">
        <w:rPr>
          <w:rFonts w:ascii="Century" w:hAnsi="Century" w:cs="Miriam" w:hint="eastAsia"/>
          <w:b/>
          <w:spacing w:val="0"/>
          <w:szCs w:val="24"/>
          <w:rtl/>
        </w:rPr>
        <w:t>לנכסים</w:t>
      </w:r>
      <w:r w:rsidRPr="00B43CB5">
        <w:rPr>
          <w:rFonts w:ascii="Century" w:hAnsi="Century" w:cs="Miriam"/>
          <w:b/>
          <w:spacing w:val="0"/>
          <w:szCs w:val="24"/>
          <w:rtl/>
        </w:rPr>
        <w:t xml:space="preserve">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sidRPr="00B43CB5">
        <w:rPr>
          <w:rFonts w:ascii="Century" w:hAnsi="Century" w:cs="Miriam"/>
          <w:b/>
          <w:spacing w:val="0"/>
          <w:szCs w:val="24"/>
          <w:rtl/>
        </w:rPr>
        <w:t xml:space="preserve"> </w:t>
      </w:r>
      <w:r w:rsidRPr="00B43CB5">
        <w:rPr>
          <w:rFonts w:ascii="Century" w:hAnsi="Century" w:cs="Miriam" w:hint="eastAsia"/>
          <w:b/>
          <w:spacing w:val="0"/>
          <w:szCs w:val="24"/>
          <w:rtl/>
        </w:rPr>
        <w:t>נ</w:t>
      </w:r>
      <w:r w:rsidRPr="00B43CB5">
        <w:rPr>
          <w:rFonts w:ascii="Century" w:hAnsi="Century" w:cs="Miriam"/>
          <w:b/>
          <w:spacing w:val="0"/>
          <w:szCs w:val="24"/>
          <w:rtl/>
        </w:rPr>
        <w:t xml:space="preserve">' </w:t>
      </w:r>
      <w:r w:rsidRPr="00B43CB5">
        <w:rPr>
          <w:rFonts w:ascii="Century" w:hAnsi="Century" w:cs="Miriam" w:hint="eastAsia"/>
          <w:b/>
          <w:spacing w:val="0"/>
          <w:szCs w:val="24"/>
          <w:rtl/>
        </w:rPr>
        <w:t>בלום</w:t>
      </w:r>
      <w:r>
        <w:rPr>
          <w:rFonts w:hint="cs"/>
          <w:rtl/>
        </w:rPr>
        <w:t xml:space="preserve">, פסקאות 13 ו-15 לפסק דינו של השופט </w:t>
      </w:r>
      <w:r w:rsidRPr="00B43CB5">
        <w:rPr>
          <w:rFonts w:ascii="Century" w:hAnsi="Century" w:cs="Miriam" w:hint="cs"/>
          <w:b/>
          <w:spacing w:val="0"/>
          <w:szCs w:val="24"/>
          <w:rtl/>
        </w:rPr>
        <w:t>י' עמית</w:t>
      </w:r>
      <w:r>
        <w:rPr>
          <w:rFonts w:hint="cs"/>
          <w:rtl/>
        </w:rPr>
        <w:t xml:space="preserve"> (</w:t>
      </w:r>
      <w:r w:rsidRPr="00A33147">
        <w:rPr>
          <w:rtl/>
        </w:rPr>
        <w:t>29.1.2015</w:t>
      </w:r>
      <w:r>
        <w:rPr>
          <w:rFonts w:hint="cs"/>
          <w:rtl/>
        </w:rPr>
        <w:t xml:space="preserve">); </w:t>
      </w:r>
      <w:r w:rsidRPr="003B4BA8">
        <w:rPr>
          <w:rFonts w:hint="eastAsia"/>
          <w:rtl/>
        </w:rPr>
        <w:t>רע</w:t>
      </w:r>
      <w:r>
        <w:rPr>
          <w:rFonts w:hint="cs"/>
          <w:rtl/>
        </w:rPr>
        <w:t>"</w:t>
      </w:r>
      <w:r w:rsidRPr="003B4BA8">
        <w:rPr>
          <w:rFonts w:hint="eastAsia"/>
          <w:rtl/>
        </w:rPr>
        <w:t>א</w:t>
      </w:r>
      <w:r>
        <w:rPr>
          <w:rtl/>
        </w:rPr>
        <w:t xml:space="preserve"> 7246/11 </w:t>
      </w:r>
      <w:r w:rsidRPr="00B43CB5">
        <w:rPr>
          <w:rFonts w:ascii="Century" w:hAnsi="Century" w:cs="Miriam"/>
          <w:b/>
          <w:spacing w:val="0"/>
          <w:szCs w:val="24"/>
          <w:rtl/>
        </w:rPr>
        <w:t>‏</w:t>
      </w:r>
      <w:r w:rsidRPr="00B43CB5">
        <w:rPr>
          <w:rFonts w:ascii="Century" w:hAnsi="Century" w:cs="Miriam" w:hint="eastAsia"/>
          <w:b/>
          <w:spacing w:val="0"/>
          <w:szCs w:val="24"/>
          <w:rtl/>
        </w:rPr>
        <w:t>חיים</w:t>
      </w:r>
      <w:r w:rsidRPr="00B43CB5">
        <w:rPr>
          <w:rFonts w:ascii="Century" w:hAnsi="Century" w:cs="Miriam"/>
          <w:b/>
          <w:spacing w:val="0"/>
          <w:szCs w:val="24"/>
          <w:rtl/>
        </w:rPr>
        <w:t xml:space="preserve"> </w:t>
      </w:r>
      <w:r w:rsidRPr="00B43CB5">
        <w:rPr>
          <w:rFonts w:ascii="Century" w:hAnsi="Century" w:cs="Miriam" w:hint="eastAsia"/>
          <w:b/>
          <w:spacing w:val="0"/>
          <w:szCs w:val="24"/>
          <w:rtl/>
        </w:rPr>
        <w:t>לוי</w:t>
      </w:r>
      <w:r w:rsidRPr="00B43CB5">
        <w:rPr>
          <w:rFonts w:ascii="Century" w:hAnsi="Century" w:cs="Miriam"/>
          <w:b/>
          <w:spacing w:val="0"/>
          <w:szCs w:val="24"/>
          <w:rtl/>
        </w:rPr>
        <w:t xml:space="preserve"> </w:t>
      </w:r>
      <w:r w:rsidRPr="00B43CB5">
        <w:rPr>
          <w:rFonts w:ascii="Century" w:hAnsi="Century" w:cs="Miriam" w:hint="eastAsia"/>
          <w:b/>
          <w:spacing w:val="0"/>
          <w:szCs w:val="24"/>
          <w:rtl/>
        </w:rPr>
        <w:t>סוכנות</w:t>
      </w:r>
      <w:r w:rsidRPr="00B43CB5">
        <w:rPr>
          <w:rFonts w:ascii="Century" w:hAnsi="Century" w:cs="Miriam"/>
          <w:b/>
          <w:spacing w:val="0"/>
          <w:szCs w:val="24"/>
          <w:rtl/>
        </w:rPr>
        <w:t xml:space="preserve"> </w:t>
      </w:r>
      <w:r w:rsidRPr="00B43CB5">
        <w:rPr>
          <w:rFonts w:ascii="Century" w:hAnsi="Century" w:cs="Miriam" w:hint="eastAsia"/>
          <w:b/>
          <w:spacing w:val="0"/>
          <w:szCs w:val="24"/>
          <w:rtl/>
        </w:rPr>
        <w:t>רכב</w:t>
      </w:r>
      <w:r w:rsidRPr="00B43CB5">
        <w:rPr>
          <w:rFonts w:ascii="Century" w:hAnsi="Century" w:cs="Miriam"/>
          <w:b/>
          <w:spacing w:val="0"/>
          <w:szCs w:val="24"/>
          <w:rtl/>
        </w:rPr>
        <w:t xml:space="preserve"> </w:t>
      </w:r>
      <w:r w:rsidRPr="00B43CB5">
        <w:rPr>
          <w:rFonts w:ascii="Century" w:hAnsi="Century" w:cs="Miriam" w:hint="eastAsia"/>
          <w:b/>
          <w:spacing w:val="0"/>
          <w:szCs w:val="24"/>
          <w:rtl/>
        </w:rPr>
        <w:t>ומוסך</w:t>
      </w:r>
      <w:r w:rsidRPr="00B43CB5">
        <w:rPr>
          <w:rFonts w:ascii="Century" w:hAnsi="Century" w:cs="Miriam"/>
          <w:b/>
          <w:spacing w:val="0"/>
          <w:szCs w:val="24"/>
          <w:rtl/>
        </w:rPr>
        <w:t xml:space="preserve"> </w:t>
      </w:r>
      <w:proofErr w:type="spellStart"/>
      <w:r w:rsidRPr="00B43CB5">
        <w:rPr>
          <w:rFonts w:ascii="Century" w:hAnsi="Century" w:cs="Miriam" w:hint="eastAsia"/>
          <w:b/>
          <w:spacing w:val="0"/>
          <w:szCs w:val="24"/>
          <w:rtl/>
        </w:rPr>
        <w:t>איזורי</w:t>
      </w:r>
      <w:proofErr w:type="spellEnd"/>
      <w:r w:rsidRPr="00B43CB5">
        <w:rPr>
          <w:rFonts w:ascii="Century" w:hAnsi="Century" w:cs="Miriam"/>
          <w:b/>
          <w:spacing w:val="0"/>
          <w:szCs w:val="24"/>
          <w:rtl/>
        </w:rPr>
        <w:t xml:space="preserve"> </w:t>
      </w:r>
      <w:r w:rsidRPr="00B43CB5">
        <w:rPr>
          <w:rFonts w:ascii="Century" w:hAnsi="Century" w:cs="Miriam" w:hint="eastAsia"/>
          <w:b/>
          <w:spacing w:val="0"/>
          <w:szCs w:val="24"/>
          <w:rtl/>
        </w:rPr>
        <w:t>ירושלים</w:t>
      </w:r>
      <w:r w:rsidRPr="00B43CB5">
        <w:rPr>
          <w:rFonts w:ascii="Century" w:hAnsi="Century" w:cs="Miriam"/>
          <w:b/>
          <w:spacing w:val="0"/>
          <w:szCs w:val="24"/>
          <w:rtl/>
        </w:rPr>
        <w:t xml:space="preserve"> (1998)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sidRPr="00B43CB5">
        <w:rPr>
          <w:rFonts w:ascii="Century" w:hAnsi="Century" w:cs="Miriam"/>
          <w:b/>
          <w:spacing w:val="0"/>
          <w:szCs w:val="24"/>
          <w:rtl/>
        </w:rPr>
        <w:t xml:space="preserve"> </w:t>
      </w:r>
      <w:r w:rsidRPr="00B43CB5">
        <w:rPr>
          <w:rFonts w:ascii="Century" w:hAnsi="Century" w:cs="Miriam" w:hint="eastAsia"/>
          <w:b/>
          <w:spacing w:val="0"/>
          <w:szCs w:val="24"/>
          <w:rtl/>
        </w:rPr>
        <w:t>נ</w:t>
      </w:r>
      <w:r w:rsidRPr="00B43CB5">
        <w:rPr>
          <w:rFonts w:ascii="Century" w:hAnsi="Century" w:cs="Miriam"/>
          <w:b/>
          <w:spacing w:val="0"/>
          <w:szCs w:val="24"/>
          <w:rtl/>
        </w:rPr>
        <w:t xml:space="preserve">' </w:t>
      </w:r>
      <w:r w:rsidRPr="00B43CB5">
        <w:rPr>
          <w:rFonts w:ascii="Century" w:hAnsi="Century" w:cs="Miriam" w:hint="eastAsia"/>
          <w:b/>
          <w:spacing w:val="0"/>
          <w:szCs w:val="24"/>
          <w:rtl/>
        </w:rPr>
        <w:t>קרסו</w:t>
      </w:r>
      <w:r w:rsidRPr="00B43CB5">
        <w:rPr>
          <w:rFonts w:ascii="Century" w:hAnsi="Century" w:cs="Miriam"/>
          <w:b/>
          <w:spacing w:val="0"/>
          <w:szCs w:val="24"/>
          <w:rtl/>
        </w:rPr>
        <w:t xml:space="preserve"> </w:t>
      </w:r>
      <w:r w:rsidRPr="00B43CB5">
        <w:rPr>
          <w:rFonts w:ascii="Century" w:hAnsi="Century" w:cs="Miriam" w:hint="eastAsia"/>
          <w:b/>
          <w:spacing w:val="0"/>
          <w:szCs w:val="24"/>
          <w:rtl/>
        </w:rPr>
        <w:t>מוטורס</w:t>
      </w:r>
      <w:r w:rsidRPr="00B43CB5">
        <w:rPr>
          <w:rFonts w:ascii="Century" w:hAnsi="Century" w:cs="Miriam"/>
          <w:b/>
          <w:spacing w:val="0"/>
          <w:szCs w:val="24"/>
          <w:rtl/>
        </w:rPr>
        <w:t xml:space="preserve"> </w:t>
      </w:r>
      <w:r w:rsidRPr="00B43CB5">
        <w:rPr>
          <w:rFonts w:ascii="Century" w:hAnsi="Century" w:cs="Miriam" w:hint="eastAsia"/>
          <w:b/>
          <w:spacing w:val="0"/>
          <w:szCs w:val="24"/>
          <w:rtl/>
        </w:rPr>
        <w:t>בע</w:t>
      </w:r>
      <w:r w:rsidRPr="00B43CB5">
        <w:rPr>
          <w:rFonts w:ascii="Century" w:hAnsi="Century" w:cs="Miriam"/>
          <w:b/>
          <w:spacing w:val="0"/>
          <w:szCs w:val="24"/>
          <w:rtl/>
        </w:rPr>
        <w:t>"</w:t>
      </w:r>
      <w:r w:rsidRPr="00B43CB5">
        <w:rPr>
          <w:rFonts w:ascii="Century" w:hAnsi="Century" w:cs="Miriam" w:hint="eastAsia"/>
          <w:b/>
          <w:spacing w:val="0"/>
          <w:szCs w:val="24"/>
          <w:rtl/>
        </w:rPr>
        <w:t>מ</w:t>
      </w:r>
      <w:r>
        <w:rPr>
          <w:rFonts w:hint="cs"/>
          <w:rtl/>
        </w:rPr>
        <w:t xml:space="preserve">, פסקה 7 לפסק דינה של השופטת </w:t>
      </w:r>
      <w:r w:rsidRPr="00B43CB5">
        <w:rPr>
          <w:rFonts w:ascii="Century" w:hAnsi="Century" w:cs="Miriam" w:hint="cs"/>
          <w:b/>
          <w:spacing w:val="0"/>
          <w:szCs w:val="24"/>
          <w:rtl/>
        </w:rPr>
        <w:t>א' חיות</w:t>
      </w:r>
      <w:r w:rsidRPr="003B4BA8">
        <w:rPr>
          <w:rFonts w:hint="cs"/>
          <w:rtl/>
        </w:rPr>
        <w:t xml:space="preserve"> </w:t>
      </w:r>
      <w:r>
        <w:rPr>
          <w:rFonts w:hint="cs"/>
          <w:rtl/>
        </w:rPr>
        <w:t>(כתוארה אז) (</w:t>
      </w:r>
      <w:r w:rsidRPr="003B4BA8">
        <w:rPr>
          <w:rtl/>
        </w:rPr>
        <w:t>16.1.2012</w:t>
      </w:r>
      <w:r>
        <w:rPr>
          <w:rFonts w:hint="cs"/>
          <w:rtl/>
        </w:rPr>
        <w:t xml:space="preserve">)). אשר על כן, התקבול שהתקבל על ידי צמל הינו </w:t>
      </w:r>
      <w:proofErr w:type="spellStart"/>
      <w:r>
        <w:rPr>
          <w:rFonts w:hint="cs"/>
          <w:rtl/>
        </w:rPr>
        <w:t>פירותי</w:t>
      </w:r>
      <w:proofErr w:type="spellEnd"/>
      <w:r>
        <w:rPr>
          <w:rFonts w:hint="cs"/>
          <w:rtl/>
        </w:rPr>
        <w:t xml:space="preserve"> ולא הוני. </w:t>
      </w:r>
    </w:p>
    <w:p w:rsidR="00B05730" w:rsidRPr="00BB1BB2" w:rsidRDefault="00B05730" w:rsidP="00B05730">
      <w:pPr>
        <w:pStyle w:val="Ruller41"/>
      </w:pPr>
    </w:p>
    <w:p w:rsidR="00B05730" w:rsidRDefault="00B05730" w:rsidP="00B05730">
      <w:pPr>
        <w:pStyle w:val="Ruller4"/>
      </w:pPr>
      <w:r>
        <w:rPr>
          <w:rFonts w:hint="cs"/>
          <w:rtl/>
        </w:rPr>
        <w:t xml:space="preserve">בהקשר זה, טענו המערערים כי לצמל לא </w:t>
      </w:r>
      <w:proofErr w:type="spellStart"/>
      <w:r>
        <w:rPr>
          <w:rFonts w:hint="cs"/>
          <w:rtl/>
        </w:rPr>
        <w:t>היתה</w:t>
      </w:r>
      <w:proofErr w:type="spellEnd"/>
      <w:r>
        <w:rPr>
          <w:rFonts w:hint="cs"/>
          <w:rtl/>
        </w:rPr>
        <w:t xml:space="preserve"> כל ברירה מעשית אלא להסכים בסופו של דבר לסיומו של הסכם ההפצה (כאמור בסעיף 50.5 לסיכומי המערערים). טענה זו לא הוכחה בגדרו של ההליך קמא ולא בוססה במסגרת הטענות שהובאו לפנינו. טענה זו ממילא אינה מעלה ואינה מורידה: גם אם אניח לטובתה של צמל שאילוצים כאלה או אחרים הם שגרמו לה להסכים לתנאיו של ההסכם המבטל, לא אוכל לשנות את מהותו של התקבול ששולם לה במסגרתו של אותו הסכם. תקבול </w:t>
      </w:r>
      <w:proofErr w:type="spellStart"/>
      <w:r>
        <w:rPr>
          <w:rFonts w:hint="cs"/>
          <w:rtl/>
        </w:rPr>
        <w:t>פירותי</w:t>
      </w:r>
      <w:proofErr w:type="spellEnd"/>
      <w:r>
        <w:rPr>
          <w:rFonts w:hint="cs"/>
          <w:rtl/>
        </w:rPr>
        <w:t xml:space="preserve"> שנישום קיבל </w:t>
      </w:r>
      <w:r>
        <w:rPr>
          <w:rFonts w:hint="cs"/>
          <w:rtl/>
        </w:rPr>
        <w:lastRenderedPageBreak/>
        <w:t xml:space="preserve">לידיו במציאות עסקית שכפתה עליו לקבלו כתמורה לוויתורו על הפקת רווחים מעסק אינו יכול להפוך להוני בגלל אותה מציאות.  </w:t>
      </w:r>
    </w:p>
    <w:p w:rsidR="00B05730" w:rsidRDefault="00B05730" w:rsidP="00B05730">
      <w:pPr>
        <w:pStyle w:val="Ruller4"/>
        <w:numPr>
          <w:ilvl w:val="0"/>
          <w:numId w:val="0"/>
        </w:numPr>
        <w:rPr>
          <w:rtl/>
        </w:rPr>
      </w:pPr>
    </w:p>
    <w:p w:rsidR="00B05730" w:rsidRDefault="00B05730" w:rsidP="00B05730">
      <w:pPr>
        <w:pStyle w:val="Ruller4"/>
        <w:rPr>
          <w:rtl/>
        </w:rPr>
      </w:pPr>
      <w:r>
        <w:rPr>
          <w:rFonts w:hint="cs"/>
          <w:rtl/>
        </w:rPr>
        <w:t xml:space="preserve">באשר למבחן העיקר-מול-טפל </w:t>
      </w:r>
      <w:r>
        <w:rPr>
          <w:rtl/>
        </w:rPr>
        <w:t>–</w:t>
      </w:r>
      <w:r>
        <w:rPr>
          <w:rFonts w:hint="cs"/>
          <w:rtl/>
        </w:rPr>
        <w:t xml:space="preserve"> הסכם ההפצה היה אחד מההסכמים בהם התקשרה צמל, והפצת המסתם לא </w:t>
      </w:r>
      <w:proofErr w:type="spellStart"/>
      <w:r>
        <w:rPr>
          <w:rFonts w:hint="cs"/>
          <w:rtl/>
        </w:rPr>
        <w:t>היתה</w:t>
      </w:r>
      <w:proofErr w:type="spellEnd"/>
      <w:r>
        <w:rPr>
          <w:rFonts w:hint="cs"/>
          <w:rtl/>
        </w:rPr>
        <w:t xml:space="preserve"> בגדר "נשמת אפם" של עסקי צמל. אינני מפקפק בכך שהסכם ההפצה היה חשוב מאד לצמל. הסכם זה פתח בפני צמל ערוץ למכירת מוצר רפואי חדשני ונדרש ויצר עבורה פוטנציאל לקבלת זכויות הפצה של מוצרים רפואיים נוספים בתחום הקרדיולוגיה. ברם, כל אלו אינם הופכים את הסכם ההפצה ל"עיקר" עסקיה של צמל מבחינה כלכלית-אובייקטיבית. בנקודת הזמן המכרעת </w:t>
      </w:r>
      <w:r>
        <w:rPr>
          <w:rtl/>
        </w:rPr>
        <w:t>–</w:t>
      </w:r>
      <w:r>
        <w:rPr>
          <w:rFonts w:hint="cs"/>
          <w:rtl/>
        </w:rPr>
        <w:t xml:space="preserve"> זמן התקבול והשומה </w:t>
      </w:r>
      <w:r>
        <w:rPr>
          <w:rtl/>
        </w:rPr>
        <w:t>–</w:t>
      </w:r>
      <w:r>
        <w:rPr>
          <w:rFonts w:hint="cs"/>
          <w:rtl/>
        </w:rPr>
        <w:t xml:space="preserve"> היו בידי צמל הסכמי הפצה נוספים לצד המנגנון העסקי אשר אפשר לה להמשיך ולכרות הסכמי הפצה עם יצרני המכשירים הרפואיים ברחבי העולם. הסכם ההפצה שצמל הסכימה לסיים בטרם זמנו בתמורה לקבלת הפיצוי בסך של 2,000,000 דולר ארה"ב לא היה אפוא בגדר עיקר עסקיה </w:t>
      </w:r>
      <w:r>
        <w:rPr>
          <w:rtl/>
        </w:rPr>
        <w:t>–</w:t>
      </w:r>
      <w:r>
        <w:rPr>
          <w:rFonts w:hint="cs"/>
          <w:rtl/>
        </w:rPr>
        <w:t xml:space="preserve"> נתון שגם מכוחו מן הדין לסווג את התקבול האמור כפיצוי </w:t>
      </w:r>
      <w:proofErr w:type="spellStart"/>
      <w:r>
        <w:rPr>
          <w:rFonts w:hint="cs"/>
          <w:rtl/>
        </w:rPr>
        <w:t>פירותי</w:t>
      </w:r>
      <w:proofErr w:type="spellEnd"/>
      <w:r>
        <w:rPr>
          <w:rFonts w:hint="cs"/>
          <w:rtl/>
        </w:rPr>
        <w:t xml:space="preserve">, להבדיל מהוני. </w:t>
      </w:r>
    </w:p>
    <w:p w:rsidR="00B05730" w:rsidRPr="002D1E5D" w:rsidRDefault="00B05730" w:rsidP="00B05730">
      <w:pPr>
        <w:pStyle w:val="Ruller41"/>
      </w:pPr>
    </w:p>
    <w:p w:rsidR="00B05730" w:rsidRDefault="00B05730" w:rsidP="00B05730">
      <w:pPr>
        <w:pStyle w:val="Ruller4"/>
        <w:rPr>
          <w:rtl/>
        </w:rPr>
      </w:pPr>
      <w:r>
        <w:rPr>
          <w:rFonts w:hint="cs"/>
          <w:rtl/>
        </w:rPr>
        <w:t xml:space="preserve">למעלה מן הנדרש וכדי להסיר כל ספק, אוסיף כי מירב ההנחות שניתן, בדוחק רב, להניח לטובת המערערים יכלו, לכל היותר, ליצור מצב של כפות המאזניים מעויינות. במצב זה ממילא היינו מפעילים ביחס לתקבול מושא המחלוקת את הכלל "הוני או </w:t>
      </w:r>
      <w:proofErr w:type="spellStart"/>
      <w:r>
        <w:rPr>
          <w:rFonts w:hint="cs"/>
          <w:rtl/>
        </w:rPr>
        <w:t>פירותי</w:t>
      </w:r>
      <w:proofErr w:type="spellEnd"/>
      <w:r>
        <w:rPr>
          <w:rFonts w:hint="cs"/>
          <w:rtl/>
        </w:rPr>
        <w:t xml:space="preserve"> </w:t>
      </w:r>
      <w:r>
        <w:rPr>
          <w:rtl/>
        </w:rPr>
        <w:t>–</w:t>
      </w:r>
      <w:r>
        <w:rPr>
          <w:rFonts w:hint="cs"/>
          <w:rtl/>
        </w:rPr>
        <w:t xml:space="preserve"> </w:t>
      </w:r>
      <w:proofErr w:type="spellStart"/>
      <w:r>
        <w:rPr>
          <w:rFonts w:hint="cs"/>
          <w:rtl/>
        </w:rPr>
        <w:t>פירותי</w:t>
      </w:r>
      <w:proofErr w:type="spellEnd"/>
      <w:r>
        <w:rPr>
          <w:rFonts w:hint="cs"/>
          <w:rtl/>
        </w:rPr>
        <w:t xml:space="preserve"> הוא" אשר מעוגן בסעיף 89(ג) לפקודה בתורת שובר שוויון.</w:t>
      </w:r>
    </w:p>
    <w:p w:rsidR="00B05730" w:rsidRDefault="00B05730" w:rsidP="00B05730">
      <w:pPr>
        <w:pStyle w:val="Ruller41"/>
        <w:rPr>
          <w:rtl/>
        </w:rPr>
      </w:pPr>
    </w:p>
    <w:p w:rsidR="00B05730" w:rsidRPr="001A0BEF" w:rsidRDefault="00B05730" w:rsidP="00B05730">
      <w:pPr>
        <w:pStyle w:val="Ruller41"/>
        <w:rPr>
          <w:rFonts w:ascii="Century" w:hAnsi="Century" w:cs="Miriam"/>
          <w:b/>
          <w:spacing w:val="0"/>
          <w:szCs w:val="24"/>
          <w:rtl/>
        </w:rPr>
      </w:pPr>
      <w:r w:rsidRPr="001A0BEF">
        <w:rPr>
          <w:rFonts w:ascii="Century" w:hAnsi="Century" w:cs="Miriam" w:hint="cs"/>
          <w:b/>
          <w:spacing w:val="0"/>
          <w:szCs w:val="24"/>
          <w:rtl/>
        </w:rPr>
        <w:t>סוף דבר</w:t>
      </w:r>
    </w:p>
    <w:p w:rsidR="00B05730" w:rsidRPr="001A0BEF" w:rsidRDefault="00B05730" w:rsidP="00B05730">
      <w:pPr>
        <w:pStyle w:val="Ruller41"/>
      </w:pPr>
    </w:p>
    <w:p w:rsidR="00B05730" w:rsidRDefault="00B05730" w:rsidP="00B05730">
      <w:pPr>
        <w:pStyle w:val="Ruller4"/>
        <w:rPr>
          <w:rFonts w:ascii="Century" w:hAnsi="Century" w:cs="Miriam"/>
          <w:b/>
          <w:spacing w:val="0"/>
          <w:szCs w:val="24"/>
          <w:rtl/>
        </w:rPr>
      </w:pPr>
      <w:r>
        <w:rPr>
          <w:rFonts w:hint="cs"/>
          <w:rtl/>
        </w:rPr>
        <w:t xml:space="preserve">מהטעמים שמניתי לעיל, הנני מציע לחבריי כי נדחה את הערעור, נאשר את פסק הדין קמא, ונחייב את המערערים לשלם למשיב הוצאות משפט בסך כולל של 35,000 </w:t>
      </w:r>
      <w:r>
        <w:rPr>
          <w:rFonts w:hint="eastAsia"/>
          <w:rtl/>
        </w:rPr>
        <w:t>₪</w:t>
      </w:r>
      <w:r>
        <w:rPr>
          <w:rFonts w:hint="cs"/>
          <w:rtl/>
        </w:rPr>
        <w:t>.</w:t>
      </w:r>
    </w:p>
    <w:p w:rsidR="0044322C" w:rsidRDefault="0044322C" w:rsidP="0044322C">
      <w:pPr>
        <w:pStyle w:val="Ruller41"/>
        <w:rPr>
          <w:rtl/>
        </w:rPr>
      </w:pPr>
    </w:p>
    <w:tbl>
      <w:tblPr>
        <w:bidiVisual/>
        <w:tblW w:w="8363" w:type="dxa"/>
        <w:tblLook w:val="01E0" w:firstRow="1" w:lastRow="1" w:firstColumn="1" w:lastColumn="1" w:noHBand="0" w:noVBand="0"/>
      </w:tblPr>
      <w:tblGrid>
        <w:gridCol w:w="2786"/>
        <w:gridCol w:w="2787"/>
        <w:gridCol w:w="2790"/>
      </w:tblGrid>
      <w:tr w:rsidR="00F73343" w:rsidTr="00DC17B8">
        <w:tc>
          <w:tcPr>
            <w:tcW w:w="2842" w:type="dxa"/>
            <w:shd w:val="clear" w:color="auto" w:fill="auto"/>
          </w:tcPr>
          <w:p w:rsidR="00F73343" w:rsidRDefault="00F73343" w:rsidP="00DC17B8">
            <w:pPr>
              <w:pStyle w:val="Ruller41"/>
              <w:rPr>
                <w:rtl/>
              </w:rPr>
            </w:pPr>
          </w:p>
        </w:tc>
        <w:tc>
          <w:tcPr>
            <w:tcW w:w="2843" w:type="dxa"/>
            <w:shd w:val="clear" w:color="auto" w:fill="auto"/>
          </w:tcPr>
          <w:p w:rsidR="00F73343" w:rsidRDefault="00F73343" w:rsidP="00DC17B8">
            <w:pPr>
              <w:pStyle w:val="Ruller41"/>
              <w:jc w:val="center"/>
              <w:rPr>
                <w:rtl/>
              </w:rPr>
            </w:pPr>
          </w:p>
        </w:tc>
        <w:tc>
          <w:tcPr>
            <w:tcW w:w="2843" w:type="dxa"/>
            <w:shd w:val="clear" w:color="auto" w:fill="auto"/>
          </w:tcPr>
          <w:p w:rsidR="00F73343" w:rsidRDefault="00F73343" w:rsidP="00DC17B8">
            <w:pPr>
              <w:pStyle w:val="Ruller41"/>
              <w:jc w:val="right"/>
              <w:rPr>
                <w:rtl/>
              </w:rPr>
            </w:pPr>
            <w:r>
              <w:rPr>
                <w:rtl/>
              </w:rPr>
              <w:t>ש ו פ ט</w:t>
            </w:r>
          </w:p>
        </w:tc>
      </w:tr>
    </w:tbl>
    <w:p w:rsidR="00F73343" w:rsidRDefault="00F73343" w:rsidP="0044322C">
      <w:pPr>
        <w:pStyle w:val="Ruller41"/>
        <w:rPr>
          <w:rtl/>
        </w:rPr>
      </w:pPr>
    </w:p>
    <w:p w:rsidR="00C56EA8" w:rsidRDefault="00C56EA8" w:rsidP="00C56EA8">
      <w:pPr>
        <w:pStyle w:val="BODYVERDICT"/>
        <w:rPr>
          <w:rFonts w:cs="Miriam"/>
          <w:sz w:val="24"/>
          <w:szCs w:val="24"/>
          <w:u w:val="single"/>
          <w:rtl/>
        </w:rPr>
      </w:pPr>
      <w:r>
        <w:rPr>
          <w:rFonts w:cs="Miriam"/>
          <w:sz w:val="24"/>
          <w:szCs w:val="24"/>
          <w:u w:val="single"/>
          <w:rtl/>
        </w:rPr>
        <w:t xml:space="preserve">השופט </w:t>
      </w:r>
      <w:r>
        <w:rPr>
          <w:rFonts w:cs="Miriam" w:hint="cs"/>
          <w:sz w:val="24"/>
          <w:szCs w:val="24"/>
          <w:u w:val="single"/>
          <w:rtl/>
        </w:rPr>
        <w:t>נ'</w:t>
      </w:r>
      <w:r>
        <w:rPr>
          <w:rFonts w:cs="Miriam"/>
          <w:sz w:val="24"/>
          <w:szCs w:val="24"/>
          <w:u w:val="single"/>
          <w:rtl/>
        </w:rPr>
        <w:t xml:space="preserve"> </w:t>
      </w:r>
      <w:r>
        <w:rPr>
          <w:rFonts w:cs="Miriam" w:hint="cs"/>
          <w:sz w:val="24"/>
          <w:szCs w:val="24"/>
          <w:u w:val="single"/>
          <w:rtl/>
        </w:rPr>
        <w:t>סולברג</w:t>
      </w:r>
      <w:r>
        <w:rPr>
          <w:rFonts w:cs="Miriam"/>
          <w:sz w:val="24"/>
          <w:szCs w:val="24"/>
          <w:u w:val="single"/>
          <w:rtl/>
        </w:rPr>
        <w:t>:</w:t>
      </w:r>
    </w:p>
    <w:p w:rsidR="00C56EA8" w:rsidRDefault="00C56EA8" w:rsidP="00C56EA8">
      <w:pPr>
        <w:pStyle w:val="BODYVERDICT"/>
        <w:rPr>
          <w:rFonts w:cs="Miriam"/>
          <w:sz w:val="24"/>
          <w:szCs w:val="24"/>
          <w:u w:val="single"/>
          <w:rtl/>
        </w:rPr>
      </w:pPr>
    </w:p>
    <w:p w:rsidR="008340B8" w:rsidRDefault="008340B8" w:rsidP="00C56EA8">
      <w:pPr>
        <w:pStyle w:val="BODYVERDICT"/>
        <w:rPr>
          <w:rFonts w:ascii="FrankRuehl" w:hAnsi="FrankRuehl"/>
          <w:sz w:val="28"/>
          <w:rtl/>
        </w:rPr>
      </w:pPr>
    </w:p>
    <w:p w:rsidR="00F73343" w:rsidRDefault="00F73343" w:rsidP="00C56EA8">
      <w:pPr>
        <w:pStyle w:val="BODYVERDICT"/>
        <w:rPr>
          <w:rFonts w:ascii="FrankRuehl" w:hAnsi="FrankRuehl"/>
          <w:sz w:val="28"/>
          <w:rtl/>
        </w:rPr>
      </w:pPr>
    </w:p>
    <w:p w:rsidR="00C56EA8" w:rsidRPr="00C56EA8" w:rsidRDefault="00C56EA8" w:rsidP="00252DA4">
      <w:pPr>
        <w:pStyle w:val="BODYVERDICT"/>
        <w:ind w:firstLine="720"/>
        <w:rPr>
          <w:rFonts w:ascii="FrankRuehl" w:hAnsi="FrankRuehl"/>
          <w:sz w:val="28"/>
          <w:rtl/>
        </w:rPr>
      </w:pPr>
      <w:r>
        <w:rPr>
          <w:rFonts w:ascii="FrankRuehl" w:hAnsi="FrankRuehl" w:hint="cs"/>
          <w:sz w:val="28"/>
          <w:rtl/>
        </w:rPr>
        <w:t>אני מסכים.</w:t>
      </w:r>
    </w:p>
    <w:p w:rsidR="00252DA4" w:rsidRDefault="00252DA4" w:rsidP="0044322C">
      <w:pPr>
        <w:pStyle w:val="Ruller41"/>
        <w:rPr>
          <w:rtl/>
        </w:rPr>
      </w:pPr>
    </w:p>
    <w:tbl>
      <w:tblPr>
        <w:bidiVisual/>
        <w:tblW w:w="8363" w:type="dxa"/>
        <w:tblLook w:val="01E0" w:firstRow="1" w:lastRow="1" w:firstColumn="1" w:lastColumn="1" w:noHBand="0" w:noVBand="0"/>
      </w:tblPr>
      <w:tblGrid>
        <w:gridCol w:w="2786"/>
        <w:gridCol w:w="2787"/>
        <w:gridCol w:w="2790"/>
      </w:tblGrid>
      <w:tr w:rsidR="00252DA4" w:rsidTr="00DC17B8">
        <w:tc>
          <w:tcPr>
            <w:tcW w:w="2842" w:type="dxa"/>
            <w:shd w:val="clear" w:color="auto" w:fill="auto"/>
          </w:tcPr>
          <w:p w:rsidR="00252DA4" w:rsidRDefault="00252DA4" w:rsidP="00DC17B8">
            <w:pPr>
              <w:pStyle w:val="Ruller41"/>
              <w:rPr>
                <w:rtl/>
              </w:rPr>
            </w:pPr>
          </w:p>
        </w:tc>
        <w:tc>
          <w:tcPr>
            <w:tcW w:w="2843" w:type="dxa"/>
            <w:shd w:val="clear" w:color="auto" w:fill="auto"/>
          </w:tcPr>
          <w:p w:rsidR="00252DA4" w:rsidRDefault="00252DA4" w:rsidP="00DC17B8">
            <w:pPr>
              <w:pStyle w:val="Ruller41"/>
              <w:jc w:val="center"/>
              <w:rPr>
                <w:rtl/>
              </w:rPr>
            </w:pPr>
          </w:p>
        </w:tc>
        <w:tc>
          <w:tcPr>
            <w:tcW w:w="2843" w:type="dxa"/>
            <w:shd w:val="clear" w:color="auto" w:fill="auto"/>
          </w:tcPr>
          <w:p w:rsidR="00252DA4" w:rsidRDefault="00252DA4" w:rsidP="00DC17B8">
            <w:pPr>
              <w:pStyle w:val="Ruller41"/>
              <w:jc w:val="right"/>
              <w:rPr>
                <w:rtl/>
              </w:rPr>
            </w:pPr>
            <w:r>
              <w:rPr>
                <w:rtl/>
              </w:rPr>
              <w:t>ש ו פ ט</w:t>
            </w:r>
          </w:p>
        </w:tc>
      </w:tr>
    </w:tbl>
    <w:p w:rsidR="0009550C" w:rsidRDefault="0009550C" w:rsidP="0009550C">
      <w:pPr>
        <w:pStyle w:val="Ruller41"/>
        <w:rPr>
          <w:rtl/>
        </w:rPr>
      </w:pPr>
    </w:p>
    <w:p w:rsidR="005D2F50" w:rsidRPr="00503A3E" w:rsidRDefault="005D2F50" w:rsidP="005D2F50">
      <w:pPr>
        <w:pStyle w:val="BODYVERDICT"/>
        <w:rPr>
          <w:rFonts w:cs="Miriam"/>
          <w:sz w:val="24"/>
          <w:szCs w:val="24"/>
          <w:u w:val="single"/>
          <w:rtl/>
        </w:rPr>
      </w:pPr>
      <w:r>
        <w:rPr>
          <w:rFonts w:cs="Miriam"/>
          <w:sz w:val="24"/>
          <w:szCs w:val="24"/>
          <w:u w:val="single"/>
          <w:rtl/>
        </w:rPr>
        <w:t>המשנה לנשיאה (</w:t>
      </w:r>
      <w:proofErr w:type="spellStart"/>
      <w:r>
        <w:rPr>
          <w:rFonts w:cs="Miriam"/>
          <w:sz w:val="24"/>
          <w:szCs w:val="24"/>
          <w:u w:val="single"/>
          <w:rtl/>
        </w:rPr>
        <w:t>בדימ</w:t>
      </w:r>
      <w:proofErr w:type="spellEnd"/>
      <w:r>
        <w:rPr>
          <w:rFonts w:cs="Miriam"/>
          <w:sz w:val="24"/>
          <w:szCs w:val="24"/>
          <w:u w:val="single"/>
          <w:rtl/>
        </w:rPr>
        <w:t>') ח' מלצר:</w:t>
      </w:r>
    </w:p>
    <w:p w:rsidR="005D2F50" w:rsidRDefault="005D2F50" w:rsidP="005D2F50">
      <w:pPr>
        <w:pStyle w:val="Ruller41"/>
        <w:rPr>
          <w:rtl/>
        </w:rPr>
      </w:pPr>
    </w:p>
    <w:p w:rsidR="005D2F50" w:rsidRDefault="005D2F50" w:rsidP="005D2F50">
      <w:pPr>
        <w:pStyle w:val="Ruller4"/>
        <w:numPr>
          <w:ilvl w:val="0"/>
          <w:numId w:val="15"/>
        </w:numPr>
        <w:textAlignment w:val="auto"/>
        <w:rPr>
          <w:rFonts w:ascii="FrankRuehl"/>
          <w:color w:val="000000"/>
          <w:sz w:val="28"/>
          <w:rtl/>
        </w:rPr>
      </w:pPr>
      <w:r>
        <w:rPr>
          <w:rFonts w:hAnsi="Arial TUR" w:hint="cs"/>
          <w:rtl/>
        </w:rPr>
        <w:t>לאחר עיון בחוות דעתו המקיפה של</w:t>
      </w:r>
      <w:r>
        <w:rPr>
          <w:rFonts w:hint="cs"/>
          <w:rtl/>
        </w:rPr>
        <w:t> חברי, השופט </w:t>
      </w:r>
      <w:r>
        <w:rPr>
          <w:rFonts w:cs="Miriam" w:hint="cs"/>
          <w:szCs w:val="24"/>
          <w:rtl/>
        </w:rPr>
        <w:t>א' שטיין</w:t>
      </w:r>
      <w:r>
        <w:rPr>
          <w:rFonts w:cs="Miriam" w:hint="cs"/>
          <w:rtl/>
        </w:rPr>
        <w:t xml:space="preserve"> </w:t>
      </w:r>
      <w:r>
        <w:rPr>
          <w:rFonts w:hint="cs"/>
          <w:rtl/>
        </w:rPr>
        <w:t>ובחומר המצוי בתיק שלפנינו – החלטתי להצטרף לחברי בתוצאה אליה הגיע ולעיקרי הנמקתו, ואולם מצאתי להעיר מספר הערות הנוגעות לכמה מקביעותיו של חברי</w:t>
      </w:r>
      <w:r>
        <w:rPr>
          <w:rFonts w:ascii="FrankRuehl" w:hint="cs"/>
          <w:color w:val="000000"/>
          <w:sz w:val="28"/>
        </w:rPr>
        <w:t>.</w:t>
      </w:r>
    </w:p>
    <w:p w:rsidR="005D2F50" w:rsidRDefault="005D2F50" w:rsidP="005D2F50">
      <w:pPr>
        <w:pStyle w:val="Ruller41"/>
        <w:rPr>
          <w:rtl/>
        </w:rPr>
      </w:pPr>
    </w:p>
    <w:p w:rsidR="005D2F50" w:rsidRDefault="005D2F50" w:rsidP="005D2F50">
      <w:pPr>
        <w:pStyle w:val="Ruller4"/>
        <w:numPr>
          <w:ilvl w:val="0"/>
          <w:numId w:val="15"/>
        </w:numPr>
        <w:textAlignment w:val="auto"/>
        <w:rPr>
          <w:rtl/>
        </w:rPr>
      </w:pPr>
      <w:r>
        <w:rPr>
          <w:rFonts w:hint="cs"/>
          <w:rtl/>
        </w:rPr>
        <w:t>חברי רואה את הכלל "</w:t>
      </w:r>
      <w:proofErr w:type="spellStart"/>
      <w:r>
        <w:rPr>
          <w:rFonts w:hint="cs"/>
          <w:rtl/>
        </w:rPr>
        <w:t>פירותי</w:t>
      </w:r>
      <w:proofErr w:type="spellEnd"/>
      <w:r>
        <w:rPr>
          <w:rFonts w:hint="cs"/>
          <w:rtl/>
        </w:rPr>
        <w:t xml:space="preserve"> והוני – </w:t>
      </w:r>
      <w:proofErr w:type="spellStart"/>
      <w:r>
        <w:rPr>
          <w:rFonts w:hint="cs"/>
          <w:rtl/>
        </w:rPr>
        <w:t>פירותי</w:t>
      </w:r>
      <w:proofErr w:type="spellEnd"/>
      <w:r>
        <w:rPr>
          <w:rFonts w:hint="cs"/>
          <w:rtl/>
        </w:rPr>
        <w:t xml:space="preserve"> עדיף" הקבוע בסעיף 89(ג) ל</w:t>
      </w:r>
      <w:r>
        <w:rPr>
          <w:rFonts w:ascii="Century" w:hAnsi="Century" w:cs="Miriam" w:hint="cs"/>
          <w:b/>
          <w:spacing w:val="0"/>
          <w:sz w:val="22"/>
          <w:szCs w:val="24"/>
          <w:rtl/>
        </w:rPr>
        <w:t xml:space="preserve">פקודת מס הכנסה [נוסח חדש] </w:t>
      </w:r>
      <w:r>
        <w:rPr>
          <w:rFonts w:hint="cs"/>
          <w:rtl/>
        </w:rPr>
        <w:t>(להלן:</w:t>
      </w:r>
      <w:r>
        <w:rPr>
          <w:rFonts w:hint="cs"/>
        </w:rPr>
        <w:t xml:space="preserve"> </w:t>
      </w:r>
      <w:r>
        <w:rPr>
          <w:rFonts w:ascii="Century" w:hAnsi="Century" w:cs="Miriam" w:hint="cs"/>
          <w:b/>
          <w:spacing w:val="0"/>
          <w:sz w:val="22"/>
          <w:szCs w:val="24"/>
          <w:rtl/>
        </w:rPr>
        <w:t>הפקודה</w:t>
      </w:r>
      <w:r>
        <w:rPr>
          <w:rFonts w:hint="cs"/>
          <w:rtl/>
        </w:rPr>
        <w:t xml:space="preserve">) כעקרון שנועד לשמש משקל-נגד ליתרון שיש לנישום על פקיד השומה, ואשר תכליתו להכריע לטובת פקיד השומה במקרים בהם מתעורר ספק, ואז לסווג את ההכנסה </w:t>
      </w:r>
      <w:proofErr w:type="spellStart"/>
      <w:r>
        <w:rPr>
          <w:rFonts w:hint="cs"/>
          <w:rtl/>
        </w:rPr>
        <w:t>כפירותית</w:t>
      </w:r>
      <w:proofErr w:type="spellEnd"/>
      <w:r>
        <w:rPr>
          <w:rFonts w:hint="cs"/>
          <w:rtl/>
        </w:rPr>
        <w:t xml:space="preserve"> (פיסקה 33 לחוות דעתו).</w:t>
      </w:r>
    </w:p>
    <w:p w:rsidR="005D2F50" w:rsidRDefault="005D2F50" w:rsidP="005D2F50">
      <w:pPr>
        <w:pStyle w:val="Ruller41"/>
        <w:rPr>
          <w:rtl/>
        </w:rPr>
      </w:pPr>
    </w:p>
    <w:p w:rsidR="005D2F50" w:rsidRDefault="005D2F50" w:rsidP="005D2F50">
      <w:pPr>
        <w:pStyle w:val="Ruller4"/>
        <w:numPr>
          <w:ilvl w:val="0"/>
          <w:numId w:val="0"/>
        </w:numPr>
        <w:rPr>
          <w:rtl/>
        </w:rPr>
      </w:pPr>
      <w:r>
        <w:rPr>
          <w:rtl/>
        </w:rPr>
        <w:tab/>
      </w:r>
      <w:r>
        <w:rPr>
          <w:rFonts w:hint="cs"/>
          <w:rtl/>
        </w:rPr>
        <w:t xml:space="preserve">תפיסה זו שהיא אפשרית, אך לא בלעדית, מבוססת על ההנחה כי בדרך כלל, בסוגיית הסיווג של ההכנסה </w:t>
      </w:r>
      <w:r>
        <w:rPr>
          <w:rtl/>
        </w:rPr>
        <w:t>–</w:t>
      </w:r>
      <w:r>
        <w:rPr>
          <w:rFonts w:hint="cs"/>
          <w:rtl/>
        </w:rPr>
        <w:t xml:space="preserve"> הנישום יבקש לראותה כהכנסה הונית, ואילו פקיד השומה יבקש לסווגה כהכנסה </w:t>
      </w:r>
      <w:proofErr w:type="spellStart"/>
      <w:r>
        <w:rPr>
          <w:rFonts w:hint="cs"/>
          <w:rtl/>
        </w:rPr>
        <w:t>פירותית</w:t>
      </w:r>
      <w:proofErr w:type="spellEnd"/>
      <w:r>
        <w:rPr>
          <w:rFonts w:hint="cs"/>
          <w:rtl/>
        </w:rPr>
        <w:t xml:space="preserve">. הנחה זו, שאמנם היא נכונה במקרים רבים, איננה מדויקת תמיד, וזאת מאחר שקיימים מקרים בהם </w:t>
      </w:r>
      <w:r>
        <w:rPr>
          <w:rFonts w:hint="cs"/>
          <w:b/>
          <w:bCs/>
          <w:rtl/>
        </w:rPr>
        <w:t>דווקא הנישום</w:t>
      </w:r>
      <w:r>
        <w:rPr>
          <w:rFonts w:hint="cs"/>
          <w:rtl/>
        </w:rPr>
        <w:t xml:space="preserve"> הוא זה שיהיה מעוניין כי העסקה תסווג </w:t>
      </w:r>
      <w:proofErr w:type="spellStart"/>
      <w:r>
        <w:rPr>
          <w:rFonts w:hint="cs"/>
          <w:rtl/>
        </w:rPr>
        <w:t>כפירותית</w:t>
      </w:r>
      <w:proofErr w:type="spellEnd"/>
      <w:r>
        <w:rPr>
          <w:rFonts w:hint="cs"/>
          <w:rtl/>
        </w:rPr>
        <w:t xml:space="preserve"> ולא כהונית, ואילו פקיד השומה יטען כי מדובר בעסקה הונית. </w:t>
      </w:r>
    </w:p>
    <w:p w:rsidR="005D2F50" w:rsidRDefault="005D2F50" w:rsidP="005D2F50">
      <w:pPr>
        <w:pStyle w:val="Ruller41"/>
        <w:rPr>
          <w:rtl/>
        </w:rPr>
      </w:pPr>
    </w:p>
    <w:p w:rsidR="005D2F50" w:rsidRDefault="005D2F50" w:rsidP="005D2F50">
      <w:pPr>
        <w:pStyle w:val="Ruller4"/>
        <w:rPr>
          <w:rtl/>
        </w:rPr>
      </w:pPr>
      <w:r>
        <w:rPr>
          <w:rtl/>
        </w:rPr>
        <w:tab/>
      </w:r>
      <w:r>
        <w:rPr>
          <w:rFonts w:hint="cs"/>
          <w:rtl/>
        </w:rPr>
        <w:t>הניסיון להתחקות אחר תכליותיו של סעיף 89(ג) ל</w:t>
      </w:r>
      <w:r w:rsidRPr="005542F0">
        <w:rPr>
          <w:rFonts w:ascii="Century" w:hAnsi="Century" w:cs="Miriam" w:hint="eastAsia"/>
          <w:b/>
          <w:spacing w:val="0"/>
          <w:sz w:val="22"/>
          <w:szCs w:val="24"/>
          <w:rtl/>
        </w:rPr>
        <w:t>פקודה</w:t>
      </w:r>
      <w:r>
        <w:rPr>
          <w:rFonts w:hint="cs"/>
          <w:rtl/>
        </w:rPr>
        <w:t xml:space="preserve"> חורג, </w:t>
      </w:r>
      <w:proofErr w:type="spellStart"/>
      <w:r>
        <w:rPr>
          <w:rFonts w:hint="cs"/>
          <w:rtl/>
        </w:rPr>
        <w:t>איפוא</w:t>
      </w:r>
      <w:proofErr w:type="spellEnd"/>
      <w:r>
        <w:rPr>
          <w:rFonts w:hint="cs"/>
          <w:rtl/>
        </w:rPr>
        <w:t>, מענייננו, שכן כפי שחברי ביאר באריכות וכפי שיובהר להלן, בעניין שלפנינו אני שותף למסקנה כי לא עלה בידי המערערים להראות כי "</w:t>
      </w:r>
      <w:proofErr w:type="spellStart"/>
      <w:r>
        <w:rPr>
          <w:rFonts w:hint="cs"/>
          <w:rtl/>
        </w:rPr>
        <w:t>הפירצה</w:t>
      </w:r>
      <w:proofErr w:type="spellEnd"/>
      <w:r>
        <w:rPr>
          <w:rFonts w:hint="cs"/>
          <w:rtl/>
        </w:rPr>
        <w:t xml:space="preserve">", שאותה נועדה למלא התמורה שהתקבלה בעסקה, נושא הערעור, היא הונית, ולמצער לא עלה בידיהם להראות כי מבין שני הסיווגים האפשריים </w:t>
      </w:r>
      <w:r>
        <w:rPr>
          <w:rtl/>
        </w:rPr>
        <w:t>–</w:t>
      </w:r>
      <w:r>
        <w:rPr>
          <w:rFonts w:hint="cs"/>
          <w:rtl/>
        </w:rPr>
        <w:t xml:space="preserve"> הוני </w:t>
      </w:r>
      <w:proofErr w:type="spellStart"/>
      <w:r>
        <w:rPr>
          <w:rFonts w:hint="cs"/>
          <w:rtl/>
        </w:rPr>
        <w:t>ופירותי</w:t>
      </w:r>
      <w:proofErr w:type="spellEnd"/>
      <w:r>
        <w:rPr>
          <w:rFonts w:hint="cs"/>
          <w:rtl/>
        </w:rPr>
        <w:t xml:space="preserve"> </w:t>
      </w:r>
      <w:r>
        <w:rPr>
          <w:rtl/>
        </w:rPr>
        <w:t>–</w:t>
      </w:r>
      <w:r>
        <w:rPr>
          <w:rFonts w:hint="cs"/>
          <w:rtl/>
        </w:rPr>
        <w:t xml:space="preserve"> ידו של הסיווג ההוני הוא בהכרח על העליונה (וזאת בהתאם להוראות סעיף 89(ג) ל</w:t>
      </w:r>
      <w:r w:rsidRPr="00F16869">
        <w:rPr>
          <w:rFonts w:ascii="Century" w:hAnsi="Century" w:cs="Miriam" w:hint="cs"/>
          <w:b/>
          <w:spacing w:val="0"/>
          <w:sz w:val="22"/>
          <w:szCs w:val="24"/>
          <w:rtl/>
        </w:rPr>
        <w:t>פקודה</w:t>
      </w:r>
      <w:r>
        <w:rPr>
          <w:rFonts w:ascii="Century" w:hAnsi="Century" w:hint="cs"/>
          <w:sz w:val="22"/>
          <w:rtl/>
        </w:rPr>
        <w:t xml:space="preserve">, ובהתאם למתווה שהונח בפרשת </w:t>
      </w:r>
      <w:r w:rsidRPr="00F16869">
        <w:rPr>
          <w:rFonts w:hint="cs"/>
          <w:color w:val="000000"/>
          <w:sz w:val="28"/>
          <w:rtl/>
        </w:rPr>
        <w:t>ע</w:t>
      </w:r>
      <w:r>
        <w:rPr>
          <w:rFonts w:hint="cs"/>
          <w:color w:val="000000"/>
          <w:sz w:val="28"/>
          <w:rtl/>
        </w:rPr>
        <w:t>"</w:t>
      </w:r>
      <w:r w:rsidRPr="00F16869">
        <w:rPr>
          <w:rFonts w:hint="cs"/>
          <w:color w:val="000000"/>
          <w:sz w:val="28"/>
          <w:rtl/>
        </w:rPr>
        <w:t>א 5083/13</w:t>
      </w:r>
      <w:r w:rsidRPr="00F16869">
        <w:rPr>
          <w:rFonts w:ascii="Century" w:hAnsi="Century" w:cs="Miriam" w:hint="cs"/>
          <w:b/>
          <w:spacing w:val="0"/>
          <w:sz w:val="22"/>
          <w:szCs w:val="24"/>
        </w:rPr>
        <w:t> </w:t>
      </w:r>
      <w:r w:rsidRPr="00F16869">
        <w:rPr>
          <w:rFonts w:ascii="Century" w:hAnsi="Century" w:cs="Miriam" w:hint="cs"/>
          <w:b/>
          <w:spacing w:val="0"/>
          <w:sz w:val="22"/>
          <w:szCs w:val="24"/>
          <w:rtl/>
        </w:rPr>
        <w:t>פקיד שומה כפר סבא נ' ברנע</w:t>
      </w:r>
      <w:r w:rsidRPr="00F16869">
        <w:rPr>
          <w:rFonts w:hint="cs"/>
          <w:color w:val="000000"/>
          <w:sz w:val="28"/>
          <w:rtl/>
        </w:rPr>
        <w:t xml:space="preserve">, </w:t>
      </w:r>
      <w:proofErr w:type="spellStart"/>
      <w:r w:rsidRPr="00F16869">
        <w:rPr>
          <w:rFonts w:hint="cs"/>
          <w:color w:val="000000"/>
          <w:sz w:val="28"/>
          <w:rtl/>
        </w:rPr>
        <w:t>ב</w:t>
      </w:r>
      <w:r w:rsidRPr="00C75B67">
        <w:rPr>
          <w:rFonts w:hint="cs"/>
          <w:color w:val="000000"/>
          <w:sz w:val="28"/>
          <w:rtl/>
        </w:rPr>
        <w:t>פיסקה</w:t>
      </w:r>
      <w:proofErr w:type="spellEnd"/>
      <w:r w:rsidRPr="00C75B67">
        <w:rPr>
          <w:rFonts w:hint="cs"/>
          <w:color w:val="000000"/>
          <w:sz w:val="28"/>
          <w:rtl/>
        </w:rPr>
        <w:t xml:space="preserve"> 62 (10.08.2016)</w:t>
      </w:r>
      <w:r>
        <w:rPr>
          <w:rFonts w:hint="cs"/>
          <w:color w:val="000000"/>
          <w:sz w:val="28"/>
          <w:rtl/>
        </w:rPr>
        <w:t xml:space="preserve"> (להלן: </w:t>
      </w:r>
      <w:r w:rsidRPr="006E60F1">
        <w:rPr>
          <w:rFonts w:ascii="Century" w:hAnsi="Century" w:cs="Miriam" w:hint="cs"/>
          <w:b/>
          <w:spacing w:val="0"/>
          <w:sz w:val="22"/>
          <w:szCs w:val="24"/>
          <w:rtl/>
        </w:rPr>
        <w:t>פרשת ברנע</w:t>
      </w:r>
      <w:r>
        <w:rPr>
          <w:rFonts w:hint="cs"/>
          <w:color w:val="000000"/>
          <w:sz w:val="28"/>
          <w:rtl/>
        </w:rPr>
        <w:t>)</w:t>
      </w:r>
      <w:r w:rsidRPr="00C75B67">
        <w:rPr>
          <w:rFonts w:hint="cs"/>
          <w:color w:val="000000"/>
          <w:sz w:val="28"/>
          <w:rtl/>
        </w:rPr>
        <w:t>)</w:t>
      </w:r>
      <w:r w:rsidRPr="00C75B67">
        <w:rPr>
          <w:rFonts w:hint="cs"/>
          <w:rtl/>
        </w:rPr>
        <w:t>. מכ</w:t>
      </w:r>
      <w:r>
        <w:rPr>
          <w:rFonts w:hint="cs"/>
          <w:rtl/>
        </w:rPr>
        <w:t>אן, שאת השאלה העקרונית בדבר תכליות סעיף 89(ג) ל</w:t>
      </w:r>
      <w:r w:rsidRPr="005542F0">
        <w:rPr>
          <w:rFonts w:ascii="Century" w:hAnsi="Century" w:cs="Miriam" w:hint="eastAsia"/>
          <w:b/>
          <w:spacing w:val="0"/>
          <w:sz w:val="22"/>
          <w:szCs w:val="24"/>
          <w:rtl/>
        </w:rPr>
        <w:t>פקודה</w:t>
      </w:r>
      <w:r>
        <w:rPr>
          <w:rFonts w:hint="cs"/>
          <w:rtl/>
        </w:rPr>
        <w:t xml:space="preserve"> אני מציע להותיר </w:t>
      </w:r>
      <w:proofErr w:type="spellStart"/>
      <w:r>
        <w:rPr>
          <w:rFonts w:hint="cs"/>
          <w:rtl/>
        </w:rPr>
        <w:t>בצריך</w:t>
      </w:r>
      <w:proofErr w:type="spellEnd"/>
      <w:r>
        <w:rPr>
          <w:rFonts w:hint="cs"/>
          <w:rtl/>
        </w:rPr>
        <w:t xml:space="preserve"> עיון.</w:t>
      </w:r>
    </w:p>
    <w:p w:rsidR="005D2F50" w:rsidRDefault="005D2F50" w:rsidP="005D2F50">
      <w:pPr>
        <w:pStyle w:val="Ruller41"/>
        <w:rPr>
          <w:rtl/>
        </w:rPr>
      </w:pPr>
    </w:p>
    <w:p w:rsidR="005D2F50" w:rsidRPr="005542F0" w:rsidRDefault="005D2F50" w:rsidP="005D2F50">
      <w:pPr>
        <w:pStyle w:val="Ruller4"/>
        <w:numPr>
          <w:ilvl w:val="0"/>
          <w:numId w:val="15"/>
        </w:numPr>
        <w:rPr>
          <w:rtl/>
        </w:rPr>
      </w:pPr>
      <w:r>
        <w:rPr>
          <w:rFonts w:hint="cs"/>
          <w:rtl/>
        </w:rPr>
        <w:t xml:space="preserve">הערה נוספת נוגעת לעובדה כי, לשיטת חברי, יש לזקוף לחובת המערערים את העובדה כי זכות ההפצה לא </w:t>
      </w:r>
      <w:proofErr w:type="spellStart"/>
      <w:r>
        <w:rPr>
          <w:rFonts w:hint="cs"/>
          <w:rtl/>
        </w:rPr>
        <w:t>היתה</w:t>
      </w:r>
      <w:proofErr w:type="spellEnd"/>
      <w:r>
        <w:rPr>
          <w:rFonts w:hint="cs"/>
          <w:rtl/>
        </w:rPr>
        <w:t xml:space="preserve"> בגדר בעלות או שכירות, אלא </w:t>
      </w:r>
      <w:proofErr w:type="spellStart"/>
      <w:r>
        <w:rPr>
          <w:rFonts w:hint="cs"/>
          <w:rtl/>
        </w:rPr>
        <w:t>היתה</w:t>
      </w:r>
      <w:proofErr w:type="spellEnd"/>
      <w:r>
        <w:rPr>
          <w:rFonts w:hint="cs"/>
          <w:rtl/>
        </w:rPr>
        <w:t xml:space="preserve"> רשות שימוש גרידא. בהקשר זה אבקש להעיר כי העמדה הפסקנית שלפיה זכויות מסוג רשות שימוש אינן נכללות תמיד בהגדרת "נכס" (הקבועה בסעיף 88 ל</w:t>
      </w:r>
      <w:r>
        <w:rPr>
          <w:rFonts w:ascii="Century" w:hAnsi="Century" w:cs="Miriam" w:hint="cs"/>
          <w:b/>
          <w:spacing w:val="0"/>
          <w:sz w:val="22"/>
          <w:szCs w:val="24"/>
          <w:rtl/>
        </w:rPr>
        <w:t>פקודה</w:t>
      </w:r>
      <w:r>
        <w:rPr>
          <w:rFonts w:ascii="Century" w:hAnsi="Century" w:hint="cs"/>
          <w:sz w:val="22"/>
          <w:rtl/>
        </w:rPr>
        <w:t>)</w:t>
      </w:r>
      <w:r>
        <w:rPr>
          <w:rFonts w:hint="cs"/>
          <w:rtl/>
        </w:rPr>
        <w:t xml:space="preserve"> </w:t>
      </w:r>
      <w:r>
        <w:rPr>
          <w:rtl/>
        </w:rPr>
        <w:t>–</w:t>
      </w:r>
      <w:r>
        <w:rPr>
          <w:rFonts w:hint="cs"/>
          <w:rtl/>
        </w:rPr>
        <w:t xml:space="preserve"> עלולה להיות בעלת השלכות במקרים אחרים, בהם נישומים מחזיקים בעסקים, או בנחלות כברי-רשות (מעבר </w:t>
      </w:r>
      <w:r>
        <w:rPr>
          <w:rFonts w:hint="cs"/>
          <w:rtl/>
        </w:rPr>
        <w:lastRenderedPageBreak/>
        <w:t xml:space="preserve">לצרכי מגורים), ומקבלים פיצוי בגין </w:t>
      </w:r>
      <w:r w:rsidRPr="005542F0">
        <w:rPr>
          <w:rFonts w:hint="cs"/>
          <w:rtl/>
        </w:rPr>
        <w:t xml:space="preserve">ויתור על </w:t>
      </w:r>
      <w:r>
        <w:rPr>
          <w:rFonts w:hint="cs"/>
          <w:rtl/>
        </w:rPr>
        <w:t>ה</w:t>
      </w:r>
      <w:r w:rsidRPr="005542F0">
        <w:rPr>
          <w:rFonts w:hint="cs"/>
          <w:rtl/>
        </w:rPr>
        <w:t>חזקה זו.</w:t>
      </w:r>
      <w:r w:rsidRPr="005542F0">
        <w:rPr>
          <w:rFonts w:ascii="FrankRuehl" w:hAnsi="FrankRuehl"/>
          <w:color w:val="000000"/>
          <w:sz w:val="28"/>
          <w:rtl/>
        </w:rPr>
        <w:t xml:space="preserve"> </w:t>
      </w:r>
      <w:r>
        <w:rPr>
          <w:rFonts w:hint="cs"/>
          <w:rtl/>
        </w:rPr>
        <w:t>כפי שאפרט להלן, אף במקרים מהסוג שלפנינו אין לשלול אפריורי את האפשרות כי חלק מהסכם ההפצה, כלל אף רכיבים הוניים.</w:t>
      </w:r>
    </w:p>
    <w:p w:rsidR="005D2F50" w:rsidRDefault="005D2F50" w:rsidP="005D2F50">
      <w:pPr>
        <w:pStyle w:val="Ruller41"/>
        <w:rPr>
          <w:rtl/>
        </w:rPr>
      </w:pPr>
    </w:p>
    <w:p w:rsidR="005D2F50" w:rsidRDefault="005D2F50" w:rsidP="005D2F50">
      <w:pPr>
        <w:pStyle w:val="Ruller4"/>
        <w:numPr>
          <w:ilvl w:val="0"/>
          <w:numId w:val="15"/>
        </w:numPr>
        <w:textAlignment w:val="auto"/>
        <w:rPr>
          <w:rtl/>
        </w:rPr>
      </w:pPr>
      <w:r>
        <w:rPr>
          <w:rFonts w:hint="cs"/>
          <w:rtl/>
        </w:rPr>
        <w:t xml:space="preserve">לגופם של דברים, מקובלת עלי קביעתו העובדתית של בית המשפט המחוזי הנכבד, וכן מסקנתו של חברי, השופט </w:t>
      </w:r>
      <w:r w:rsidRPr="00435311">
        <w:rPr>
          <w:rFonts w:ascii="Century" w:hAnsi="Century" w:cs="Miriam" w:hint="cs"/>
          <w:b/>
          <w:spacing w:val="0"/>
          <w:sz w:val="22"/>
          <w:szCs w:val="24"/>
          <w:rtl/>
        </w:rPr>
        <w:t>א' שטיין</w:t>
      </w:r>
      <w:r>
        <w:rPr>
          <w:rFonts w:hint="cs"/>
          <w:rtl/>
        </w:rPr>
        <w:t>, לפיה גובה הפיצוי ששולם ל</w:t>
      </w:r>
      <w:r w:rsidRPr="00435311">
        <w:rPr>
          <w:rFonts w:ascii="Century" w:hAnsi="Century" w:cs="Miriam" w:hint="cs"/>
          <w:b/>
          <w:spacing w:val="0"/>
          <w:sz w:val="22"/>
          <w:szCs w:val="24"/>
          <w:rtl/>
        </w:rPr>
        <w:t xml:space="preserve">צמל </w:t>
      </w:r>
      <w:proofErr w:type="spellStart"/>
      <w:r w:rsidRPr="00435311">
        <w:rPr>
          <w:rFonts w:ascii="Century" w:hAnsi="Century" w:cs="Miriam" w:hint="cs"/>
          <w:b/>
          <w:spacing w:val="0"/>
          <w:sz w:val="22"/>
          <w:szCs w:val="24"/>
          <w:rtl/>
        </w:rPr>
        <w:t>מדיקל</w:t>
      </w:r>
      <w:proofErr w:type="spellEnd"/>
      <w:r w:rsidRPr="00435311">
        <w:rPr>
          <w:rFonts w:ascii="Century" w:hAnsi="Century" w:cs="Miriam" w:hint="cs"/>
          <w:b/>
          <w:spacing w:val="0"/>
          <w:sz w:val="22"/>
          <w:szCs w:val="24"/>
          <w:rtl/>
        </w:rPr>
        <w:t xml:space="preserve"> </w:t>
      </w:r>
      <w:r>
        <w:rPr>
          <w:rFonts w:hint="cs"/>
          <w:rtl/>
        </w:rPr>
        <w:t xml:space="preserve">משקף את </w:t>
      </w:r>
      <w:r w:rsidRPr="00435311">
        <w:rPr>
          <w:rFonts w:hint="cs"/>
          <w:b/>
          <w:bCs/>
          <w:rtl/>
        </w:rPr>
        <w:t>מלוא</w:t>
      </w:r>
      <w:r>
        <w:rPr>
          <w:rFonts w:hint="cs"/>
          <w:rtl/>
        </w:rPr>
        <w:t xml:space="preserve"> ההכנסות שהיו מופקות </w:t>
      </w:r>
      <w:r w:rsidRPr="00435311">
        <w:rPr>
          <w:rFonts w:hint="cs"/>
          <w:b/>
          <w:bCs/>
          <w:rtl/>
        </w:rPr>
        <w:t>מכלל</w:t>
      </w:r>
      <w:r>
        <w:rPr>
          <w:rFonts w:hint="cs"/>
          <w:rtl/>
        </w:rPr>
        <w:t xml:space="preserve"> פעולות היבוא, השיווק וההפצה של מוצרי </w:t>
      </w:r>
      <w:proofErr w:type="spellStart"/>
      <w:r w:rsidRPr="00435311">
        <w:rPr>
          <w:rFonts w:ascii="Century" w:hAnsi="Century" w:cs="Miriam" w:hint="cs"/>
          <w:b/>
          <w:spacing w:val="0"/>
          <w:sz w:val="22"/>
          <w:szCs w:val="24"/>
          <w:rtl/>
        </w:rPr>
        <w:t>קורוולב</w:t>
      </w:r>
      <w:proofErr w:type="spellEnd"/>
      <w:r>
        <w:rPr>
          <w:rFonts w:hint="cs"/>
          <w:rtl/>
        </w:rPr>
        <w:t xml:space="preserve"> בישראל. הכנסות אלה הן </w:t>
      </w:r>
      <w:proofErr w:type="spellStart"/>
      <w:r>
        <w:rPr>
          <w:rFonts w:hint="cs"/>
          <w:rtl/>
        </w:rPr>
        <w:t>פירותיות</w:t>
      </w:r>
      <w:proofErr w:type="spellEnd"/>
      <w:r>
        <w:rPr>
          <w:rFonts w:hint="cs"/>
          <w:rtl/>
        </w:rPr>
        <w:t xml:space="preserve"> במהותן. יחד עם זאת, אין לשלול את האפשרות כי להסכם הפצה תיתכן חשיבות כ"נכס הון גולמי" (כפי שכינה זאת בית המשפט המחוזי), שתכליתו עבור העסק איננה נוגעת רק להשגת ההכנסות המופקות ממנו, במקרים שבהם הדרך בה ההכנסות מופקות, נוגעת לליבת פעילותו של העסק, ומכירתו של העסק עלולה להוביל "לגדיעת העץ". שוו בנפשכם, למשל, מצב שבו חברה היא בעלת הסכם הפצה בלעדי של מותג ייחודי בשוק. במצב דברים זה, לעתים הסכם ההפצה מהווה גורם מפתח למעמדה של החברה בשוק, ליכולתה להתקשר עם ספקי משנה, ולמוניטין שיש לה בבואה לחתום על הסכמי הפצה נוספים. במקרים אלה, ובניגוד לדברי בית המשפט המחוזי הנכבד, בהחלט ייתכן כי נטילתו של הסכם ההפצה מידי החברה, ישפיע לא רק על אובדן הפירות, אלא אף על אמצעי הייצור של החברה בעתיד.</w:t>
      </w:r>
    </w:p>
    <w:p w:rsidR="005D2F50" w:rsidRPr="00435311" w:rsidRDefault="005D2F50" w:rsidP="005D2F50">
      <w:pPr>
        <w:pStyle w:val="Ruller41"/>
        <w:rPr>
          <w:rtl/>
        </w:rPr>
      </w:pPr>
    </w:p>
    <w:p w:rsidR="005D2F50" w:rsidRPr="00582B78" w:rsidRDefault="005D2F50" w:rsidP="005D2F50">
      <w:pPr>
        <w:pStyle w:val="Ruller41"/>
        <w:rPr>
          <w:rtl/>
        </w:rPr>
      </w:pPr>
      <w:r>
        <w:rPr>
          <w:rtl/>
        </w:rPr>
        <w:tab/>
      </w:r>
      <w:r>
        <w:rPr>
          <w:rFonts w:hint="cs"/>
          <w:rtl/>
        </w:rPr>
        <w:t xml:space="preserve">משכך, להשקפתי, שאותה גם הבעתי בדיון שנערך בפנינו, ייתכן שהפיצוי שניתן כאן היה </w:t>
      </w:r>
      <w:r w:rsidRPr="00EE0F88">
        <w:rPr>
          <w:rFonts w:hint="cs"/>
          <w:b/>
          <w:bCs/>
          <w:rtl/>
        </w:rPr>
        <w:t>מעורב</w:t>
      </w:r>
      <w:r>
        <w:rPr>
          <w:rFonts w:hint="cs"/>
          <w:rtl/>
        </w:rPr>
        <w:t xml:space="preserve">: הוני </w:t>
      </w:r>
      <w:proofErr w:type="spellStart"/>
      <w:r>
        <w:rPr>
          <w:rFonts w:hint="cs"/>
          <w:rtl/>
        </w:rPr>
        <w:t>ופירותי</w:t>
      </w:r>
      <w:proofErr w:type="spellEnd"/>
      <w:r>
        <w:rPr>
          <w:rFonts w:hint="cs"/>
          <w:rtl/>
        </w:rPr>
        <w:t>. חלק מהפיצוי אולי כלל רכיבים הוניים, ואילו חלקו האחר היה פיצוי על הכנסות שנבעו מפעולות הייבוא, השיווק וההפצה שנמנעו</w:t>
      </w:r>
      <w:r>
        <w:rPr>
          <w:rFonts w:ascii="Century" w:hAnsi="Century" w:hint="cs"/>
          <w:rtl/>
        </w:rPr>
        <w:t>,</w:t>
      </w:r>
      <w:r>
        <w:rPr>
          <w:rFonts w:ascii="Century" w:hAnsi="Century" w:cs="Miriam" w:hint="cs"/>
          <w:b/>
          <w:spacing w:val="0"/>
          <w:szCs w:val="24"/>
          <w:rtl/>
        </w:rPr>
        <w:t xml:space="preserve"> </w:t>
      </w:r>
      <w:r>
        <w:rPr>
          <w:rFonts w:hint="cs"/>
          <w:rtl/>
        </w:rPr>
        <w:t xml:space="preserve">ובתור שכזה היה </w:t>
      </w:r>
      <w:proofErr w:type="spellStart"/>
      <w:r>
        <w:rPr>
          <w:rFonts w:hint="cs"/>
          <w:rtl/>
        </w:rPr>
        <w:t>פירותי</w:t>
      </w:r>
      <w:proofErr w:type="spellEnd"/>
      <w:r>
        <w:rPr>
          <w:rFonts w:hint="cs"/>
          <w:rtl/>
        </w:rPr>
        <w:t xml:space="preserve">. אם זה אכן היה המצב </w:t>
      </w:r>
      <w:r>
        <w:rPr>
          <w:rtl/>
        </w:rPr>
        <w:t>–</w:t>
      </w:r>
      <w:r>
        <w:rPr>
          <w:rFonts w:hint="cs"/>
          <w:rtl/>
        </w:rPr>
        <w:t xml:space="preserve"> היה מצופה מ</w:t>
      </w:r>
      <w:r>
        <w:rPr>
          <w:rFonts w:ascii="Century" w:hAnsi="Century" w:cs="Miriam" w:hint="cs"/>
          <w:b/>
          <w:spacing w:val="0"/>
          <w:szCs w:val="24"/>
          <w:rtl/>
        </w:rPr>
        <w:t xml:space="preserve">צמל </w:t>
      </w:r>
      <w:proofErr w:type="spellStart"/>
      <w:r>
        <w:rPr>
          <w:rFonts w:ascii="Century" w:hAnsi="Century" w:cs="Miriam" w:hint="cs"/>
          <w:b/>
          <w:spacing w:val="0"/>
          <w:szCs w:val="24"/>
          <w:rtl/>
        </w:rPr>
        <w:t>מדיקל</w:t>
      </w:r>
      <w:proofErr w:type="spellEnd"/>
      <w:r>
        <w:rPr>
          <w:rFonts w:hint="cs"/>
          <w:rtl/>
        </w:rPr>
        <w:t xml:space="preserve"> להביא ראיות באשר לשוויה של זכות ההפצה (כולל זכות הבלעדיות </w:t>
      </w:r>
      <w:proofErr w:type="spellStart"/>
      <w:r>
        <w:rPr>
          <w:rFonts w:hint="cs"/>
          <w:rtl/>
        </w:rPr>
        <w:t>שהיתה</w:t>
      </w:r>
      <w:proofErr w:type="spellEnd"/>
      <w:r>
        <w:rPr>
          <w:rFonts w:hint="cs"/>
          <w:rtl/>
        </w:rPr>
        <w:t xml:space="preserve"> כלולה בה), כך ששיעור זה מתוך התמורה </w:t>
      </w:r>
      <w:proofErr w:type="spellStart"/>
      <w:r>
        <w:rPr>
          <w:rFonts w:hint="cs"/>
          <w:rtl/>
        </w:rPr>
        <w:t>ימוסה</w:t>
      </w:r>
      <w:proofErr w:type="spellEnd"/>
      <w:r>
        <w:rPr>
          <w:rFonts w:hint="cs"/>
          <w:rtl/>
        </w:rPr>
        <w:t xml:space="preserve"> באופן הוני, ואילו שאר התמורה </w:t>
      </w:r>
      <w:proofErr w:type="spellStart"/>
      <w:r>
        <w:rPr>
          <w:rFonts w:hint="cs"/>
          <w:rtl/>
        </w:rPr>
        <w:t>ימוסה</w:t>
      </w:r>
      <w:proofErr w:type="spellEnd"/>
      <w:r>
        <w:rPr>
          <w:rFonts w:hint="cs"/>
          <w:rtl/>
        </w:rPr>
        <w:t xml:space="preserve"> כהכנסה </w:t>
      </w:r>
      <w:proofErr w:type="spellStart"/>
      <w:r>
        <w:rPr>
          <w:rFonts w:hint="cs"/>
          <w:rtl/>
        </w:rPr>
        <w:t>פירותית</w:t>
      </w:r>
      <w:proofErr w:type="spellEnd"/>
      <w:r>
        <w:rPr>
          <w:rFonts w:hint="cs"/>
          <w:rtl/>
        </w:rPr>
        <w:t>. יתירה מזו, אף ש</w:t>
      </w:r>
      <w:r>
        <w:rPr>
          <w:rFonts w:ascii="Century" w:hAnsi="Century" w:cs="Miriam" w:hint="cs"/>
          <w:b/>
          <w:spacing w:val="0"/>
          <w:szCs w:val="24"/>
          <w:rtl/>
        </w:rPr>
        <w:t xml:space="preserve">צמל </w:t>
      </w:r>
      <w:proofErr w:type="spellStart"/>
      <w:r>
        <w:rPr>
          <w:rFonts w:ascii="Century" w:hAnsi="Century" w:cs="Miriam" w:hint="cs"/>
          <w:b/>
          <w:spacing w:val="0"/>
          <w:szCs w:val="24"/>
          <w:rtl/>
        </w:rPr>
        <w:t>מדיקל</w:t>
      </w:r>
      <w:proofErr w:type="spellEnd"/>
      <w:r>
        <w:rPr>
          <w:rFonts w:ascii="Century" w:hAnsi="Century" w:cs="Miriam" w:hint="cs"/>
          <w:b/>
          <w:spacing w:val="0"/>
          <w:szCs w:val="24"/>
          <w:rtl/>
        </w:rPr>
        <w:t xml:space="preserve"> </w:t>
      </w:r>
      <w:r>
        <w:rPr>
          <w:rFonts w:hint="cs"/>
          <w:rtl/>
        </w:rPr>
        <w:t xml:space="preserve">לא הביאה ראיה מבוררת לגבי גובהה של התמורה כאמור, שקלתי אם היה מקום לנהוג פה בדומה למה שנעשה ב-ע"א 4710/12 </w:t>
      </w:r>
      <w:r>
        <w:rPr>
          <w:rFonts w:ascii="Century" w:hAnsi="Century" w:cs="Miriam" w:hint="cs"/>
          <w:b/>
          <w:spacing w:val="0"/>
          <w:szCs w:val="24"/>
          <w:rtl/>
        </w:rPr>
        <w:t>ברק גז סוכנויות בע"מ נ' פקיד שומה גוש דן</w:t>
      </w:r>
      <w:r>
        <w:rPr>
          <w:rFonts w:hint="cs"/>
          <w:rtl/>
        </w:rPr>
        <w:t xml:space="preserve"> (13.01.2015) ולבצע את החלוקה בדרך של הערכה.</w:t>
      </w:r>
    </w:p>
    <w:p w:rsidR="005D2F50" w:rsidRPr="00B302A1" w:rsidRDefault="005D2F50" w:rsidP="005D2F50">
      <w:pPr>
        <w:pStyle w:val="Ruller41"/>
      </w:pPr>
    </w:p>
    <w:p w:rsidR="005D2F50" w:rsidRPr="00B302A1" w:rsidRDefault="005D2F50" w:rsidP="005D2F50">
      <w:pPr>
        <w:pStyle w:val="Ruller4"/>
        <w:numPr>
          <w:ilvl w:val="0"/>
          <w:numId w:val="0"/>
        </w:numPr>
        <w:textAlignment w:val="auto"/>
        <w:rPr>
          <w:sz w:val="4"/>
          <w:szCs w:val="6"/>
        </w:rPr>
      </w:pPr>
    </w:p>
    <w:p w:rsidR="005D2F50" w:rsidRDefault="005D2F50" w:rsidP="005D2F50">
      <w:pPr>
        <w:pStyle w:val="Ruller4"/>
        <w:numPr>
          <w:ilvl w:val="0"/>
          <w:numId w:val="15"/>
        </w:numPr>
        <w:textAlignment w:val="auto"/>
        <w:rPr>
          <w:rtl/>
        </w:rPr>
      </w:pPr>
      <w:r>
        <w:rPr>
          <w:rtl/>
        </w:rPr>
        <w:tab/>
      </w:r>
      <w:r>
        <w:rPr>
          <w:rFonts w:hint="cs"/>
          <w:rtl/>
        </w:rPr>
        <w:t xml:space="preserve">דא עקא, שכידוע, </w:t>
      </w:r>
      <w:r w:rsidRPr="001E3CFE">
        <w:rPr>
          <w:rFonts w:ascii="Century" w:hAnsi="Century" w:cs="Miriam" w:hint="cs"/>
          <w:b/>
          <w:spacing w:val="0"/>
          <w:sz w:val="22"/>
          <w:szCs w:val="24"/>
          <w:rtl/>
        </w:rPr>
        <w:t>הדין נגזר מן העובדות</w:t>
      </w:r>
      <w:r>
        <w:rPr>
          <w:rFonts w:hint="cs"/>
          <w:rtl/>
        </w:rPr>
        <w:t xml:space="preserve">, ולא ראיתי להתערב בקביעות בית המשפט המחוזי שלפיהן לא נמצא בחומר הראיות בסיס עובדתי לגרסתם של המערערים, שבחרו שלא להציג מסמכים שונים ולהעיד גורמי מפתח, שהיה ביכולתם לשפוך אור על טיב העסקה ופרטיה (ראו </w:t>
      </w:r>
      <w:proofErr w:type="spellStart"/>
      <w:r>
        <w:rPr>
          <w:rFonts w:hint="cs"/>
          <w:rtl/>
        </w:rPr>
        <w:t>פיסקאות</w:t>
      </w:r>
      <w:proofErr w:type="spellEnd"/>
      <w:r>
        <w:rPr>
          <w:rFonts w:hint="cs"/>
          <w:rtl/>
        </w:rPr>
        <w:t xml:space="preserve"> 50-34 לפסק הדין של בית המשפט המחוזי). </w:t>
      </w:r>
    </w:p>
    <w:p w:rsidR="005D2F50" w:rsidRDefault="005D2F50" w:rsidP="005D2F50">
      <w:pPr>
        <w:pStyle w:val="Ruller41"/>
        <w:rPr>
          <w:rtl/>
        </w:rPr>
      </w:pPr>
      <w:r>
        <w:rPr>
          <w:rFonts w:hint="cs"/>
          <w:rtl/>
        </w:rPr>
        <w:lastRenderedPageBreak/>
        <w:t xml:space="preserve">בהקשר זה אציין עוד כי לא רק שבפני הערכאה המבררת </w:t>
      </w:r>
      <w:r>
        <w:rPr>
          <w:rtl/>
        </w:rPr>
        <w:t>–</w:t>
      </w:r>
      <w:r>
        <w:rPr>
          <w:rFonts w:hint="cs"/>
          <w:rtl/>
        </w:rPr>
        <w:t xml:space="preserve">בחרו המערערים שלא להציג ראיות לטיעונם, אלא שגם בערעור שבפנינו הם נקטו בגישת: "תפסת מרובה" וגרסו כי </w:t>
      </w:r>
      <w:r w:rsidRPr="00EE0F88">
        <w:rPr>
          <w:rFonts w:hint="cs"/>
          <w:b/>
          <w:bCs/>
          <w:rtl/>
        </w:rPr>
        <w:t>כל</w:t>
      </w:r>
      <w:r>
        <w:rPr>
          <w:rFonts w:hint="cs"/>
          <w:rtl/>
        </w:rPr>
        <w:t xml:space="preserve"> התמורה הינה הונית ולפיכך התוצאה היא: "לא תפסת". הנה כי כן </w:t>
      </w:r>
      <w:r>
        <w:rPr>
          <w:rtl/>
        </w:rPr>
        <w:t>–</w:t>
      </w:r>
      <w:r>
        <w:rPr>
          <w:rFonts w:hint="cs"/>
          <w:rtl/>
        </w:rPr>
        <w:t xml:space="preserve"> אין מקום לנהוג פה בדרך של הערכה ופיצול התמורה, בניגוד לטענות </w:t>
      </w:r>
      <w:r>
        <w:rPr>
          <w:rFonts w:ascii="Century" w:hAnsi="Century" w:hint="cs"/>
          <w:rtl/>
        </w:rPr>
        <w:t>המערערים</w:t>
      </w:r>
      <w:r>
        <w:rPr>
          <w:rFonts w:hint="cs"/>
          <w:rtl/>
        </w:rPr>
        <w:t>. ממילא, על פי הכלל הקבוע בסעיף 2(1) ל</w:t>
      </w:r>
      <w:r w:rsidRPr="00EE0F88">
        <w:rPr>
          <w:rFonts w:ascii="Century" w:hAnsi="Century" w:cs="Miriam" w:hint="cs"/>
          <w:b/>
          <w:spacing w:val="0"/>
          <w:szCs w:val="24"/>
          <w:rtl/>
        </w:rPr>
        <w:t>פקודה</w:t>
      </w:r>
      <w:r>
        <w:rPr>
          <w:rFonts w:hint="cs"/>
          <w:rtl/>
        </w:rPr>
        <w:t>, ולחלופין על-פי סעיף 89(ג) ל</w:t>
      </w:r>
      <w:r>
        <w:rPr>
          <w:rFonts w:ascii="Century" w:hAnsi="Century" w:cs="Miriam" w:hint="cs"/>
          <w:b/>
          <w:spacing w:val="0"/>
          <w:szCs w:val="24"/>
          <w:rtl/>
        </w:rPr>
        <w:t>פקודה</w:t>
      </w:r>
      <w:r>
        <w:rPr>
          <w:rFonts w:hint="cs"/>
          <w:rtl/>
        </w:rPr>
        <w:t xml:space="preserve"> (בהתאם למתווה שנקבע ב</w:t>
      </w:r>
      <w:r w:rsidRPr="003A038B">
        <w:rPr>
          <w:rFonts w:ascii="Century" w:hAnsi="Century" w:cs="Miriam" w:hint="cs"/>
          <w:b/>
          <w:spacing w:val="0"/>
          <w:szCs w:val="24"/>
          <w:rtl/>
        </w:rPr>
        <w:t>פרשת ברנע</w:t>
      </w:r>
      <w:r>
        <w:rPr>
          <w:rFonts w:hint="cs"/>
          <w:rtl/>
        </w:rPr>
        <w:t xml:space="preserve">), הרי ש-"הוני </w:t>
      </w:r>
      <w:proofErr w:type="spellStart"/>
      <w:r>
        <w:rPr>
          <w:rFonts w:hint="cs"/>
          <w:rtl/>
        </w:rPr>
        <w:t>ופירותי</w:t>
      </w:r>
      <w:proofErr w:type="spellEnd"/>
      <w:r>
        <w:rPr>
          <w:rFonts w:hint="cs"/>
          <w:rtl/>
        </w:rPr>
        <w:t xml:space="preserve"> – </w:t>
      </w:r>
      <w:proofErr w:type="spellStart"/>
      <w:r>
        <w:rPr>
          <w:rFonts w:hint="cs"/>
          <w:rtl/>
        </w:rPr>
        <w:t>פירותי</w:t>
      </w:r>
      <w:proofErr w:type="spellEnd"/>
      <w:r>
        <w:rPr>
          <w:rFonts w:hint="cs"/>
          <w:rtl/>
        </w:rPr>
        <w:t xml:space="preserve"> עדיף" ואף אם מדובר בהכנסה מעורבת, הונית </w:t>
      </w:r>
      <w:proofErr w:type="spellStart"/>
      <w:r>
        <w:rPr>
          <w:rFonts w:hint="cs"/>
          <w:rtl/>
        </w:rPr>
        <w:t>ופירותית</w:t>
      </w:r>
      <w:proofErr w:type="spellEnd"/>
      <w:r>
        <w:rPr>
          <w:rFonts w:hint="cs"/>
          <w:rtl/>
        </w:rPr>
        <w:t xml:space="preserve">, יש לסווג בנסיבות העניין דנן את כלל ההכנסה </w:t>
      </w:r>
      <w:proofErr w:type="spellStart"/>
      <w:r>
        <w:rPr>
          <w:rFonts w:hint="cs"/>
          <w:rtl/>
        </w:rPr>
        <w:t>כפירותית</w:t>
      </w:r>
      <w:proofErr w:type="spellEnd"/>
      <w:r>
        <w:rPr>
          <w:rFonts w:hint="cs"/>
          <w:rtl/>
        </w:rPr>
        <w:t>.</w:t>
      </w:r>
    </w:p>
    <w:p w:rsidR="005D2F50" w:rsidRDefault="005D2F50" w:rsidP="005D2F50">
      <w:pPr>
        <w:pStyle w:val="Ruller41"/>
        <w:rPr>
          <w:rtl/>
        </w:rPr>
      </w:pPr>
      <w:r>
        <w:rPr>
          <w:rFonts w:hint="cs"/>
          <w:rtl/>
        </w:rPr>
        <w:tab/>
      </w:r>
    </w:p>
    <w:p w:rsidR="005D2F50" w:rsidRPr="00B302A1" w:rsidRDefault="005D2F50" w:rsidP="005D2F50">
      <w:pPr>
        <w:pStyle w:val="Ruller4"/>
        <w:numPr>
          <w:ilvl w:val="0"/>
          <w:numId w:val="15"/>
        </w:numPr>
        <w:rPr>
          <w:rtl/>
        </w:rPr>
      </w:pPr>
      <w:r>
        <w:rPr>
          <w:rFonts w:hint="cs"/>
          <w:rtl/>
        </w:rPr>
        <w:t xml:space="preserve">סוף דבר, בכפוף להערותיי שפורטו לעיל, הנני מצטרף לתוצאה המוצעת בחוות דעתו של חברי, השופט </w:t>
      </w:r>
      <w:r w:rsidRPr="00B302A1">
        <w:rPr>
          <w:rFonts w:ascii="Century" w:hAnsi="Century" w:cs="Miriam" w:hint="cs"/>
          <w:b/>
          <w:spacing w:val="0"/>
          <w:sz w:val="22"/>
          <w:szCs w:val="24"/>
          <w:rtl/>
        </w:rPr>
        <w:t>א' שטיין</w:t>
      </w:r>
      <w:r>
        <w:rPr>
          <w:rFonts w:hint="cs"/>
          <w:rtl/>
        </w:rPr>
        <w:t>.</w:t>
      </w:r>
    </w:p>
    <w:p w:rsidR="005D2F50" w:rsidRDefault="005D2F50" w:rsidP="005D2F50">
      <w:pPr>
        <w:pStyle w:val="Ruller41"/>
        <w:rPr>
          <w:rtl/>
        </w:rPr>
      </w:pPr>
    </w:p>
    <w:p w:rsidR="00F73343" w:rsidRPr="00F73343" w:rsidRDefault="00F73343" w:rsidP="00F73343">
      <w:pPr>
        <w:pStyle w:val="Ruller41"/>
        <w:jc w:val="right"/>
        <w:rPr>
          <w:rFonts w:ascii="Century" w:hAnsi="Century"/>
          <w:rtl/>
        </w:rPr>
      </w:pPr>
      <w:r w:rsidRPr="00F73343">
        <w:rPr>
          <w:rFonts w:ascii="Century" w:hAnsi="Century"/>
          <w:rtl/>
        </w:rPr>
        <w:t>המשנה לנשיאה (</w:t>
      </w:r>
      <w:proofErr w:type="spellStart"/>
      <w:r w:rsidRPr="00F73343">
        <w:rPr>
          <w:rFonts w:ascii="Century" w:hAnsi="Century"/>
          <w:rtl/>
        </w:rPr>
        <w:t>בדימ</w:t>
      </w:r>
      <w:proofErr w:type="spellEnd"/>
      <w:r w:rsidRPr="00F73343">
        <w:rPr>
          <w:rFonts w:ascii="Century" w:hAnsi="Century"/>
          <w:rtl/>
        </w:rPr>
        <w:t>')</w:t>
      </w:r>
    </w:p>
    <w:p w:rsidR="00252DA4" w:rsidRDefault="00252DA4" w:rsidP="0009550C">
      <w:pPr>
        <w:pStyle w:val="Ruller41"/>
        <w:rPr>
          <w:rtl/>
        </w:rPr>
      </w:pPr>
    </w:p>
    <w:p w:rsidR="00252DA4" w:rsidRDefault="00252DA4" w:rsidP="0009550C">
      <w:pPr>
        <w:pStyle w:val="Ruller41"/>
        <w:rPr>
          <w:rtl/>
        </w:rPr>
      </w:pPr>
      <w:r>
        <w:rPr>
          <w:rtl/>
        </w:rPr>
        <w:tab/>
      </w:r>
      <w:r>
        <w:rPr>
          <w:rFonts w:hint="cs"/>
          <w:rtl/>
        </w:rPr>
        <w:t xml:space="preserve">הוחלט כאמור בפסק דינו של השופט </w:t>
      </w:r>
      <w:r w:rsidRPr="00252DA4">
        <w:rPr>
          <w:rFonts w:ascii="Century" w:hAnsi="Century" w:cs="Miriam" w:hint="cs"/>
          <w:b/>
          <w:spacing w:val="0"/>
          <w:szCs w:val="24"/>
          <w:rtl/>
        </w:rPr>
        <w:t>א' שטיין</w:t>
      </w:r>
      <w:r>
        <w:rPr>
          <w:rFonts w:hint="cs"/>
          <w:rtl/>
        </w:rPr>
        <w:t>.</w:t>
      </w:r>
    </w:p>
    <w:p w:rsidR="00252DA4" w:rsidRDefault="00252DA4" w:rsidP="0009550C">
      <w:pPr>
        <w:pStyle w:val="Ruller41"/>
        <w:rPr>
          <w:rtl/>
        </w:rPr>
      </w:pPr>
    </w:p>
    <w:p w:rsidR="00252DA4" w:rsidRDefault="005D2F50" w:rsidP="0009550C">
      <w:pPr>
        <w:pStyle w:val="Ruller41"/>
        <w:rPr>
          <w:rtl/>
        </w:rPr>
      </w:pPr>
      <w:r>
        <w:rPr>
          <w:rtl/>
        </w:rPr>
        <w:tab/>
        <w:t xml:space="preserve">ניתן היום, </w:t>
      </w:r>
      <w:r>
        <w:rPr>
          <w:rFonts w:hint="eastAsia"/>
          <w:rtl/>
        </w:rPr>
        <w:t>‏י</w:t>
      </w:r>
      <w:r>
        <w:rPr>
          <w:rtl/>
        </w:rPr>
        <w:t xml:space="preserve">"ז בתמוז </w:t>
      </w:r>
      <w:proofErr w:type="spellStart"/>
      <w:r>
        <w:rPr>
          <w:rtl/>
        </w:rPr>
        <w:t>התשפ"א</w:t>
      </w:r>
      <w:proofErr w:type="spellEnd"/>
      <w:r>
        <w:rPr>
          <w:rtl/>
        </w:rPr>
        <w:t xml:space="preserve"> (</w:t>
      </w:r>
      <w:r>
        <w:rPr>
          <w:rFonts w:hint="eastAsia"/>
          <w:rtl/>
        </w:rPr>
        <w:t>‏</w:t>
      </w:r>
      <w:r>
        <w:rPr>
          <w:rtl/>
        </w:rPr>
        <w:t>27.6.2021).</w:t>
      </w:r>
    </w:p>
    <w:p w:rsidR="005D2F50" w:rsidRDefault="005D2F50" w:rsidP="0009550C">
      <w:pPr>
        <w:pStyle w:val="Ruller41"/>
        <w:rPr>
          <w:rtl/>
        </w:rPr>
      </w:pPr>
    </w:p>
    <w:p w:rsidR="00252DA4" w:rsidRDefault="00252DA4" w:rsidP="0009550C">
      <w:pPr>
        <w:pStyle w:val="Ruller41"/>
        <w:rPr>
          <w:rtl/>
        </w:rPr>
      </w:pPr>
    </w:p>
    <w:p w:rsidR="00F73343" w:rsidRDefault="00F73343" w:rsidP="0009550C">
      <w:pPr>
        <w:pStyle w:val="Ruller41"/>
        <w:rPr>
          <w:rtl/>
        </w:rPr>
      </w:pPr>
    </w:p>
    <w:tbl>
      <w:tblPr>
        <w:bidiVisual/>
        <w:tblW w:w="8363" w:type="dxa"/>
        <w:tblLook w:val="01E0" w:firstRow="1" w:lastRow="1" w:firstColumn="1" w:lastColumn="1" w:noHBand="0" w:noVBand="0"/>
      </w:tblPr>
      <w:tblGrid>
        <w:gridCol w:w="2797"/>
        <w:gridCol w:w="2783"/>
        <w:gridCol w:w="2783"/>
      </w:tblGrid>
      <w:tr w:rsidR="0009550C" w:rsidTr="00F77E1E">
        <w:tc>
          <w:tcPr>
            <w:tcW w:w="2842" w:type="dxa"/>
            <w:shd w:val="clear" w:color="auto" w:fill="auto"/>
          </w:tcPr>
          <w:p w:rsidR="00F73343" w:rsidRPr="00F73343" w:rsidRDefault="00F73343" w:rsidP="00F73343">
            <w:pPr>
              <w:pStyle w:val="Ruller41"/>
              <w:jc w:val="right"/>
              <w:rPr>
                <w:rFonts w:ascii="Century" w:hAnsi="Century"/>
                <w:rtl/>
              </w:rPr>
            </w:pPr>
            <w:r w:rsidRPr="00F73343">
              <w:rPr>
                <w:rFonts w:ascii="Century" w:hAnsi="Century"/>
                <w:rtl/>
              </w:rPr>
              <w:t>המשנה לנשיאה (</w:t>
            </w:r>
            <w:proofErr w:type="spellStart"/>
            <w:r w:rsidRPr="00F73343">
              <w:rPr>
                <w:rFonts w:ascii="Century" w:hAnsi="Century"/>
                <w:rtl/>
              </w:rPr>
              <w:t>בדימ</w:t>
            </w:r>
            <w:proofErr w:type="spellEnd"/>
            <w:r w:rsidRPr="00F73343">
              <w:rPr>
                <w:rFonts w:ascii="Century" w:hAnsi="Century"/>
                <w:rtl/>
              </w:rPr>
              <w:t>')</w:t>
            </w:r>
          </w:p>
          <w:p w:rsidR="0009550C" w:rsidRDefault="0009550C" w:rsidP="00F77E1E">
            <w:pPr>
              <w:pStyle w:val="Ruller41"/>
              <w:rPr>
                <w:rtl/>
              </w:rPr>
            </w:pPr>
          </w:p>
        </w:tc>
        <w:tc>
          <w:tcPr>
            <w:tcW w:w="2843" w:type="dxa"/>
            <w:shd w:val="clear" w:color="auto" w:fill="auto"/>
          </w:tcPr>
          <w:p w:rsidR="0009550C" w:rsidRDefault="0009550C" w:rsidP="00F77E1E">
            <w:pPr>
              <w:pStyle w:val="Ruller41"/>
              <w:jc w:val="center"/>
              <w:rPr>
                <w:rtl/>
              </w:rPr>
            </w:pPr>
            <w:r>
              <w:rPr>
                <w:rtl/>
              </w:rPr>
              <w:t>ש ו פ ט</w:t>
            </w:r>
          </w:p>
        </w:tc>
        <w:tc>
          <w:tcPr>
            <w:tcW w:w="2843" w:type="dxa"/>
            <w:shd w:val="clear" w:color="auto" w:fill="auto"/>
          </w:tcPr>
          <w:p w:rsidR="0009550C" w:rsidRDefault="0009550C" w:rsidP="00F77E1E">
            <w:pPr>
              <w:pStyle w:val="Ruller41"/>
              <w:jc w:val="right"/>
              <w:rPr>
                <w:rtl/>
              </w:rPr>
            </w:pPr>
            <w:r>
              <w:rPr>
                <w:rtl/>
              </w:rPr>
              <w:t>ש ו פ ט</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481214">
        <w:rPr>
          <w:sz w:val="16"/>
        </w:rPr>
        <w:t xml:space="preserve">18053690_F17.docx   </w:t>
      </w:r>
      <w:r w:rsidR="00F73343">
        <w:rPr>
          <w:rFonts w:hint="cs"/>
          <w:sz w:val="16"/>
          <w:rtl/>
        </w:rPr>
        <w:t>עב</w:t>
      </w:r>
    </w:p>
    <w:p w:rsidR="00591983" w:rsidRPr="0058440A" w:rsidRDefault="00591983" w:rsidP="005D2F50">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58440A" w:rsidRPr="00CB1590">
          <w:rPr>
            <w:rStyle w:val="Hyperlink"/>
            <w:sz w:val="16"/>
          </w:rPr>
          <w:t>http://supreme.court.gov.i</w:t>
        </w:r>
      </w:hyperlink>
      <w:r w:rsidR="0058440A" w:rsidRPr="00CB1590">
        <w:rPr>
          <w:sz w:val="16"/>
        </w:rPr>
        <w:t>l</w:t>
      </w:r>
    </w:p>
    <w:sectPr w:rsidR="00591983" w:rsidRPr="0058440A"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4" w:rsidRDefault="0048121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800D31">
      <w:rPr>
        <w:rStyle w:val="a4"/>
        <w:noProof/>
        <w:rtl/>
      </w:rPr>
      <w:t>20</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4DD67FFC"/>
    <w:lvl w:ilvl="0" w:tplc="9C060E0E">
      <w:start w:val="1"/>
      <w:numFmt w:val="decimal"/>
      <w:pStyle w:val="Ruller4"/>
      <w:lvlText w:val="%1."/>
      <w:lvlJc w:val="left"/>
      <w:pPr>
        <w:tabs>
          <w:tab w:val="num" w:pos="907"/>
        </w:tabs>
        <w:ind w:left="0" w:firstLine="0"/>
      </w:pPr>
      <w:rPr>
        <w:rFonts w:hint="default"/>
        <w:lang w:val="en-US"/>
      </w:rPr>
    </w:lvl>
    <w:lvl w:ilvl="1" w:tplc="A6823B1C">
      <w:start w:val="1"/>
      <w:numFmt w:val="lowerLetter"/>
      <w:lvlText w:val="%2."/>
      <w:lvlJc w:val="left"/>
      <w:pPr>
        <w:tabs>
          <w:tab w:val="num" w:pos="1440"/>
        </w:tabs>
        <w:ind w:left="1440" w:hanging="360"/>
      </w:pPr>
    </w:lvl>
    <w:lvl w:ilvl="2" w:tplc="F1D4D0F0" w:tentative="1">
      <w:start w:val="1"/>
      <w:numFmt w:val="lowerRoman"/>
      <w:lvlText w:val="%3."/>
      <w:lvlJc w:val="right"/>
      <w:pPr>
        <w:tabs>
          <w:tab w:val="num" w:pos="2160"/>
        </w:tabs>
        <w:ind w:left="2160" w:hanging="180"/>
      </w:pPr>
    </w:lvl>
    <w:lvl w:ilvl="3" w:tplc="18B41206" w:tentative="1">
      <w:start w:val="1"/>
      <w:numFmt w:val="decimal"/>
      <w:lvlText w:val="%4."/>
      <w:lvlJc w:val="left"/>
      <w:pPr>
        <w:tabs>
          <w:tab w:val="num" w:pos="2880"/>
        </w:tabs>
        <w:ind w:left="2880" w:hanging="360"/>
      </w:pPr>
    </w:lvl>
    <w:lvl w:ilvl="4" w:tplc="BC22E19E" w:tentative="1">
      <w:start w:val="1"/>
      <w:numFmt w:val="lowerLetter"/>
      <w:lvlText w:val="%5."/>
      <w:lvlJc w:val="left"/>
      <w:pPr>
        <w:tabs>
          <w:tab w:val="num" w:pos="3600"/>
        </w:tabs>
        <w:ind w:left="3600" w:hanging="360"/>
      </w:pPr>
    </w:lvl>
    <w:lvl w:ilvl="5" w:tplc="1F509FE0" w:tentative="1">
      <w:start w:val="1"/>
      <w:numFmt w:val="lowerRoman"/>
      <w:lvlText w:val="%6."/>
      <w:lvlJc w:val="right"/>
      <w:pPr>
        <w:tabs>
          <w:tab w:val="num" w:pos="4320"/>
        </w:tabs>
        <w:ind w:left="4320" w:hanging="180"/>
      </w:pPr>
    </w:lvl>
    <w:lvl w:ilvl="6" w:tplc="EFA422C8" w:tentative="1">
      <w:start w:val="1"/>
      <w:numFmt w:val="decimal"/>
      <w:lvlText w:val="%7."/>
      <w:lvlJc w:val="left"/>
      <w:pPr>
        <w:tabs>
          <w:tab w:val="num" w:pos="5040"/>
        </w:tabs>
        <w:ind w:left="5040" w:hanging="360"/>
      </w:pPr>
    </w:lvl>
    <w:lvl w:ilvl="7" w:tplc="C6B83DF0" w:tentative="1">
      <w:start w:val="1"/>
      <w:numFmt w:val="lowerLetter"/>
      <w:lvlText w:val="%8."/>
      <w:lvlJc w:val="left"/>
      <w:pPr>
        <w:tabs>
          <w:tab w:val="num" w:pos="5760"/>
        </w:tabs>
        <w:ind w:left="5760" w:hanging="360"/>
      </w:pPr>
    </w:lvl>
    <w:lvl w:ilvl="8" w:tplc="795E78EA" w:tentative="1">
      <w:start w:val="1"/>
      <w:numFmt w:val="lowerRoman"/>
      <w:lvlText w:val="%9."/>
      <w:lvlJc w:val="right"/>
      <w:pPr>
        <w:tabs>
          <w:tab w:val="num" w:pos="6480"/>
        </w:tabs>
        <w:ind w:left="6480" w:hanging="180"/>
      </w:pPr>
    </w:lvl>
  </w:abstractNum>
  <w:abstractNum w:abstractNumId="11" w15:restartNumberingAfterBreak="0">
    <w:nsid w:val="1A8226B6"/>
    <w:multiLevelType w:val="hybridMultilevel"/>
    <w:tmpl w:val="A7CA9818"/>
    <w:lvl w:ilvl="0" w:tplc="21CCE29A">
      <w:start w:val="1"/>
      <w:numFmt w:val="hebrew1"/>
      <w:lvlText w:val="%1."/>
      <w:lvlJc w:val="center"/>
      <w:pPr>
        <w:ind w:left="1800" w:hanging="360"/>
      </w:pPr>
    </w:lvl>
    <w:lvl w:ilvl="1" w:tplc="A9A25358" w:tentative="1">
      <w:start w:val="1"/>
      <w:numFmt w:val="lowerLetter"/>
      <w:lvlText w:val="%2."/>
      <w:lvlJc w:val="left"/>
      <w:pPr>
        <w:ind w:left="2520" w:hanging="360"/>
      </w:pPr>
    </w:lvl>
    <w:lvl w:ilvl="2" w:tplc="A99C5210" w:tentative="1">
      <w:start w:val="1"/>
      <w:numFmt w:val="lowerRoman"/>
      <w:lvlText w:val="%3."/>
      <w:lvlJc w:val="right"/>
      <w:pPr>
        <w:ind w:left="3240" w:hanging="180"/>
      </w:pPr>
    </w:lvl>
    <w:lvl w:ilvl="3" w:tplc="8B2EF282" w:tentative="1">
      <w:start w:val="1"/>
      <w:numFmt w:val="decimal"/>
      <w:lvlText w:val="%4."/>
      <w:lvlJc w:val="left"/>
      <w:pPr>
        <w:ind w:left="3960" w:hanging="360"/>
      </w:pPr>
    </w:lvl>
    <w:lvl w:ilvl="4" w:tplc="FAD4190A" w:tentative="1">
      <w:start w:val="1"/>
      <w:numFmt w:val="lowerLetter"/>
      <w:lvlText w:val="%5."/>
      <w:lvlJc w:val="left"/>
      <w:pPr>
        <w:ind w:left="4680" w:hanging="360"/>
      </w:pPr>
    </w:lvl>
    <w:lvl w:ilvl="5" w:tplc="0172DB22" w:tentative="1">
      <w:start w:val="1"/>
      <w:numFmt w:val="lowerRoman"/>
      <w:lvlText w:val="%6."/>
      <w:lvlJc w:val="right"/>
      <w:pPr>
        <w:ind w:left="5400" w:hanging="180"/>
      </w:pPr>
    </w:lvl>
    <w:lvl w:ilvl="6" w:tplc="436633D0" w:tentative="1">
      <w:start w:val="1"/>
      <w:numFmt w:val="decimal"/>
      <w:lvlText w:val="%7."/>
      <w:lvlJc w:val="left"/>
      <w:pPr>
        <w:ind w:left="6120" w:hanging="360"/>
      </w:pPr>
    </w:lvl>
    <w:lvl w:ilvl="7" w:tplc="2526A72E" w:tentative="1">
      <w:start w:val="1"/>
      <w:numFmt w:val="lowerLetter"/>
      <w:lvlText w:val="%8."/>
      <w:lvlJc w:val="left"/>
      <w:pPr>
        <w:ind w:left="6840" w:hanging="360"/>
      </w:pPr>
    </w:lvl>
    <w:lvl w:ilvl="8" w:tplc="04D2319C" w:tentative="1">
      <w:start w:val="1"/>
      <w:numFmt w:val="lowerRoman"/>
      <w:lvlText w:val="%9."/>
      <w:lvlJc w:val="right"/>
      <w:pPr>
        <w:ind w:left="7560" w:hanging="180"/>
      </w:pPr>
    </w:lvl>
  </w:abstractNum>
  <w:abstractNum w:abstractNumId="12" w15:restartNumberingAfterBreak="0">
    <w:nsid w:val="4FE70B62"/>
    <w:multiLevelType w:val="hybridMultilevel"/>
    <w:tmpl w:val="ADA8711E"/>
    <w:lvl w:ilvl="0" w:tplc="47C81E30">
      <w:start w:val="1"/>
      <w:numFmt w:val="hebrew1"/>
      <w:pStyle w:val="Ruller40"/>
      <w:lvlText w:val="%1."/>
      <w:lvlJc w:val="left"/>
      <w:pPr>
        <w:tabs>
          <w:tab w:val="num" w:pos="907"/>
        </w:tabs>
        <w:ind w:left="0" w:firstLine="0"/>
      </w:pPr>
      <w:rPr>
        <w:rFonts w:hint="default"/>
      </w:rPr>
    </w:lvl>
    <w:lvl w:ilvl="1" w:tplc="7E5C04B2" w:tentative="1">
      <w:start w:val="1"/>
      <w:numFmt w:val="lowerLetter"/>
      <w:lvlText w:val="%2."/>
      <w:lvlJc w:val="left"/>
      <w:pPr>
        <w:tabs>
          <w:tab w:val="num" w:pos="1440"/>
        </w:tabs>
        <w:ind w:left="1440" w:hanging="360"/>
      </w:pPr>
    </w:lvl>
    <w:lvl w:ilvl="2" w:tplc="65E0D85A" w:tentative="1">
      <w:start w:val="1"/>
      <w:numFmt w:val="lowerRoman"/>
      <w:lvlText w:val="%3."/>
      <w:lvlJc w:val="right"/>
      <w:pPr>
        <w:tabs>
          <w:tab w:val="num" w:pos="2160"/>
        </w:tabs>
        <w:ind w:left="2160" w:hanging="180"/>
      </w:pPr>
    </w:lvl>
    <w:lvl w:ilvl="3" w:tplc="6E646CE8" w:tentative="1">
      <w:start w:val="1"/>
      <w:numFmt w:val="decimal"/>
      <w:lvlText w:val="%4."/>
      <w:lvlJc w:val="left"/>
      <w:pPr>
        <w:tabs>
          <w:tab w:val="num" w:pos="2880"/>
        </w:tabs>
        <w:ind w:left="2880" w:hanging="360"/>
      </w:pPr>
    </w:lvl>
    <w:lvl w:ilvl="4" w:tplc="672A45D8" w:tentative="1">
      <w:start w:val="1"/>
      <w:numFmt w:val="lowerLetter"/>
      <w:lvlText w:val="%5."/>
      <w:lvlJc w:val="left"/>
      <w:pPr>
        <w:tabs>
          <w:tab w:val="num" w:pos="3600"/>
        </w:tabs>
        <w:ind w:left="3600" w:hanging="360"/>
      </w:pPr>
    </w:lvl>
    <w:lvl w:ilvl="5" w:tplc="FAB82C78" w:tentative="1">
      <w:start w:val="1"/>
      <w:numFmt w:val="lowerRoman"/>
      <w:lvlText w:val="%6."/>
      <w:lvlJc w:val="right"/>
      <w:pPr>
        <w:tabs>
          <w:tab w:val="num" w:pos="4320"/>
        </w:tabs>
        <w:ind w:left="4320" w:hanging="180"/>
      </w:pPr>
    </w:lvl>
    <w:lvl w:ilvl="6" w:tplc="8168FE6E" w:tentative="1">
      <w:start w:val="1"/>
      <w:numFmt w:val="decimal"/>
      <w:lvlText w:val="%7."/>
      <w:lvlJc w:val="left"/>
      <w:pPr>
        <w:tabs>
          <w:tab w:val="num" w:pos="5040"/>
        </w:tabs>
        <w:ind w:left="5040" w:hanging="360"/>
      </w:pPr>
    </w:lvl>
    <w:lvl w:ilvl="7" w:tplc="7688AE96" w:tentative="1">
      <w:start w:val="1"/>
      <w:numFmt w:val="lowerLetter"/>
      <w:lvlText w:val="%8."/>
      <w:lvlJc w:val="left"/>
      <w:pPr>
        <w:tabs>
          <w:tab w:val="num" w:pos="5760"/>
        </w:tabs>
        <w:ind w:left="5760" w:hanging="360"/>
      </w:pPr>
    </w:lvl>
    <w:lvl w:ilvl="8" w:tplc="66788202"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0"/>
    <w:lvlOverride w:ilvl="0">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387C"/>
    <w:rsid w:val="00016EF1"/>
    <w:rsid w:val="00032036"/>
    <w:rsid w:val="00036227"/>
    <w:rsid w:val="00044953"/>
    <w:rsid w:val="00045B4D"/>
    <w:rsid w:val="000725F5"/>
    <w:rsid w:val="00072AD2"/>
    <w:rsid w:val="0009550C"/>
    <w:rsid w:val="000B1478"/>
    <w:rsid w:val="000C143F"/>
    <w:rsid w:val="000C4690"/>
    <w:rsid w:val="000D25C4"/>
    <w:rsid w:val="000E5A4F"/>
    <w:rsid w:val="001106C6"/>
    <w:rsid w:val="00134A67"/>
    <w:rsid w:val="00160C2F"/>
    <w:rsid w:val="00176D4B"/>
    <w:rsid w:val="00192C3E"/>
    <w:rsid w:val="001A0164"/>
    <w:rsid w:val="001E34F7"/>
    <w:rsid w:val="00200D6B"/>
    <w:rsid w:val="00252DA4"/>
    <w:rsid w:val="00265F6E"/>
    <w:rsid w:val="002876BF"/>
    <w:rsid w:val="002A4A7A"/>
    <w:rsid w:val="002A4BF3"/>
    <w:rsid w:val="002F7BB6"/>
    <w:rsid w:val="00323793"/>
    <w:rsid w:val="003448B2"/>
    <w:rsid w:val="00361DB2"/>
    <w:rsid w:val="0037622E"/>
    <w:rsid w:val="00377102"/>
    <w:rsid w:val="0039709B"/>
    <w:rsid w:val="003D72DA"/>
    <w:rsid w:val="003F1F97"/>
    <w:rsid w:val="0041048F"/>
    <w:rsid w:val="00437D59"/>
    <w:rsid w:val="0044322C"/>
    <w:rsid w:val="004610A4"/>
    <w:rsid w:val="00481214"/>
    <w:rsid w:val="004865E4"/>
    <w:rsid w:val="004B29FF"/>
    <w:rsid w:val="004C7868"/>
    <w:rsid w:val="004E2F0E"/>
    <w:rsid w:val="00503A3E"/>
    <w:rsid w:val="00527F02"/>
    <w:rsid w:val="005803E2"/>
    <w:rsid w:val="0058440A"/>
    <w:rsid w:val="00591983"/>
    <w:rsid w:val="005D2F50"/>
    <w:rsid w:val="006063D5"/>
    <w:rsid w:val="00624A42"/>
    <w:rsid w:val="0062537A"/>
    <w:rsid w:val="0065522F"/>
    <w:rsid w:val="006845F5"/>
    <w:rsid w:val="00690606"/>
    <w:rsid w:val="00694628"/>
    <w:rsid w:val="006A30F7"/>
    <w:rsid w:val="006C42AD"/>
    <w:rsid w:val="00725345"/>
    <w:rsid w:val="00741CC0"/>
    <w:rsid w:val="00762BE8"/>
    <w:rsid w:val="00790690"/>
    <w:rsid w:val="007A4ED0"/>
    <w:rsid w:val="007B512F"/>
    <w:rsid w:val="007F7512"/>
    <w:rsid w:val="00800D31"/>
    <w:rsid w:val="00810894"/>
    <w:rsid w:val="00811DC7"/>
    <w:rsid w:val="008143AB"/>
    <w:rsid w:val="0083345F"/>
    <w:rsid w:val="008340B8"/>
    <w:rsid w:val="00836667"/>
    <w:rsid w:val="00866D0F"/>
    <w:rsid w:val="008C2F11"/>
    <w:rsid w:val="008C5AA1"/>
    <w:rsid w:val="008D78B9"/>
    <w:rsid w:val="008E3F85"/>
    <w:rsid w:val="009051E8"/>
    <w:rsid w:val="00914156"/>
    <w:rsid w:val="00916FF8"/>
    <w:rsid w:val="00922093"/>
    <w:rsid w:val="00930C3F"/>
    <w:rsid w:val="00930C85"/>
    <w:rsid w:val="00931EAC"/>
    <w:rsid w:val="009B38DA"/>
    <w:rsid w:val="009F2F53"/>
    <w:rsid w:val="009F4187"/>
    <w:rsid w:val="009F41CD"/>
    <w:rsid w:val="00A04AF2"/>
    <w:rsid w:val="00A12E0F"/>
    <w:rsid w:val="00A2264B"/>
    <w:rsid w:val="00A51FAE"/>
    <w:rsid w:val="00A80845"/>
    <w:rsid w:val="00AB69F7"/>
    <w:rsid w:val="00AD097B"/>
    <w:rsid w:val="00AD64B9"/>
    <w:rsid w:val="00AE022B"/>
    <w:rsid w:val="00B009CC"/>
    <w:rsid w:val="00B05730"/>
    <w:rsid w:val="00B0782A"/>
    <w:rsid w:val="00B251B1"/>
    <w:rsid w:val="00B62B8C"/>
    <w:rsid w:val="00B63343"/>
    <w:rsid w:val="00B87FF7"/>
    <w:rsid w:val="00BA0B08"/>
    <w:rsid w:val="00BB3FEF"/>
    <w:rsid w:val="00BC0E82"/>
    <w:rsid w:val="00BD40F9"/>
    <w:rsid w:val="00BD6424"/>
    <w:rsid w:val="00C41C86"/>
    <w:rsid w:val="00C56EA8"/>
    <w:rsid w:val="00C6348D"/>
    <w:rsid w:val="00C63A6C"/>
    <w:rsid w:val="00CA13AF"/>
    <w:rsid w:val="00CA1444"/>
    <w:rsid w:val="00CB1590"/>
    <w:rsid w:val="00CB331C"/>
    <w:rsid w:val="00CB7600"/>
    <w:rsid w:val="00CC0E9D"/>
    <w:rsid w:val="00CC3639"/>
    <w:rsid w:val="00D00B1D"/>
    <w:rsid w:val="00D00CB7"/>
    <w:rsid w:val="00D206BF"/>
    <w:rsid w:val="00D25F16"/>
    <w:rsid w:val="00D33EAD"/>
    <w:rsid w:val="00E21CA9"/>
    <w:rsid w:val="00E31063"/>
    <w:rsid w:val="00E36FE9"/>
    <w:rsid w:val="00E5024D"/>
    <w:rsid w:val="00E64D1B"/>
    <w:rsid w:val="00E73E98"/>
    <w:rsid w:val="00E74B4C"/>
    <w:rsid w:val="00E75223"/>
    <w:rsid w:val="00E90D72"/>
    <w:rsid w:val="00EA0BE1"/>
    <w:rsid w:val="00EB6106"/>
    <w:rsid w:val="00EC23AC"/>
    <w:rsid w:val="00EC2992"/>
    <w:rsid w:val="00ED46A4"/>
    <w:rsid w:val="00ED6FD9"/>
    <w:rsid w:val="00EE3810"/>
    <w:rsid w:val="00F03505"/>
    <w:rsid w:val="00F63C3B"/>
    <w:rsid w:val="00F73343"/>
    <w:rsid w:val="00F939E3"/>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517D"/>
  <w15:chartTrackingRefBased/>
  <w15:docId w15:val="{8EC38E18-3895-446D-80F5-A5D25F49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rsid w:val="00B05730"/>
    <w:pPr>
      <w:numPr>
        <w:numId w:val="11"/>
      </w:numPr>
    </w:pPr>
    <w:rPr>
      <w:rFonts w:ascii="Garamond" w:hAnsi="Garamond"/>
      <w:sz w:val="24"/>
    </w:rPr>
  </w:style>
  <w:style w:type="paragraph" w:customStyle="1" w:styleId="Ruller40">
    <w:name w:val="Ruller4 אלפביתי"/>
    <w:basedOn w:val="Ruller41"/>
    <w:next w:val="Ruller41"/>
    <w:rsid w:val="00B05730"/>
    <w:pPr>
      <w:numPr>
        <w:numId w:val="12"/>
      </w:numPr>
    </w:pPr>
  </w:style>
  <w:style w:type="character" w:customStyle="1" w:styleId="Ruller50">
    <w:name w:val="Ruller5 תו"/>
    <w:link w:val="Ruller5"/>
    <w:rsid w:val="00B05730"/>
    <w:rPr>
      <w:rFonts w:ascii="Arial TUR" w:hAnsi="Arial TUR" w:cs="FrankRuehl"/>
      <w:spacing w:val="10"/>
      <w:sz w:val="22"/>
      <w:szCs w:val="28"/>
    </w:rPr>
  </w:style>
  <w:style w:type="character" w:customStyle="1" w:styleId="1">
    <w:name w:val="טקסט הערה תו1"/>
    <w:semiHidden/>
    <w:rsid w:val="00B05730"/>
    <w:rPr>
      <w:rFonts w:ascii="Century" w:hAnsi="Century" w:cs="FrankRuehl"/>
      <w:spacing w:val="10"/>
    </w:rPr>
  </w:style>
  <w:style w:type="character" w:customStyle="1" w:styleId="default">
    <w:name w:val="default"/>
    <w:rsid w:val="00B05730"/>
    <w:rPr>
      <w:rFonts w:ascii="Times New Roman" w:hAnsi="Times New Roman" w:cs="Times New Roman" w:hint="default"/>
    </w:rPr>
  </w:style>
  <w:style w:type="character" w:styleId="ae">
    <w:name w:val="Strong"/>
    <w:uiPriority w:val="22"/>
    <w:qFormat/>
    <w:rsid w:val="00B05730"/>
    <w:rPr>
      <w:b/>
      <w:bCs/>
    </w:rPr>
  </w:style>
  <w:style w:type="character" w:customStyle="1" w:styleId="af">
    <w:name w:val="כותרת עליונה תו"/>
    <w:link w:val="10"/>
    <w:rsid w:val="00B05730"/>
    <w:rPr>
      <w:rFonts w:cs="David"/>
    </w:rPr>
  </w:style>
  <w:style w:type="character" w:customStyle="1" w:styleId="Ruller42">
    <w:name w:val="Ruller4 תו"/>
    <w:link w:val="Ruller41"/>
    <w:rsid w:val="00B05730"/>
    <w:rPr>
      <w:rFonts w:ascii="Arial TUR" w:hAnsi="Arial TUR" w:cs="FrankRuehl"/>
      <w:spacing w:val="10"/>
      <w:sz w:val="22"/>
      <w:szCs w:val="28"/>
    </w:rPr>
  </w:style>
  <w:style w:type="paragraph" w:customStyle="1" w:styleId="10">
    <w:name w:val="כותרת עליונה1"/>
    <w:basedOn w:val="a"/>
    <w:link w:val="af"/>
    <w:rsid w:val="00B05730"/>
    <w:pPr>
      <w:adjustRightInd/>
      <w:textAlignment w:val="auto"/>
    </w:pPr>
    <w:rPr>
      <w:szCs w:val="20"/>
    </w:rPr>
  </w:style>
  <w:style w:type="paragraph" w:customStyle="1" w:styleId="ruller31">
    <w:name w:val="ruller 3"/>
    <w:basedOn w:val="Casenameintextbody"/>
    <w:rsid w:val="00F03505"/>
    <w:pPr>
      <w:jc w:val="left"/>
    </w:pPr>
    <w:rPr>
      <w:rFonts w:cs="David"/>
      <w:b w:val="0"/>
      <w:bCs w:val="0"/>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case/573934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8033</Words>
  <Characters>37771</Characters>
  <Application>Microsoft Office Word</Application>
  <DocSecurity>0</DocSecurity>
  <Lines>314</Lines>
  <Paragraphs>91</Paragraphs>
  <ScaleCrop>false</ScaleCrop>
  <HeadingPairs>
    <vt:vector size="2" baseType="variant">
      <vt:variant>
        <vt:lpstr>שם</vt:lpstr>
      </vt:variant>
      <vt:variant>
        <vt:i4>1</vt:i4>
      </vt:variant>
    </vt:vector>
  </HeadingPairs>
  <TitlesOfParts>
    <vt:vector size="1" baseType="lpstr">
      <vt:lpstr>פסק-דין בתיק ע"א  5369/18</vt:lpstr>
    </vt:vector>
  </TitlesOfParts>
  <Company/>
  <LinksUpToDate>false</LinksUpToDate>
  <CharactersWithSpaces>45713</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2021-06-28T10:18:00Z</cp:lastPrinted>
  <dcterms:created xsi:type="dcterms:W3CDTF">2021-06-28T10:18:00Z</dcterms:created>
  <dcterms:modified xsi:type="dcterms:W3CDTF">2021-06-28T10:18:00Z</dcterms:modified>
</cp:coreProperties>
</file>