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FF8" w:rsidRPr="00377102" w:rsidRDefault="00916FF8">
      <w:pPr>
        <w:jc w:val="right"/>
        <w:rPr>
          <w:rFonts w:cs="Miriam"/>
          <w:b/>
          <w:bCs/>
          <w:sz w:val="16"/>
          <w:szCs w:val="16"/>
          <w:u w:val="single"/>
        </w:rPr>
      </w:pPr>
    </w:p>
    <w:p w:rsidR="00916FF8" w:rsidRPr="00377102" w:rsidRDefault="00916FF8">
      <w:pPr>
        <w:jc w:val="right"/>
        <w:rPr>
          <w:rFonts w:cs="Miriam"/>
          <w:b/>
          <w:bCs/>
          <w:sz w:val="16"/>
          <w:szCs w:val="16"/>
          <w:u w:val="single"/>
        </w:rPr>
      </w:pPr>
    </w:p>
    <w:tbl>
      <w:tblPr>
        <w:bidiVisual/>
        <w:tblW w:w="8363" w:type="dxa"/>
        <w:tblInd w:w="9" w:type="dxa"/>
        <w:tblLook w:val="0000" w:firstRow="0" w:lastRow="0" w:firstColumn="0" w:lastColumn="0" w:noHBand="0" w:noVBand="0"/>
      </w:tblPr>
      <w:tblGrid>
        <w:gridCol w:w="8363"/>
      </w:tblGrid>
      <w:tr w:rsidR="00036227" w:rsidTr="0039709B">
        <w:tc>
          <w:tcPr>
            <w:tcW w:w="7848" w:type="dxa"/>
          </w:tcPr>
          <w:p w:rsidR="00916FF8" w:rsidRPr="00624A42" w:rsidRDefault="00207EDE" w:rsidP="004C7868">
            <w:pPr>
              <w:pStyle w:val="FileNumber0"/>
              <w:rPr>
                <w:sz w:val="28"/>
                <w:u w:val="single"/>
                <w:rtl/>
              </w:rPr>
            </w:pPr>
            <w:r>
              <w:rPr>
                <w:u w:val="single"/>
                <w:rtl/>
              </w:rPr>
              <w:t>בבית המשפט העליון בשבתו כבית משפט לערעורים אזרחיים</w:t>
            </w:r>
          </w:p>
        </w:tc>
      </w:tr>
    </w:tbl>
    <w:p w:rsidR="00916FF8" w:rsidRDefault="00916FF8">
      <w:pPr>
        <w:jc w:val="right"/>
        <w:rPr>
          <w:rFonts w:cs="Miriam"/>
          <w:b/>
          <w:bCs/>
          <w:u w:val="single"/>
        </w:rPr>
      </w:pPr>
    </w:p>
    <w:tbl>
      <w:tblPr>
        <w:bidiVisual/>
        <w:tblW w:w="8363" w:type="dxa"/>
        <w:tblLook w:val="0000" w:firstRow="0" w:lastRow="0" w:firstColumn="0" w:lastColumn="0" w:noHBand="0" w:noVBand="0"/>
      </w:tblPr>
      <w:tblGrid>
        <w:gridCol w:w="8363"/>
      </w:tblGrid>
      <w:tr w:rsidR="00036227" w:rsidTr="0039709B">
        <w:trPr>
          <w:trHeight w:val="342"/>
        </w:trPr>
        <w:tc>
          <w:tcPr>
            <w:tcW w:w="9828" w:type="dxa"/>
          </w:tcPr>
          <w:p w:rsidR="00916FF8" w:rsidRPr="00810894" w:rsidRDefault="00207EDE">
            <w:pPr>
              <w:pStyle w:val="FileNumber"/>
              <w:rPr>
                <w:sz w:val="28"/>
                <w:szCs w:val="28"/>
              </w:rPr>
            </w:pPr>
            <w:bookmarkStart w:id="0" w:name="casename_body"/>
            <w:r>
              <w:rPr>
                <w:sz w:val="28"/>
                <w:szCs w:val="28"/>
                <w:rtl/>
              </w:rPr>
              <w:t>ע"א  8511/18</w:t>
            </w:r>
          </w:p>
        </w:tc>
      </w:tr>
      <w:bookmarkEnd w:id="0"/>
    </w:tbl>
    <w:p w:rsidR="00916FF8" w:rsidRDefault="00916FF8">
      <w:pPr>
        <w:jc w:val="right"/>
        <w:rPr>
          <w:rFonts w:cs="Miriam"/>
          <w:b/>
          <w:bCs/>
          <w:u w:val="single"/>
        </w:rPr>
      </w:pPr>
    </w:p>
    <w:tbl>
      <w:tblPr>
        <w:bidiVisual/>
        <w:tblW w:w="8364" w:type="dxa"/>
        <w:tblLayout w:type="fixed"/>
        <w:tblLook w:val="0000" w:firstRow="0" w:lastRow="0" w:firstColumn="0" w:lastColumn="0" w:noHBand="0" w:noVBand="0"/>
      </w:tblPr>
      <w:tblGrid>
        <w:gridCol w:w="3210"/>
        <w:gridCol w:w="5154"/>
      </w:tblGrid>
      <w:tr w:rsidR="00036227" w:rsidTr="00EC23AC">
        <w:trPr>
          <w:trHeight w:val="287"/>
        </w:trPr>
        <w:tc>
          <w:tcPr>
            <w:tcW w:w="3261" w:type="dxa"/>
          </w:tcPr>
          <w:p w:rsidR="00036227" w:rsidRDefault="00CB7600">
            <w:pPr>
              <w:pStyle w:val="BodyRuller"/>
              <w:rPr>
                <w:rFonts w:cs="Miriam"/>
                <w:b/>
                <w:bCs/>
                <w:u w:val="single"/>
              </w:rPr>
            </w:pPr>
            <w:r>
              <w:rPr>
                <w:rFonts w:hint="cs"/>
                <w:rtl/>
              </w:rPr>
              <w:t>ל</w:t>
            </w:r>
            <w:r w:rsidR="00036227">
              <w:rPr>
                <w:rtl/>
              </w:rPr>
              <w:t>פני:</w:t>
            </w:r>
            <w:r w:rsidR="00036227">
              <w:rPr>
                <w:rtl/>
              </w:rPr>
              <w:tab/>
            </w:r>
          </w:p>
        </w:tc>
        <w:tc>
          <w:tcPr>
            <w:tcW w:w="5239" w:type="dxa"/>
          </w:tcPr>
          <w:p w:rsidR="00036227" w:rsidRDefault="00207EDE">
            <w:pPr>
              <w:pStyle w:val="BodyRuller"/>
            </w:pPr>
            <w:r>
              <w:rPr>
                <w:rtl/>
              </w:rPr>
              <w:t>כבוד המשנה לנשיאה ח' מלצר</w:t>
            </w:r>
          </w:p>
        </w:tc>
      </w:tr>
      <w:tr w:rsidR="00207EDE" w:rsidTr="00EC23AC">
        <w:trPr>
          <w:trHeight w:val="287"/>
        </w:trPr>
        <w:tc>
          <w:tcPr>
            <w:tcW w:w="3261" w:type="dxa"/>
          </w:tcPr>
          <w:p w:rsidR="00207EDE" w:rsidRDefault="00207EDE">
            <w:pPr>
              <w:pStyle w:val="BodyRuller"/>
              <w:rPr>
                <w:rtl/>
              </w:rPr>
            </w:pPr>
          </w:p>
        </w:tc>
        <w:tc>
          <w:tcPr>
            <w:tcW w:w="5239" w:type="dxa"/>
          </w:tcPr>
          <w:p w:rsidR="00207EDE" w:rsidRDefault="00207EDE">
            <w:pPr>
              <w:pStyle w:val="BodyRuller"/>
              <w:rPr>
                <w:rtl/>
              </w:rPr>
            </w:pPr>
            <w:r>
              <w:rPr>
                <w:rtl/>
              </w:rPr>
              <w:t>כבוד השופטת ע' ברון</w:t>
            </w:r>
          </w:p>
        </w:tc>
      </w:tr>
      <w:tr w:rsidR="00207EDE" w:rsidTr="00EC23AC">
        <w:trPr>
          <w:trHeight w:val="287"/>
        </w:trPr>
        <w:tc>
          <w:tcPr>
            <w:tcW w:w="3261" w:type="dxa"/>
          </w:tcPr>
          <w:p w:rsidR="00207EDE" w:rsidRDefault="00207EDE">
            <w:pPr>
              <w:pStyle w:val="BodyRuller"/>
              <w:rPr>
                <w:rtl/>
              </w:rPr>
            </w:pPr>
          </w:p>
        </w:tc>
        <w:tc>
          <w:tcPr>
            <w:tcW w:w="5239" w:type="dxa"/>
          </w:tcPr>
          <w:p w:rsidR="00207EDE" w:rsidRDefault="00207EDE">
            <w:pPr>
              <w:pStyle w:val="BodyRuller"/>
              <w:rPr>
                <w:rtl/>
              </w:rPr>
            </w:pPr>
            <w:r>
              <w:rPr>
                <w:rtl/>
              </w:rPr>
              <w:t>כבוד השופט ד' מינץ</w:t>
            </w:r>
          </w:p>
        </w:tc>
      </w:tr>
    </w:tbl>
    <w:p w:rsidR="00916FF8" w:rsidRDefault="00916FF8">
      <w:pPr>
        <w:pStyle w:val="Ruller3"/>
        <w:rPr>
          <w:rFonts w:cs="Miriam"/>
          <w:b/>
          <w:bCs/>
          <w:u w:val="single"/>
          <w:rtl/>
        </w:rPr>
      </w:pPr>
    </w:p>
    <w:tbl>
      <w:tblPr>
        <w:bidiVisual/>
        <w:tblW w:w="8364" w:type="dxa"/>
        <w:tblLayout w:type="fixed"/>
        <w:tblLook w:val="0000" w:firstRow="0" w:lastRow="0" w:firstColumn="0" w:lastColumn="0" w:noHBand="0" w:noVBand="0"/>
      </w:tblPr>
      <w:tblGrid>
        <w:gridCol w:w="3210"/>
        <w:gridCol w:w="5154"/>
      </w:tblGrid>
      <w:tr w:rsidR="00D00CB7" w:rsidTr="00DD6306">
        <w:trPr>
          <w:trHeight w:val="287"/>
        </w:trPr>
        <w:tc>
          <w:tcPr>
            <w:tcW w:w="3261" w:type="dxa"/>
          </w:tcPr>
          <w:p w:rsidR="00D00CB7" w:rsidRPr="00E75223" w:rsidRDefault="00207EDE" w:rsidP="00DD6306">
            <w:pPr>
              <w:pStyle w:val="BodyRuller"/>
              <w:rPr>
                <w:rFonts w:ascii="David" w:hAnsi="David"/>
              </w:rPr>
            </w:pPr>
            <w:r>
              <w:rPr>
                <w:rFonts w:ascii="David" w:hAnsi="David"/>
                <w:rtl/>
              </w:rPr>
              <w:t>המערער:</w:t>
            </w:r>
          </w:p>
        </w:tc>
        <w:tc>
          <w:tcPr>
            <w:tcW w:w="5239" w:type="dxa"/>
          </w:tcPr>
          <w:p w:rsidR="00D00CB7" w:rsidRDefault="00207EDE" w:rsidP="00DD6306">
            <w:pPr>
              <w:pStyle w:val="BodyRuller"/>
            </w:pPr>
            <w:r>
              <w:rPr>
                <w:rtl/>
              </w:rPr>
              <w:t>פקיד שומה נתניה</w:t>
            </w:r>
          </w:p>
        </w:tc>
      </w:tr>
    </w:tbl>
    <w:p w:rsidR="00D00CB7" w:rsidRDefault="00D00CB7">
      <w:pPr>
        <w:pStyle w:val="Ruller3"/>
      </w:pPr>
    </w:p>
    <w:tbl>
      <w:tblPr>
        <w:bidiVisual/>
        <w:tblW w:w="8363" w:type="dxa"/>
        <w:tblLook w:val="0000" w:firstRow="0" w:lastRow="0" w:firstColumn="0" w:lastColumn="0" w:noHBand="0" w:noVBand="0"/>
      </w:tblPr>
      <w:tblGrid>
        <w:gridCol w:w="3222"/>
        <w:gridCol w:w="5141"/>
      </w:tblGrid>
      <w:tr w:rsidR="00036227" w:rsidTr="0039709B">
        <w:tc>
          <w:tcPr>
            <w:tcW w:w="3284" w:type="dxa"/>
          </w:tcPr>
          <w:p w:rsidR="00036227" w:rsidRDefault="00036227">
            <w:pPr>
              <w:pStyle w:val="BodyRuller"/>
            </w:pPr>
          </w:p>
        </w:tc>
        <w:tc>
          <w:tcPr>
            <w:tcW w:w="5238" w:type="dxa"/>
          </w:tcPr>
          <w:p w:rsidR="00036227" w:rsidRDefault="00036227">
            <w:pPr>
              <w:pStyle w:val="BodyRuller"/>
            </w:pPr>
            <w:r>
              <w:rPr>
                <w:rFonts w:hint="cs"/>
                <w:rtl/>
              </w:rPr>
              <w:t>נ</w:t>
            </w:r>
            <w:r>
              <w:t xml:space="preserve">  </w:t>
            </w:r>
            <w:r>
              <w:rPr>
                <w:rFonts w:hint="cs"/>
                <w:rtl/>
              </w:rPr>
              <w:t>ג</w:t>
            </w:r>
            <w:r>
              <w:t xml:space="preserve">  </w:t>
            </w:r>
            <w:r>
              <w:rPr>
                <w:rFonts w:hint="cs"/>
                <w:rtl/>
              </w:rPr>
              <w:t>ד</w:t>
            </w:r>
          </w:p>
        </w:tc>
      </w:tr>
    </w:tbl>
    <w:p w:rsidR="00916FF8" w:rsidRDefault="00916FF8">
      <w:pPr>
        <w:pStyle w:val="Ruller3"/>
        <w:rPr>
          <w:rtl/>
        </w:rPr>
      </w:pPr>
    </w:p>
    <w:tbl>
      <w:tblPr>
        <w:bidiVisual/>
        <w:tblW w:w="8364" w:type="dxa"/>
        <w:tblLayout w:type="fixed"/>
        <w:tblLook w:val="0000" w:firstRow="0" w:lastRow="0" w:firstColumn="0" w:lastColumn="0" w:noHBand="0" w:noVBand="0"/>
      </w:tblPr>
      <w:tblGrid>
        <w:gridCol w:w="3210"/>
        <w:gridCol w:w="5154"/>
      </w:tblGrid>
      <w:tr w:rsidR="0083345F" w:rsidTr="00DD6306">
        <w:trPr>
          <w:trHeight w:val="287"/>
        </w:trPr>
        <w:tc>
          <w:tcPr>
            <w:tcW w:w="3261" w:type="dxa"/>
          </w:tcPr>
          <w:p w:rsidR="0083345F" w:rsidRPr="00E75223" w:rsidRDefault="00207EDE" w:rsidP="00DD6306">
            <w:pPr>
              <w:pStyle w:val="BodyRuller"/>
              <w:rPr>
                <w:rFonts w:ascii="David" w:hAnsi="David"/>
              </w:rPr>
            </w:pPr>
            <w:r>
              <w:rPr>
                <w:rFonts w:ascii="David" w:hAnsi="David"/>
                <w:rtl/>
              </w:rPr>
              <w:t>המשיב</w:t>
            </w:r>
            <w:r w:rsidR="005307CB">
              <w:rPr>
                <w:rFonts w:ascii="David" w:hAnsi="David" w:hint="cs"/>
                <w:rtl/>
              </w:rPr>
              <w:t>ה</w:t>
            </w:r>
            <w:r>
              <w:rPr>
                <w:rFonts w:ascii="David" w:hAnsi="David"/>
                <w:rtl/>
              </w:rPr>
              <w:t>:</w:t>
            </w:r>
          </w:p>
        </w:tc>
        <w:tc>
          <w:tcPr>
            <w:tcW w:w="5239" w:type="dxa"/>
          </w:tcPr>
          <w:p w:rsidR="0083345F" w:rsidRDefault="00207EDE" w:rsidP="00DD6306">
            <w:pPr>
              <w:pStyle w:val="BodyRuller"/>
            </w:pPr>
            <w:r>
              <w:rPr>
                <w:rtl/>
              </w:rPr>
              <w:t>דלק הונגריה בע"מ</w:t>
            </w:r>
          </w:p>
        </w:tc>
      </w:tr>
    </w:tbl>
    <w:p w:rsidR="0083345F" w:rsidRDefault="0083345F">
      <w:pPr>
        <w:pStyle w:val="Ruller3"/>
      </w:pPr>
    </w:p>
    <w:tbl>
      <w:tblPr>
        <w:bidiVisual/>
        <w:tblW w:w="0" w:type="auto"/>
        <w:tblInd w:w="3209" w:type="dxa"/>
        <w:tblLook w:val="0000" w:firstRow="0" w:lastRow="0" w:firstColumn="0" w:lastColumn="0" w:noHBand="0" w:noVBand="0"/>
      </w:tblPr>
      <w:tblGrid>
        <w:gridCol w:w="5103"/>
      </w:tblGrid>
      <w:tr w:rsidR="00036227" w:rsidRPr="008A1078" w:rsidTr="00CA1444">
        <w:tc>
          <w:tcPr>
            <w:tcW w:w="5103" w:type="dxa"/>
          </w:tcPr>
          <w:p w:rsidR="00916FF8" w:rsidRPr="00265F6E" w:rsidRDefault="008A1078" w:rsidP="005307CB">
            <w:pPr>
              <w:pStyle w:val="BodyRuller"/>
              <w:jc w:val="both"/>
              <w:rPr>
                <w:sz w:val="24"/>
                <w:szCs w:val="24"/>
              </w:rPr>
            </w:pPr>
            <w:r w:rsidRPr="008A1078">
              <w:rPr>
                <w:sz w:val="24"/>
                <w:szCs w:val="24"/>
                <w:rtl/>
              </w:rPr>
              <w:t>ערעור על פסק דינו של בית המשפט המחוזי מרכז-לוד (כבוד השופט ש' בורנשטיין</w:t>
            </w:r>
            <w:r w:rsidR="005307CB">
              <w:rPr>
                <w:sz w:val="24"/>
                <w:szCs w:val="24"/>
                <w:rtl/>
              </w:rPr>
              <w:t>) מיום 9.7.2018 ב</w:t>
            </w:r>
            <w:r w:rsidRPr="008A1078">
              <w:rPr>
                <w:sz w:val="24"/>
                <w:szCs w:val="24"/>
                <w:rtl/>
              </w:rPr>
              <w:t>ע"מ 28212-11-15 וע"מ 14745-07-16</w:t>
            </w:r>
          </w:p>
        </w:tc>
      </w:tr>
    </w:tbl>
    <w:p w:rsidR="00916FF8" w:rsidRDefault="00916FF8">
      <w:pPr>
        <w:pStyle w:val="Ruller3"/>
        <w:rPr>
          <w:rtl/>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2423"/>
        <w:gridCol w:w="2710"/>
      </w:tblGrid>
      <w:tr w:rsidR="008C2F11" w:rsidRPr="005307CB" w:rsidTr="00D00B1D">
        <w:tc>
          <w:tcPr>
            <w:tcW w:w="3212" w:type="dxa"/>
            <w:tcBorders>
              <w:top w:val="nil"/>
              <w:left w:val="nil"/>
              <w:bottom w:val="nil"/>
              <w:right w:val="nil"/>
            </w:tcBorders>
          </w:tcPr>
          <w:p w:rsidR="008C2F11" w:rsidRPr="00265F6E" w:rsidRDefault="008C2F11">
            <w:pPr>
              <w:pStyle w:val="BodyRuller"/>
              <w:rPr>
                <w:sz w:val="24"/>
                <w:szCs w:val="24"/>
              </w:rPr>
            </w:pPr>
            <w:r w:rsidRPr="00265F6E">
              <w:rPr>
                <w:sz w:val="24"/>
                <w:szCs w:val="24"/>
                <w:rtl/>
              </w:rPr>
              <w:t>תאריך הישיבה:</w:t>
            </w:r>
          </w:p>
        </w:tc>
        <w:tc>
          <w:tcPr>
            <w:tcW w:w="2409" w:type="dxa"/>
            <w:tcBorders>
              <w:top w:val="nil"/>
              <w:left w:val="nil"/>
              <w:bottom w:val="nil"/>
              <w:right w:val="nil"/>
            </w:tcBorders>
          </w:tcPr>
          <w:p w:rsidR="008C2F11" w:rsidRPr="005307CB" w:rsidRDefault="005307CB">
            <w:pPr>
              <w:pStyle w:val="BodyRuller"/>
              <w:rPr>
                <w:sz w:val="24"/>
                <w:szCs w:val="24"/>
                <w:rtl/>
              </w:rPr>
            </w:pPr>
            <w:r w:rsidRPr="005307CB">
              <w:rPr>
                <w:sz w:val="24"/>
                <w:szCs w:val="24"/>
                <w:rtl/>
              </w:rPr>
              <w:t xml:space="preserve">ח' בחשון </w:t>
            </w:r>
            <w:proofErr w:type="spellStart"/>
            <w:r w:rsidRPr="005307CB">
              <w:rPr>
                <w:sz w:val="24"/>
                <w:szCs w:val="24"/>
                <w:rtl/>
              </w:rPr>
              <w:t>התש"</w:t>
            </w:r>
            <w:r w:rsidRPr="005307CB">
              <w:rPr>
                <w:rFonts w:hint="cs"/>
                <w:sz w:val="24"/>
                <w:szCs w:val="24"/>
                <w:rtl/>
              </w:rPr>
              <w:t>פ</w:t>
            </w:r>
            <w:proofErr w:type="spellEnd"/>
          </w:p>
        </w:tc>
        <w:tc>
          <w:tcPr>
            <w:tcW w:w="2694" w:type="dxa"/>
            <w:tcBorders>
              <w:top w:val="nil"/>
              <w:left w:val="nil"/>
              <w:bottom w:val="nil"/>
              <w:right w:val="nil"/>
            </w:tcBorders>
          </w:tcPr>
          <w:p w:rsidR="008C2F11" w:rsidRDefault="005307CB" w:rsidP="005307CB">
            <w:pPr>
              <w:pStyle w:val="BodyRuller"/>
              <w:rPr>
                <w:sz w:val="24"/>
                <w:szCs w:val="24"/>
                <w:rtl/>
              </w:rPr>
            </w:pPr>
            <w:r w:rsidRPr="005307CB">
              <w:rPr>
                <w:rFonts w:hint="cs"/>
                <w:sz w:val="24"/>
                <w:szCs w:val="24"/>
                <w:rtl/>
              </w:rPr>
              <w:t>(</w:t>
            </w:r>
            <w:r w:rsidRPr="005307CB">
              <w:rPr>
                <w:sz w:val="24"/>
                <w:szCs w:val="24"/>
                <w:rtl/>
              </w:rPr>
              <w:t>06.11.</w:t>
            </w:r>
            <w:r w:rsidR="00535896">
              <w:rPr>
                <w:rFonts w:hint="cs"/>
                <w:sz w:val="24"/>
                <w:szCs w:val="24"/>
                <w:rtl/>
              </w:rPr>
              <w:t>20</w:t>
            </w:r>
            <w:r w:rsidRPr="005307CB">
              <w:rPr>
                <w:sz w:val="24"/>
                <w:szCs w:val="24"/>
                <w:rtl/>
              </w:rPr>
              <w:t>19</w:t>
            </w:r>
            <w:r w:rsidRPr="005307CB">
              <w:rPr>
                <w:rFonts w:hint="cs"/>
                <w:sz w:val="24"/>
                <w:szCs w:val="24"/>
                <w:rtl/>
              </w:rPr>
              <w:t>)</w:t>
            </w:r>
          </w:p>
        </w:tc>
      </w:tr>
    </w:tbl>
    <w:p w:rsidR="00916FF8" w:rsidRDefault="00916FF8">
      <w:pPr>
        <w:pStyle w:val="Ruller3"/>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4"/>
        <w:gridCol w:w="5149"/>
      </w:tblGrid>
      <w:tr w:rsidR="00036227" w:rsidTr="00D00B1D">
        <w:tc>
          <w:tcPr>
            <w:tcW w:w="3257" w:type="dxa"/>
            <w:tcBorders>
              <w:top w:val="nil"/>
              <w:left w:val="nil"/>
              <w:bottom w:val="nil"/>
              <w:right w:val="nil"/>
            </w:tcBorders>
          </w:tcPr>
          <w:p w:rsidR="00036227" w:rsidRDefault="00207EDE">
            <w:pPr>
              <w:pStyle w:val="BodyRuller"/>
            </w:pPr>
            <w:r>
              <w:rPr>
                <w:rtl/>
              </w:rPr>
              <w:t>בשם המערער:</w:t>
            </w:r>
          </w:p>
        </w:tc>
        <w:tc>
          <w:tcPr>
            <w:tcW w:w="5238" w:type="dxa"/>
            <w:tcBorders>
              <w:top w:val="nil"/>
              <w:left w:val="nil"/>
              <w:bottom w:val="nil"/>
              <w:right w:val="nil"/>
            </w:tcBorders>
          </w:tcPr>
          <w:p w:rsidR="00036227" w:rsidRDefault="005307CB">
            <w:pPr>
              <w:pStyle w:val="BodyRuller"/>
            </w:pPr>
            <w:r>
              <w:rPr>
                <w:rFonts w:hint="cs"/>
                <w:sz w:val="26"/>
                <w:szCs w:val="26"/>
                <w:rtl/>
              </w:rPr>
              <w:t xml:space="preserve">עו"ד חן </w:t>
            </w:r>
            <w:proofErr w:type="spellStart"/>
            <w:r>
              <w:rPr>
                <w:rFonts w:hint="cs"/>
                <w:sz w:val="26"/>
                <w:szCs w:val="26"/>
                <w:rtl/>
              </w:rPr>
              <w:t>אבידוב</w:t>
            </w:r>
            <w:proofErr w:type="spellEnd"/>
          </w:p>
        </w:tc>
      </w:tr>
    </w:tbl>
    <w:p w:rsidR="00916FF8" w:rsidRDefault="00916FF8">
      <w:pPr>
        <w:pStyle w:val="Ruller3"/>
      </w:pPr>
    </w:p>
    <w:tbl>
      <w:tblPr>
        <w:bidiVisual/>
        <w:tblW w:w="836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4"/>
        <w:gridCol w:w="5149"/>
      </w:tblGrid>
      <w:tr w:rsidR="00036227" w:rsidTr="00D00B1D">
        <w:tc>
          <w:tcPr>
            <w:tcW w:w="3257" w:type="dxa"/>
            <w:tcBorders>
              <w:top w:val="nil"/>
              <w:left w:val="nil"/>
              <w:bottom w:val="nil"/>
              <w:right w:val="nil"/>
            </w:tcBorders>
          </w:tcPr>
          <w:p w:rsidR="00036227" w:rsidRDefault="00207EDE">
            <w:pPr>
              <w:pStyle w:val="BodyRuller"/>
            </w:pPr>
            <w:r>
              <w:rPr>
                <w:rtl/>
              </w:rPr>
              <w:t>בשם המשיב</w:t>
            </w:r>
            <w:r w:rsidR="00435057">
              <w:rPr>
                <w:rFonts w:hint="cs"/>
                <w:rtl/>
              </w:rPr>
              <w:t>ה</w:t>
            </w:r>
            <w:r>
              <w:rPr>
                <w:rtl/>
              </w:rPr>
              <w:t>:</w:t>
            </w:r>
          </w:p>
        </w:tc>
        <w:tc>
          <w:tcPr>
            <w:tcW w:w="5238" w:type="dxa"/>
            <w:tcBorders>
              <w:top w:val="nil"/>
              <w:left w:val="nil"/>
              <w:bottom w:val="nil"/>
              <w:right w:val="nil"/>
            </w:tcBorders>
          </w:tcPr>
          <w:p w:rsidR="00036227" w:rsidRDefault="005307CB" w:rsidP="00435057">
            <w:pPr>
              <w:pStyle w:val="BodyRuller"/>
              <w:jc w:val="both"/>
            </w:pPr>
            <w:r>
              <w:rPr>
                <w:rFonts w:hint="cs"/>
                <w:sz w:val="26"/>
                <w:szCs w:val="26"/>
                <w:rtl/>
              </w:rPr>
              <w:t xml:space="preserve">עו"ד דניאל </w:t>
            </w:r>
            <w:proofErr w:type="spellStart"/>
            <w:r>
              <w:rPr>
                <w:rFonts w:hint="cs"/>
                <w:sz w:val="26"/>
                <w:szCs w:val="26"/>
                <w:rtl/>
              </w:rPr>
              <w:t>פסרמן</w:t>
            </w:r>
            <w:proofErr w:type="spellEnd"/>
            <w:r>
              <w:rPr>
                <w:rFonts w:hint="cs"/>
                <w:sz w:val="26"/>
                <w:szCs w:val="26"/>
                <w:rtl/>
              </w:rPr>
              <w:t>; עו"ד שלמה</w:t>
            </w:r>
            <w:bookmarkStart w:id="1" w:name="_GoBack"/>
            <w:bookmarkEnd w:id="1"/>
            <w:r>
              <w:rPr>
                <w:rFonts w:hint="cs"/>
                <w:sz w:val="26"/>
                <w:szCs w:val="26"/>
                <w:rtl/>
              </w:rPr>
              <w:t xml:space="preserve"> אביעד </w:t>
            </w:r>
            <w:proofErr w:type="spellStart"/>
            <w:r>
              <w:rPr>
                <w:rFonts w:hint="cs"/>
                <w:sz w:val="26"/>
                <w:szCs w:val="26"/>
                <w:rtl/>
              </w:rPr>
              <w:t>זידר</w:t>
            </w:r>
            <w:proofErr w:type="spellEnd"/>
            <w:r>
              <w:rPr>
                <w:rFonts w:hint="cs"/>
                <w:sz w:val="26"/>
                <w:szCs w:val="26"/>
                <w:rtl/>
              </w:rPr>
              <w:t xml:space="preserve">; עו"ד דליה </w:t>
            </w:r>
            <w:proofErr w:type="spellStart"/>
            <w:r>
              <w:rPr>
                <w:rFonts w:hint="cs"/>
                <w:sz w:val="26"/>
                <w:szCs w:val="26"/>
                <w:rtl/>
              </w:rPr>
              <w:t>קרצברון</w:t>
            </w:r>
            <w:proofErr w:type="spellEnd"/>
          </w:p>
        </w:tc>
      </w:tr>
    </w:tbl>
    <w:p w:rsidR="00916FF8" w:rsidRDefault="00916FF8">
      <w:pPr>
        <w:tabs>
          <w:tab w:val="left" w:pos="2552"/>
        </w:tabs>
        <w:rPr>
          <w:rtl/>
        </w:rPr>
      </w:pPr>
    </w:p>
    <w:p w:rsidR="005307CB" w:rsidRDefault="005307CB">
      <w:pPr>
        <w:tabs>
          <w:tab w:val="left" w:pos="2552"/>
        </w:tabs>
      </w:pPr>
    </w:p>
    <w:tbl>
      <w:tblPr>
        <w:bidiVisual/>
        <w:tblW w:w="8363" w:type="dxa"/>
        <w:tblLook w:val="0000" w:firstRow="0" w:lastRow="0" w:firstColumn="0" w:lastColumn="0" w:noHBand="0" w:noVBand="0"/>
      </w:tblPr>
      <w:tblGrid>
        <w:gridCol w:w="8363"/>
      </w:tblGrid>
      <w:tr w:rsidR="00036227" w:rsidTr="00D00B1D">
        <w:tc>
          <w:tcPr>
            <w:tcW w:w="9837" w:type="dxa"/>
          </w:tcPr>
          <w:p w:rsidR="00916FF8" w:rsidRDefault="0067404E">
            <w:pPr>
              <w:pStyle w:val="DocumentHead"/>
            </w:pPr>
            <w:bookmarkStart w:id="2" w:name="secretary"/>
            <w:bookmarkStart w:id="3" w:name="BeginProtocol"/>
            <w:bookmarkEnd w:id="2"/>
            <w:bookmarkEnd w:id="3"/>
            <w:r>
              <w:rPr>
                <w:rFonts w:hint="cs"/>
                <w:rtl/>
              </w:rPr>
              <w:t>פסק-דין</w:t>
            </w:r>
          </w:p>
        </w:tc>
      </w:tr>
    </w:tbl>
    <w:p w:rsidR="0065522F" w:rsidRDefault="0065522F">
      <w:pPr>
        <w:pStyle w:val="BODYVERDICT"/>
        <w:rPr>
          <w:rtl/>
        </w:rPr>
      </w:pPr>
    </w:p>
    <w:p w:rsidR="005307CB" w:rsidRDefault="005307CB">
      <w:pPr>
        <w:pStyle w:val="BODYVERDICT"/>
      </w:pPr>
    </w:p>
    <w:p w:rsidR="00916FF8" w:rsidRDefault="00207EDE">
      <w:pPr>
        <w:pStyle w:val="BODYVERDICT"/>
        <w:rPr>
          <w:rFonts w:cs="Miriam"/>
          <w:sz w:val="24"/>
          <w:szCs w:val="24"/>
          <w:u w:val="single"/>
          <w:rtl/>
        </w:rPr>
      </w:pPr>
      <w:bookmarkStart w:id="4" w:name="Writer_Name"/>
      <w:bookmarkEnd w:id="4"/>
      <w:r>
        <w:rPr>
          <w:rFonts w:cs="Miriam"/>
          <w:sz w:val="24"/>
          <w:szCs w:val="24"/>
          <w:u w:val="single"/>
          <w:rtl/>
        </w:rPr>
        <w:t>השופט ד' מינץ:</w:t>
      </w:r>
    </w:p>
    <w:p w:rsidR="005307CB" w:rsidRPr="00503A3E" w:rsidRDefault="005307CB">
      <w:pPr>
        <w:pStyle w:val="BODYVERDICT"/>
        <w:rPr>
          <w:rFonts w:cs="Miriam"/>
          <w:sz w:val="24"/>
          <w:szCs w:val="24"/>
          <w:u w:val="single"/>
          <w:rtl/>
        </w:rPr>
      </w:pPr>
    </w:p>
    <w:p w:rsidR="005307CB" w:rsidRPr="005307CB" w:rsidRDefault="005307CB" w:rsidP="005307CB">
      <w:pPr>
        <w:spacing w:after="240" w:line="360" w:lineRule="auto"/>
        <w:jc w:val="both"/>
        <w:rPr>
          <w:rFonts w:ascii="Century" w:hAnsi="Century" w:cs="FrankRuehl"/>
          <w:spacing w:val="10"/>
          <w:sz w:val="22"/>
          <w:szCs w:val="28"/>
          <w:rtl/>
        </w:rPr>
      </w:pPr>
      <w:bookmarkStart w:id="5" w:name="Start_Write"/>
      <w:bookmarkEnd w:id="5"/>
      <w:r w:rsidRPr="005307CB">
        <w:rPr>
          <w:rFonts w:ascii="Century" w:hAnsi="Century" w:cs="FrankRuehl"/>
          <w:spacing w:val="10"/>
          <w:sz w:val="22"/>
          <w:szCs w:val="28"/>
          <w:rtl/>
        </w:rPr>
        <w:tab/>
      </w:r>
      <w:r w:rsidRPr="005307CB">
        <w:rPr>
          <w:rFonts w:ascii="Century" w:hAnsi="Century" w:cs="FrankRuehl" w:hint="cs"/>
          <w:spacing w:val="10"/>
          <w:sz w:val="22"/>
          <w:szCs w:val="28"/>
          <w:rtl/>
        </w:rPr>
        <w:t xml:space="preserve">השאלה העומדת להכרעה בערעור לפנינו היא האם ההסדר </w:t>
      </w:r>
      <w:proofErr w:type="spellStart"/>
      <w:r w:rsidRPr="005307CB">
        <w:rPr>
          <w:rFonts w:ascii="Century" w:hAnsi="Century" w:cs="FrankRuehl" w:hint="cs"/>
          <w:spacing w:val="10"/>
          <w:sz w:val="22"/>
          <w:szCs w:val="28"/>
          <w:rtl/>
        </w:rPr>
        <w:t>המיסויי</w:t>
      </w:r>
      <w:proofErr w:type="spellEnd"/>
      <w:r w:rsidRPr="005307CB">
        <w:rPr>
          <w:rFonts w:ascii="Century" w:hAnsi="Century" w:cs="FrankRuehl" w:hint="cs"/>
          <w:spacing w:val="10"/>
          <w:sz w:val="22"/>
          <w:szCs w:val="28"/>
          <w:rtl/>
        </w:rPr>
        <w:t xml:space="preserve"> החל בעת מכירת מניות חברה כאשר ישנם "רווחים ראויים לחלוקה" אשר לא חולקו כדיבידנד לפי סעיף 94ב לפקודת מס הכנסה (נוסח חדש), התשכ"א-1961 (להלן: הפקודה), חל גם כאשר נמכרות מניותיה של חברה זרה המוחזקות בידי חברה ישראלית.</w:t>
      </w:r>
    </w:p>
    <w:p w:rsidR="005307CB" w:rsidRPr="00821457" w:rsidRDefault="005307CB" w:rsidP="005307CB">
      <w:pPr>
        <w:jc w:val="both"/>
        <w:rPr>
          <w:sz w:val="22"/>
          <w:rtl/>
        </w:rPr>
      </w:pPr>
      <w:r>
        <w:rPr>
          <w:rFonts w:cs="Miriam" w:hint="cs"/>
          <w:b/>
          <w:sz w:val="22"/>
          <w:rtl/>
        </w:rPr>
        <w:t>הרקע לערעור</w:t>
      </w:r>
      <w:r>
        <w:rPr>
          <w:rFonts w:cs="Miriam"/>
          <w:b/>
          <w:sz w:val="22"/>
          <w:rtl/>
        </w:rPr>
        <w:tab/>
      </w:r>
    </w:p>
    <w:p w:rsidR="005307CB" w:rsidRDefault="005307CB" w:rsidP="005307CB">
      <w:pPr>
        <w:pStyle w:val="Ruller4"/>
        <w:rPr>
          <w:rFonts w:ascii="Century" w:hAnsi="Century"/>
          <w:sz w:val="22"/>
          <w:rtl/>
        </w:rPr>
      </w:pPr>
      <w:r>
        <w:rPr>
          <w:rFonts w:hint="cs"/>
          <w:rtl/>
        </w:rPr>
        <w:t xml:space="preserve">המשיבה, חברת דלק הונגריה בע"מ, התאגדה בשנת 2000 בהונגריה והחל משנת 2011 הפכה לתושבת ישראל לצרכי מס. הנכס העיקרי של המשיבה היה מניות חברת </w:t>
      </w:r>
      <w:proofErr w:type="spellStart"/>
      <w:r>
        <w:lastRenderedPageBreak/>
        <w:t>Delek</w:t>
      </w:r>
      <w:proofErr w:type="spellEnd"/>
      <w:r>
        <w:t xml:space="preserve"> US Holdings Inc.</w:t>
      </w:r>
      <w:r>
        <w:rPr>
          <w:rFonts w:hint="cs"/>
          <w:rtl/>
        </w:rPr>
        <w:t xml:space="preserve"> (להלן: </w:t>
      </w:r>
      <w:r>
        <w:rPr>
          <w:rFonts w:ascii="Century" w:hAnsi="Century" w:cs="Miriam" w:hint="cs"/>
          <w:b/>
          <w:spacing w:val="0"/>
          <w:sz w:val="22"/>
          <w:szCs w:val="24"/>
          <w:rtl/>
        </w:rPr>
        <w:t>דלק ארה"ב</w:t>
      </w:r>
      <w:r>
        <w:rPr>
          <w:rFonts w:ascii="Century" w:hAnsi="Century" w:hint="cs"/>
          <w:sz w:val="22"/>
          <w:rtl/>
        </w:rPr>
        <w:t>), חברה אמריקנית תושבת ארה"ב לצרכי מס, אשר הוקמה על ידה בשנת 2001.</w:t>
      </w:r>
    </w:p>
    <w:p w:rsidR="005307CB" w:rsidRDefault="005307CB" w:rsidP="005307CB">
      <w:pPr>
        <w:pStyle w:val="Ruller41"/>
        <w:rPr>
          <w:rtl/>
        </w:rPr>
      </w:pPr>
    </w:p>
    <w:p w:rsidR="005307CB" w:rsidRDefault="005307CB" w:rsidP="00535896">
      <w:pPr>
        <w:pStyle w:val="Ruller4"/>
        <w:rPr>
          <w:rtl/>
        </w:rPr>
      </w:pPr>
      <w:r>
        <w:rPr>
          <w:rFonts w:hint="cs"/>
          <w:rtl/>
        </w:rPr>
        <w:t xml:space="preserve">בשנת 2006 הונפקו מניות דלק ארה"ב בבורסה לניירות ערך בניו-יורק. בעקבות ההנפקה ועד לשנת 2012 החזיקה המשיבה בכ-68% מהון מניותיה של דלק ארה"ב. בשנים 2013-2012 מכרה המשיבה חלק מהחזקות אלה בתמורה לסכום כולל של כ-2,560,000,000 ש"ח. כאשר דיווחה המשיבה במסגרת דוחותיה הכספיים על מכירת מניות דלק ארה"ב, הפחיתה במסגרת חישוב מס רווח ההון הנובע מהמכירה סך של 91,623,702 ש"ח בשנת 2012, וסך של 282,802,605 ש"ח בשנת 2013. המשיבה הפחיתה סכומים אלה בנימוק כי מדובר בחלקה היחסי ב"רווחים הראויים לחלוקה" (להלן גם: </w:t>
      </w:r>
      <w:proofErr w:type="spellStart"/>
      <w:r>
        <w:rPr>
          <w:rFonts w:ascii="Century" w:hAnsi="Century" w:cs="Miriam" w:hint="cs"/>
          <w:b/>
          <w:spacing w:val="0"/>
          <w:sz w:val="22"/>
          <w:szCs w:val="24"/>
          <w:rtl/>
        </w:rPr>
        <w:t>רר"ל</w:t>
      </w:r>
      <w:proofErr w:type="spellEnd"/>
      <w:r>
        <w:rPr>
          <w:rFonts w:ascii="Century" w:hAnsi="Century" w:hint="cs"/>
          <w:sz w:val="22"/>
          <w:rtl/>
        </w:rPr>
        <w:t>)</w:t>
      </w:r>
      <w:r>
        <w:rPr>
          <w:rFonts w:hint="cs"/>
          <w:rtl/>
        </w:rPr>
        <w:t xml:space="preserve"> של דלק ארה"ב, ועל פי הוראת סעיף 94ב לפקודה יש </w:t>
      </w:r>
      <w:proofErr w:type="spellStart"/>
      <w:r>
        <w:rPr>
          <w:rFonts w:hint="cs"/>
          <w:rtl/>
        </w:rPr>
        <w:t>למסותם</w:t>
      </w:r>
      <w:proofErr w:type="spellEnd"/>
      <w:r>
        <w:rPr>
          <w:rFonts w:hint="cs"/>
          <w:rtl/>
        </w:rPr>
        <w:t xml:space="preserve"> בשיעור המס שהיה חל אילו היו הרווחים מתקבלים בידיה כדיבידנד. המערער (להלן: </w:t>
      </w:r>
      <w:r>
        <w:rPr>
          <w:rFonts w:ascii="Century" w:hAnsi="Century" w:cs="Miriam" w:hint="cs"/>
          <w:b/>
          <w:spacing w:val="0"/>
          <w:sz w:val="22"/>
          <w:szCs w:val="24"/>
          <w:rtl/>
        </w:rPr>
        <w:t xml:space="preserve">פקיד </w:t>
      </w:r>
      <w:r w:rsidRPr="00D84C54">
        <w:rPr>
          <w:rFonts w:ascii="Century" w:hAnsi="Century" w:cs="Miriam" w:hint="cs"/>
          <w:b/>
          <w:spacing w:val="0"/>
          <w:sz w:val="22"/>
          <w:szCs w:val="24"/>
          <w:rtl/>
        </w:rPr>
        <w:t>השומה</w:t>
      </w:r>
      <w:r>
        <w:rPr>
          <w:rFonts w:ascii="Century" w:hAnsi="Century" w:hint="cs"/>
          <w:sz w:val="22"/>
          <w:rtl/>
        </w:rPr>
        <w:t xml:space="preserve">) </w:t>
      </w:r>
      <w:r w:rsidRPr="00D84C54">
        <w:rPr>
          <w:rFonts w:ascii="Century" w:hAnsi="Century" w:hint="cs"/>
          <w:sz w:val="22"/>
          <w:rtl/>
        </w:rPr>
        <w:t>דחה</w:t>
      </w:r>
      <w:r w:rsidRPr="00D84C54">
        <w:rPr>
          <w:rFonts w:hint="cs"/>
          <w:rtl/>
        </w:rPr>
        <w:t xml:space="preserve"> </w:t>
      </w:r>
      <w:r>
        <w:rPr>
          <w:rFonts w:hint="cs"/>
          <w:rtl/>
        </w:rPr>
        <w:t>את טענת המשיבה כי יש תחולה לסעיף 94ב לפקודה בנסיבות העניין. לפיכך, פקיד השומה הוסיף את הסכומים שהופחתו על ידי המשיבה במסגרת צווי המס שהוציא. לאחר שנדחתה השגה שהגישה המשיבה, היא הגישה שני ערעורי מס לבית המשפט המחוזי מרכז-לוד, שהדיון בהם אוחד.</w:t>
      </w:r>
    </w:p>
    <w:p w:rsidR="005307CB" w:rsidRDefault="005307CB" w:rsidP="005307CB">
      <w:pPr>
        <w:pStyle w:val="Ruller41"/>
        <w:rPr>
          <w:rtl/>
        </w:rPr>
      </w:pPr>
    </w:p>
    <w:p w:rsidR="005307CB" w:rsidRPr="00B86234" w:rsidRDefault="005307CB" w:rsidP="0014772E">
      <w:pPr>
        <w:pStyle w:val="Ruller41"/>
        <w:rPr>
          <w:rtl/>
        </w:rPr>
      </w:pPr>
      <w:r>
        <w:rPr>
          <w:rtl/>
        </w:rPr>
        <w:tab/>
      </w:r>
      <w:r w:rsidR="00AE2C06">
        <w:rPr>
          <w:rFonts w:hint="cs"/>
          <w:rtl/>
        </w:rPr>
        <w:t xml:space="preserve">כדי להקל על הקורא, </w:t>
      </w:r>
      <w:r>
        <w:rPr>
          <w:rFonts w:hint="cs"/>
          <w:rtl/>
        </w:rPr>
        <w:t>עובר לתיאור ההליך הקונקרטי שהתנהל בבית המשפט המחוזי, נביא את המסגרת הנורמטיבית הרלוונטית לעניין.</w:t>
      </w:r>
    </w:p>
    <w:p w:rsidR="005307CB" w:rsidRDefault="005307CB" w:rsidP="005307CB">
      <w:pPr>
        <w:pStyle w:val="Ruller41"/>
        <w:rPr>
          <w:rtl/>
        </w:rPr>
      </w:pPr>
    </w:p>
    <w:p w:rsidR="005307CB" w:rsidRPr="0091283C" w:rsidRDefault="005307CB" w:rsidP="005307CB">
      <w:pPr>
        <w:jc w:val="both"/>
        <w:rPr>
          <w:rFonts w:cs="Miriam"/>
          <w:b/>
          <w:sz w:val="22"/>
        </w:rPr>
      </w:pPr>
      <w:r>
        <w:rPr>
          <w:rFonts w:cs="Miriam" w:hint="cs"/>
          <w:b/>
          <w:sz w:val="22"/>
          <w:rtl/>
        </w:rPr>
        <w:t>המסגרת הנורמטיבית</w:t>
      </w:r>
    </w:p>
    <w:p w:rsidR="005307CB" w:rsidRDefault="005307CB" w:rsidP="0026161D">
      <w:pPr>
        <w:pStyle w:val="Ruller4"/>
        <w:rPr>
          <w:rFonts w:ascii="Century" w:hAnsi="Century"/>
          <w:sz w:val="22"/>
          <w:rtl/>
        </w:rPr>
      </w:pPr>
      <w:r>
        <w:rPr>
          <w:rFonts w:hint="cs"/>
          <w:rtl/>
        </w:rPr>
        <w:t xml:space="preserve">כידוע, שיטת המס הנהוגה בישראל בנוגע למיסוי חברות היא המודל הדו-שלבי. לפי מודל זה, בשלב הראשון מוטל </w:t>
      </w:r>
      <w:r w:rsidRPr="00CF1046">
        <w:rPr>
          <w:rFonts w:ascii="Century" w:hAnsi="Century" w:cs="Miriam" w:hint="cs"/>
          <w:b/>
          <w:spacing w:val="0"/>
          <w:sz w:val="22"/>
          <w:szCs w:val="24"/>
          <w:rtl/>
        </w:rPr>
        <w:t>מס חברות</w:t>
      </w:r>
      <w:r w:rsidRPr="00CF1046">
        <w:rPr>
          <w:rFonts w:hint="cs"/>
          <w:rtl/>
        </w:rPr>
        <w:t xml:space="preserve"> </w:t>
      </w:r>
      <w:r>
        <w:rPr>
          <w:rFonts w:hint="cs"/>
          <w:rtl/>
        </w:rPr>
        <w:t xml:space="preserve">על הכנסותיה החייבות של החברה בשיעור הקבוע בסעיף 126(א) לפקודה (העומד כיום על 23% כאשר בשנים הרלוונטיות לערעור זה הוא עמד על 25%). בשלב השני, מוטל </w:t>
      </w:r>
      <w:r w:rsidRPr="00CF1046">
        <w:rPr>
          <w:rFonts w:ascii="Century" w:hAnsi="Century" w:cs="Miriam" w:hint="cs"/>
          <w:b/>
          <w:spacing w:val="0"/>
          <w:sz w:val="22"/>
          <w:szCs w:val="24"/>
          <w:rtl/>
        </w:rPr>
        <w:t>מס הכנסה</w:t>
      </w:r>
      <w:r w:rsidRPr="00CF1046">
        <w:rPr>
          <w:rFonts w:hint="cs"/>
          <w:rtl/>
        </w:rPr>
        <w:t xml:space="preserve"> </w:t>
      </w:r>
      <w:r>
        <w:rPr>
          <w:rFonts w:hint="cs"/>
          <w:rtl/>
        </w:rPr>
        <w:t xml:space="preserve">בעת חלוקת רווחיה של החברה לבעלי המניות כדיבידנד בשיעור הקבוע בסעיף 125ב לפקודה (ראו: ע"א 181/14 </w:t>
      </w:r>
      <w:r>
        <w:rPr>
          <w:rFonts w:ascii="Century" w:hAnsi="Century" w:cs="Miriam" w:hint="cs"/>
          <w:b/>
          <w:spacing w:val="0"/>
          <w:sz w:val="22"/>
          <w:szCs w:val="24"/>
          <w:rtl/>
        </w:rPr>
        <w:t>פגי נ' פקיד שומה חיפה</w:t>
      </w:r>
      <w:r>
        <w:rPr>
          <w:rFonts w:ascii="Century" w:hAnsi="Century" w:hint="cs"/>
          <w:sz w:val="22"/>
          <w:rtl/>
        </w:rPr>
        <w:t xml:space="preserve">, פסקה 1 (13.3.2016) (להלן: </w:t>
      </w:r>
      <w:r w:rsidRPr="004B11EA">
        <w:rPr>
          <w:rFonts w:ascii="Century" w:hAnsi="Century" w:hint="cs"/>
          <w:sz w:val="22"/>
          <w:rtl/>
        </w:rPr>
        <w:t>עניין</w:t>
      </w:r>
      <w:r w:rsidRPr="00D85758">
        <w:rPr>
          <w:rFonts w:ascii="Century" w:hAnsi="Century" w:cs="Miriam" w:hint="cs"/>
          <w:b/>
          <w:spacing w:val="0"/>
          <w:sz w:val="22"/>
          <w:szCs w:val="24"/>
          <w:rtl/>
        </w:rPr>
        <w:t xml:space="preserve"> </w:t>
      </w:r>
      <w:r>
        <w:rPr>
          <w:rFonts w:ascii="Century" w:hAnsi="Century" w:cs="Miriam" w:hint="cs"/>
          <w:b/>
          <w:spacing w:val="0"/>
          <w:sz w:val="22"/>
          <w:szCs w:val="24"/>
          <w:rtl/>
        </w:rPr>
        <w:t>פגי</w:t>
      </w:r>
      <w:r>
        <w:rPr>
          <w:rFonts w:ascii="Century" w:hAnsi="Century" w:hint="cs"/>
          <w:sz w:val="22"/>
          <w:rtl/>
        </w:rPr>
        <w:t xml:space="preserve">); ע"א 7566/13 </w:t>
      </w:r>
      <w:r>
        <w:rPr>
          <w:rFonts w:ascii="Century" w:hAnsi="Century" w:cs="Miriam" w:hint="cs"/>
          <w:b/>
          <w:spacing w:val="0"/>
          <w:sz w:val="22"/>
          <w:szCs w:val="24"/>
          <w:rtl/>
        </w:rPr>
        <w:t xml:space="preserve">פקיד שומה למפעלים גדולים נ' </w:t>
      </w:r>
      <w:proofErr w:type="spellStart"/>
      <w:r>
        <w:rPr>
          <w:rFonts w:ascii="Century" w:hAnsi="Century" w:cs="Miriam" w:hint="cs"/>
          <w:b/>
          <w:spacing w:val="0"/>
          <w:sz w:val="22"/>
          <w:szCs w:val="24"/>
          <w:rtl/>
        </w:rPr>
        <w:t>ז'ורבין</w:t>
      </w:r>
      <w:proofErr w:type="spellEnd"/>
      <w:r>
        <w:rPr>
          <w:rFonts w:ascii="Century" w:hAnsi="Century" w:hint="cs"/>
          <w:sz w:val="22"/>
          <w:rtl/>
        </w:rPr>
        <w:t xml:space="preserve">, פסקאות 15-14 (22.6.2015) (להלן: עניין </w:t>
      </w:r>
      <w:proofErr w:type="spellStart"/>
      <w:r>
        <w:rPr>
          <w:rFonts w:ascii="Century" w:hAnsi="Century" w:cs="Miriam" w:hint="cs"/>
          <w:b/>
          <w:spacing w:val="0"/>
          <w:sz w:val="22"/>
          <w:szCs w:val="24"/>
          <w:rtl/>
        </w:rPr>
        <w:t>ז'ורבין</w:t>
      </w:r>
      <w:proofErr w:type="spellEnd"/>
      <w:r>
        <w:rPr>
          <w:rFonts w:ascii="Century" w:hAnsi="Century" w:hint="cs"/>
          <w:sz w:val="22"/>
          <w:rtl/>
        </w:rPr>
        <w:t xml:space="preserve">); דוד </w:t>
      </w:r>
      <w:proofErr w:type="spellStart"/>
      <w:r>
        <w:rPr>
          <w:rFonts w:ascii="Century" w:hAnsi="Century" w:hint="cs"/>
          <w:sz w:val="22"/>
          <w:rtl/>
        </w:rPr>
        <w:t>אלקינס</w:t>
      </w:r>
      <w:proofErr w:type="spellEnd"/>
      <w:r>
        <w:rPr>
          <w:rFonts w:ascii="Century" w:hAnsi="Century" w:hint="cs"/>
          <w:sz w:val="22"/>
          <w:rtl/>
        </w:rPr>
        <w:t xml:space="preserve"> </w:t>
      </w:r>
      <w:r>
        <w:rPr>
          <w:rFonts w:ascii="Century" w:hAnsi="Century" w:cs="Miriam" w:hint="cs"/>
          <w:b/>
          <w:spacing w:val="0"/>
          <w:sz w:val="22"/>
          <w:szCs w:val="24"/>
          <w:rtl/>
        </w:rPr>
        <w:t>מיסוי חברות ובעלי מניותיהן</w:t>
      </w:r>
      <w:r>
        <w:rPr>
          <w:rFonts w:ascii="Century" w:hAnsi="Century" w:hint="cs"/>
          <w:sz w:val="22"/>
          <w:rtl/>
        </w:rPr>
        <w:t xml:space="preserve"> 69 (2009) (להלן: </w:t>
      </w:r>
      <w:proofErr w:type="spellStart"/>
      <w:r>
        <w:rPr>
          <w:rFonts w:ascii="Century" w:hAnsi="Century" w:cs="Miriam" w:hint="cs"/>
          <w:b/>
          <w:spacing w:val="0"/>
          <w:sz w:val="22"/>
          <w:szCs w:val="24"/>
          <w:rtl/>
        </w:rPr>
        <w:t>אלקינס</w:t>
      </w:r>
      <w:proofErr w:type="spellEnd"/>
      <w:r>
        <w:rPr>
          <w:rFonts w:ascii="Century" w:hAnsi="Century" w:hint="cs"/>
          <w:sz w:val="22"/>
          <w:rtl/>
        </w:rPr>
        <w:t xml:space="preserve">); אהרן </w:t>
      </w:r>
      <w:proofErr w:type="spellStart"/>
      <w:r>
        <w:rPr>
          <w:rFonts w:ascii="Century" w:hAnsi="Century" w:hint="cs"/>
          <w:sz w:val="22"/>
          <w:rtl/>
        </w:rPr>
        <w:t>נמדר</w:t>
      </w:r>
      <w:proofErr w:type="spellEnd"/>
      <w:r>
        <w:rPr>
          <w:rFonts w:ascii="Century" w:hAnsi="Century" w:hint="cs"/>
          <w:sz w:val="22"/>
          <w:rtl/>
        </w:rPr>
        <w:t xml:space="preserve"> </w:t>
      </w:r>
      <w:r>
        <w:rPr>
          <w:rFonts w:ascii="Century" w:hAnsi="Century" w:cs="Miriam" w:hint="cs"/>
          <w:b/>
          <w:spacing w:val="0"/>
          <w:sz w:val="22"/>
          <w:szCs w:val="24"/>
          <w:rtl/>
        </w:rPr>
        <w:t>מס הכנסה</w:t>
      </w:r>
      <w:r>
        <w:rPr>
          <w:rFonts w:ascii="Century" w:hAnsi="Century" w:hint="cs"/>
          <w:sz w:val="22"/>
          <w:rtl/>
        </w:rPr>
        <w:t xml:space="preserve"> </w:t>
      </w:r>
      <w:r w:rsidR="0026161D">
        <w:rPr>
          <w:rFonts w:ascii="Century" w:hAnsi="Century" w:hint="cs"/>
          <w:sz w:val="22"/>
          <w:rtl/>
        </w:rPr>
        <w:t>487-486</w:t>
      </w:r>
      <w:r>
        <w:rPr>
          <w:rFonts w:ascii="Century" w:hAnsi="Century" w:hint="cs"/>
          <w:sz w:val="22"/>
          <w:rtl/>
        </w:rPr>
        <w:t xml:space="preserve"> (מהדורה </w:t>
      </w:r>
      <w:r w:rsidR="00814D26">
        <w:rPr>
          <w:rFonts w:ascii="Century" w:hAnsi="Century" w:hint="cs"/>
          <w:sz w:val="22"/>
          <w:rtl/>
        </w:rPr>
        <w:t>ד</w:t>
      </w:r>
      <w:r>
        <w:rPr>
          <w:rFonts w:ascii="Century" w:hAnsi="Century" w:hint="cs"/>
          <w:sz w:val="22"/>
          <w:rtl/>
        </w:rPr>
        <w:t>, 201</w:t>
      </w:r>
      <w:r w:rsidR="00814D26">
        <w:rPr>
          <w:rFonts w:ascii="Century" w:hAnsi="Century" w:hint="cs"/>
          <w:sz w:val="22"/>
          <w:rtl/>
        </w:rPr>
        <w:t>3</w:t>
      </w:r>
      <w:r>
        <w:rPr>
          <w:rFonts w:ascii="Century" w:hAnsi="Century" w:hint="cs"/>
          <w:sz w:val="22"/>
          <w:rtl/>
        </w:rPr>
        <w:t xml:space="preserve">) (להלן: </w:t>
      </w:r>
      <w:proofErr w:type="spellStart"/>
      <w:r>
        <w:rPr>
          <w:rFonts w:ascii="Century" w:hAnsi="Century" w:cs="Miriam" w:hint="cs"/>
          <w:b/>
          <w:spacing w:val="0"/>
          <w:sz w:val="22"/>
          <w:szCs w:val="24"/>
          <w:rtl/>
        </w:rPr>
        <w:t>נמדר</w:t>
      </w:r>
      <w:proofErr w:type="spellEnd"/>
      <w:r>
        <w:rPr>
          <w:rFonts w:ascii="Century" w:hAnsi="Century" w:hint="cs"/>
          <w:sz w:val="22"/>
          <w:rtl/>
        </w:rPr>
        <w:t>))</w:t>
      </w:r>
      <w:r>
        <w:rPr>
          <w:rFonts w:hint="cs"/>
          <w:rtl/>
        </w:rPr>
        <w:t xml:space="preserve">. שיטת מיסוי דו-שלבית זו נועדה להשוות, בקירוב, את שיעור המס המשתלם על ידי חברות לשיעור המס השולי המשתלם על ידי יחידים. בדרך זו מבקש המחוקק לשמור על "אדישות </w:t>
      </w:r>
      <w:proofErr w:type="spellStart"/>
      <w:r>
        <w:rPr>
          <w:rFonts w:hint="cs"/>
          <w:rtl/>
        </w:rPr>
        <w:t>מיסויית</w:t>
      </w:r>
      <w:proofErr w:type="spellEnd"/>
      <w:r>
        <w:rPr>
          <w:rFonts w:hint="cs"/>
          <w:rtl/>
        </w:rPr>
        <w:t>" של הנישום ביחס להחלטה ה</w:t>
      </w:r>
      <w:r w:rsidR="00814D26">
        <w:rPr>
          <w:rFonts w:hint="cs"/>
          <w:rtl/>
        </w:rPr>
        <w:t>אם לפעול בעצמו או באמצעות תאגיד.</w:t>
      </w:r>
    </w:p>
    <w:p w:rsidR="005307CB" w:rsidRDefault="005307CB" w:rsidP="005307CB">
      <w:pPr>
        <w:pStyle w:val="Ruller41"/>
        <w:rPr>
          <w:rtl/>
        </w:rPr>
      </w:pPr>
    </w:p>
    <w:p w:rsidR="005307CB" w:rsidRPr="002A3C67" w:rsidRDefault="005307CB" w:rsidP="005307CB">
      <w:pPr>
        <w:pStyle w:val="Ruller4"/>
      </w:pPr>
      <w:r>
        <w:rPr>
          <w:rFonts w:hint="cs"/>
          <w:rtl/>
        </w:rPr>
        <w:t xml:space="preserve">סעיף 94ב לפקודה הוא תולדה של שיטת המיסוי הדו-שלבית והוא יוצר הסדר מיסוי ייחודי למצב של מכירת מניות כאשר קיימים בעודפי החברה רווחים ראויים לחלוקה שטרם חולקו. התפיסה בבסיס הסעיף היא כי כאשר בעל מניות מוכר את מניותיו, רווח ההון שהוא מפיק מהמכירה כולל גם רווחים שניתן היה לחלקם כדיבידנד בסמוך למכירה ולכן ראוי להחיל עליהם שיעור מס זהה לשיעור שהיה חל אילו חולקו כדיבידנד (ראו: מאיר </w:t>
      </w:r>
      <w:proofErr w:type="spellStart"/>
      <w:r>
        <w:rPr>
          <w:rFonts w:hint="cs"/>
          <w:rtl/>
        </w:rPr>
        <w:t>קפוטא</w:t>
      </w:r>
      <w:proofErr w:type="spellEnd"/>
      <w:r>
        <w:rPr>
          <w:rFonts w:hint="cs"/>
          <w:rtl/>
        </w:rPr>
        <w:t xml:space="preserve"> "רפורמת המס 2003" </w:t>
      </w:r>
      <w:r>
        <w:rPr>
          <w:rFonts w:ascii="Century" w:hAnsi="Century" w:cs="Miriam" w:hint="cs"/>
          <w:b/>
          <w:spacing w:val="0"/>
          <w:sz w:val="22"/>
          <w:szCs w:val="24"/>
          <w:rtl/>
        </w:rPr>
        <w:t xml:space="preserve">רפורמות מס </w:t>
      </w:r>
      <w:r>
        <w:rPr>
          <w:rFonts w:ascii="Century" w:hAnsi="Century" w:hint="cs"/>
          <w:sz w:val="22"/>
          <w:rtl/>
        </w:rPr>
        <w:t xml:space="preserve">393-319, 349 (דוד </w:t>
      </w:r>
      <w:proofErr w:type="spellStart"/>
      <w:r>
        <w:rPr>
          <w:rFonts w:ascii="Century" w:hAnsi="Century" w:hint="cs"/>
          <w:sz w:val="22"/>
          <w:rtl/>
        </w:rPr>
        <w:t>גליקסברג</w:t>
      </w:r>
      <w:proofErr w:type="spellEnd"/>
      <w:r>
        <w:rPr>
          <w:rFonts w:ascii="Century" w:hAnsi="Century" w:hint="cs"/>
          <w:sz w:val="22"/>
          <w:rtl/>
        </w:rPr>
        <w:t xml:space="preserve"> עורך, 2005)). </w:t>
      </w:r>
      <w:r>
        <w:rPr>
          <w:rFonts w:hint="cs"/>
          <w:rtl/>
        </w:rPr>
        <w:t xml:space="preserve">בגדר ההסדר ניתנת </w:t>
      </w:r>
      <w:r w:rsidRPr="00920B6F">
        <w:rPr>
          <w:rFonts w:ascii="Century" w:hAnsi="Century" w:hint="cs"/>
          <w:sz w:val="22"/>
          <w:rtl/>
        </w:rPr>
        <w:t>הטבת מס</w:t>
      </w:r>
      <w:r w:rsidRPr="00920B6F">
        <w:rPr>
          <w:rFonts w:ascii="Century" w:hAnsi="Century" w:cs="Miriam" w:hint="cs"/>
          <w:b/>
          <w:spacing w:val="0"/>
          <w:sz w:val="22"/>
          <w:szCs w:val="24"/>
          <w:rtl/>
        </w:rPr>
        <w:t xml:space="preserve"> </w:t>
      </w:r>
      <w:r>
        <w:rPr>
          <w:rFonts w:ascii="Century" w:hAnsi="Century" w:hint="cs"/>
          <w:sz w:val="22"/>
          <w:rtl/>
        </w:rPr>
        <w:t>בעת מכירת מניות החברה, ביחס לחלק ברווח ההון המשקף את הרווחים הראויים לחלוקה שלא חולקו כדיבידנד. שיעור המס המוטל על חלק זה אינו שיעור מס רווח הון רגיל, אלא שיעור מס מופחת. הפסיקה שעסקה בהסדר זה זיהתה שתי תכליות אותן ביקש המחוקק להגשים: האחת, מניעת מיסוי בי</w:t>
      </w:r>
      <w:r>
        <w:rPr>
          <w:rFonts w:ascii="Century" w:hAnsi="Century" w:hint="eastAsia"/>
          <w:sz w:val="22"/>
          <w:rtl/>
        </w:rPr>
        <w:t>ֶתֶר</w:t>
      </w:r>
      <w:r>
        <w:rPr>
          <w:rFonts w:ascii="Century" w:hAnsi="Century" w:hint="cs"/>
          <w:sz w:val="22"/>
          <w:rtl/>
        </w:rPr>
        <w:t xml:space="preserve">. קרי, מניעת מצב שבו במכירת מניות החברה יוטל מס נוסף על רווחי החברה </w:t>
      </w:r>
      <w:proofErr w:type="spellStart"/>
      <w:r>
        <w:rPr>
          <w:rFonts w:ascii="Century" w:hAnsi="Century" w:hint="cs"/>
          <w:sz w:val="22"/>
          <w:rtl/>
        </w:rPr>
        <w:t>שמוסו</w:t>
      </w:r>
      <w:proofErr w:type="spellEnd"/>
      <w:r>
        <w:rPr>
          <w:rFonts w:ascii="Century" w:hAnsi="Century" w:hint="cs"/>
          <w:sz w:val="22"/>
          <w:rtl/>
        </w:rPr>
        <w:t xml:space="preserve"> בעבר</w:t>
      </w:r>
      <w:r>
        <w:rPr>
          <w:rFonts w:ascii="Century" w:hAnsi="Century" w:hint="eastAsia"/>
          <w:sz w:val="22"/>
          <w:rtl/>
        </w:rPr>
        <w:t xml:space="preserve">; השנייה, יצירת </w:t>
      </w:r>
      <w:r>
        <w:rPr>
          <w:rFonts w:ascii="Century" w:hAnsi="Century" w:hint="cs"/>
          <w:sz w:val="22"/>
          <w:rtl/>
        </w:rPr>
        <w:t>"</w:t>
      </w:r>
      <w:r>
        <w:rPr>
          <w:rFonts w:ascii="Century" w:hAnsi="Century" w:hint="eastAsia"/>
          <w:sz w:val="22"/>
          <w:rtl/>
        </w:rPr>
        <w:t xml:space="preserve">אדישות </w:t>
      </w:r>
      <w:proofErr w:type="spellStart"/>
      <w:r>
        <w:rPr>
          <w:rFonts w:ascii="Century" w:hAnsi="Century" w:hint="eastAsia"/>
          <w:sz w:val="22"/>
          <w:rtl/>
        </w:rPr>
        <w:t>מיסויית</w:t>
      </w:r>
      <w:proofErr w:type="spellEnd"/>
      <w:r>
        <w:rPr>
          <w:rFonts w:ascii="Century" w:hAnsi="Century" w:hint="cs"/>
          <w:sz w:val="22"/>
          <w:rtl/>
        </w:rPr>
        <w:t>"</w:t>
      </w:r>
      <w:r>
        <w:rPr>
          <w:rFonts w:ascii="Century" w:hAnsi="Century" w:hint="eastAsia"/>
          <w:sz w:val="22"/>
          <w:rtl/>
        </w:rPr>
        <w:t xml:space="preserve"> ביחס להחלטת הנישום האם לחלק</w:t>
      </w:r>
      <w:r>
        <w:rPr>
          <w:rFonts w:ascii="Century" w:hAnsi="Century" w:hint="cs"/>
          <w:sz w:val="22"/>
          <w:rtl/>
        </w:rPr>
        <w:t xml:space="preserve"> את רווחי החברה</w:t>
      </w:r>
      <w:r>
        <w:rPr>
          <w:rFonts w:ascii="Century" w:hAnsi="Century" w:hint="eastAsia"/>
          <w:sz w:val="22"/>
          <w:rtl/>
        </w:rPr>
        <w:t xml:space="preserve"> </w:t>
      </w:r>
      <w:r>
        <w:rPr>
          <w:rFonts w:ascii="Century" w:hAnsi="Century" w:hint="cs"/>
          <w:sz w:val="22"/>
          <w:rtl/>
        </w:rPr>
        <w:t>כ</w:t>
      </w:r>
      <w:r>
        <w:rPr>
          <w:rFonts w:ascii="Century" w:hAnsi="Century" w:hint="eastAsia"/>
          <w:sz w:val="22"/>
          <w:rtl/>
        </w:rPr>
        <w:t>דיבידנד טרם מכירת המניות</w:t>
      </w:r>
      <w:r>
        <w:rPr>
          <w:rFonts w:ascii="Century" w:hAnsi="Century" w:hint="cs"/>
          <w:sz w:val="22"/>
          <w:rtl/>
        </w:rPr>
        <w:t xml:space="preserve">, </w:t>
      </w:r>
      <w:r>
        <w:rPr>
          <w:rFonts w:ascii="Century" w:hAnsi="Century" w:hint="eastAsia"/>
          <w:sz w:val="22"/>
          <w:rtl/>
        </w:rPr>
        <w:t xml:space="preserve">אם לאו </w:t>
      </w:r>
      <w:r>
        <w:rPr>
          <w:rFonts w:ascii="Century" w:hAnsi="Century" w:hint="cs"/>
          <w:sz w:val="22"/>
          <w:rtl/>
        </w:rPr>
        <w:t xml:space="preserve">(ראו: עניין </w:t>
      </w:r>
      <w:proofErr w:type="spellStart"/>
      <w:r w:rsidRPr="00BE638F">
        <w:rPr>
          <w:rFonts w:ascii="Century" w:hAnsi="Century" w:cs="Miriam" w:hint="cs"/>
          <w:b/>
          <w:spacing w:val="0"/>
          <w:sz w:val="22"/>
          <w:szCs w:val="24"/>
          <w:rtl/>
        </w:rPr>
        <w:t>ז'ורבין</w:t>
      </w:r>
      <w:proofErr w:type="spellEnd"/>
      <w:r>
        <w:rPr>
          <w:rFonts w:ascii="Century" w:hAnsi="Century" w:hint="cs"/>
          <w:sz w:val="22"/>
          <w:rtl/>
        </w:rPr>
        <w:t xml:space="preserve">, פסקה 17; </w:t>
      </w:r>
      <w:r w:rsidRPr="00BE638F">
        <w:rPr>
          <w:rFonts w:ascii="Century" w:hAnsi="Century" w:hint="cs"/>
          <w:sz w:val="22"/>
          <w:rtl/>
        </w:rPr>
        <w:t xml:space="preserve">עניין </w:t>
      </w:r>
      <w:r w:rsidRPr="00920B6F">
        <w:rPr>
          <w:rFonts w:ascii="Century" w:hAnsi="Century" w:cs="Miriam" w:hint="cs"/>
          <w:b/>
          <w:spacing w:val="0"/>
          <w:sz w:val="22"/>
          <w:szCs w:val="24"/>
          <w:rtl/>
        </w:rPr>
        <w:t>פגי</w:t>
      </w:r>
      <w:r>
        <w:rPr>
          <w:rFonts w:ascii="Century" w:hAnsi="Century" w:hint="cs"/>
          <w:sz w:val="22"/>
          <w:rtl/>
        </w:rPr>
        <w:t xml:space="preserve">, פסקה 4; </w:t>
      </w:r>
      <w:r>
        <w:rPr>
          <w:rFonts w:ascii="Century" w:hAnsi="Century" w:hint="cs"/>
          <w:rtl/>
        </w:rPr>
        <w:t xml:space="preserve">ע"א 10800/06 </w:t>
      </w:r>
      <w:r>
        <w:rPr>
          <w:rFonts w:ascii="Century" w:hAnsi="Century" w:cs="Miriam" w:hint="cs"/>
          <w:b/>
          <w:spacing w:val="0"/>
          <w:szCs w:val="24"/>
          <w:rtl/>
        </w:rPr>
        <w:t>סלמן נ' פקיד שומה טבריה</w:t>
      </w:r>
      <w:r>
        <w:rPr>
          <w:rFonts w:ascii="Century" w:hAnsi="Century" w:hint="cs"/>
          <w:rtl/>
        </w:rPr>
        <w:t>, פסקה 30 (13.7.2011)</w:t>
      </w:r>
      <w:r w:rsidR="00814D26">
        <w:rPr>
          <w:rFonts w:ascii="Century" w:hAnsi="Century" w:hint="cs"/>
          <w:sz w:val="22"/>
          <w:rtl/>
        </w:rPr>
        <w:t xml:space="preserve"> (להלן: עניין </w:t>
      </w:r>
      <w:r w:rsidR="00814D26">
        <w:rPr>
          <w:rFonts w:ascii="Century" w:hAnsi="Century" w:cs="Miriam" w:hint="cs"/>
          <w:b/>
          <w:spacing w:val="0"/>
          <w:sz w:val="22"/>
          <w:szCs w:val="24"/>
          <w:rtl/>
        </w:rPr>
        <w:t>סלמן</w:t>
      </w:r>
      <w:r w:rsidR="00814D26">
        <w:rPr>
          <w:rFonts w:ascii="Century" w:hAnsi="Century" w:hint="cs"/>
          <w:sz w:val="22"/>
          <w:rtl/>
        </w:rPr>
        <w:t>)</w:t>
      </w:r>
      <w:r>
        <w:rPr>
          <w:rFonts w:ascii="Century" w:hAnsi="Century" w:hint="cs"/>
          <w:sz w:val="22"/>
          <w:rtl/>
        </w:rPr>
        <w:t xml:space="preserve">; ע"א 1240/00 </w:t>
      </w:r>
      <w:r>
        <w:rPr>
          <w:rFonts w:ascii="Century" w:hAnsi="Century" w:cs="Miriam" w:hint="cs"/>
          <w:b/>
          <w:spacing w:val="0"/>
          <w:sz w:val="22"/>
          <w:szCs w:val="24"/>
          <w:rtl/>
        </w:rPr>
        <w:t>פקיד שומה תל-אביב 1 נ' סיוון</w:t>
      </w:r>
      <w:r>
        <w:rPr>
          <w:rFonts w:ascii="Century" w:hAnsi="Century" w:hint="cs"/>
          <w:sz w:val="22"/>
          <w:rtl/>
        </w:rPr>
        <w:t>, פ"ד נט(4) 588, 607-606 (2005)</w:t>
      </w:r>
      <w:r w:rsidR="00814D26">
        <w:rPr>
          <w:rFonts w:ascii="Century" w:hAnsi="Century" w:hint="cs"/>
          <w:sz w:val="22"/>
          <w:rtl/>
        </w:rPr>
        <w:t xml:space="preserve"> (להלן: עניין </w:t>
      </w:r>
      <w:r w:rsidR="00814D26">
        <w:rPr>
          <w:rFonts w:ascii="Century" w:hAnsi="Century" w:cs="Miriam" w:hint="cs"/>
          <w:b/>
          <w:spacing w:val="0"/>
          <w:sz w:val="22"/>
          <w:szCs w:val="24"/>
          <w:rtl/>
        </w:rPr>
        <w:t>סיוון</w:t>
      </w:r>
      <w:r w:rsidR="00814D26">
        <w:rPr>
          <w:rFonts w:ascii="Century" w:hAnsi="Century" w:hint="cs"/>
          <w:sz w:val="22"/>
          <w:rtl/>
        </w:rPr>
        <w:t>)</w:t>
      </w:r>
      <w:r>
        <w:rPr>
          <w:rFonts w:ascii="Century" w:hAnsi="Century" w:hint="cs"/>
          <w:sz w:val="22"/>
          <w:rtl/>
        </w:rPr>
        <w:t xml:space="preserve">; ע"א 8500/10 </w:t>
      </w:r>
      <w:r>
        <w:rPr>
          <w:rFonts w:ascii="Century" w:hAnsi="Century" w:cs="Miriam" w:hint="cs"/>
          <w:b/>
          <w:spacing w:val="0"/>
          <w:sz w:val="22"/>
          <w:szCs w:val="24"/>
          <w:rtl/>
        </w:rPr>
        <w:t xml:space="preserve">פרל נ' פקיד שומה 1 </w:t>
      </w:r>
      <w:r w:rsidRPr="002B0351">
        <w:rPr>
          <w:rFonts w:ascii="Century" w:hAnsi="Century" w:cs="Miriam" w:hint="cs"/>
          <w:b/>
          <w:spacing w:val="0"/>
          <w:sz w:val="22"/>
          <w:szCs w:val="24"/>
          <w:rtl/>
        </w:rPr>
        <w:t>ירושלים</w:t>
      </w:r>
      <w:r>
        <w:rPr>
          <w:rFonts w:ascii="Century" w:hAnsi="Century" w:hint="cs"/>
          <w:sz w:val="22"/>
          <w:rtl/>
        </w:rPr>
        <w:t xml:space="preserve">, פסקה 23 (10.9.2012)). </w:t>
      </w:r>
    </w:p>
    <w:p w:rsidR="005307CB" w:rsidRDefault="005307CB" w:rsidP="005307CB">
      <w:pPr>
        <w:pStyle w:val="Ruller4"/>
        <w:numPr>
          <w:ilvl w:val="0"/>
          <w:numId w:val="0"/>
        </w:numPr>
        <w:rPr>
          <w:rFonts w:ascii="Century" w:hAnsi="Century"/>
          <w:sz w:val="22"/>
          <w:rtl/>
        </w:rPr>
      </w:pPr>
    </w:p>
    <w:p w:rsidR="005307CB" w:rsidRDefault="005307CB" w:rsidP="005307CB">
      <w:pPr>
        <w:pStyle w:val="Ruller4"/>
        <w:numPr>
          <w:ilvl w:val="0"/>
          <w:numId w:val="0"/>
        </w:numPr>
        <w:rPr>
          <w:rtl/>
        </w:rPr>
      </w:pPr>
      <w:r>
        <w:rPr>
          <w:rFonts w:ascii="Century" w:hAnsi="Century"/>
          <w:sz w:val="22"/>
          <w:rtl/>
        </w:rPr>
        <w:tab/>
      </w:r>
      <w:r>
        <w:rPr>
          <w:rFonts w:ascii="Century" w:hAnsi="Century" w:hint="cs"/>
          <w:sz w:val="22"/>
          <w:rtl/>
        </w:rPr>
        <w:t xml:space="preserve">לשונו של הסעיף לאחר תיקון פקודת מס הכנסה (תיקון מס' 132), התשס"ב-2002 (להלן: </w:t>
      </w:r>
      <w:r>
        <w:rPr>
          <w:rFonts w:ascii="Century" w:hAnsi="Century" w:cs="Miriam" w:hint="cs"/>
          <w:b/>
          <w:spacing w:val="0"/>
          <w:sz w:val="22"/>
          <w:szCs w:val="24"/>
          <w:rtl/>
        </w:rPr>
        <w:t>תיקון מס' 132</w:t>
      </w:r>
      <w:r>
        <w:rPr>
          <w:rFonts w:ascii="Century" w:hAnsi="Century" w:hint="cs"/>
          <w:sz w:val="22"/>
          <w:rtl/>
        </w:rPr>
        <w:t>) היא כדלקמן:</w:t>
      </w:r>
    </w:p>
    <w:p w:rsidR="005307CB" w:rsidRDefault="005307CB" w:rsidP="005307CB">
      <w:pPr>
        <w:pStyle w:val="Ruller41"/>
        <w:rPr>
          <w:rtl/>
        </w:rPr>
      </w:pPr>
    </w:p>
    <w:p w:rsidR="005307CB" w:rsidRPr="003A16FD" w:rsidRDefault="005307CB" w:rsidP="005307CB">
      <w:pPr>
        <w:pStyle w:val="Ruller5"/>
        <w:rPr>
          <w:rStyle w:val="default"/>
          <w:rFonts w:ascii="Century" w:hAnsi="Century" w:cs="FrankRuehl"/>
          <w:sz w:val="22"/>
          <w:szCs w:val="28"/>
          <w:rtl/>
        </w:rPr>
      </w:pPr>
      <w:r w:rsidRPr="003A16FD">
        <w:rPr>
          <w:rStyle w:val="default"/>
          <w:rFonts w:ascii="Century" w:hAnsi="Century" w:cs="FrankRuehl" w:hint="cs"/>
          <w:sz w:val="22"/>
          <w:szCs w:val="28"/>
          <w:rtl/>
        </w:rPr>
        <w:t xml:space="preserve">94ב.(א) </w:t>
      </w:r>
      <w:r w:rsidRPr="003A16FD">
        <w:rPr>
          <w:rStyle w:val="default"/>
          <w:rFonts w:ascii="Century" w:hAnsi="Century" w:cs="FrankRuehl"/>
          <w:sz w:val="22"/>
          <w:szCs w:val="28"/>
          <w:rtl/>
        </w:rPr>
        <w:t>במכירת מניה של חברה שמניותיה אינן רשומות</w:t>
      </w:r>
      <w:r w:rsidRPr="003A16FD">
        <w:rPr>
          <w:rStyle w:val="default"/>
          <w:rFonts w:ascii="Century" w:hAnsi="Century" w:cs="FrankRuehl" w:hint="cs"/>
          <w:sz w:val="22"/>
          <w:szCs w:val="28"/>
          <w:rtl/>
        </w:rPr>
        <w:t xml:space="preserve"> </w:t>
      </w:r>
      <w:r w:rsidRPr="003A16FD">
        <w:rPr>
          <w:rStyle w:val="default"/>
          <w:rFonts w:ascii="Century" w:hAnsi="Century" w:cs="FrankRuehl"/>
          <w:sz w:val="22"/>
          <w:szCs w:val="28"/>
          <w:rtl/>
        </w:rPr>
        <w:t>למסחר בבורסה על ידי יחיד, אם יום רכישת המניות הנמכרות היה לפני המועד הקובע, או על ידי חבר</w:t>
      </w:r>
      <w:r w:rsidRPr="003A16FD">
        <w:rPr>
          <w:rStyle w:val="default"/>
          <w:rFonts w:ascii="Century" w:hAnsi="Century" w:cs="FrankRuehl" w:hint="cs"/>
          <w:sz w:val="22"/>
          <w:szCs w:val="28"/>
          <w:rtl/>
        </w:rPr>
        <w:t>-</w:t>
      </w:r>
      <w:r w:rsidRPr="003A16FD">
        <w:rPr>
          <w:rStyle w:val="default"/>
          <w:rFonts w:ascii="Century" w:hAnsi="Century" w:cs="FrankRuehl"/>
          <w:sz w:val="22"/>
          <w:szCs w:val="28"/>
          <w:rtl/>
        </w:rPr>
        <w:t>בני</w:t>
      </w:r>
      <w:r w:rsidRPr="003A16FD">
        <w:rPr>
          <w:rStyle w:val="default"/>
          <w:rFonts w:ascii="Century" w:hAnsi="Century" w:cs="FrankRuehl" w:hint="cs"/>
          <w:sz w:val="22"/>
          <w:szCs w:val="28"/>
          <w:rtl/>
        </w:rPr>
        <w:t>-</w:t>
      </w:r>
      <w:r w:rsidRPr="003A16FD">
        <w:rPr>
          <w:rStyle w:val="default"/>
          <w:rFonts w:ascii="Century" w:hAnsi="Century" w:cs="FrankRuehl"/>
          <w:sz w:val="22"/>
          <w:szCs w:val="28"/>
          <w:rtl/>
        </w:rPr>
        <w:t>אדם, יחולו הוראות אלה</w:t>
      </w:r>
      <w:r w:rsidRPr="003A16FD">
        <w:rPr>
          <w:rStyle w:val="default"/>
          <w:rFonts w:ascii="Century" w:hAnsi="Century" w:cs="FrankRuehl" w:hint="cs"/>
          <w:sz w:val="22"/>
          <w:szCs w:val="28"/>
          <w:rtl/>
        </w:rPr>
        <w:t>:</w:t>
      </w:r>
    </w:p>
    <w:p w:rsidR="005307CB" w:rsidRPr="003A16FD" w:rsidRDefault="005307CB" w:rsidP="005307CB">
      <w:pPr>
        <w:pStyle w:val="Ruller5"/>
        <w:rPr>
          <w:rStyle w:val="default"/>
          <w:rFonts w:ascii="Century" w:hAnsi="Century" w:cs="FrankRuehl"/>
          <w:sz w:val="22"/>
          <w:szCs w:val="28"/>
          <w:rtl/>
        </w:rPr>
      </w:pPr>
      <w:r w:rsidRPr="003A16FD">
        <w:rPr>
          <w:rStyle w:val="default"/>
          <w:rFonts w:ascii="Century" w:hAnsi="Century" w:cs="FrankRuehl"/>
          <w:sz w:val="22"/>
          <w:szCs w:val="28"/>
          <w:rtl/>
        </w:rPr>
        <w:t>(1)</w:t>
      </w:r>
      <w:r w:rsidRPr="003A16FD">
        <w:rPr>
          <w:rStyle w:val="default"/>
          <w:rFonts w:ascii="Century" w:hAnsi="Century" w:cs="FrankRuehl"/>
          <w:sz w:val="22"/>
          <w:szCs w:val="28"/>
          <w:rtl/>
        </w:rPr>
        <w:tab/>
      </w:r>
      <w:r w:rsidRPr="003A16FD">
        <w:rPr>
          <w:rStyle w:val="default"/>
          <w:rFonts w:ascii="Century" w:hAnsi="Century" w:cs="FrankRuehl" w:hint="cs"/>
          <w:sz w:val="22"/>
          <w:szCs w:val="28"/>
          <w:rtl/>
        </w:rPr>
        <w:t>ש</w:t>
      </w:r>
      <w:r w:rsidRPr="003A16FD">
        <w:rPr>
          <w:rStyle w:val="default"/>
          <w:rFonts w:ascii="Century" w:hAnsi="Century" w:cs="FrankRuehl"/>
          <w:sz w:val="22"/>
          <w:szCs w:val="28"/>
          <w:rtl/>
        </w:rPr>
        <w:t>י</w:t>
      </w:r>
      <w:r w:rsidRPr="003A16FD">
        <w:rPr>
          <w:rStyle w:val="default"/>
          <w:rFonts w:ascii="Century" w:hAnsi="Century" w:cs="FrankRuehl" w:hint="cs"/>
          <w:sz w:val="22"/>
          <w:szCs w:val="28"/>
          <w:rtl/>
        </w:rPr>
        <w:t>עור ה</w:t>
      </w:r>
      <w:r w:rsidRPr="003A16FD">
        <w:rPr>
          <w:rStyle w:val="default"/>
          <w:rFonts w:ascii="Century" w:hAnsi="Century" w:cs="FrankRuehl"/>
          <w:sz w:val="22"/>
          <w:szCs w:val="28"/>
          <w:rtl/>
        </w:rPr>
        <w:t>מ</w:t>
      </w:r>
      <w:r w:rsidRPr="003A16FD">
        <w:rPr>
          <w:rStyle w:val="default"/>
          <w:rFonts w:ascii="Century" w:hAnsi="Century" w:cs="FrankRuehl" w:hint="cs"/>
          <w:sz w:val="22"/>
          <w:szCs w:val="28"/>
          <w:rtl/>
        </w:rPr>
        <w:t>ס</w:t>
      </w:r>
      <w:r w:rsidRPr="003A16FD">
        <w:rPr>
          <w:rStyle w:val="default"/>
          <w:rFonts w:ascii="Century" w:hAnsi="Century" w:cs="FrankRuehl"/>
          <w:sz w:val="22"/>
          <w:szCs w:val="28"/>
          <w:rtl/>
        </w:rPr>
        <w:t xml:space="preserve"> </w:t>
      </w:r>
      <w:r w:rsidRPr="003A16FD">
        <w:rPr>
          <w:rStyle w:val="default"/>
          <w:rFonts w:ascii="Century" w:hAnsi="Century" w:cs="FrankRuehl" w:hint="cs"/>
          <w:sz w:val="22"/>
          <w:szCs w:val="28"/>
          <w:rtl/>
        </w:rPr>
        <w:t>על חלק רווח ההון הריאלי השו</w:t>
      </w:r>
      <w:r w:rsidRPr="003A16FD">
        <w:rPr>
          <w:rStyle w:val="default"/>
          <w:rFonts w:ascii="Century" w:hAnsi="Century" w:cs="FrankRuehl"/>
          <w:sz w:val="22"/>
          <w:szCs w:val="28"/>
          <w:rtl/>
        </w:rPr>
        <w:t>וה</w:t>
      </w:r>
      <w:r w:rsidRPr="003A16FD">
        <w:rPr>
          <w:rStyle w:val="default"/>
          <w:rFonts w:ascii="Century" w:hAnsi="Century" w:cs="FrankRuehl" w:hint="cs"/>
          <w:sz w:val="22"/>
          <w:szCs w:val="28"/>
          <w:rtl/>
        </w:rPr>
        <w:t xml:space="preserve"> לחלק </w:t>
      </w:r>
      <w:r w:rsidRPr="003A16FD">
        <w:rPr>
          <w:rStyle w:val="default"/>
          <w:rFonts w:ascii="Century" w:hAnsi="Century" w:cs="FrankRuehl"/>
          <w:sz w:val="22"/>
          <w:szCs w:val="28"/>
          <w:rtl/>
        </w:rPr>
        <w:t>מה</w:t>
      </w:r>
      <w:r w:rsidRPr="003A16FD">
        <w:rPr>
          <w:rStyle w:val="default"/>
          <w:rFonts w:ascii="Century" w:hAnsi="Century" w:cs="FrankRuehl" w:hint="cs"/>
          <w:sz w:val="22"/>
          <w:szCs w:val="28"/>
          <w:rtl/>
        </w:rPr>
        <w:t>רווחים הראויים לחלוקה, כיחס שבין ח</w:t>
      </w:r>
      <w:r w:rsidRPr="003A16FD">
        <w:rPr>
          <w:rStyle w:val="default"/>
          <w:rFonts w:ascii="Century" w:hAnsi="Century" w:cs="FrankRuehl"/>
          <w:sz w:val="22"/>
          <w:szCs w:val="28"/>
          <w:rtl/>
        </w:rPr>
        <w:t>ל</w:t>
      </w:r>
      <w:r w:rsidRPr="003A16FD">
        <w:rPr>
          <w:rStyle w:val="default"/>
          <w:rFonts w:ascii="Century" w:hAnsi="Century" w:cs="FrankRuehl" w:hint="cs"/>
          <w:sz w:val="22"/>
          <w:szCs w:val="28"/>
          <w:rtl/>
        </w:rPr>
        <w:t xml:space="preserve">קו </w:t>
      </w:r>
      <w:r w:rsidRPr="003A16FD">
        <w:rPr>
          <w:rStyle w:val="default"/>
          <w:rFonts w:ascii="Century" w:hAnsi="Century" w:cs="FrankRuehl"/>
          <w:sz w:val="22"/>
          <w:szCs w:val="28"/>
          <w:rtl/>
        </w:rPr>
        <w:t>של</w:t>
      </w:r>
      <w:r w:rsidRPr="003A16FD">
        <w:rPr>
          <w:rStyle w:val="default"/>
          <w:rFonts w:ascii="Century" w:hAnsi="Century" w:cs="FrankRuehl" w:hint="cs"/>
          <w:sz w:val="22"/>
          <w:szCs w:val="28"/>
          <w:rtl/>
        </w:rPr>
        <w:t xml:space="preserve"> המוכר בזכות לרווחים בחברה על פי המניה לכ</w:t>
      </w:r>
      <w:r w:rsidRPr="003A16FD">
        <w:rPr>
          <w:rStyle w:val="default"/>
          <w:rFonts w:ascii="Century" w:hAnsi="Century" w:cs="FrankRuehl"/>
          <w:sz w:val="22"/>
          <w:szCs w:val="28"/>
          <w:rtl/>
        </w:rPr>
        <w:t>ל</w:t>
      </w:r>
      <w:r w:rsidRPr="003A16FD">
        <w:rPr>
          <w:rStyle w:val="default"/>
          <w:rFonts w:ascii="Century" w:hAnsi="Century" w:cs="FrankRuehl" w:hint="cs"/>
          <w:sz w:val="22"/>
          <w:szCs w:val="28"/>
          <w:rtl/>
        </w:rPr>
        <w:t>ל הזכוי</w:t>
      </w:r>
      <w:r w:rsidRPr="003A16FD">
        <w:rPr>
          <w:rStyle w:val="default"/>
          <w:rFonts w:ascii="Century" w:hAnsi="Century" w:cs="FrankRuehl"/>
          <w:sz w:val="22"/>
          <w:szCs w:val="28"/>
          <w:rtl/>
        </w:rPr>
        <w:t>ו</w:t>
      </w:r>
      <w:r w:rsidRPr="003A16FD">
        <w:rPr>
          <w:rStyle w:val="default"/>
          <w:rFonts w:ascii="Century" w:hAnsi="Century" w:cs="FrankRuehl" w:hint="cs"/>
          <w:sz w:val="22"/>
          <w:szCs w:val="28"/>
          <w:rtl/>
        </w:rPr>
        <w:t>ת לרווחים בחברה</w:t>
      </w:r>
      <w:r w:rsidRPr="003A16FD">
        <w:rPr>
          <w:rStyle w:val="default"/>
          <w:rFonts w:ascii="Century" w:hAnsi="Century" w:cs="FrankRuehl"/>
          <w:sz w:val="22"/>
          <w:szCs w:val="28"/>
          <w:rtl/>
        </w:rPr>
        <w:t>, יהי</w:t>
      </w:r>
      <w:r w:rsidRPr="003A16FD">
        <w:rPr>
          <w:rStyle w:val="default"/>
          <w:rFonts w:ascii="Century" w:hAnsi="Century" w:cs="FrankRuehl" w:hint="cs"/>
          <w:sz w:val="22"/>
          <w:szCs w:val="28"/>
          <w:rtl/>
        </w:rPr>
        <w:t>ה שיעור המס שהיה חל עליהם, אילו ה</w:t>
      </w:r>
      <w:r w:rsidRPr="003A16FD">
        <w:rPr>
          <w:rStyle w:val="default"/>
          <w:rFonts w:ascii="Century" w:hAnsi="Century" w:cs="FrankRuehl"/>
          <w:sz w:val="22"/>
          <w:szCs w:val="28"/>
          <w:rtl/>
        </w:rPr>
        <w:t>יו</w:t>
      </w:r>
      <w:r w:rsidRPr="003A16FD">
        <w:rPr>
          <w:rStyle w:val="default"/>
          <w:rFonts w:ascii="Century" w:hAnsi="Century" w:cs="FrankRuehl" w:hint="cs"/>
          <w:sz w:val="22"/>
          <w:szCs w:val="28"/>
          <w:rtl/>
        </w:rPr>
        <w:t xml:space="preserve"> מ</w:t>
      </w:r>
      <w:r w:rsidRPr="003A16FD">
        <w:rPr>
          <w:rStyle w:val="default"/>
          <w:rFonts w:ascii="Century" w:hAnsi="Century" w:cs="FrankRuehl"/>
          <w:sz w:val="22"/>
          <w:szCs w:val="28"/>
          <w:rtl/>
        </w:rPr>
        <w:t>תקבלים כדי</w:t>
      </w:r>
      <w:r w:rsidRPr="003A16FD">
        <w:rPr>
          <w:rStyle w:val="default"/>
          <w:rFonts w:ascii="Century" w:hAnsi="Century" w:cs="FrankRuehl" w:hint="cs"/>
          <w:sz w:val="22"/>
          <w:szCs w:val="28"/>
          <w:rtl/>
        </w:rPr>
        <w:t>בידנד סמוך לפ</w:t>
      </w:r>
      <w:r w:rsidRPr="003A16FD">
        <w:rPr>
          <w:rStyle w:val="default"/>
          <w:rFonts w:ascii="Century" w:hAnsi="Century" w:cs="FrankRuehl"/>
          <w:sz w:val="22"/>
          <w:szCs w:val="28"/>
          <w:rtl/>
        </w:rPr>
        <w:t>נ</w:t>
      </w:r>
      <w:r w:rsidRPr="003A16FD">
        <w:rPr>
          <w:rStyle w:val="default"/>
          <w:rFonts w:ascii="Century" w:hAnsi="Century" w:cs="FrankRuehl" w:hint="cs"/>
          <w:sz w:val="22"/>
          <w:szCs w:val="28"/>
          <w:rtl/>
        </w:rPr>
        <w:t>י</w:t>
      </w:r>
      <w:r w:rsidRPr="003A16FD">
        <w:rPr>
          <w:rStyle w:val="default"/>
          <w:rFonts w:ascii="Century" w:hAnsi="Century" w:cs="FrankRuehl"/>
          <w:sz w:val="22"/>
          <w:szCs w:val="28"/>
          <w:rtl/>
        </w:rPr>
        <w:t xml:space="preserve"> </w:t>
      </w:r>
      <w:r w:rsidRPr="003A16FD">
        <w:rPr>
          <w:rStyle w:val="default"/>
          <w:rFonts w:ascii="Century" w:hAnsi="Century" w:cs="FrankRuehl" w:hint="cs"/>
          <w:sz w:val="22"/>
          <w:szCs w:val="28"/>
          <w:rtl/>
        </w:rPr>
        <w:t>המכירה, לפ</w:t>
      </w:r>
      <w:r w:rsidRPr="003A16FD">
        <w:rPr>
          <w:rStyle w:val="default"/>
          <w:rFonts w:ascii="Century" w:hAnsi="Century" w:cs="FrankRuehl"/>
          <w:sz w:val="22"/>
          <w:szCs w:val="28"/>
          <w:rtl/>
        </w:rPr>
        <w:t xml:space="preserve">י </w:t>
      </w:r>
      <w:r w:rsidRPr="003A16FD">
        <w:rPr>
          <w:rStyle w:val="default"/>
          <w:rFonts w:ascii="Century" w:hAnsi="Century" w:cs="FrankRuehl" w:hint="cs"/>
          <w:sz w:val="22"/>
          <w:szCs w:val="28"/>
          <w:rtl/>
        </w:rPr>
        <w:t xml:space="preserve">סעיפים 125ב או 126(ב), לפי </w:t>
      </w:r>
      <w:proofErr w:type="spellStart"/>
      <w:r w:rsidRPr="003A16FD">
        <w:rPr>
          <w:rStyle w:val="default"/>
          <w:rFonts w:ascii="Century" w:hAnsi="Century" w:cs="FrankRuehl" w:hint="cs"/>
          <w:sz w:val="22"/>
          <w:szCs w:val="28"/>
          <w:rtl/>
        </w:rPr>
        <w:t>הענין</w:t>
      </w:r>
      <w:proofErr w:type="spellEnd"/>
      <w:r w:rsidRPr="003A16FD">
        <w:rPr>
          <w:rStyle w:val="default"/>
          <w:rFonts w:ascii="Century" w:hAnsi="Century" w:cs="FrankRuehl" w:hint="cs"/>
          <w:sz w:val="22"/>
          <w:szCs w:val="28"/>
          <w:rtl/>
        </w:rPr>
        <w:t>.</w:t>
      </w:r>
    </w:p>
    <w:p w:rsidR="005307CB" w:rsidRPr="003A16FD" w:rsidRDefault="005307CB" w:rsidP="005307CB">
      <w:pPr>
        <w:pStyle w:val="Ruller5"/>
        <w:rPr>
          <w:rStyle w:val="default"/>
          <w:rFonts w:ascii="Century" w:hAnsi="Century" w:cs="FrankRuehl"/>
          <w:sz w:val="22"/>
          <w:szCs w:val="28"/>
          <w:rtl/>
        </w:rPr>
      </w:pPr>
      <w:r w:rsidRPr="003A16FD">
        <w:rPr>
          <w:rStyle w:val="default"/>
          <w:rFonts w:ascii="Century" w:hAnsi="Century" w:cs="FrankRuehl" w:hint="cs"/>
          <w:sz w:val="22"/>
          <w:szCs w:val="28"/>
          <w:rtl/>
        </w:rPr>
        <w:t>[...]</w:t>
      </w:r>
    </w:p>
    <w:p w:rsidR="005307CB" w:rsidRPr="003A16FD" w:rsidRDefault="005307CB" w:rsidP="005307CB">
      <w:pPr>
        <w:pStyle w:val="Ruller5"/>
        <w:rPr>
          <w:rFonts w:ascii="Century" w:hAnsi="Century"/>
          <w:rtl/>
        </w:rPr>
      </w:pPr>
      <w:r w:rsidRPr="00037213">
        <w:rPr>
          <w:rFonts w:ascii="Century" w:hAnsi="Century"/>
          <w:rtl/>
        </w:rPr>
        <w:t>(א1)</w:t>
      </w:r>
      <w:r w:rsidRPr="00037213">
        <w:rPr>
          <w:rFonts w:ascii="Century" w:hAnsi="Century" w:hint="cs"/>
          <w:rtl/>
        </w:rPr>
        <w:tab/>
      </w:r>
      <w:r w:rsidRPr="00037213">
        <w:rPr>
          <w:rFonts w:ascii="Century" w:hAnsi="Century"/>
          <w:rtl/>
        </w:rPr>
        <w:t>הוראות סעיף קטן (א) יחולו, בשינויים המחויבים, במכירת מניה של חברה</w:t>
      </w:r>
      <w:r w:rsidRPr="00037213">
        <w:rPr>
          <w:rFonts w:ascii="Century" w:hAnsi="Century" w:hint="cs"/>
          <w:rtl/>
        </w:rPr>
        <w:t xml:space="preserve"> </w:t>
      </w:r>
      <w:r w:rsidRPr="00037213">
        <w:rPr>
          <w:rFonts w:ascii="Century" w:hAnsi="Century"/>
          <w:rtl/>
        </w:rPr>
        <w:t xml:space="preserve">שמניותיה רשומות למסחר בבורסה, ובלבד שמוכר המניה היה בעל מניות מהותי </w:t>
      </w:r>
      <w:r w:rsidRPr="003A16FD">
        <w:rPr>
          <w:rFonts w:ascii="Century" w:hAnsi="Century"/>
          <w:rtl/>
        </w:rPr>
        <w:t>בחברה שמניותיה נמכרות, במועד המכירה או ביום כלשהו ב</w:t>
      </w:r>
      <w:r w:rsidRPr="003A16FD">
        <w:rPr>
          <w:rFonts w:ascii="Century" w:hAnsi="Century" w:hint="cs"/>
          <w:rtl/>
        </w:rPr>
        <w:t>-</w:t>
      </w:r>
      <w:r w:rsidRPr="003A16FD">
        <w:rPr>
          <w:rFonts w:ascii="Century" w:hAnsi="Century"/>
          <w:rtl/>
        </w:rPr>
        <w:t>12 החודשים שקדמו למכירה.</w:t>
      </w:r>
    </w:p>
    <w:p w:rsidR="005307CB" w:rsidRPr="003A16FD" w:rsidRDefault="005307CB" w:rsidP="005307CB">
      <w:pPr>
        <w:pStyle w:val="Ruller5"/>
        <w:rPr>
          <w:rStyle w:val="default"/>
          <w:rFonts w:ascii="Century" w:hAnsi="Century" w:cs="FrankRuehl"/>
          <w:sz w:val="22"/>
          <w:szCs w:val="28"/>
          <w:rtl/>
        </w:rPr>
      </w:pPr>
      <w:r w:rsidRPr="003A16FD">
        <w:rPr>
          <w:rStyle w:val="default"/>
          <w:rFonts w:ascii="Century" w:hAnsi="Century" w:cs="FrankRuehl"/>
          <w:sz w:val="22"/>
          <w:szCs w:val="28"/>
          <w:rtl/>
        </w:rPr>
        <w:t>(</w:t>
      </w:r>
      <w:r w:rsidRPr="003A16FD">
        <w:rPr>
          <w:rStyle w:val="default"/>
          <w:rFonts w:ascii="Century" w:hAnsi="Century" w:cs="FrankRuehl" w:hint="cs"/>
          <w:sz w:val="22"/>
          <w:szCs w:val="28"/>
          <w:rtl/>
        </w:rPr>
        <w:t>ב)</w:t>
      </w:r>
      <w:r w:rsidRPr="003A16FD">
        <w:rPr>
          <w:rStyle w:val="default"/>
          <w:rFonts w:ascii="Century" w:hAnsi="Century" w:cs="FrankRuehl"/>
          <w:sz w:val="22"/>
          <w:szCs w:val="28"/>
          <w:rtl/>
        </w:rPr>
        <w:tab/>
      </w:r>
      <w:proofErr w:type="spellStart"/>
      <w:r w:rsidRPr="003A16FD">
        <w:rPr>
          <w:rStyle w:val="default"/>
          <w:rFonts w:ascii="Century" w:hAnsi="Century" w:cs="FrankRuehl" w:hint="cs"/>
          <w:sz w:val="22"/>
          <w:szCs w:val="28"/>
          <w:rtl/>
        </w:rPr>
        <w:t>לענין</w:t>
      </w:r>
      <w:proofErr w:type="spellEnd"/>
      <w:r w:rsidRPr="003A16FD">
        <w:rPr>
          <w:rStyle w:val="default"/>
          <w:rFonts w:ascii="Century" w:hAnsi="Century" w:cs="FrankRuehl" w:hint="cs"/>
          <w:sz w:val="22"/>
          <w:szCs w:val="28"/>
          <w:rtl/>
        </w:rPr>
        <w:t xml:space="preserve"> סעיף קטן (</w:t>
      </w:r>
      <w:r w:rsidRPr="003A16FD">
        <w:rPr>
          <w:rStyle w:val="default"/>
          <w:rFonts w:ascii="Century" w:hAnsi="Century" w:cs="FrankRuehl"/>
          <w:sz w:val="22"/>
          <w:szCs w:val="28"/>
          <w:rtl/>
        </w:rPr>
        <w:t>א</w:t>
      </w:r>
      <w:r w:rsidRPr="003A16FD">
        <w:rPr>
          <w:rStyle w:val="default"/>
          <w:rFonts w:ascii="Century" w:hAnsi="Century" w:cs="FrankRuehl" w:hint="cs"/>
          <w:sz w:val="22"/>
          <w:szCs w:val="28"/>
          <w:rtl/>
        </w:rPr>
        <w:t xml:space="preserve">) </w:t>
      </w:r>
      <w:r w:rsidRPr="003A16FD">
        <w:rPr>
          <w:rStyle w:val="default"/>
          <w:rFonts w:ascii="Century" w:hAnsi="Century" w:cs="FrankRuehl"/>
          <w:sz w:val="22"/>
          <w:szCs w:val="28"/>
          <w:rtl/>
        </w:rPr>
        <w:t>–</w:t>
      </w:r>
    </w:p>
    <w:p w:rsidR="005307CB" w:rsidRPr="003A16FD" w:rsidRDefault="005307CB" w:rsidP="005307CB">
      <w:pPr>
        <w:pStyle w:val="Ruller5"/>
        <w:rPr>
          <w:rStyle w:val="default"/>
          <w:rFonts w:ascii="Century" w:hAnsi="Century" w:cs="FrankRuehl"/>
          <w:sz w:val="22"/>
          <w:szCs w:val="28"/>
          <w:rtl/>
        </w:rPr>
      </w:pPr>
      <w:r w:rsidRPr="003A16FD">
        <w:rPr>
          <w:rStyle w:val="default"/>
          <w:rFonts w:ascii="Century" w:hAnsi="Century" w:cs="FrankRuehl"/>
          <w:sz w:val="22"/>
          <w:szCs w:val="28"/>
          <w:rtl/>
        </w:rPr>
        <w:t>(1)</w:t>
      </w:r>
      <w:r w:rsidRPr="003A16FD">
        <w:rPr>
          <w:rStyle w:val="default"/>
          <w:rFonts w:ascii="Century" w:hAnsi="Century" w:cs="FrankRuehl"/>
          <w:sz w:val="22"/>
          <w:szCs w:val="28"/>
          <w:rtl/>
        </w:rPr>
        <w:tab/>
      </w:r>
      <w:r w:rsidRPr="003A16FD">
        <w:rPr>
          <w:rStyle w:val="default"/>
          <w:rFonts w:ascii="Century" w:hAnsi="Century" w:cs="FrankRuehl" w:hint="cs"/>
          <w:sz w:val="22"/>
          <w:szCs w:val="28"/>
          <w:rtl/>
        </w:rPr>
        <w:t xml:space="preserve">"רווחים ראויים </w:t>
      </w:r>
      <w:r w:rsidRPr="003A16FD">
        <w:rPr>
          <w:rStyle w:val="default"/>
          <w:rFonts w:ascii="Century" w:hAnsi="Century" w:cs="FrankRuehl"/>
          <w:sz w:val="22"/>
          <w:szCs w:val="28"/>
          <w:rtl/>
        </w:rPr>
        <w:t>ל</w:t>
      </w:r>
      <w:r w:rsidRPr="003A16FD">
        <w:rPr>
          <w:rStyle w:val="default"/>
          <w:rFonts w:ascii="Century" w:hAnsi="Century" w:cs="FrankRuehl" w:hint="cs"/>
          <w:sz w:val="22"/>
          <w:szCs w:val="28"/>
          <w:rtl/>
        </w:rPr>
        <w:t>חלוקה" - רווחים כאמור ש</w:t>
      </w:r>
      <w:r w:rsidRPr="003A16FD">
        <w:rPr>
          <w:rStyle w:val="default"/>
          <w:rFonts w:ascii="Century" w:hAnsi="Century" w:cs="FrankRuehl"/>
          <w:sz w:val="22"/>
          <w:szCs w:val="28"/>
          <w:rtl/>
        </w:rPr>
        <w:t>נ</w:t>
      </w:r>
      <w:r w:rsidRPr="003A16FD">
        <w:rPr>
          <w:rStyle w:val="default"/>
          <w:rFonts w:ascii="Century" w:hAnsi="Century" w:cs="FrankRuehl" w:hint="cs"/>
          <w:sz w:val="22"/>
          <w:szCs w:val="28"/>
          <w:rtl/>
        </w:rPr>
        <w:t>צטברו בחברה מתום שנת המס שקדמה ל</w:t>
      </w:r>
      <w:r w:rsidRPr="003A16FD">
        <w:rPr>
          <w:rStyle w:val="default"/>
          <w:rFonts w:ascii="Century" w:hAnsi="Century" w:cs="FrankRuehl"/>
          <w:sz w:val="22"/>
          <w:szCs w:val="28"/>
          <w:rtl/>
        </w:rPr>
        <w:t>שנ</w:t>
      </w:r>
      <w:r w:rsidRPr="003A16FD">
        <w:rPr>
          <w:rStyle w:val="default"/>
          <w:rFonts w:ascii="Century" w:hAnsi="Century" w:cs="FrankRuehl" w:hint="cs"/>
          <w:sz w:val="22"/>
          <w:szCs w:val="28"/>
          <w:rtl/>
        </w:rPr>
        <w:t>ת רכיש</w:t>
      </w:r>
      <w:r w:rsidRPr="003A16FD">
        <w:rPr>
          <w:rStyle w:val="default"/>
          <w:rFonts w:ascii="Century" w:hAnsi="Century" w:cs="FrankRuehl"/>
          <w:sz w:val="22"/>
          <w:szCs w:val="28"/>
          <w:rtl/>
        </w:rPr>
        <w:t xml:space="preserve">ת </w:t>
      </w:r>
      <w:r w:rsidRPr="003A16FD">
        <w:rPr>
          <w:rStyle w:val="default"/>
          <w:rFonts w:ascii="Century" w:hAnsi="Century" w:cs="FrankRuehl" w:hint="cs"/>
          <w:sz w:val="22"/>
          <w:szCs w:val="28"/>
          <w:rtl/>
        </w:rPr>
        <w:t>המניה עד תום שנת המס שקדמה לשנת המ</w:t>
      </w:r>
      <w:r w:rsidRPr="003A16FD">
        <w:rPr>
          <w:rStyle w:val="default"/>
          <w:rFonts w:ascii="Century" w:hAnsi="Century" w:cs="FrankRuehl"/>
          <w:sz w:val="22"/>
          <w:szCs w:val="28"/>
          <w:rtl/>
        </w:rPr>
        <w:t>כ</w:t>
      </w:r>
      <w:r w:rsidRPr="003A16FD">
        <w:rPr>
          <w:rStyle w:val="default"/>
          <w:rFonts w:ascii="Century" w:hAnsi="Century" w:cs="FrankRuehl" w:hint="cs"/>
          <w:sz w:val="22"/>
          <w:szCs w:val="28"/>
          <w:rtl/>
        </w:rPr>
        <w:t>ירה</w:t>
      </w:r>
      <w:r w:rsidRPr="003A16FD">
        <w:rPr>
          <w:rStyle w:val="default"/>
          <w:rFonts w:ascii="Century" w:hAnsi="Century" w:cs="FrankRuehl"/>
          <w:sz w:val="22"/>
          <w:szCs w:val="28"/>
          <w:rtl/>
        </w:rPr>
        <w:t xml:space="preserve"> </w:t>
      </w:r>
      <w:r w:rsidRPr="003A16FD">
        <w:rPr>
          <w:rStyle w:val="default"/>
          <w:rFonts w:ascii="Century" w:hAnsi="Century" w:cs="FrankRuehl" w:hint="cs"/>
          <w:sz w:val="22"/>
          <w:szCs w:val="28"/>
          <w:rtl/>
        </w:rPr>
        <w:t>שלה, ובפירוק - עד ליו</w:t>
      </w:r>
      <w:r w:rsidRPr="003A16FD">
        <w:rPr>
          <w:rStyle w:val="default"/>
          <w:rFonts w:ascii="Century" w:hAnsi="Century" w:cs="FrankRuehl"/>
          <w:sz w:val="22"/>
          <w:szCs w:val="28"/>
          <w:rtl/>
        </w:rPr>
        <w:t>ם</w:t>
      </w:r>
      <w:r w:rsidRPr="003A16FD">
        <w:rPr>
          <w:rStyle w:val="default"/>
          <w:rFonts w:ascii="Century" w:hAnsi="Century" w:cs="FrankRuehl" w:hint="cs"/>
          <w:sz w:val="22"/>
          <w:szCs w:val="28"/>
          <w:rtl/>
        </w:rPr>
        <w:t xml:space="preserve"> סיום הליכי הפ</w:t>
      </w:r>
      <w:r w:rsidRPr="003A16FD">
        <w:rPr>
          <w:rStyle w:val="default"/>
          <w:rFonts w:ascii="Century" w:hAnsi="Century" w:cs="FrankRuehl"/>
          <w:sz w:val="22"/>
          <w:szCs w:val="28"/>
          <w:rtl/>
        </w:rPr>
        <w:t>יר</w:t>
      </w:r>
      <w:r w:rsidRPr="003A16FD">
        <w:rPr>
          <w:rStyle w:val="default"/>
          <w:rFonts w:ascii="Century" w:hAnsi="Century" w:cs="FrankRuehl" w:hint="cs"/>
          <w:sz w:val="22"/>
          <w:szCs w:val="28"/>
          <w:rtl/>
        </w:rPr>
        <w:t>ו</w:t>
      </w:r>
      <w:r w:rsidRPr="003A16FD">
        <w:rPr>
          <w:rStyle w:val="default"/>
          <w:rFonts w:ascii="Century" w:hAnsi="Century" w:cs="FrankRuehl"/>
          <w:sz w:val="22"/>
          <w:szCs w:val="28"/>
          <w:rtl/>
        </w:rPr>
        <w:t>ק, ו</w:t>
      </w:r>
      <w:r w:rsidRPr="003A16FD">
        <w:rPr>
          <w:rStyle w:val="default"/>
          <w:rFonts w:ascii="Century" w:hAnsi="Century" w:cs="FrankRuehl" w:hint="cs"/>
          <w:sz w:val="22"/>
          <w:szCs w:val="28"/>
          <w:rtl/>
        </w:rPr>
        <w:t>בל</w:t>
      </w:r>
      <w:r w:rsidRPr="003A16FD">
        <w:rPr>
          <w:rStyle w:val="default"/>
          <w:rFonts w:ascii="Century" w:hAnsi="Century" w:cs="FrankRuehl"/>
          <w:sz w:val="22"/>
          <w:szCs w:val="28"/>
          <w:rtl/>
        </w:rPr>
        <w:t>בד</w:t>
      </w:r>
      <w:r w:rsidRPr="003A16FD">
        <w:rPr>
          <w:rStyle w:val="default"/>
          <w:rFonts w:ascii="Century" w:hAnsi="Century" w:cs="FrankRuehl" w:hint="cs"/>
          <w:sz w:val="22"/>
          <w:szCs w:val="28"/>
          <w:rtl/>
        </w:rPr>
        <w:t xml:space="preserve"> </w:t>
      </w:r>
      <w:r w:rsidRPr="003A16FD">
        <w:rPr>
          <w:rStyle w:val="default"/>
          <w:rFonts w:ascii="Century" w:hAnsi="Century" w:cs="FrankRuehl"/>
          <w:sz w:val="22"/>
          <w:szCs w:val="28"/>
          <w:rtl/>
        </w:rPr>
        <w:t>שלא</w:t>
      </w:r>
      <w:r w:rsidRPr="003A16FD">
        <w:rPr>
          <w:rStyle w:val="default"/>
          <w:rFonts w:ascii="Century" w:hAnsi="Century" w:cs="FrankRuehl" w:hint="cs"/>
          <w:sz w:val="22"/>
          <w:szCs w:val="28"/>
          <w:rtl/>
        </w:rPr>
        <w:t xml:space="preserve"> יוב</w:t>
      </w:r>
      <w:r w:rsidRPr="003A16FD">
        <w:rPr>
          <w:rStyle w:val="default"/>
          <w:rFonts w:ascii="Century" w:hAnsi="Century" w:cs="FrankRuehl"/>
          <w:sz w:val="22"/>
          <w:szCs w:val="28"/>
          <w:rtl/>
        </w:rPr>
        <w:t>א</w:t>
      </w:r>
      <w:r w:rsidRPr="003A16FD">
        <w:rPr>
          <w:rStyle w:val="default"/>
          <w:rFonts w:ascii="Century" w:hAnsi="Century" w:cs="FrankRuehl" w:hint="cs"/>
          <w:sz w:val="22"/>
          <w:szCs w:val="28"/>
          <w:rtl/>
        </w:rPr>
        <w:t xml:space="preserve">ו בחשבון רווחים ראויים לחלוקה כאמור, שנצברו לפני יום </w:t>
      </w:r>
      <w:r w:rsidRPr="003A16FD">
        <w:rPr>
          <w:rStyle w:val="default"/>
          <w:rFonts w:ascii="Century" w:hAnsi="Century" w:cs="FrankRuehl"/>
          <w:sz w:val="22"/>
          <w:szCs w:val="28"/>
          <w:rtl/>
        </w:rPr>
        <w:t xml:space="preserve">ט' </w:t>
      </w:r>
      <w:r w:rsidRPr="003A16FD">
        <w:rPr>
          <w:rStyle w:val="default"/>
          <w:rFonts w:ascii="Century" w:hAnsi="Century" w:cs="FrankRuehl" w:hint="cs"/>
          <w:sz w:val="22"/>
          <w:szCs w:val="28"/>
          <w:rtl/>
        </w:rPr>
        <w:t>בט</w:t>
      </w:r>
      <w:r w:rsidRPr="003A16FD">
        <w:rPr>
          <w:rStyle w:val="default"/>
          <w:rFonts w:ascii="Century" w:hAnsi="Century" w:cs="FrankRuehl"/>
          <w:sz w:val="22"/>
          <w:szCs w:val="28"/>
          <w:rtl/>
        </w:rPr>
        <w:t>ב</w:t>
      </w:r>
      <w:r w:rsidRPr="003A16FD">
        <w:rPr>
          <w:rStyle w:val="default"/>
          <w:rFonts w:ascii="Century" w:hAnsi="Century" w:cs="FrankRuehl" w:hint="cs"/>
          <w:sz w:val="22"/>
          <w:szCs w:val="28"/>
          <w:rtl/>
        </w:rPr>
        <w:t>ת</w:t>
      </w:r>
      <w:r w:rsidRPr="003A16FD">
        <w:rPr>
          <w:rStyle w:val="default"/>
          <w:rFonts w:ascii="Century" w:hAnsi="Century" w:cs="FrankRuehl"/>
          <w:sz w:val="22"/>
          <w:szCs w:val="28"/>
          <w:rtl/>
        </w:rPr>
        <w:t xml:space="preserve"> </w:t>
      </w:r>
      <w:proofErr w:type="spellStart"/>
      <w:r w:rsidRPr="003A16FD">
        <w:rPr>
          <w:rStyle w:val="default"/>
          <w:rFonts w:ascii="Century" w:hAnsi="Century" w:cs="FrankRuehl"/>
          <w:sz w:val="22"/>
          <w:szCs w:val="28"/>
          <w:rtl/>
        </w:rPr>
        <w:t>התשנ"ו</w:t>
      </w:r>
      <w:proofErr w:type="spellEnd"/>
      <w:r w:rsidRPr="003A16FD">
        <w:rPr>
          <w:rStyle w:val="default"/>
          <w:rFonts w:ascii="Century" w:hAnsi="Century" w:cs="FrankRuehl" w:hint="cs"/>
          <w:sz w:val="22"/>
          <w:szCs w:val="28"/>
          <w:rtl/>
        </w:rPr>
        <w:t xml:space="preserve"> (1 בינואר 1996</w:t>
      </w:r>
      <w:r w:rsidRPr="003A16FD">
        <w:rPr>
          <w:rStyle w:val="default"/>
          <w:rFonts w:ascii="Century" w:hAnsi="Century" w:cs="FrankRuehl"/>
          <w:sz w:val="22"/>
          <w:szCs w:val="28"/>
          <w:rtl/>
        </w:rPr>
        <w:t xml:space="preserve">), </w:t>
      </w:r>
      <w:proofErr w:type="spellStart"/>
      <w:r w:rsidRPr="003A16FD">
        <w:rPr>
          <w:rStyle w:val="default"/>
          <w:rFonts w:ascii="Century" w:hAnsi="Century" w:cs="FrankRuehl"/>
          <w:sz w:val="22"/>
          <w:szCs w:val="28"/>
          <w:rtl/>
        </w:rPr>
        <w:t>ה</w:t>
      </w:r>
      <w:r w:rsidRPr="003A16FD">
        <w:rPr>
          <w:rStyle w:val="default"/>
          <w:rFonts w:ascii="Century" w:hAnsi="Century" w:cs="FrankRuehl" w:hint="cs"/>
          <w:sz w:val="22"/>
          <w:szCs w:val="28"/>
          <w:rtl/>
        </w:rPr>
        <w:t>כל</w:t>
      </w:r>
      <w:proofErr w:type="spellEnd"/>
      <w:r w:rsidRPr="003A16FD">
        <w:rPr>
          <w:rStyle w:val="default"/>
          <w:rFonts w:ascii="Century" w:hAnsi="Century" w:cs="FrankRuehl" w:hint="cs"/>
          <w:sz w:val="22"/>
          <w:szCs w:val="28"/>
          <w:rtl/>
        </w:rPr>
        <w:t xml:space="preserve"> לפי</w:t>
      </w:r>
      <w:r w:rsidRPr="003A16FD">
        <w:rPr>
          <w:rStyle w:val="default"/>
          <w:rFonts w:ascii="Century" w:hAnsi="Century" w:cs="FrankRuehl"/>
          <w:sz w:val="22"/>
          <w:szCs w:val="28"/>
          <w:rtl/>
        </w:rPr>
        <w:t xml:space="preserve"> ה</w:t>
      </w:r>
      <w:r w:rsidRPr="003A16FD">
        <w:rPr>
          <w:rStyle w:val="default"/>
          <w:rFonts w:ascii="Century" w:hAnsi="Century" w:cs="FrankRuehl" w:hint="cs"/>
          <w:sz w:val="22"/>
          <w:szCs w:val="28"/>
          <w:rtl/>
        </w:rPr>
        <w:t>מאזן של החברה לתום שנת המס שקדמה לשנת המכירה או ליום התחלת הפי</w:t>
      </w:r>
      <w:r w:rsidRPr="003A16FD">
        <w:rPr>
          <w:rStyle w:val="default"/>
          <w:rFonts w:ascii="Century" w:hAnsi="Century" w:cs="FrankRuehl"/>
          <w:sz w:val="22"/>
          <w:szCs w:val="28"/>
          <w:rtl/>
        </w:rPr>
        <w:t>רו</w:t>
      </w:r>
      <w:r w:rsidRPr="003A16FD">
        <w:rPr>
          <w:rStyle w:val="default"/>
          <w:rFonts w:ascii="Century" w:hAnsi="Century" w:cs="FrankRuehl" w:hint="cs"/>
          <w:sz w:val="22"/>
          <w:szCs w:val="28"/>
          <w:rtl/>
        </w:rPr>
        <w:t xml:space="preserve">ק, לפי </w:t>
      </w:r>
      <w:proofErr w:type="spellStart"/>
      <w:r w:rsidRPr="003A16FD">
        <w:rPr>
          <w:rStyle w:val="default"/>
          <w:rFonts w:ascii="Century" w:hAnsi="Century" w:cs="FrankRuehl"/>
          <w:sz w:val="22"/>
          <w:szCs w:val="28"/>
          <w:rtl/>
        </w:rPr>
        <w:t>הע</w:t>
      </w:r>
      <w:r w:rsidRPr="003A16FD">
        <w:rPr>
          <w:rStyle w:val="default"/>
          <w:rFonts w:ascii="Century" w:hAnsi="Century" w:cs="FrankRuehl" w:hint="cs"/>
          <w:sz w:val="22"/>
          <w:szCs w:val="28"/>
          <w:rtl/>
        </w:rPr>
        <w:t>נין</w:t>
      </w:r>
      <w:proofErr w:type="spellEnd"/>
      <w:r w:rsidRPr="003A16FD">
        <w:rPr>
          <w:rStyle w:val="default"/>
          <w:rFonts w:ascii="Century" w:hAnsi="Century" w:cs="FrankRuehl" w:hint="cs"/>
          <w:sz w:val="22"/>
          <w:szCs w:val="28"/>
          <w:rtl/>
        </w:rPr>
        <w:t xml:space="preserve">, לרבות רווחים </w:t>
      </w:r>
      <w:proofErr w:type="spellStart"/>
      <w:r w:rsidRPr="003A16FD">
        <w:rPr>
          <w:rStyle w:val="default"/>
          <w:rFonts w:ascii="Century" w:hAnsi="Century" w:cs="FrankRuehl"/>
          <w:sz w:val="22"/>
          <w:szCs w:val="28"/>
          <w:rtl/>
        </w:rPr>
        <w:t>שהוו</w:t>
      </w:r>
      <w:r w:rsidRPr="003A16FD">
        <w:rPr>
          <w:rStyle w:val="default"/>
          <w:rFonts w:ascii="Century" w:hAnsi="Century" w:cs="FrankRuehl" w:hint="cs"/>
          <w:sz w:val="22"/>
          <w:szCs w:val="28"/>
          <w:rtl/>
        </w:rPr>
        <w:t>נו</w:t>
      </w:r>
      <w:proofErr w:type="spellEnd"/>
      <w:r w:rsidRPr="003A16FD">
        <w:rPr>
          <w:rStyle w:val="default"/>
          <w:rFonts w:ascii="Century" w:hAnsi="Century" w:cs="FrankRuehl" w:hint="cs"/>
          <w:sz w:val="22"/>
          <w:szCs w:val="28"/>
          <w:rtl/>
        </w:rPr>
        <w:t>; אולם סכ</w:t>
      </w:r>
      <w:r w:rsidRPr="003A16FD">
        <w:rPr>
          <w:rStyle w:val="default"/>
          <w:rFonts w:ascii="Century" w:hAnsi="Century" w:cs="FrankRuehl"/>
          <w:sz w:val="22"/>
          <w:szCs w:val="28"/>
          <w:rtl/>
        </w:rPr>
        <w:t>ומים</w:t>
      </w:r>
      <w:r w:rsidRPr="003A16FD">
        <w:rPr>
          <w:rStyle w:val="default"/>
          <w:rFonts w:ascii="Century" w:hAnsi="Century" w:cs="FrankRuehl" w:hint="cs"/>
          <w:sz w:val="22"/>
          <w:szCs w:val="28"/>
          <w:rtl/>
        </w:rPr>
        <w:t xml:space="preserve"> שנצט</w:t>
      </w:r>
      <w:r w:rsidRPr="003A16FD">
        <w:rPr>
          <w:rStyle w:val="default"/>
          <w:rFonts w:ascii="Century" w:hAnsi="Century" w:cs="FrankRuehl"/>
          <w:sz w:val="22"/>
          <w:szCs w:val="28"/>
          <w:rtl/>
        </w:rPr>
        <w:t xml:space="preserve">ברו </w:t>
      </w:r>
      <w:r w:rsidRPr="003A16FD">
        <w:rPr>
          <w:rStyle w:val="default"/>
          <w:rFonts w:ascii="Century" w:hAnsi="Century" w:cs="FrankRuehl" w:hint="cs"/>
          <w:sz w:val="22"/>
          <w:szCs w:val="28"/>
          <w:rtl/>
        </w:rPr>
        <w:t>בקרן לייצוב ההון כמשמעותה בסעיף 53</w:t>
      </w:r>
      <w:r w:rsidRPr="003A16FD">
        <w:rPr>
          <w:rStyle w:val="default"/>
          <w:rFonts w:ascii="Century" w:hAnsi="Century" w:cs="FrankRuehl"/>
          <w:sz w:val="22"/>
          <w:szCs w:val="28"/>
          <w:rtl/>
        </w:rPr>
        <w:t>י</w:t>
      </w:r>
      <w:r w:rsidRPr="003A16FD">
        <w:rPr>
          <w:rStyle w:val="default"/>
          <w:rFonts w:ascii="Century" w:hAnsi="Century" w:cs="FrankRuehl" w:hint="cs"/>
          <w:sz w:val="22"/>
          <w:szCs w:val="28"/>
          <w:rtl/>
        </w:rPr>
        <w:t xml:space="preserve">א </w:t>
      </w:r>
      <w:r w:rsidRPr="003A16FD">
        <w:rPr>
          <w:rStyle w:val="default"/>
          <w:rFonts w:ascii="Century" w:hAnsi="Century" w:cs="FrankRuehl"/>
          <w:sz w:val="22"/>
          <w:szCs w:val="28"/>
          <w:rtl/>
        </w:rPr>
        <w:t>ל</w:t>
      </w:r>
      <w:r w:rsidRPr="003A16FD">
        <w:rPr>
          <w:rStyle w:val="default"/>
          <w:rFonts w:ascii="Century" w:hAnsi="Century" w:cs="FrankRuehl" w:hint="cs"/>
          <w:sz w:val="22"/>
          <w:szCs w:val="28"/>
          <w:rtl/>
        </w:rPr>
        <w:t xml:space="preserve">חוק </w:t>
      </w:r>
      <w:r w:rsidRPr="003A16FD">
        <w:rPr>
          <w:rStyle w:val="default"/>
          <w:rFonts w:ascii="Century" w:hAnsi="Century" w:cs="FrankRuehl"/>
          <w:sz w:val="22"/>
          <w:szCs w:val="28"/>
          <w:rtl/>
        </w:rPr>
        <w:t>לע</w:t>
      </w:r>
      <w:r w:rsidRPr="003A16FD">
        <w:rPr>
          <w:rStyle w:val="default"/>
          <w:rFonts w:ascii="Century" w:hAnsi="Century" w:cs="FrankRuehl" w:hint="cs"/>
          <w:sz w:val="22"/>
          <w:szCs w:val="28"/>
          <w:rtl/>
        </w:rPr>
        <w:t>י</w:t>
      </w:r>
      <w:r w:rsidRPr="003A16FD">
        <w:rPr>
          <w:rStyle w:val="default"/>
          <w:rFonts w:ascii="Century" w:hAnsi="Century" w:cs="FrankRuehl"/>
          <w:sz w:val="22"/>
          <w:szCs w:val="28"/>
          <w:rtl/>
        </w:rPr>
        <w:t>ד</w:t>
      </w:r>
      <w:r w:rsidRPr="003A16FD">
        <w:rPr>
          <w:rStyle w:val="default"/>
          <w:rFonts w:ascii="Century" w:hAnsi="Century" w:cs="FrankRuehl" w:hint="cs"/>
          <w:sz w:val="22"/>
          <w:szCs w:val="28"/>
          <w:rtl/>
        </w:rPr>
        <w:t>וד</w:t>
      </w:r>
      <w:r w:rsidRPr="003A16FD">
        <w:rPr>
          <w:rStyle w:val="default"/>
          <w:rFonts w:ascii="Century" w:hAnsi="Century" w:cs="FrankRuehl"/>
          <w:sz w:val="22"/>
          <w:szCs w:val="28"/>
          <w:rtl/>
        </w:rPr>
        <w:t xml:space="preserve"> </w:t>
      </w:r>
      <w:r w:rsidRPr="003A16FD">
        <w:rPr>
          <w:rStyle w:val="default"/>
          <w:rFonts w:ascii="Century" w:hAnsi="Century" w:cs="FrankRuehl" w:hint="cs"/>
          <w:sz w:val="22"/>
          <w:szCs w:val="28"/>
          <w:rtl/>
        </w:rPr>
        <w:t>השקע</w:t>
      </w:r>
      <w:r w:rsidRPr="003A16FD">
        <w:rPr>
          <w:rStyle w:val="default"/>
          <w:rFonts w:ascii="Century" w:hAnsi="Century" w:cs="FrankRuehl"/>
          <w:sz w:val="22"/>
          <w:szCs w:val="28"/>
          <w:rtl/>
        </w:rPr>
        <w:t>ו</w:t>
      </w:r>
      <w:r w:rsidRPr="003A16FD">
        <w:rPr>
          <w:rStyle w:val="default"/>
          <w:rFonts w:ascii="Century" w:hAnsi="Century" w:cs="FrankRuehl" w:hint="cs"/>
          <w:sz w:val="22"/>
          <w:szCs w:val="28"/>
          <w:rtl/>
        </w:rPr>
        <w:t>ת הו</w:t>
      </w:r>
      <w:r w:rsidRPr="003A16FD">
        <w:rPr>
          <w:rStyle w:val="default"/>
          <w:rFonts w:ascii="Century" w:hAnsi="Century" w:cs="FrankRuehl"/>
          <w:sz w:val="22"/>
          <w:szCs w:val="28"/>
          <w:rtl/>
        </w:rPr>
        <w:t>ן</w:t>
      </w:r>
      <w:r w:rsidRPr="003A16FD">
        <w:rPr>
          <w:rStyle w:val="default"/>
          <w:rFonts w:ascii="Century" w:hAnsi="Century" w:cs="FrankRuehl" w:hint="cs"/>
          <w:sz w:val="22"/>
          <w:szCs w:val="28"/>
          <w:rtl/>
        </w:rPr>
        <w:t xml:space="preserve"> </w:t>
      </w:r>
      <w:r w:rsidRPr="003A16FD">
        <w:rPr>
          <w:rStyle w:val="default"/>
          <w:rFonts w:ascii="Century" w:hAnsi="Century" w:cs="FrankRuehl"/>
          <w:sz w:val="22"/>
          <w:szCs w:val="28"/>
          <w:rtl/>
        </w:rPr>
        <w:t>תשי"</w:t>
      </w:r>
      <w:r w:rsidRPr="003A16FD">
        <w:rPr>
          <w:rStyle w:val="default"/>
          <w:rFonts w:ascii="Century" w:hAnsi="Century" w:cs="FrankRuehl" w:hint="cs"/>
          <w:sz w:val="22"/>
          <w:szCs w:val="28"/>
          <w:rtl/>
        </w:rPr>
        <w:t>ט</w:t>
      </w:r>
      <w:r w:rsidRPr="003A16FD">
        <w:rPr>
          <w:rStyle w:val="default"/>
          <w:rFonts w:ascii="Century" w:hAnsi="Century" w:cs="FrankRuehl"/>
          <w:sz w:val="22"/>
          <w:szCs w:val="28"/>
          <w:rtl/>
        </w:rPr>
        <w:t>–</w:t>
      </w:r>
      <w:r w:rsidRPr="003A16FD">
        <w:rPr>
          <w:rStyle w:val="default"/>
          <w:rFonts w:ascii="Century" w:hAnsi="Century" w:cs="FrankRuehl" w:hint="cs"/>
          <w:sz w:val="22"/>
          <w:szCs w:val="28"/>
          <w:rtl/>
        </w:rPr>
        <w:t>1959, או סכומים שניכ</w:t>
      </w:r>
      <w:r w:rsidRPr="003A16FD">
        <w:rPr>
          <w:rStyle w:val="default"/>
          <w:rFonts w:ascii="Century" w:hAnsi="Century" w:cs="FrankRuehl"/>
          <w:sz w:val="22"/>
          <w:szCs w:val="28"/>
          <w:rtl/>
        </w:rPr>
        <w:t>ו</w:t>
      </w:r>
      <w:r w:rsidRPr="003A16FD">
        <w:rPr>
          <w:rStyle w:val="default"/>
          <w:rFonts w:ascii="Century" w:hAnsi="Century" w:cs="FrankRuehl" w:hint="cs"/>
          <w:sz w:val="22"/>
          <w:szCs w:val="28"/>
          <w:rtl/>
        </w:rPr>
        <w:t>ים הותר ע</w:t>
      </w:r>
      <w:r w:rsidRPr="003A16FD">
        <w:rPr>
          <w:rStyle w:val="default"/>
          <w:rFonts w:ascii="Century" w:hAnsi="Century" w:cs="FrankRuehl"/>
          <w:sz w:val="22"/>
          <w:szCs w:val="28"/>
          <w:rtl/>
        </w:rPr>
        <w:t xml:space="preserve">ל </w:t>
      </w:r>
      <w:r w:rsidRPr="003A16FD">
        <w:rPr>
          <w:rStyle w:val="default"/>
          <w:rFonts w:ascii="Century" w:hAnsi="Century" w:cs="FrankRuehl" w:hint="cs"/>
          <w:sz w:val="22"/>
          <w:szCs w:val="28"/>
          <w:rtl/>
        </w:rPr>
        <w:t>פי</w:t>
      </w:r>
      <w:r w:rsidRPr="003A16FD">
        <w:rPr>
          <w:rStyle w:val="default"/>
          <w:rFonts w:ascii="Century" w:hAnsi="Century" w:cs="FrankRuehl"/>
          <w:sz w:val="22"/>
          <w:szCs w:val="28"/>
          <w:rtl/>
        </w:rPr>
        <w:t xml:space="preserve"> סעיף 53יז ל</w:t>
      </w:r>
      <w:r w:rsidRPr="003A16FD">
        <w:rPr>
          <w:rStyle w:val="default"/>
          <w:rFonts w:ascii="Century" w:hAnsi="Century" w:cs="FrankRuehl" w:hint="cs"/>
          <w:sz w:val="22"/>
          <w:szCs w:val="28"/>
          <w:rtl/>
        </w:rPr>
        <w:t xml:space="preserve">חוק האמור </w:t>
      </w:r>
      <w:r w:rsidRPr="003A16FD">
        <w:rPr>
          <w:rStyle w:val="default"/>
          <w:rFonts w:ascii="Century" w:hAnsi="Century" w:cs="FrankRuehl"/>
          <w:sz w:val="22"/>
          <w:szCs w:val="28"/>
          <w:rtl/>
        </w:rPr>
        <w:t>או</w:t>
      </w:r>
      <w:r w:rsidRPr="003A16FD">
        <w:rPr>
          <w:rStyle w:val="default"/>
          <w:rFonts w:ascii="Century" w:hAnsi="Century" w:cs="FrankRuehl" w:hint="cs"/>
          <w:sz w:val="22"/>
          <w:szCs w:val="28"/>
          <w:rtl/>
        </w:rPr>
        <w:t xml:space="preserve"> רווחי</w:t>
      </w:r>
      <w:r w:rsidRPr="003A16FD">
        <w:rPr>
          <w:rStyle w:val="default"/>
          <w:rFonts w:ascii="Century" w:hAnsi="Century" w:cs="FrankRuehl"/>
          <w:sz w:val="22"/>
          <w:szCs w:val="28"/>
          <w:rtl/>
        </w:rPr>
        <w:t xml:space="preserve">ם </w:t>
      </w:r>
      <w:r w:rsidRPr="003A16FD">
        <w:rPr>
          <w:rStyle w:val="default"/>
          <w:rFonts w:ascii="Century" w:hAnsi="Century" w:cs="FrankRuehl" w:hint="cs"/>
          <w:sz w:val="22"/>
          <w:szCs w:val="28"/>
          <w:rtl/>
        </w:rPr>
        <w:t>כאמור באגודה שיתופית באותן שנים שבהן חלו בחישוב הכנסתה סעיפים 56, 5</w:t>
      </w:r>
      <w:r w:rsidRPr="003A16FD">
        <w:rPr>
          <w:rStyle w:val="default"/>
          <w:rFonts w:ascii="Century" w:hAnsi="Century" w:cs="FrankRuehl"/>
          <w:sz w:val="22"/>
          <w:szCs w:val="28"/>
          <w:rtl/>
        </w:rPr>
        <w:t>7, 61 ו</w:t>
      </w:r>
      <w:r w:rsidRPr="003A16FD">
        <w:rPr>
          <w:rStyle w:val="default"/>
          <w:rFonts w:ascii="Century" w:hAnsi="Century" w:cs="FrankRuehl" w:hint="cs"/>
          <w:sz w:val="22"/>
          <w:szCs w:val="28"/>
          <w:rtl/>
        </w:rPr>
        <w:t>-62 ואותם</w:t>
      </w:r>
      <w:r w:rsidRPr="003A16FD">
        <w:rPr>
          <w:rStyle w:val="default"/>
          <w:rFonts w:ascii="Century" w:hAnsi="Century" w:cs="FrankRuehl"/>
          <w:sz w:val="22"/>
          <w:szCs w:val="28"/>
          <w:rtl/>
        </w:rPr>
        <w:t xml:space="preserve"> ר</w:t>
      </w:r>
      <w:r w:rsidRPr="003A16FD">
        <w:rPr>
          <w:rStyle w:val="default"/>
          <w:rFonts w:ascii="Century" w:hAnsi="Century" w:cs="FrankRuehl" w:hint="cs"/>
          <w:sz w:val="22"/>
          <w:szCs w:val="28"/>
          <w:rtl/>
        </w:rPr>
        <w:t>ווחים נכללו</w:t>
      </w:r>
      <w:r w:rsidRPr="003A16FD">
        <w:rPr>
          <w:rStyle w:val="default"/>
          <w:rFonts w:ascii="Century" w:hAnsi="Century" w:cs="FrankRuehl"/>
          <w:sz w:val="22"/>
          <w:szCs w:val="28"/>
          <w:rtl/>
        </w:rPr>
        <w:t xml:space="preserve"> בית</w:t>
      </w:r>
      <w:r w:rsidRPr="003A16FD">
        <w:rPr>
          <w:rStyle w:val="default"/>
          <w:rFonts w:ascii="Century" w:hAnsi="Century" w:cs="FrankRuehl" w:hint="cs"/>
          <w:sz w:val="22"/>
          <w:szCs w:val="28"/>
          <w:rtl/>
        </w:rPr>
        <w:t>רת המחיר המ</w:t>
      </w:r>
      <w:r w:rsidRPr="003A16FD">
        <w:rPr>
          <w:rStyle w:val="default"/>
          <w:rFonts w:ascii="Century" w:hAnsi="Century" w:cs="FrankRuehl"/>
          <w:sz w:val="22"/>
          <w:szCs w:val="28"/>
          <w:rtl/>
        </w:rPr>
        <w:t>ק</w:t>
      </w:r>
      <w:r w:rsidRPr="003A16FD">
        <w:rPr>
          <w:rStyle w:val="default"/>
          <w:rFonts w:ascii="Century" w:hAnsi="Century" w:cs="FrankRuehl" w:hint="cs"/>
          <w:sz w:val="22"/>
          <w:szCs w:val="28"/>
          <w:rtl/>
        </w:rPr>
        <w:t xml:space="preserve">ורי, </w:t>
      </w:r>
      <w:r w:rsidRPr="003A16FD">
        <w:rPr>
          <w:rStyle w:val="default"/>
          <w:rFonts w:ascii="Century" w:hAnsi="Century" w:cs="FrankRuehl"/>
          <w:sz w:val="22"/>
          <w:szCs w:val="28"/>
          <w:rtl/>
        </w:rPr>
        <w:t>לא</w:t>
      </w:r>
      <w:r w:rsidRPr="003A16FD">
        <w:rPr>
          <w:rStyle w:val="default"/>
          <w:rFonts w:ascii="Century" w:hAnsi="Century" w:cs="FrankRuehl" w:hint="cs"/>
          <w:sz w:val="22"/>
          <w:szCs w:val="28"/>
          <w:rtl/>
        </w:rPr>
        <w:t xml:space="preserve"> </w:t>
      </w:r>
      <w:r w:rsidRPr="003A16FD">
        <w:rPr>
          <w:rStyle w:val="default"/>
          <w:rFonts w:ascii="Century" w:hAnsi="Century" w:cs="FrankRuehl"/>
          <w:sz w:val="22"/>
          <w:szCs w:val="28"/>
          <w:rtl/>
        </w:rPr>
        <w:t>י</w:t>
      </w:r>
      <w:r w:rsidRPr="003A16FD">
        <w:rPr>
          <w:rStyle w:val="default"/>
          <w:rFonts w:ascii="Century" w:hAnsi="Century" w:cs="FrankRuehl" w:hint="cs"/>
          <w:sz w:val="22"/>
          <w:szCs w:val="28"/>
          <w:rtl/>
        </w:rPr>
        <w:t>היו</w:t>
      </w:r>
      <w:r w:rsidRPr="003A16FD">
        <w:rPr>
          <w:rStyle w:val="default"/>
          <w:rFonts w:ascii="Century" w:hAnsi="Century" w:cs="FrankRuehl"/>
          <w:sz w:val="22"/>
          <w:szCs w:val="28"/>
          <w:rtl/>
        </w:rPr>
        <w:t xml:space="preserve"> בג</w:t>
      </w:r>
      <w:r w:rsidRPr="003A16FD">
        <w:rPr>
          <w:rStyle w:val="default"/>
          <w:rFonts w:ascii="Century" w:hAnsi="Century" w:cs="FrankRuehl" w:hint="cs"/>
          <w:sz w:val="22"/>
          <w:szCs w:val="28"/>
          <w:rtl/>
        </w:rPr>
        <w:t>ד</w:t>
      </w:r>
      <w:r w:rsidRPr="003A16FD">
        <w:rPr>
          <w:rStyle w:val="default"/>
          <w:rFonts w:ascii="Century" w:hAnsi="Century" w:cs="FrankRuehl"/>
          <w:sz w:val="22"/>
          <w:szCs w:val="28"/>
          <w:rtl/>
        </w:rPr>
        <w:t>ר</w:t>
      </w:r>
      <w:r w:rsidRPr="003A16FD">
        <w:rPr>
          <w:rStyle w:val="default"/>
          <w:rFonts w:ascii="Century" w:hAnsi="Century" w:cs="FrankRuehl" w:hint="cs"/>
          <w:sz w:val="22"/>
          <w:szCs w:val="28"/>
          <w:rtl/>
        </w:rPr>
        <w:t xml:space="preserve"> רווחים הראו</w:t>
      </w:r>
      <w:r w:rsidRPr="003A16FD">
        <w:rPr>
          <w:rStyle w:val="default"/>
          <w:rFonts w:ascii="Century" w:hAnsi="Century" w:cs="FrankRuehl"/>
          <w:sz w:val="22"/>
          <w:szCs w:val="28"/>
          <w:rtl/>
        </w:rPr>
        <w:t>י</w:t>
      </w:r>
      <w:r w:rsidRPr="003A16FD">
        <w:rPr>
          <w:rStyle w:val="default"/>
          <w:rFonts w:ascii="Century" w:hAnsi="Century" w:cs="FrankRuehl" w:hint="cs"/>
          <w:sz w:val="22"/>
          <w:szCs w:val="28"/>
          <w:rtl/>
        </w:rPr>
        <w:t>י</w:t>
      </w:r>
      <w:r w:rsidRPr="003A16FD">
        <w:rPr>
          <w:rStyle w:val="default"/>
          <w:rFonts w:ascii="Century" w:hAnsi="Century" w:cs="FrankRuehl"/>
          <w:sz w:val="22"/>
          <w:szCs w:val="28"/>
          <w:rtl/>
        </w:rPr>
        <w:t>ם</w:t>
      </w:r>
      <w:r w:rsidRPr="003A16FD">
        <w:rPr>
          <w:rStyle w:val="default"/>
          <w:rFonts w:ascii="Century" w:hAnsi="Century" w:cs="FrankRuehl" w:hint="cs"/>
          <w:sz w:val="22"/>
          <w:szCs w:val="28"/>
          <w:rtl/>
        </w:rPr>
        <w:t xml:space="preserve"> </w:t>
      </w:r>
      <w:r w:rsidRPr="003A16FD">
        <w:rPr>
          <w:rStyle w:val="default"/>
          <w:rFonts w:ascii="Century" w:hAnsi="Century" w:cs="FrankRuehl"/>
          <w:sz w:val="22"/>
          <w:szCs w:val="28"/>
          <w:rtl/>
        </w:rPr>
        <w:t>ל</w:t>
      </w:r>
      <w:r w:rsidRPr="003A16FD">
        <w:rPr>
          <w:rStyle w:val="default"/>
          <w:rFonts w:ascii="Century" w:hAnsi="Century" w:cs="FrankRuehl" w:hint="cs"/>
          <w:sz w:val="22"/>
          <w:szCs w:val="28"/>
          <w:rtl/>
        </w:rPr>
        <w:t>ח</w:t>
      </w:r>
      <w:r w:rsidRPr="003A16FD">
        <w:rPr>
          <w:rStyle w:val="default"/>
          <w:rFonts w:ascii="Century" w:hAnsi="Century" w:cs="FrankRuehl"/>
          <w:sz w:val="22"/>
          <w:szCs w:val="28"/>
          <w:rtl/>
        </w:rPr>
        <w:t>ל</w:t>
      </w:r>
      <w:r w:rsidRPr="003A16FD">
        <w:rPr>
          <w:rStyle w:val="default"/>
          <w:rFonts w:ascii="Century" w:hAnsi="Century" w:cs="FrankRuehl" w:hint="cs"/>
          <w:sz w:val="22"/>
          <w:szCs w:val="28"/>
          <w:rtl/>
        </w:rPr>
        <w:t>וקה, וסכום</w:t>
      </w:r>
      <w:r w:rsidRPr="003A16FD">
        <w:rPr>
          <w:rStyle w:val="default"/>
          <w:rFonts w:ascii="Century" w:hAnsi="Century" w:cs="FrankRuehl"/>
          <w:sz w:val="22"/>
          <w:szCs w:val="28"/>
          <w:rtl/>
        </w:rPr>
        <w:t xml:space="preserve"> </w:t>
      </w:r>
      <w:r w:rsidRPr="003A16FD">
        <w:rPr>
          <w:rStyle w:val="default"/>
          <w:rFonts w:ascii="Century" w:hAnsi="Century" w:cs="FrankRuehl" w:hint="cs"/>
          <w:sz w:val="22"/>
          <w:szCs w:val="28"/>
          <w:rtl/>
        </w:rPr>
        <w:t>הר</w:t>
      </w:r>
      <w:r w:rsidRPr="003A16FD">
        <w:rPr>
          <w:rStyle w:val="default"/>
          <w:rFonts w:ascii="Century" w:hAnsi="Century" w:cs="FrankRuehl"/>
          <w:sz w:val="22"/>
          <w:szCs w:val="28"/>
          <w:rtl/>
        </w:rPr>
        <w:t>ו</w:t>
      </w:r>
      <w:r w:rsidRPr="003A16FD">
        <w:rPr>
          <w:rStyle w:val="default"/>
          <w:rFonts w:ascii="Century" w:hAnsi="Century" w:cs="FrankRuehl" w:hint="cs"/>
          <w:sz w:val="22"/>
          <w:szCs w:val="28"/>
          <w:rtl/>
        </w:rPr>
        <w:t>וחים</w:t>
      </w:r>
      <w:r w:rsidRPr="003A16FD">
        <w:rPr>
          <w:rStyle w:val="default"/>
          <w:rFonts w:ascii="Century" w:hAnsi="Century" w:cs="FrankRuehl"/>
          <w:sz w:val="22"/>
          <w:szCs w:val="28"/>
          <w:rtl/>
        </w:rPr>
        <w:t xml:space="preserve"> </w:t>
      </w:r>
      <w:r w:rsidRPr="003A16FD">
        <w:rPr>
          <w:rStyle w:val="default"/>
          <w:rFonts w:ascii="Century" w:hAnsi="Century" w:cs="FrankRuehl" w:hint="cs"/>
          <w:sz w:val="22"/>
          <w:szCs w:val="28"/>
          <w:rtl/>
        </w:rPr>
        <w:t>הראויים לחלוקה לא יעלה על סכום הרווחים</w:t>
      </w:r>
      <w:r w:rsidRPr="003A16FD">
        <w:rPr>
          <w:rStyle w:val="default"/>
          <w:rFonts w:ascii="Century" w:hAnsi="Century" w:hint="cs"/>
          <w:rtl/>
        </w:rPr>
        <w:t xml:space="preserve"> </w:t>
      </w:r>
      <w:proofErr w:type="spellStart"/>
      <w:r w:rsidRPr="00C76D61">
        <w:rPr>
          <w:rStyle w:val="default"/>
          <w:rFonts w:ascii="Century" w:hAnsi="Century" w:cs="Miriam" w:hint="cs"/>
          <w:b/>
          <w:spacing w:val="0"/>
          <w:szCs w:val="24"/>
          <w:rtl/>
        </w:rPr>
        <w:t>שנתחייבו</w:t>
      </w:r>
      <w:proofErr w:type="spellEnd"/>
      <w:r w:rsidRPr="00C76D61">
        <w:rPr>
          <w:rStyle w:val="default"/>
          <w:rFonts w:ascii="Century" w:hAnsi="Century" w:cs="Miriam" w:hint="cs"/>
          <w:b/>
          <w:spacing w:val="0"/>
          <w:szCs w:val="24"/>
          <w:rtl/>
        </w:rPr>
        <w:t xml:space="preserve"> במס</w:t>
      </w:r>
      <w:r w:rsidRPr="00037213">
        <w:rPr>
          <w:rStyle w:val="default"/>
          <w:rFonts w:ascii="Century" w:hAnsi="Century" w:hint="cs"/>
          <w:rtl/>
        </w:rPr>
        <w:t xml:space="preserve"> </w:t>
      </w:r>
      <w:r w:rsidRPr="003A16FD">
        <w:rPr>
          <w:rStyle w:val="default"/>
          <w:rFonts w:ascii="Century" w:hAnsi="Century" w:cs="FrankRuehl" w:hint="cs"/>
          <w:sz w:val="22"/>
          <w:szCs w:val="28"/>
          <w:rtl/>
        </w:rPr>
        <w:t>ל</w:t>
      </w:r>
      <w:r w:rsidRPr="003A16FD">
        <w:rPr>
          <w:rStyle w:val="default"/>
          <w:rFonts w:ascii="Century" w:hAnsi="Century" w:cs="FrankRuehl"/>
          <w:sz w:val="22"/>
          <w:szCs w:val="28"/>
          <w:rtl/>
        </w:rPr>
        <w:t>רב</w:t>
      </w:r>
      <w:r w:rsidRPr="003A16FD">
        <w:rPr>
          <w:rStyle w:val="default"/>
          <w:rFonts w:ascii="Century" w:hAnsi="Century" w:cs="FrankRuehl" w:hint="cs"/>
          <w:sz w:val="22"/>
          <w:szCs w:val="28"/>
          <w:rtl/>
        </w:rPr>
        <w:t>ות</w:t>
      </w:r>
      <w:r w:rsidRPr="003A16FD">
        <w:rPr>
          <w:rStyle w:val="default"/>
          <w:rFonts w:ascii="Century" w:hAnsi="Century" w:cs="FrankRuehl"/>
          <w:sz w:val="22"/>
          <w:szCs w:val="28"/>
          <w:rtl/>
        </w:rPr>
        <w:t xml:space="preserve"> מס שבח בת</w:t>
      </w:r>
      <w:r w:rsidRPr="003A16FD">
        <w:rPr>
          <w:rStyle w:val="default"/>
          <w:rFonts w:ascii="Century" w:hAnsi="Century" w:cs="FrankRuehl" w:hint="cs"/>
          <w:sz w:val="22"/>
          <w:szCs w:val="28"/>
          <w:rtl/>
        </w:rPr>
        <w:t>קופה</w:t>
      </w:r>
      <w:r w:rsidRPr="003A16FD">
        <w:rPr>
          <w:rStyle w:val="default"/>
          <w:rFonts w:ascii="Century" w:hAnsi="Century" w:cs="FrankRuehl"/>
          <w:sz w:val="22"/>
          <w:szCs w:val="28"/>
          <w:rtl/>
        </w:rPr>
        <w:t xml:space="preserve"> האמ</w:t>
      </w:r>
      <w:r w:rsidRPr="003A16FD">
        <w:rPr>
          <w:rStyle w:val="default"/>
          <w:rFonts w:ascii="Century" w:hAnsi="Century" w:cs="FrankRuehl" w:hint="cs"/>
          <w:sz w:val="22"/>
          <w:szCs w:val="28"/>
          <w:rtl/>
        </w:rPr>
        <w:t xml:space="preserve">ורה </w:t>
      </w:r>
      <w:r w:rsidRPr="003A16FD">
        <w:rPr>
          <w:rStyle w:val="default"/>
          <w:rFonts w:ascii="Century" w:hAnsi="Century" w:cs="FrankRuehl"/>
          <w:sz w:val="22"/>
          <w:szCs w:val="28"/>
          <w:rtl/>
        </w:rPr>
        <w:t>בניכ</w:t>
      </w:r>
      <w:r w:rsidRPr="003A16FD">
        <w:rPr>
          <w:rStyle w:val="default"/>
          <w:rFonts w:ascii="Century" w:hAnsi="Century" w:cs="FrankRuehl" w:hint="cs"/>
          <w:sz w:val="22"/>
          <w:szCs w:val="28"/>
          <w:rtl/>
        </w:rPr>
        <w:t xml:space="preserve">וי המס עליהם ודיבידנד שחולק מהם </w:t>
      </w:r>
      <w:r w:rsidRPr="003A16FD">
        <w:rPr>
          <w:rStyle w:val="default"/>
          <w:rFonts w:ascii="Century" w:hAnsi="Century" w:cs="FrankRuehl"/>
          <w:sz w:val="22"/>
          <w:szCs w:val="28"/>
          <w:rtl/>
        </w:rPr>
        <w:t>וב</w:t>
      </w:r>
      <w:r w:rsidRPr="003A16FD">
        <w:rPr>
          <w:rStyle w:val="default"/>
          <w:rFonts w:ascii="Century" w:hAnsi="Century" w:cs="FrankRuehl" w:hint="cs"/>
          <w:sz w:val="22"/>
          <w:szCs w:val="28"/>
          <w:rtl/>
        </w:rPr>
        <w:t xml:space="preserve">ניכוי </w:t>
      </w:r>
      <w:r w:rsidRPr="003A16FD">
        <w:rPr>
          <w:rStyle w:val="default"/>
          <w:rFonts w:ascii="Century" w:hAnsi="Century" w:cs="FrankRuehl"/>
          <w:sz w:val="22"/>
          <w:szCs w:val="28"/>
          <w:rtl/>
        </w:rPr>
        <w:t>הפ</w:t>
      </w:r>
      <w:r w:rsidRPr="003A16FD">
        <w:rPr>
          <w:rStyle w:val="default"/>
          <w:rFonts w:ascii="Century" w:hAnsi="Century" w:cs="FrankRuehl" w:hint="cs"/>
          <w:sz w:val="22"/>
          <w:szCs w:val="28"/>
          <w:rtl/>
        </w:rPr>
        <w:t>סד שנוצר בחברה שמניותיה נמכרות,</w:t>
      </w:r>
      <w:r w:rsidRPr="003A16FD">
        <w:rPr>
          <w:rStyle w:val="default"/>
          <w:rFonts w:ascii="Century" w:hAnsi="Century" w:cs="FrankRuehl"/>
          <w:sz w:val="22"/>
          <w:szCs w:val="28"/>
          <w:rtl/>
        </w:rPr>
        <w:t xml:space="preserve"> א</w:t>
      </w:r>
      <w:r w:rsidRPr="003A16FD">
        <w:rPr>
          <w:rStyle w:val="default"/>
          <w:rFonts w:ascii="Century" w:hAnsi="Century" w:cs="FrankRuehl" w:hint="cs"/>
          <w:sz w:val="22"/>
          <w:szCs w:val="28"/>
          <w:rtl/>
        </w:rPr>
        <w:t xml:space="preserve">שר לא </w:t>
      </w:r>
      <w:r w:rsidRPr="003A16FD">
        <w:rPr>
          <w:rStyle w:val="default"/>
          <w:rFonts w:ascii="Century" w:hAnsi="Century" w:cs="FrankRuehl"/>
          <w:sz w:val="22"/>
          <w:szCs w:val="28"/>
          <w:rtl/>
        </w:rPr>
        <w:t>קו</w:t>
      </w:r>
      <w:r w:rsidRPr="003A16FD">
        <w:rPr>
          <w:rStyle w:val="default"/>
          <w:rFonts w:ascii="Century" w:hAnsi="Century" w:cs="FrankRuehl" w:hint="cs"/>
          <w:sz w:val="22"/>
          <w:szCs w:val="28"/>
          <w:rtl/>
        </w:rPr>
        <w:t>זז</w:t>
      </w:r>
      <w:r w:rsidRPr="003A16FD">
        <w:rPr>
          <w:rStyle w:val="default"/>
          <w:rFonts w:ascii="Century" w:hAnsi="Century" w:cs="FrankRuehl"/>
          <w:sz w:val="22"/>
          <w:szCs w:val="28"/>
          <w:rtl/>
        </w:rPr>
        <w:t xml:space="preserve"> ו</w:t>
      </w:r>
      <w:r w:rsidRPr="003A16FD">
        <w:rPr>
          <w:rStyle w:val="default"/>
          <w:rFonts w:ascii="Century" w:hAnsi="Century" w:cs="FrankRuehl" w:hint="cs"/>
          <w:sz w:val="22"/>
          <w:szCs w:val="28"/>
          <w:rtl/>
        </w:rPr>
        <w:t>בצירוף</w:t>
      </w:r>
      <w:r w:rsidRPr="003A16FD">
        <w:rPr>
          <w:rStyle w:val="default"/>
          <w:rFonts w:ascii="Century" w:hAnsi="Century" w:cs="FrankRuehl"/>
          <w:sz w:val="22"/>
          <w:szCs w:val="28"/>
          <w:rtl/>
        </w:rPr>
        <w:t xml:space="preserve"> ה</w:t>
      </w:r>
      <w:r w:rsidRPr="003A16FD">
        <w:rPr>
          <w:rStyle w:val="default"/>
          <w:rFonts w:ascii="Century" w:hAnsi="Century" w:cs="FrankRuehl" w:hint="cs"/>
          <w:sz w:val="22"/>
          <w:szCs w:val="28"/>
          <w:rtl/>
        </w:rPr>
        <w:t>רו</w:t>
      </w:r>
      <w:r w:rsidRPr="003A16FD">
        <w:rPr>
          <w:rStyle w:val="default"/>
          <w:rFonts w:ascii="Century" w:hAnsi="Century" w:cs="FrankRuehl"/>
          <w:sz w:val="22"/>
          <w:szCs w:val="28"/>
          <w:rtl/>
        </w:rPr>
        <w:t>ו</w:t>
      </w:r>
      <w:r w:rsidRPr="003A16FD">
        <w:rPr>
          <w:rStyle w:val="default"/>
          <w:rFonts w:ascii="Century" w:hAnsi="Century" w:cs="FrankRuehl" w:hint="cs"/>
          <w:sz w:val="22"/>
          <w:szCs w:val="28"/>
          <w:rtl/>
        </w:rPr>
        <w:t>ח</w:t>
      </w:r>
      <w:r w:rsidRPr="003A16FD">
        <w:rPr>
          <w:rStyle w:val="default"/>
          <w:rFonts w:ascii="Century" w:hAnsi="Century" w:cs="FrankRuehl"/>
          <w:sz w:val="22"/>
          <w:szCs w:val="28"/>
          <w:rtl/>
        </w:rPr>
        <w:t>י</w:t>
      </w:r>
      <w:r w:rsidRPr="003A16FD">
        <w:rPr>
          <w:rStyle w:val="default"/>
          <w:rFonts w:ascii="Century" w:hAnsi="Century" w:cs="FrankRuehl" w:hint="cs"/>
          <w:sz w:val="22"/>
          <w:szCs w:val="28"/>
          <w:rtl/>
        </w:rPr>
        <w:t>ם ש</w:t>
      </w:r>
      <w:r w:rsidRPr="003A16FD">
        <w:rPr>
          <w:rStyle w:val="default"/>
          <w:rFonts w:ascii="Century" w:hAnsi="Century" w:cs="FrankRuehl"/>
          <w:sz w:val="22"/>
          <w:szCs w:val="28"/>
          <w:rtl/>
        </w:rPr>
        <w:t>ה</w:t>
      </w:r>
      <w:r w:rsidRPr="003A16FD">
        <w:rPr>
          <w:rStyle w:val="default"/>
          <w:rFonts w:ascii="Century" w:hAnsi="Century" w:cs="FrankRuehl" w:hint="cs"/>
          <w:sz w:val="22"/>
          <w:szCs w:val="28"/>
          <w:rtl/>
        </w:rPr>
        <w:t xml:space="preserve">יו </w:t>
      </w:r>
      <w:r w:rsidRPr="003A16FD">
        <w:rPr>
          <w:rStyle w:val="default"/>
          <w:rFonts w:ascii="Century" w:hAnsi="Century" w:cs="FrankRuehl"/>
          <w:sz w:val="22"/>
          <w:szCs w:val="28"/>
          <w:rtl/>
        </w:rPr>
        <w:t>ח</w:t>
      </w:r>
      <w:r w:rsidRPr="003A16FD">
        <w:rPr>
          <w:rStyle w:val="default"/>
          <w:rFonts w:ascii="Century" w:hAnsi="Century" w:cs="FrankRuehl" w:hint="cs"/>
          <w:sz w:val="22"/>
          <w:szCs w:val="28"/>
          <w:rtl/>
        </w:rPr>
        <w:t>ייבי</w:t>
      </w:r>
      <w:r w:rsidRPr="003A16FD">
        <w:rPr>
          <w:rStyle w:val="default"/>
          <w:rFonts w:ascii="Century" w:hAnsi="Century" w:cs="FrankRuehl"/>
          <w:sz w:val="22"/>
          <w:szCs w:val="28"/>
          <w:rtl/>
        </w:rPr>
        <w:t>ם</w:t>
      </w:r>
      <w:r w:rsidRPr="003A16FD">
        <w:rPr>
          <w:rStyle w:val="default"/>
          <w:rFonts w:ascii="Century" w:hAnsi="Century" w:cs="FrankRuehl" w:hint="cs"/>
          <w:sz w:val="22"/>
          <w:szCs w:val="28"/>
          <w:rtl/>
        </w:rPr>
        <w:t xml:space="preserve"> </w:t>
      </w:r>
      <w:r w:rsidRPr="003A16FD">
        <w:rPr>
          <w:rStyle w:val="default"/>
          <w:rFonts w:ascii="Century" w:hAnsi="Century" w:cs="FrankRuehl"/>
          <w:sz w:val="22"/>
          <w:szCs w:val="28"/>
          <w:rtl/>
        </w:rPr>
        <w:t>במס</w:t>
      </w:r>
      <w:r w:rsidRPr="003A16FD">
        <w:rPr>
          <w:rStyle w:val="default"/>
          <w:rFonts w:ascii="Century" w:hAnsi="Century" w:cs="FrankRuehl" w:hint="cs"/>
          <w:sz w:val="22"/>
          <w:szCs w:val="28"/>
          <w:rtl/>
        </w:rPr>
        <w:t xml:space="preserve"> כא</w:t>
      </w:r>
      <w:r w:rsidRPr="003A16FD">
        <w:rPr>
          <w:rStyle w:val="default"/>
          <w:rFonts w:ascii="Century" w:hAnsi="Century" w:cs="FrankRuehl"/>
          <w:sz w:val="22"/>
          <w:szCs w:val="28"/>
          <w:rtl/>
        </w:rPr>
        <w:t>מ</w:t>
      </w:r>
      <w:r w:rsidRPr="003A16FD">
        <w:rPr>
          <w:rStyle w:val="default"/>
          <w:rFonts w:ascii="Century" w:hAnsi="Century" w:cs="FrankRuehl" w:hint="cs"/>
          <w:sz w:val="22"/>
          <w:szCs w:val="28"/>
          <w:rtl/>
        </w:rPr>
        <w:t>ו</w:t>
      </w:r>
      <w:r w:rsidRPr="003A16FD">
        <w:rPr>
          <w:rStyle w:val="default"/>
          <w:rFonts w:ascii="Century" w:hAnsi="Century" w:cs="FrankRuehl"/>
          <w:sz w:val="22"/>
          <w:szCs w:val="28"/>
          <w:rtl/>
        </w:rPr>
        <w:t>ר איל</w:t>
      </w:r>
      <w:r w:rsidRPr="003A16FD">
        <w:rPr>
          <w:rStyle w:val="default"/>
          <w:rFonts w:ascii="Century" w:hAnsi="Century" w:cs="FrankRuehl" w:hint="cs"/>
          <w:sz w:val="22"/>
          <w:szCs w:val="28"/>
          <w:rtl/>
        </w:rPr>
        <w:t>ולא פוט</w:t>
      </w:r>
      <w:r w:rsidRPr="003A16FD">
        <w:rPr>
          <w:rStyle w:val="default"/>
          <w:rFonts w:ascii="Century" w:hAnsi="Century" w:cs="FrankRuehl"/>
          <w:sz w:val="22"/>
          <w:szCs w:val="28"/>
          <w:rtl/>
        </w:rPr>
        <w:t>רו</w:t>
      </w:r>
      <w:r w:rsidRPr="003A16FD">
        <w:rPr>
          <w:rStyle w:val="default"/>
          <w:rFonts w:ascii="Century" w:hAnsi="Century" w:cs="FrankRuehl" w:hint="cs"/>
          <w:sz w:val="22"/>
          <w:szCs w:val="28"/>
          <w:rtl/>
        </w:rPr>
        <w:t xml:space="preserve"> ממנו;</w:t>
      </w:r>
    </w:p>
    <w:p w:rsidR="005307CB" w:rsidRPr="003A16FD" w:rsidRDefault="005307CB" w:rsidP="005307CB">
      <w:pPr>
        <w:pStyle w:val="Ruller5"/>
        <w:rPr>
          <w:rStyle w:val="default"/>
          <w:rFonts w:ascii="Century" w:hAnsi="Century" w:cs="FrankRuehl"/>
          <w:sz w:val="22"/>
          <w:szCs w:val="28"/>
          <w:rtl/>
        </w:rPr>
      </w:pPr>
      <w:r w:rsidRPr="003A16FD">
        <w:rPr>
          <w:rStyle w:val="default"/>
          <w:rFonts w:ascii="Century" w:hAnsi="Century" w:cs="FrankRuehl" w:hint="cs"/>
          <w:sz w:val="22"/>
          <w:szCs w:val="28"/>
          <w:rtl/>
        </w:rPr>
        <w:t>[...]</w:t>
      </w:r>
    </w:p>
    <w:p w:rsidR="005307CB" w:rsidRPr="003A16FD" w:rsidRDefault="005307CB" w:rsidP="005307CB">
      <w:pPr>
        <w:pStyle w:val="Ruller5"/>
        <w:rPr>
          <w:rFonts w:ascii="Century" w:hAnsi="Century"/>
        </w:rPr>
      </w:pPr>
      <w:r w:rsidRPr="003A16FD">
        <w:rPr>
          <w:rStyle w:val="default"/>
          <w:rFonts w:ascii="Century" w:hAnsi="Century" w:cs="FrankRuehl"/>
          <w:sz w:val="22"/>
          <w:szCs w:val="28"/>
          <w:rtl/>
        </w:rPr>
        <w:t>(</w:t>
      </w:r>
      <w:r w:rsidRPr="003A16FD">
        <w:rPr>
          <w:rStyle w:val="default"/>
          <w:rFonts w:ascii="Century" w:hAnsi="Century" w:cs="FrankRuehl" w:hint="cs"/>
          <w:sz w:val="22"/>
          <w:szCs w:val="28"/>
          <w:rtl/>
        </w:rPr>
        <w:t>ג)</w:t>
      </w:r>
      <w:r w:rsidRPr="003A16FD">
        <w:rPr>
          <w:rStyle w:val="default"/>
          <w:rFonts w:ascii="Century" w:hAnsi="Century" w:cs="FrankRuehl"/>
          <w:sz w:val="22"/>
          <w:szCs w:val="28"/>
          <w:rtl/>
        </w:rPr>
        <w:tab/>
      </w:r>
      <w:r w:rsidRPr="003A16FD">
        <w:rPr>
          <w:rStyle w:val="default"/>
          <w:rFonts w:ascii="Century" w:hAnsi="Century" w:cs="FrankRuehl" w:hint="cs"/>
          <w:sz w:val="22"/>
          <w:szCs w:val="28"/>
          <w:rtl/>
        </w:rPr>
        <w:t>הוראות סעיף קטן</w:t>
      </w:r>
      <w:r w:rsidRPr="003A16FD">
        <w:rPr>
          <w:rStyle w:val="default"/>
          <w:rFonts w:ascii="Century" w:hAnsi="Century" w:cs="FrankRuehl"/>
          <w:sz w:val="22"/>
          <w:szCs w:val="28"/>
          <w:rtl/>
        </w:rPr>
        <w:t xml:space="preserve"> (</w:t>
      </w:r>
      <w:r w:rsidRPr="003A16FD">
        <w:rPr>
          <w:rStyle w:val="default"/>
          <w:rFonts w:ascii="Century" w:hAnsi="Century" w:cs="FrankRuehl" w:hint="cs"/>
          <w:sz w:val="22"/>
          <w:szCs w:val="28"/>
          <w:rtl/>
        </w:rPr>
        <w:t>א) יחולו אם המוכר המציא לפקיד השומה חישוב ה</w:t>
      </w:r>
      <w:r w:rsidRPr="003A16FD">
        <w:rPr>
          <w:rStyle w:val="default"/>
          <w:rFonts w:ascii="Century" w:hAnsi="Century" w:cs="FrankRuehl"/>
          <w:sz w:val="22"/>
          <w:szCs w:val="28"/>
          <w:rtl/>
        </w:rPr>
        <w:t>מראה</w:t>
      </w:r>
      <w:r w:rsidRPr="003A16FD">
        <w:rPr>
          <w:rStyle w:val="default"/>
          <w:rFonts w:ascii="Century" w:hAnsi="Century" w:cs="FrankRuehl" w:hint="cs"/>
          <w:sz w:val="22"/>
          <w:szCs w:val="28"/>
          <w:rtl/>
        </w:rPr>
        <w:t xml:space="preserve"> את </w:t>
      </w:r>
      <w:r w:rsidRPr="003A16FD">
        <w:rPr>
          <w:rStyle w:val="default"/>
          <w:rFonts w:ascii="Century" w:hAnsi="Century" w:cs="FrankRuehl"/>
          <w:sz w:val="22"/>
          <w:szCs w:val="28"/>
          <w:rtl/>
        </w:rPr>
        <w:t>הרוו</w:t>
      </w:r>
      <w:r w:rsidRPr="003A16FD">
        <w:rPr>
          <w:rStyle w:val="default"/>
          <w:rFonts w:ascii="Century" w:hAnsi="Century" w:cs="FrankRuehl" w:hint="cs"/>
          <w:sz w:val="22"/>
          <w:szCs w:val="28"/>
          <w:rtl/>
        </w:rPr>
        <w:t xml:space="preserve">חים הראויים לחלוקה </w:t>
      </w:r>
      <w:r w:rsidRPr="003A16FD">
        <w:rPr>
          <w:rStyle w:val="default"/>
          <w:rFonts w:ascii="Century" w:hAnsi="Century" w:cs="FrankRuehl"/>
          <w:sz w:val="22"/>
          <w:szCs w:val="28"/>
          <w:rtl/>
        </w:rPr>
        <w:t>כא</w:t>
      </w:r>
      <w:r w:rsidRPr="003A16FD">
        <w:rPr>
          <w:rStyle w:val="default"/>
          <w:rFonts w:ascii="Century" w:hAnsi="Century" w:cs="FrankRuehl" w:hint="cs"/>
          <w:sz w:val="22"/>
          <w:szCs w:val="28"/>
          <w:rtl/>
        </w:rPr>
        <w:t>מור בס</w:t>
      </w:r>
      <w:r w:rsidRPr="003A16FD">
        <w:rPr>
          <w:rStyle w:val="default"/>
          <w:rFonts w:ascii="Century" w:hAnsi="Century" w:cs="FrankRuehl"/>
          <w:sz w:val="22"/>
          <w:szCs w:val="28"/>
          <w:rtl/>
        </w:rPr>
        <w:t>עי</w:t>
      </w:r>
      <w:r w:rsidRPr="003A16FD">
        <w:rPr>
          <w:rStyle w:val="default"/>
          <w:rFonts w:ascii="Century" w:hAnsi="Century" w:cs="FrankRuehl" w:hint="cs"/>
          <w:sz w:val="22"/>
          <w:szCs w:val="28"/>
          <w:rtl/>
        </w:rPr>
        <w:t xml:space="preserve">ף קטן (ב) (ההדגשה הוספה </w:t>
      </w:r>
      <w:r w:rsidRPr="003A16FD">
        <w:rPr>
          <w:rStyle w:val="default"/>
          <w:rFonts w:ascii="Century" w:hAnsi="Century" w:cs="FrankRuehl"/>
          <w:sz w:val="22"/>
          <w:szCs w:val="28"/>
          <w:rtl/>
        </w:rPr>
        <w:t>–</w:t>
      </w:r>
      <w:r w:rsidRPr="003A16FD">
        <w:rPr>
          <w:rStyle w:val="default"/>
          <w:rFonts w:ascii="Century" w:hAnsi="Century" w:cs="FrankRuehl" w:hint="cs"/>
          <w:sz w:val="22"/>
          <w:szCs w:val="28"/>
          <w:rtl/>
        </w:rPr>
        <w:t xml:space="preserve"> ד.מ.).</w:t>
      </w:r>
    </w:p>
    <w:p w:rsidR="005307CB" w:rsidRDefault="005307CB" w:rsidP="005307CB">
      <w:pPr>
        <w:pStyle w:val="Ruller4"/>
        <w:numPr>
          <w:ilvl w:val="0"/>
          <w:numId w:val="0"/>
        </w:numPr>
        <w:rPr>
          <w:rFonts w:ascii="Century" w:hAnsi="Century"/>
          <w:sz w:val="22"/>
          <w:rtl/>
        </w:rPr>
      </w:pPr>
    </w:p>
    <w:p w:rsidR="005307CB" w:rsidRDefault="005307CB" w:rsidP="005307CB">
      <w:pPr>
        <w:pStyle w:val="Ruller4"/>
        <w:rPr>
          <w:rFonts w:ascii="Century" w:hAnsi="Century"/>
          <w:sz w:val="22"/>
          <w:rtl/>
        </w:rPr>
      </w:pPr>
      <w:r>
        <w:rPr>
          <w:rFonts w:hint="cs"/>
          <w:rtl/>
        </w:rPr>
        <w:t>מטבע הדברים, סעיפי הפקודה אליהם מפנה סעיף 94ב(א)(1) עוסקים בשיעור מיסוי דיבידנד: סעיף 125ב עוסק בשיעור המס המוטל על דיבידנד המתקבל על ידי יחיד (סעיפים 125ב(1) ו-125ב(2)); על ידי חברה משפחתית (סעיף 125ב(3)); על ידי מוסד ציבורי או קופת גמל (סעיף 125ב(4)); או</w:t>
      </w:r>
      <w:r w:rsidR="002216DC">
        <w:rPr>
          <w:rFonts w:hint="cs"/>
          <w:rtl/>
        </w:rPr>
        <w:t xml:space="preserve"> </w:t>
      </w:r>
      <w:r>
        <w:rPr>
          <w:rFonts w:hint="cs"/>
          <w:rtl/>
        </w:rPr>
        <w:t xml:space="preserve">על ידי חבר-בני-אדם שהוא תושב חוץ (סעיף 125ב(5)). סעיף 125ב </w:t>
      </w:r>
      <w:r w:rsidR="009F2DE9">
        <w:rPr>
          <w:rFonts w:hint="cs"/>
          <w:rtl/>
        </w:rPr>
        <w:t xml:space="preserve">הנ"ל </w:t>
      </w:r>
      <w:r>
        <w:rPr>
          <w:rFonts w:hint="cs"/>
          <w:rtl/>
        </w:rPr>
        <w:t xml:space="preserve">אינו מענייננו. </w:t>
      </w:r>
    </w:p>
    <w:p w:rsidR="005307CB" w:rsidRPr="00923386" w:rsidRDefault="005307CB" w:rsidP="005307CB">
      <w:pPr>
        <w:pStyle w:val="Ruller41"/>
      </w:pPr>
    </w:p>
    <w:p w:rsidR="005307CB" w:rsidRPr="00814D26" w:rsidRDefault="005307CB" w:rsidP="005307CB">
      <w:pPr>
        <w:pStyle w:val="Ruller4"/>
        <w:rPr>
          <w:rStyle w:val="default"/>
          <w:rFonts w:ascii="Century" w:hAnsi="Century" w:cs="FrankRuehl"/>
          <w:sz w:val="22"/>
          <w:szCs w:val="28"/>
          <w:rtl/>
        </w:rPr>
      </w:pPr>
      <w:r>
        <w:rPr>
          <w:rFonts w:hint="cs"/>
          <w:rtl/>
        </w:rPr>
        <w:t>ל</w:t>
      </w:r>
      <w:r w:rsidRPr="00814D26">
        <w:rPr>
          <w:rFonts w:ascii="Century" w:hAnsi="Century" w:hint="cs"/>
          <w:sz w:val="22"/>
          <w:rtl/>
        </w:rPr>
        <w:t xml:space="preserve">עומת סעיף 125ב, סעיף 126 עומד במרכז הדיון ועל כן נתעכב בו. סעיף זה, בכללותו, עוסק בשיעור מס חברות. </w:t>
      </w:r>
      <w:r w:rsidRPr="00814D26">
        <w:rPr>
          <w:rStyle w:val="default"/>
          <w:rFonts w:ascii="Century" w:hAnsi="Century" w:cs="FrankRuehl" w:hint="cs"/>
          <w:sz w:val="22"/>
          <w:szCs w:val="28"/>
          <w:rtl/>
        </w:rPr>
        <w:t>בנוסחו הרלוונטי לענייננו (לפני החוק לתיקון פקודת מס הכנסה (תיקון מס' 216), התשע"ו-2016), קבע הסעיף כדלקמן:</w:t>
      </w:r>
    </w:p>
    <w:p w:rsidR="005307CB" w:rsidRDefault="005307CB" w:rsidP="005307CB">
      <w:pPr>
        <w:pStyle w:val="Ruller41"/>
        <w:rPr>
          <w:rtl/>
        </w:rPr>
      </w:pPr>
    </w:p>
    <w:p w:rsidR="005307CB" w:rsidRDefault="005307CB" w:rsidP="005307CB">
      <w:pPr>
        <w:pStyle w:val="Ruller5"/>
        <w:rPr>
          <w:rtl/>
        </w:rPr>
      </w:pPr>
      <w:r w:rsidRPr="0060076E">
        <w:rPr>
          <w:rFonts w:hint="cs"/>
          <w:rtl/>
        </w:rPr>
        <w:t>(א</w:t>
      </w:r>
      <w:r>
        <w:rPr>
          <w:rFonts w:hint="cs"/>
          <w:rtl/>
        </w:rPr>
        <w:t>) על הכנסתו החייבת של חבר-בני-אדם יוטל מס שייקרא "מס חברות" בשיעור של 25%.</w:t>
      </w:r>
    </w:p>
    <w:p w:rsidR="005307CB" w:rsidRDefault="005307CB" w:rsidP="005307CB">
      <w:pPr>
        <w:pStyle w:val="Ruller5"/>
        <w:rPr>
          <w:rtl/>
        </w:rPr>
      </w:pPr>
      <w:r>
        <w:rPr>
          <w:rFonts w:hint="cs"/>
          <w:rtl/>
        </w:rPr>
        <w:t xml:space="preserve">(ב) בחישוב ההכנסה החייבת לפי סעיף קטן (א) </w:t>
      </w:r>
      <w:r w:rsidRPr="009F2DE9">
        <w:rPr>
          <w:rFonts w:ascii="Century" w:hAnsi="Century" w:cs="Miriam" w:hint="cs"/>
          <w:b/>
          <w:spacing w:val="0"/>
          <w:szCs w:val="24"/>
          <w:rtl/>
        </w:rPr>
        <w:t>לא</w:t>
      </w:r>
      <w:r>
        <w:rPr>
          <w:rFonts w:hint="cs"/>
          <w:rtl/>
        </w:rPr>
        <w:t xml:space="preserve"> תיכלל הכנסה מחלוקת רווחים או מדיבידנד שמקורם בהכנסות </w:t>
      </w:r>
      <w:r w:rsidRPr="00C76D61">
        <w:rPr>
          <w:rFonts w:ascii="Century" w:hAnsi="Century" w:cs="Miriam" w:hint="cs"/>
          <w:b/>
          <w:spacing w:val="0"/>
          <w:szCs w:val="24"/>
          <w:rtl/>
        </w:rPr>
        <w:t>שהופקו או שנצמחו בישראל</w:t>
      </w:r>
      <w:r>
        <w:rPr>
          <w:rFonts w:hint="cs"/>
          <w:rtl/>
        </w:rPr>
        <w:t xml:space="preserve"> שנתקבלו במישרין או בעקיפין מחבר בני-אדם אחר החייב במס חברות וכן לא תיכלל הכנסה שנקבע לגביה שיעור מס מיוחד.</w:t>
      </w:r>
    </w:p>
    <w:p w:rsidR="005307CB" w:rsidRDefault="00C050CC" w:rsidP="005307CB">
      <w:pPr>
        <w:pStyle w:val="Ruller5"/>
        <w:rPr>
          <w:rtl/>
        </w:rPr>
      </w:pPr>
      <w:r>
        <w:rPr>
          <w:rFonts w:hint="cs"/>
          <w:rtl/>
        </w:rPr>
        <w:t>(ג)</w:t>
      </w:r>
      <w:r w:rsidR="005307CB">
        <w:rPr>
          <w:rFonts w:hint="cs"/>
          <w:rtl/>
        </w:rPr>
        <w:t xml:space="preserve"> על אף הוראות סעיף קטן (א), על הכנסתו החייבת של חבר בני אדם מדיבידנד שמקורו בהכנסות </w:t>
      </w:r>
      <w:r w:rsidR="005307CB" w:rsidRPr="00C76D61">
        <w:rPr>
          <w:rFonts w:ascii="Century" w:hAnsi="Century" w:cs="Miriam" w:hint="cs"/>
          <w:b/>
          <w:spacing w:val="0"/>
          <w:szCs w:val="24"/>
          <w:rtl/>
        </w:rPr>
        <w:t>שהופקו או שנצמחו מחוץ לישראל, וכן מדיבידנד שמקורו מחוץ לישראל</w:t>
      </w:r>
      <w:r w:rsidR="005307CB">
        <w:rPr>
          <w:rFonts w:hint="cs"/>
          <w:rtl/>
        </w:rPr>
        <w:t xml:space="preserve">, יוטל מס חברות בשיעור של 25%; ואולם אם לפי בקשת החברה </w:t>
      </w:r>
      <w:proofErr w:type="spellStart"/>
      <w:r w:rsidR="005307CB">
        <w:rPr>
          <w:rFonts w:hint="cs"/>
          <w:rtl/>
        </w:rPr>
        <w:t>הנישומה</w:t>
      </w:r>
      <w:proofErr w:type="spellEnd"/>
      <w:r w:rsidR="005307CB">
        <w:rPr>
          <w:rFonts w:hint="cs"/>
          <w:rtl/>
        </w:rPr>
        <w:t xml:space="preserve"> או על פי הסכם למניעת כפל מס יש להביא בחשבון את מסי החוץ שהוטלו על אותו דיבידנד ועל ההכנסה שממנה חולק הדיבידנד, יראו את ההכנסה מדיבידנד כהכנסה בגובה הדיבידנד המגולם ויוטל עליה מס חברות בשיעור הקבוע בסעיף קטן (א);</w:t>
      </w:r>
      <w:r w:rsidR="005307CB">
        <w:rPr>
          <w:rtl/>
        </w:rPr>
        <w:br/>
      </w:r>
      <w:r w:rsidR="005307CB">
        <w:rPr>
          <w:rFonts w:hint="cs"/>
          <w:rtl/>
        </w:rPr>
        <w:t xml:space="preserve">בסעיף זה </w:t>
      </w:r>
      <w:r w:rsidR="005307CB">
        <w:rPr>
          <w:rtl/>
        </w:rPr>
        <w:t>–</w:t>
      </w:r>
      <w:r w:rsidR="005307CB">
        <w:rPr>
          <w:rFonts w:hint="cs"/>
          <w:rtl/>
        </w:rPr>
        <w:t xml:space="preserve"> </w:t>
      </w:r>
    </w:p>
    <w:p w:rsidR="005307CB" w:rsidRDefault="005307CB" w:rsidP="005307CB">
      <w:pPr>
        <w:pStyle w:val="Ruller5"/>
        <w:rPr>
          <w:rtl/>
        </w:rPr>
      </w:pPr>
      <w:r>
        <w:rPr>
          <w:rFonts w:hint="cs"/>
          <w:rtl/>
        </w:rPr>
        <w:t xml:space="preserve">"הדיבידנד המגולם" </w:t>
      </w:r>
      <w:r>
        <w:rPr>
          <w:rtl/>
        </w:rPr>
        <w:t>–</w:t>
      </w:r>
      <w:r>
        <w:rPr>
          <w:rFonts w:hint="cs"/>
          <w:rtl/>
        </w:rPr>
        <w:t xml:space="preserve"> סכום ההכנסה מדיבידנד בתוספת מס ששולם על ההכנסה שממנה חולק הדיבידנד;</w:t>
      </w:r>
    </w:p>
    <w:p w:rsidR="005307CB" w:rsidRDefault="005307CB" w:rsidP="005307CB">
      <w:pPr>
        <w:pStyle w:val="Ruller5"/>
        <w:rPr>
          <w:rtl/>
        </w:rPr>
      </w:pPr>
      <w:r>
        <w:rPr>
          <w:rFonts w:hint="cs"/>
          <w:rtl/>
        </w:rPr>
        <w:t xml:space="preserve">"החברה </w:t>
      </w:r>
      <w:proofErr w:type="spellStart"/>
      <w:r>
        <w:rPr>
          <w:rFonts w:hint="cs"/>
          <w:rtl/>
        </w:rPr>
        <w:t>הנישומה</w:t>
      </w:r>
      <w:proofErr w:type="spellEnd"/>
      <w:r>
        <w:rPr>
          <w:rFonts w:hint="cs"/>
          <w:rtl/>
        </w:rPr>
        <w:t xml:space="preserve">" </w:t>
      </w:r>
      <w:r>
        <w:rPr>
          <w:rtl/>
        </w:rPr>
        <w:t>–</w:t>
      </w:r>
      <w:r>
        <w:rPr>
          <w:rFonts w:hint="cs"/>
          <w:rtl/>
        </w:rPr>
        <w:t xml:space="preserve"> חברה שקיבלה דיבידנד מחברה אחרת שבה היא מחזיקה ב-25% או יותר מאמצעי השליטה (להלן בסעיף זה </w:t>
      </w:r>
      <w:r>
        <w:rPr>
          <w:rtl/>
        </w:rPr>
        <w:t>–</w:t>
      </w:r>
      <w:r>
        <w:rPr>
          <w:rFonts w:hint="cs"/>
          <w:rtl/>
        </w:rPr>
        <w:t xml:space="preserve"> החברה האחרת);</w:t>
      </w:r>
    </w:p>
    <w:p w:rsidR="005307CB" w:rsidRDefault="005307CB" w:rsidP="005307CB">
      <w:pPr>
        <w:pStyle w:val="Ruller5"/>
        <w:rPr>
          <w:rtl/>
        </w:rPr>
      </w:pPr>
      <w:r>
        <w:rPr>
          <w:rFonts w:hint="cs"/>
          <w:rtl/>
        </w:rPr>
        <w:t xml:space="preserve">"הכנסה שממנה חולק הדיבידנד" </w:t>
      </w:r>
      <w:r>
        <w:rPr>
          <w:rtl/>
        </w:rPr>
        <w:t>–</w:t>
      </w:r>
      <w:r>
        <w:rPr>
          <w:rFonts w:hint="cs"/>
          <w:rtl/>
        </w:rPr>
        <w:t xml:space="preserve"> לרבות הכנסה שמקורה בחברה המוחזקת במישרין בידי החברה האחרת בשיעור של 50% לפחות;</w:t>
      </w:r>
    </w:p>
    <w:p w:rsidR="005307CB" w:rsidRDefault="005307CB" w:rsidP="005307CB">
      <w:pPr>
        <w:pStyle w:val="Ruller5"/>
        <w:rPr>
          <w:rtl/>
        </w:rPr>
      </w:pPr>
      <w:r>
        <w:rPr>
          <w:rFonts w:hint="cs"/>
          <w:rtl/>
        </w:rPr>
        <w:t xml:space="preserve">"אמצעי שליטה </w:t>
      </w:r>
      <w:r>
        <w:rPr>
          <w:rtl/>
        </w:rPr>
        <w:t>–</w:t>
      </w:r>
      <w:r>
        <w:rPr>
          <w:rFonts w:hint="cs"/>
          <w:rtl/>
        </w:rPr>
        <w:t xml:space="preserve"> כהגדרתם בסעיף 88.</w:t>
      </w:r>
    </w:p>
    <w:p w:rsidR="005307CB" w:rsidRPr="00B15CCE" w:rsidRDefault="005307CB" w:rsidP="005307CB">
      <w:pPr>
        <w:pStyle w:val="Ruller5"/>
        <w:rPr>
          <w:rtl/>
        </w:rPr>
      </w:pPr>
      <w:r>
        <w:rPr>
          <w:rFonts w:hint="cs"/>
          <w:rtl/>
        </w:rPr>
        <w:t xml:space="preserve">(ד) בחישוב המס החל על פי סעיף קטן (ג), יינתן זיכוי מהמס בגובה מס החברות שבו חויב חבר בני האדם מחלק הדיבידנד על ההכנסה שממנה שולמו הרווחים או הדיבידנד כאמור בסעיף קטן (א), ושיעור המס הכולל שיחול על פי סעיף קטן (ג), לא יעלה על השיעור הקבוע בסעיף קטן (א) (ההדגשות הוספו </w:t>
      </w:r>
      <w:r>
        <w:rPr>
          <w:rtl/>
        </w:rPr>
        <w:t>–</w:t>
      </w:r>
      <w:r>
        <w:rPr>
          <w:rFonts w:hint="cs"/>
          <w:rtl/>
        </w:rPr>
        <w:t xml:space="preserve"> ד.מ.).</w:t>
      </w:r>
    </w:p>
    <w:p w:rsidR="005307CB" w:rsidRDefault="005307CB" w:rsidP="005307CB">
      <w:pPr>
        <w:pStyle w:val="Ruller4"/>
        <w:numPr>
          <w:ilvl w:val="0"/>
          <w:numId w:val="0"/>
        </w:numPr>
        <w:rPr>
          <w:rtl/>
        </w:rPr>
      </w:pPr>
    </w:p>
    <w:p w:rsidR="005307CB" w:rsidRPr="00097317" w:rsidRDefault="005307CB" w:rsidP="00383892">
      <w:pPr>
        <w:pStyle w:val="Ruller41"/>
        <w:rPr>
          <w:rtl/>
        </w:rPr>
      </w:pPr>
      <w:r>
        <w:rPr>
          <w:rtl/>
        </w:rPr>
        <w:tab/>
      </w:r>
      <w:r>
        <w:rPr>
          <w:rFonts w:hint="cs"/>
          <w:rtl/>
        </w:rPr>
        <w:t xml:space="preserve">סעיף 126(ב) לפקודה, אליו מפנה סעיף 94ב קובע אפוא כלל לפיו בחישוב ההכנסה החייבת של חברה לא תיכלל "הכנסה מחלוקת רווחים או מדיבידנד שמקורם בהכנסות שהופקו או שנצמחו בישראל שנתקבלו במישרין או בעקיפין" מחברה אחרת החייבת במס חברות. טעמו של הסדר זה, לפיו לא מוטל מס חברות על החברה שקיבלה את הדיבידנד, הוא שוב, מניעת כפל מס. זאת כאשר בהתאם לשיטה הדו-שלבית למיסוי חברות כאמור, החיוב במס בגין קבלת דיבידנד מוטל רק על בעלי המניות שיקבלו את הדיבידנד, כאשר הוא יחולק. לאור החיוב במס של בעלי המניות ב"קצה השרשרת", הרי שבשלב העברת הדיבידנד בין חברות, הפקודה פוטרת את החברות המקבלות מתשלום מס בגין הדיבידנד </w:t>
      </w:r>
      <w:r>
        <w:rPr>
          <w:rFonts w:ascii="Century" w:hAnsi="Century" w:hint="cs"/>
          <w:rtl/>
        </w:rPr>
        <w:t xml:space="preserve">(ראו: </w:t>
      </w:r>
      <w:r>
        <w:rPr>
          <w:rFonts w:hint="cs"/>
          <w:rtl/>
        </w:rPr>
        <w:t xml:space="preserve">ע"א 8783/14 </w:t>
      </w:r>
      <w:proofErr w:type="spellStart"/>
      <w:r>
        <w:rPr>
          <w:rFonts w:ascii="Century" w:hAnsi="Century" w:cs="Miriam" w:hint="cs"/>
          <w:b/>
          <w:spacing w:val="0"/>
          <w:szCs w:val="24"/>
          <w:rtl/>
        </w:rPr>
        <w:t>צ.א.ג</w:t>
      </w:r>
      <w:proofErr w:type="spellEnd"/>
      <w:r>
        <w:rPr>
          <w:rFonts w:ascii="Century" w:hAnsi="Century" w:cs="Miriam" w:hint="cs"/>
          <w:b/>
          <w:spacing w:val="0"/>
          <w:szCs w:val="24"/>
          <w:rtl/>
        </w:rPr>
        <w:t xml:space="preserve"> תעשיות בע"מ נ' פקיד שומה תל </w:t>
      </w:r>
      <w:r w:rsidRPr="00213B59">
        <w:rPr>
          <w:rFonts w:ascii="Century" w:hAnsi="Century" w:cs="Miriam" w:hint="cs"/>
          <w:b/>
          <w:spacing w:val="0"/>
          <w:szCs w:val="24"/>
          <w:rtl/>
        </w:rPr>
        <w:t>אביב</w:t>
      </w:r>
      <w:r>
        <w:rPr>
          <w:rFonts w:ascii="Century" w:hAnsi="Century" w:hint="cs"/>
          <w:rtl/>
        </w:rPr>
        <w:t xml:space="preserve">, פסקה 9 (23.8.2016); </w:t>
      </w:r>
      <w:r w:rsidRPr="00E96CAB">
        <w:rPr>
          <w:rFonts w:ascii="Century" w:hAnsi="Century" w:hint="cs"/>
          <w:rtl/>
        </w:rPr>
        <w:t>ע</w:t>
      </w:r>
      <w:r>
        <w:rPr>
          <w:rFonts w:hint="cs"/>
          <w:rtl/>
        </w:rPr>
        <w:t xml:space="preserve">"א 3892/13 </w:t>
      </w:r>
      <w:r>
        <w:rPr>
          <w:rFonts w:ascii="Century" w:hAnsi="Century" w:cs="Miriam" w:hint="cs"/>
          <w:b/>
          <w:spacing w:val="0"/>
          <w:szCs w:val="24"/>
          <w:rtl/>
        </w:rPr>
        <w:t>בראון-פישמן תקשורת בע"מ נ' פקיד השומה למפעלים גדולים</w:t>
      </w:r>
      <w:r>
        <w:rPr>
          <w:rFonts w:ascii="Century" w:hAnsi="Century" w:hint="cs"/>
          <w:rtl/>
        </w:rPr>
        <w:t xml:space="preserve">, פסקה 17 (8.6.2015); עניין </w:t>
      </w:r>
      <w:proofErr w:type="spellStart"/>
      <w:r w:rsidRPr="00F60E3B">
        <w:rPr>
          <w:rFonts w:ascii="Century" w:hAnsi="Century" w:cs="Miriam" w:hint="cs"/>
          <w:b/>
          <w:spacing w:val="0"/>
          <w:szCs w:val="24"/>
          <w:rtl/>
        </w:rPr>
        <w:t>ז'ורבין</w:t>
      </w:r>
      <w:proofErr w:type="spellEnd"/>
      <w:r>
        <w:rPr>
          <w:rFonts w:ascii="Century" w:hAnsi="Century" w:hint="cs"/>
          <w:rtl/>
        </w:rPr>
        <w:t xml:space="preserve">, פסקאות 15-14; </w:t>
      </w:r>
      <w:proofErr w:type="spellStart"/>
      <w:r w:rsidRPr="0072503B">
        <w:rPr>
          <w:rFonts w:ascii="Century" w:hAnsi="Century" w:cs="Miriam" w:hint="cs"/>
          <w:b/>
          <w:spacing w:val="0"/>
          <w:szCs w:val="24"/>
          <w:rtl/>
        </w:rPr>
        <w:t>אלקינס</w:t>
      </w:r>
      <w:proofErr w:type="spellEnd"/>
      <w:r w:rsidRPr="00442A80">
        <w:rPr>
          <w:rFonts w:ascii="Century" w:hAnsi="Century" w:hint="cs"/>
          <w:rtl/>
        </w:rPr>
        <w:t>, 265</w:t>
      </w:r>
      <w:r>
        <w:rPr>
          <w:rFonts w:hint="cs"/>
          <w:rtl/>
        </w:rPr>
        <w:t xml:space="preserve">; אסף חמדני </w:t>
      </w:r>
      <w:proofErr w:type="spellStart"/>
      <w:r>
        <w:rPr>
          <w:rFonts w:hint="cs"/>
          <w:rtl/>
        </w:rPr>
        <w:t>וצילי</w:t>
      </w:r>
      <w:proofErr w:type="spellEnd"/>
      <w:r>
        <w:rPr>
          <w:rFonts w:hint="cs"/>
          <w:rtl/>
        </w:rPr>
        <w:t xml:space="preserve"> דגן "מיסוי דיבידנדים והפחתת הון" </w:t>
      </w:r>
      <w:r>
        <w:rPr>
          <w:rFonts w:ascii="Century" w:hAnsi="Century" w:cs="Miriam" w:hint="cs"/>
          <w:b/>
          <w:spacing w:val="0"/>
          <w:szCs w:val="24"/>
          <w:rtl/>
        </w:rPr>
        <w:t xml:space="preserve">משפט ועסקים </w:t>
      </w:r>
      <w:r>
        <w:rPr>
          <w:rFonts w:ascii="Century" w:hAnsi="Century" w:hint="cs"/>
          <w:rtl/>
        </w:rPr>
        <w:t xml:space="preserve">ח 215, 235 (2008) (להלן: </w:t>
      </w:r>
      <w:r>
        <w:rPr>
          <w:rFonts w:ascii="Century" w:hAnsi="Century" w:cs="Miriam" w:hint="cs"/>
          <w:b/>
          <w:spacing w:val="0"/>
          <w:szCs w:val="24"/>
          <w:rtl/>
        </w:rPr>
        <w:t>חמדני ודגן</w:t>
      </w:r>
      <w:r>
        <w:rPr>
          <w:rFonts w:ascii="Century" w:hAnsi="Century" w:hint="cs"/>
          <w:rtl/>
        </w:rPr>
        <w:t xml:space="preserve">); אהרן </w:t>
      </w:r>
      <w:proofErr w:type="spellStart"/>
      <w:r>
        <w:rPr>
          <w:rFonts w:ascii="Century" w:hAnsi="Century" w:hint="cs"/>
          <w:rtl/>
        </w:rPr>
        <w:t>נמדר</w:t>
      </w:r>
      <w:proofErr w:type="spellEnd"/>
      <w:r>
        <w:rPr>
          <w:rFonts w:ascii="Century" w:hAnsi="Century" w:hint="cs"/>
          <w:rtl/>
        </w:rPr>
        <w:t xml:space="preserve"> "המס על הכנסות שוטפות של משקיע פרטי מניירות ערך הנסחרים בבורסה" </w:t>
      </w:r>
      <w:r>
        <w:rPr>
          <w:rFonts w:ascii="Century" w:hAnsi="Century" w:cs="Miriam" w:hint="cs"/>
          <w:b/>
          <w:spacing w:val="0"/>
          <w:szCs w:val="24"/>
          <w:rtl/>
        </w:rPr>
        <w:t xml:space="preserve">מיסים </w:t>
      </w:r>
      <w:r>
        <w:rPr>
          <w:rFonts w:ascii="Century" w:hAnsi="Century" w:hint="cs"/>
          <w:rtl/>
        </w:rPr>
        <w:t xml:space="preserve">ט(2) (1995); נדב שגיא "דיבידנד בין חברות בישראל </w:t>
      </w:r>
      <w:r>
        <w:rPr>
          <w:rFonts w:ascii="Century" w:hAnsi="Century"/>
          <w:rtl/>
        </w:rPr>
        <w:t>–</w:t>
      </w:r>
      <w:r>
        <w:rPr>
          <w:rFonts w:ascii="Century" w:hAnsi="Century" w:hint="cs"/>
          <w:rtl/>
        </w:rPr>
        <w:t xml:space="preserve"> האמנם רווחים ראויים לחלוקה?" </w:t>
      </w:r>
      <w:r>
        <w:rPr>
          <w:rFonts w:ascii="Century" w:hAnsi="Century" w:cs="Miriam" w:hint="cs"/>
          <w:b/>
          <w:spacing w:val="0"/>
          <w:szCs w:val="24"/>
          <w:rtl/>
        </w:rPr>
        <w:t>מיסים</w:t>
      </w:r>
      <w:r>
        <w:rPr>
          <w:rFonts w:ascii="Century" w:hAnsi="Century" w:hint="cs"/>
          <w:rtl/>
        </w:rPr>
        <w:t xml:space="preserve"> </w:t>
      </w:r>
      <w:proofErr w:type="spellStart"/>
      <w:r>
        <w:rPr>
          <w:rFonts w:ascii="Century" w:hAnsi="Century" w:hint="cs"/>
          <w:rtl/>
        </w:rPr>
        <w:t>יז</w:t>
      </w:r>
      <w:proofErr w:type="spellEnd"/>
      <w:r>
        <w:rPr>
          <w:rFonts w:ascii="Century" w:hAnsi="Century" w:hint="cs"/>
          <w:rtl/>
        </w:rPr>
        <w:t xml:space="preserve">(4) (2003); </w:t>
      </w:r>
      <w:r>
        <w:rPr>
          <w:rFonts w:hint="cs"/>
          <w:rtl/>
        </w:rPr>
        <w:t xml:space="preserve">דורון לוי ואיתן </w:t>
      </w:r>
      <w:proofErr w:type="spellStart"/>
      <w:r>
        <w:rPr>
          <w:rFonts w:hint="cs"/>
          <w:rtl/>
        </w:rPr>
        <w:t>אסנפי</w:t>
      </w:r>
      <w:proofErr w:type="spellEnd"/>
      <w:r>
        <w:rPr>
          <w:rFonts w:hint="cs"/>
          <w:rtl/>
        </w:rPr>
        <w:t xml:space="preserve"> </w:t>
      </w:r>
      <w:r>
        <w:rPr>
          <w:rFonts w:ascii="Century" w:hAnsi="Century" w:cs="Miriam" w:hint="cs"/>
          <w:b/>
          <w:spacing w:val="0"/>
          <w:szCs w:val="24"/>
          <w:rtl/>
        </w:rPr>
        <w:t>מיסוי בינלאומי</w:t>
      </w:r>
      <w:r>
        <w:rPr>
          <w:rFonts w:ascii="Century" w:hAnsi="Century" w:hint="cs"/>
          <w:rtl/>
        </w:rPr>
        <w:t xml:space="preserve">, 296 (2008) (להלן: </w:t>
      </w:r>
      <w:r>
        <w:rPr>
          <w:rFonts w:ascii="Century" w:hAnsi="Century" w:cs="Miriam" w:hint="cs"/>
          <w:b/>
          <w:spacing w:val="0"/>
          <w:szCs w:val="24"/>
          <w:rtl/>
        </w:rPr>
        <w:t>מיסוי בינלאומי</w:t>
      </w:r>
      <w:r>
        <w:rPr>
          <w:rFonts w:ascii="Century" w:hAnsi="Century" w:hint="cs"/>
          <w:rtl/>
        </w:rPr>
        <w:t>))</w:t>
      </w:r>
      <w:r>
        <w:rPr>
          <w:rFonts w:hint="cs"/>
          <w:rtl/>
        </w:rPr>
        <w:t xml:space="preserve">. יצוין, כי לפני תיקון מס' 132 נקבע בסעיף 126(ב), כי דיבידנד "בין-חברתי" לא ייכלל בהכנסתה החייבת של חברה, אם הוא התקבל מחברה החייבת במס חברות בישראל. במסגרת התיקון נוסף התנאי, לפיו מקור הדיבידנד שאינו נכלל בהכנסה החייבת של חברה חייב להיות ברווחים </w:t>
      </w:r>
      <w:r w:rsidRPr="0073266E">
        <w:rPr>
          <w:rFonts w:ascii="Century" w:hAnsi="Century" w:cs="Miriam" w:hint="cs"/>
          <w:b/>
          <w:spacing w:val="0"/>
          <w:szCs w:val="24"/>
          <w:rtl/>
        </w:rPr>
        <w:t>שהופקו או שנצמחו בישראל</w:t>
      </w:r>
      <w:r>
        <w:rPr>
          <w:rFonts w:hint="cs"/>
          <w:rtl/>
        </w:rPr>
        <w:t>.</w:t>
      </w:r>
    </w:p>
    <w:p w:rsidR="005307CB" w:rsidRDefault="005307CB" w:rsidP="005307CB">
      <w:pPr>
        <w:pStyle w:val="Ruller41"/>
        <w:rPr>
          <w:rtl/>
        </w:rPr>
      </w:pPr>
    </w:p>
    <w:p w:rsidR="005307CB" w:rsidRDefault="005307CB" w:rsidP="005307CB">
      <w:pPr>
        <w:pStyle w:val="Ruller4"/>
      </w:pPr>
      <w:r>
        <w:rPr>
          <w:rFonts w:hint="cs"/>
          <w:rtl/>
        </w:rPr>
        <w:t xml:space="preserve">סעיף 94ב לפקודה מפנה אמנם לסעיף 126(ב) בלבד </w:t>
      </w:r>
      <w:r>
        <w:rPr>
          <w:rtl/>
        </w:rPr>
        <w:t>–</w:t>
      </w:r>
      <w:r>
        <w:rPr>
          <w:rFonts w:hint="cs"/>
          <w:rtl/>
        </w:rPr>
        <w:t xml:space="preserve"> ועוד על כך בהמשך </w:t>
      </w:r>
      <w:r>
        <w:rPr>
          <w:rtl/>
        </w:rPr>
        <w:t>–</w:t>
      </w:r>
      <w:r>
        <w:rPr>
          <w:rFonts w:hint="cs"/>
          <w:rtl/>
        </w:rPr>
        <w:t xml:space="preserve"> אולם לענייננו רלוונטיים גם סעיפים 126(ג) ו-126(ד</w:t>
      </w:r>
      <w:r w:rsidRPr="00383892">
        <w:rPr>
          <w:rFonts w:ascii="Century" w:hAnsi="Century" w:hint="cs"/>
          <w:sz w:val="22"/>
          <w:rtl/>
        </w:rPr>
        <w:t xml:space="preserve">). </w:t>
      </w:r>
      <w:r w:rsidRPr="00383892">
        <w:rPr>
          <w:rStyle w:val="default"/>
          <w:rFonts w:ascii="Century" w:hAnsi="Century" w:cs="FrankRuehl" w:hint="cs"/>
          <w:sz w:val="22"/>
          <w:szCs w:val="28"/>
          <w:rtl/>
        </w:rPr>
        <w:t>סעיף 126(ג) הוא תולדה של השינוי בסעיף 126(ב) במסגרת תיקון מס' 132, אשר הוליד את הצורך בחקיקת הסדר משלים, המסדיר את מיסויו של "דיבידנד זר". במובן זה, סעיפים 126(ב) ו-126(ג) לפקודה מסווגים את הדיבידנדים שחברה יכולה לק</w:t>
      </w:r>
      <w:r w:rsidRPr="003A16FD">
        <w:rPr>
          <w:rStyle w:val="default"/>
          <w:rFonts w:ascii="Century" w:hAnsi="Century" w:cs="FrankRuehl" w:hint="cs"/>
          <w:sz w:val="22"/>
          <w:szCs w:val="28"/>
          <w:rtl/>
        </w:rPr>
        <w:t>בל לשתי קטגוריות: סעיף 126(ב) לפקודה עניינו דיבידנד מחברות החייבות ב</w:t>
      </w:r>
      <w:r w:rsidRPr="000A723B">
        <w:rPr>
          <w:rStyle w:val="default"/>
          <w:rFonts w:ascii="Century" w:hAnsi="Century" w:cs="Miriam" w:hint="cs"/>
          <w:b/>
          <w:spacing w:val="0"/>
          <w:sz w:val="22"/>
          <w:szCs w:val="24"/>
          <w:rtl/>
        </w:rPr>
        <w:t xml:space="preserve">מס חברות ישראלי </w:t>
      </w:r>
      <w:r w:rsidRPr="003A16FD">
        <w:rPr>
          <w:rStyle w:val="default"/>
          <w:rFonts w:ascii="Century" w:hAnsi="Century" w:cs="FrankRuehl" w:hint="cs"/>
          <w:sz w:val="22"/>
          <w:szCs w:val="28"/>
          <w:rtl/>
        </w:rPr>
        <w:t>אשר חולק מתוך רווחים</w:t>
      </w:r>
      <w:r>
        <w:rPr>
          <w:rStyle w:val="default"/>
          <w:rFonts w:ascii="Century" w:hAnsi="Century" w:hint="cs"/>
          <w:sz w:val="22"/>
          <w:rtl/>
        </w:rPr>
        <w:t xml:space="preserve"> </w:t>
      </w:r>
      <w:r w:rsidRPr="000A723B">
        <w:rPr>
          <w:rStyle w:val="default"/>
          <w:rFonts w:ascii="Century" w:hAnsi="Century" w:cs="Miriam" w:hint="cs"/>
          <w:b/>
          <w:spacing w:val="0"/>
          <w:sz w:val="22"/>
          <w:szCs w:val="24"/>
          <w:rtl/>
        </w:rPr>
        <w:t>שהופקו בישראל</w:t>
      </w:r>
      <w:r w:rsidRPr="003A16FD">
        <w:rPr>
          <w:rStyle w:val="default"/>
          <w:rFonts w:ascii="Century" w:hAnsi="Century" w:cs="FrankRuehl" w:hint="cs"/>
          <w:sz w:val="22"/>
          <w:szCs w:val="28"/>
          <w:rtl/>
        </w:rPr>
        <w:t>; וסעיף 126(ג)</w:t>
      </w:r>
      <w:r w:rsidRPr="003A16FD">
        <w:rPr>
          <w:rFonts w:ascii="Century" w:hAnsi="Century" w:hint="cs"/>
          <w:sz w:val="22"/>
          <w:rtl/>
        </w:rPr>
        <w:t xml:space="preserve"> </w:t>
      </w:r>
      <w:r>
        <w:rPr>
          <w:rFonts w:hint="cs"/>
          <w:rtl/>
        </w:rPr>
        <w:t xml:space="preserve">אשר נועד להסדיר את החיוב במס בגין חלוקת דיבידנד בשני המקרים הבאים: המקרה הראשון, שבו הדיבידנד מחולק בידי </w:t>
      </w:r>
      <w:r w:rsidRPr="000A723B">
        <w:rPr>
          <w:rFonts w:ascii="Century" w:hAnsi="Century" w:cs="Miriam" w:hint="cs"/>
          <w:b/>
          <w:spacing w:val="0"/>
          <w:sz w:val="22"/>
          <w:szCs w:val="24"/>
          <w:rtl/>
        </w:rPr>
        <w:t>חברה ישראלית</w:t>
      </w:r>
      <w:r w:rsidRPr="000A723B">
        <w:rPr>
          <w:rFonts w:hint="cs"/>
          <w:rtl/>
        </w:rPr>
        <w:t xml:space="preserve"> </w:t>
      </w:r>
      <w:r>
        <w:rPr>
          <w:rFonts w:hint="cs"/>
          <w:rtl/>
        </w:rPr>
        <w:t xml:space="preserve">מהכנסות שהפיקה </w:t>
      </w:r>
      <w:r>
        <w:rPr>
          <w:rFonts w:ascii="Century" w:hAnsi="Century" w:cs="Miriam" w:hint="cs"/>
          <w:b/>
          <w:spacing w:val="0"/>
          <w:sz w:val="22"/>
          <w:szCs w:val="24"/>
          <w:rtl/>
        </w:rPr>
        <w:t>מחוץ לישראל</w:t>
      </w:r>
      <w:r>
        <w:rPr>
          <w:rFonts w:hint="cs"/>
          <w:rtl/>
        </w:rPr>
        <w:t xml:space="preserve">; והמקרה השני, שבו הדיבידנד מחולק על ידי </w:t>
      </w:r>
      <w:r w:rsidRPr="000A723B">
        <w:rPr>
          <w:rFonts w:ascii="Century" w:hAnsi="Century" w:cs="Miriam" w:hint="cs"/>
          <w:b/>
          <w:spacing w:val="0"/>
          <w:sz w:val="22"/>
          <w:szCs w:val="24"/>
          <w:rtl/>
        </w:rPr>
        <w:t>חברה זרה</w:t>
      </w:r>
      <w:r w:rsidRPr="000A723B">
        <w:rPr>
          <w:rFonts w:hint="cs"/>
          <w:rtl/>
        </w:rPr>
        <w:t xml:space="preserve"> </w:t>
      </w:r>
      <w:r>
        <w:rPr>
          <w:rFonts w:hint="cs"/>
          <w:rtl/>
        </w:rPr>
        <w:t xml:space="preserve">מהכנסות שהפיקה </w:t>
      </w:r>
      <w:r>
        <w:rPr>
          <w:rFonts w:ascii="Century" w:hAnsi="Century" w:cs="Miriam" w:hint="cs"/>
          <w:b/>
          <w:spacing w:val="0"/>
          <w:sz w:val="22"/>
          <w:szCs w:val="24"/>
          <w:rtl/>
        </w:rPr>
        <w:t>מחוץ לישראל</w:t>
      </w:r>
      <w:r w:rsidRPr="000A723B">
        <w:rPr>
          <w:rFonts w:hint="cs"/>
          <w:rtl/>
        </w:rPr>
        <w:t xml:space="preserve"> </w:t>
      </w:r>
      <w:r>
        <w:rPr>
          <w:rFonts w:hint="cs"/>
          <w:rtl/>
        </w:rPr>
        <w:t>(</w:t>
      </w:r>
      <w:proofErr w:type="spellStart"/>
      <w:r w:rsidRPr="005D413B">
        <w:rPr>
          <w:rFonts w:ascii="Century" w:hAnsi="Century" w:cs="Miriam" w:hint="cs"/>
          <w:b/>
          <w:spacing w:val="0"/>
          <w:sz w:val="22"/>
          <w:szCs w:val="24"/>
          <w:rtl/>
        </w:rPr>
        <w:t>אלקינס</w:t>
      </w:r>
      <w:proofErr w:type="spellEnd"/>
      <w:r>
        <w:rPr>
          <w:rFonts w:hint="cs"/>
          <w:rtl/>
        </w:rPr>
        <w:t xml:space="preserve">, 271; </w:t>
      </w:r>
      <w:r w:rsidRPr="005D413B">
        <w:rPr>
          <w:rFonts w:ascii="Century" w:hAnsi="Century" w:cs="Miriam" w:hint="cs"/>
          <w:b/>
          <w:spacing w:val="0"/>
          <w:sz w:val="22"/>
          <w:szCs w:val="24"/>
          <w:rtl/>
        </w:rPr>
        <w:t>מיסוי בינלאומי</w:t>
      </w:r>
      <w:r>
        <w:rPr>
          <w:rFonts w:hint="cs"/>
          <w:rtl/>
        </w:rPr>
        <w:t xml:space="preserve">, 300). סעיף 126(ג) קובע, כי הכנסה מדיבידנד בכל אחד משני מקרים אלו, תהיה חייבת במס חברות בשיעור הקבוע בסעיף קטן (א). היינו, הדיבידנד מחברת הבת ייכלל בהכנסתה החייבת של החברה האם. סעיף 126(ד) קובע מסלול זיכוי מובנה (או ישיר, כפי שהוא נקרא לעיתים), אשר אינו רלוונטי לדיבידנד המתקבל מחברה זרה. </w:t>
      </w:r>
    </w:p>
    <w:p w:rsidR="005307CB" w:rsidRDefault="005307CB" w:rsidP="005307CB">
      <w:pPr>
        <w:pStyle w:val="Ruller4"/>
        <w:numPr>
          <w:ilvl w:val="0"/>
          <w:numId w:val="0"/>
        </w:numPr>
      </w:pPr>
    </w:p>
    <w:p w:rsidR="005307CB" w:rsidRDefault="005307CB" w:rsidP="0026161D">
      <w:pPr>
        <w:pStyle w:val="Ruller4"/>
        <w:rPr>
          <w:rtl/>
        </w:rPr>
      </w:pPr>
      <w:r>
        <w:rPr>
          <w:rFonts w:hint="cs"/>
          <w:rtl/>
        </w:rPr>
        <w:t xml:space="preserve">מסלול הזיכוי הרלוונטי במקרה זה הוא "מסלול הזיכוי העקיף" הקבוע בסעיף 203(ב) לפקודה, המצוי בפרק השלישי לחלק י' לפקודה, המסדיר את הדרכים למניעת כפל מס במישור הבינלאומי. על פי סעיף 126(ג), חברה יכולה לעשות שימוש במסלול זיכוי זה בהתקיים אחד משני תנאים: הראשון, אם החברה מקבלת הדיבידנד מוגדרת כ"חברה </w:t>
      </w:r>
      <w:proofErr w:type="spellStart"/>
      <w:r>
        <w:rPr>
          <w:rFonts w:hint="cs"/>
          <w:rtl/>
        </w:rPr>
        <w:t>נישומה</w:t>
      </w:r>
      <w:proofErr w:type="spellEnd"/>
      <w:r>
        <w:rPr>
          <w:rFonts w:hint="cs"/>
          <w:rtl/>
        </w:rPr>
        <w:t>", קרי "חברה שק</w:t>
      </w:r>
      <w:r w:rsidR="0026161D">
        <w:rPr>
          <w:rFonts w:hint="cs"/>
          <w:rtl/>
        </w:rPr>
        <w:t>י</w:t>
      </w:r>
      <w:r>
        <w:rPr>
          <w:rFonts w:hint="cs"/>
          <w:rtl/>
        </w:rPr>
        <w:t xml:space="preserve">בלה דיבידנד מחברה אחרת שבה היא מחזיקה ב-25% או יותר מאמצעי השליטה"; השני, אם אמנה למניעת כפל מס מחייבת להעניק לנישום זיכוי, הן בגין מיסי החוץ שהוטלו על הדיבידנד והן בגין מיסי החוץ ששולמו על ההכנסה שהדיבידנד חולק ממנה. בתמצית, מסלול הזיכוי העקיף הוא כדלקמן: על החברה הישראלית מקבלת הדיבידנד יוטל מס לפי סעיף 126(ג) לפקודה. כנגד מס זה תוכל החברה להפחית זיכוי לפי סעיף 203(ב) לפקודה. הזיכוי מורכב מסכום מיסי החוץ ששילמה החברה שהעניקה את הדיבידנד, בהתאם לשיעור החזקתה של החברה מקבלת הדיבידנד בחברה המשלמת, ומס החוץ שנוכה במקור, בגין עצם חלוקת הדיבידנד על ידי החברה הזרה, לפי שיעור החזקתה של החברה מקבלת הדיבידנד בחברה המשלמת (ראו: ע"מ (מחוזי תל אביב-יפו) 48642-02-14 </w:t>
      </w:r>
      <w:r w:rsidRPr="00E032E8">
        <w:rPr>
          <w:rFonts w:ascii="Century" w:hAnsi="Century" w:cs="Miriam" w:hint="cs"/>
          <w:b/>
          <w:spacing w:val="0"/>
          <w:sz w:val="22"/>
          <w:szCs w:val="24"/>
          <w:rtl/>
        </w:rPr>
        <w:t>אמות השקעות בע"מ נ' פקיד שומה למפעלים גדולים</w:t>
      </w:r>
      <w:r w:rsidRPr="00E032E8">
        <w:rPr>
          <w:rFonts w:ascii="Century" w:hAnsi="Century" w:hint="cs"/>
          <w:sz w:val="22"/>
          <w:rtl/>
        </w:rPr>
        <w:t xml:space="preserve">, פסקה 31 (25.6.2017); </w:t>
      </w:r>
      <w:proofErr w:type="spellStart"/>
      <w:r w:rsidRPr="00E032E8">
        <w:rPr>
          <w:rFonts w:ascii="Century" w:hAnsi="Century" w:hint="cs"/>
          <w:sz w:val="22"/>
          <w:rtl/>
        </w:rPr>
        <w:t>צילי</w:t>
      </w:r>
      <w:proofErr w:type="spellEnd"/>
      <w:r w:rsidRPr="00E032E8">
        <w:rPr>
          <w:rFonts w:ascii="Century" w:hAnsi="Century" w:hint="cs"/>
          <w:sz w:val="22"/>
          <w:rtl/>
        </w:rPr>
        <w:t xml:space="preserve"> דגן </w:t>
      </w:r>
      <w:r w:rsidRPr="00E032E8">
        <w:rPr>
          <w:rFonts w:ascii="Century" w:hAnsi="Century" w:cs="Miriam" w:hint="cs"/>
          <w:b/>
          <w:spacing w:val="0"/>
          <w:sz w:val="22"/>
          <w:szCs w:val="24"/>
          <w:rtl/>
        </w:rPr>
        <w:t>מיסוי בינלאומי</w:t>
      </w:r>
      <w:r w:rsidRPr="00E032E8">
        <w:rPr>
          <w:rFonts w:ascii="Century" w:hAnsi="Century" w:hint="cs"/>
          <w:sz w:val="22"/>
          <w:rtl/>
        </w:rPr>
        <w:t xml:space="preserve"> </w:t>
      </w:r>
      <w:r w:rsidR="0026161D">
        <w:rPr>
          <w:rFonts w:ascii="Century" w:hAnsi="Century" w:hint="cs"/>
          <w:sz w:val="22"/>
          <w:rtl/>
        </w:rPr>
        <w:t>125-124</w:t>
      </w:r>
      <w:r w:rsidRPr="00E032E8">
        <w:rPr>
          <w:rFonts w:ascii="Century" w:hAnsi="Century" w:hint="cs"/>
          <w:sz w:val="22"/>
          <w:rtl/>
        </w:rPr>
        <w:t xml:space="preserve"> (2004); </w:t>
      </w:r>
      <w:r w:rsidRPr="005D413B">
        <w:rPr>
          <w:rFonts w:ascii="Century" w:hAnsi="Century" w:cs="Miriam" w:hint="cs"/>
          <w:b/>
          <w:spacing w:val="0"/>
          <w:sz w:val="22"/>
          <w:szCs w:val="24"/>
          <w:rtl/>
        </w:rPr>
        <w:t>מיסוי בינלאומי</w:t>
      </w:r>
      <w:r w:rsidRPr="00E032E8">
        <w:rPr>
          <w:rFonts w:ascii="Century" w:hAnsi="Century" w:hint="cs"/>
          <w:sz w:val="22"/>
          <w:rtl/>
        </w:rPr>
        <w:t xml:space="preserve">, 311-308; </w:t>
      </w:r>
      <w:proofErr w:type="spellStart"/>
      <w:r w:rsidRPr="005D413B">
        <w:rPr>
          <w:rFonts w:ascii="Century" w:hAnsi="Century" w:cs="Miriam" w:hint="cs"/>
          <w:b/>
          <w:spacing w:val="0"/>
          <w:sz w:val="22"/>
          <w:szCs w:val="24"/>
          <w:rtl/>
        </w:rPr>
        <w:t>אלקינס</w:t>
      </w:r>
      <w:proofErr w:type="spellEnd"/>
      <w:r w:rsidRPr="00E032E8">
        <w:rPr>
          <w:rFonts w:ascii="Century" w:hAnsi="Century" w:hint="cs"/>
          <w:sz w:val="22"/>
          <w:rtl/>
        </w:rPr>
        <w:t xml:space="preserve">, </w:t>
      </w:r>
      <w:r>
        <w:rPr>
          <w:rFonts w:ascii="Century" w:hAnsi="Century" w:hint="cs"/>
          <w:sz w:val="22"/>
          <w:rtl/>
        </w:rPr>
        <w:t>286-280</w:t>
      </w:r>
      <w:r w:rsidRPr="00E032E8">
        <w:rPr>
          <w:rFonts w:ascii="Century" w:hAnsi="Century" w:hint="cs"/>
          <w:sz w:val="22"/>
          <w:rtl/>
        </w:rPr>
        <w:t>).</w:t>
      </w:r>
    </w:p>
    <w:p w:rsidR="005307CB" w:rsidRDefault="005307CB" w:rsidP="005307CB">
      <w:pPr>
        <w:pStyle w:val="Ruller41"/>
        <w:rPr>
          <w:rtl/>
        </w:rPr>
      </w:pPr>
    </w:p>
    <w:p w:rsidR="005307CB" w:rsidRPr="0060076E" w:rsidRDefault="005307CB" w:rsidP="005307CB">
      <w:pPr>
        <w:pStyle w:val="Ruller41"/>
        <w:rPr>
          <w:rtl/>
        </w:rPr>
      </w:pPr>
      <w:r>
        <w:rPr>
          <w:rtl/>
        </w:rPr>
        <w:tab/>
      </w:r>
      <w:r>
        <w:rPr>
          <w:rFonts w:hint="cs"/>
          <w:rtl/>
        </w:rPr>
        <w:t>זוהי אם כן המסגרת הנורמטיבית לדיוננו. ומכאן להליך שהתקיים בבית המשפט המחוזי.</w:t>
      </w:r>
    </w:p>
    <w:p w:rsidR="005307CB" w:rsidRPr="00000A32" w:rsidRDefault="005307CB" w:rsidP="005307CB">
      <w:pPr>
        <w:pStyle w:val="Ruller41"/>
        <w:rPr>
          <w:rtl/>
        </w:rPr>
      </w:pPr>
    </w:p>
    <w:p w:rsidR="005307CB" w:rsidRPr="00CE7AA8" w:rsidRDefault="005307CB" w:rsidP="005307CB">
      <w:pPr>
        <w:pStyle w:val="Ruller41"/>
        <w:rPr>
          <w:rFonts w:ascii="Century" w:hAnsi="Century" w:cs="Miriam"/>
          <w:b/>
          <w:spacing w:val="0"/>
          <w:szCs w:val="24"/>
          <w:rtl/>
        </w:rPr>
      </w:pPr>
      <w:r>
        <w:rPr>
          <w:rFonts w:ascii="Century" w:hAnsi="Century" w:cs="Miriam" w:hint="cs"/>
          <w:b/>
          <w:spacing w:val="0"/>
          <w:szCs w:val="24"/>
          <w:rtl/>
        </w:rPr>
        <w:t>ההליך בבית המשפט המחוזי</w:t>
      </w:r>
    </w:p>
    <w:p w:rsidR="005307CB" w:rsidRDefault="005307CB" w:rsidP="00535896">
      <w:pPr>
        <w:pStyle w:val="Ruller4"/>
        <w:rPr>
          <w:rFonts w:ascii="Century" w:hAnsi="Century"/>
          <w:sz w:val="22"/>
          <w:rtl/>
        </w:rPr>
      </w:pPr>
      <w:r>
        <w:rPr>
          <w:rFonts w:hint="cs"/>
          <w:rtl/>
        </w:rPr>
        <w:t xml:space="preserve">טענתה העיקרית של המשיבה בהליך לפני בית המשפט המחוזי הייתה כי לשונו של החוק, תכליתו, כמו גם ההיגיון והשכל הישר, מחייבים פרשנות המחילה את עקרונות המיסוי הקבועים בסעיף 94ב לפקודה </w:t>
      </w:r>
      <w:r w:rsidRPr="003C5823">
        <w:rPr>
          <w:rFonts w:ascii="Century" w:hAnsi="Century" w:cs="Miriam" w:hint="cs"/>
          <w:b/>
          <w:spacing w:val="0"/>
          <w:sz w:val="22"/>
          <w:szCs w:val="24"/>
          <w:rtl/>
        </w:rPr>
        <w:t>גם</w:t>
      </w:r>
      <w:r>
        <w:rPr>
          <w:rFonts w:hint="cs"/>
          <w:rtl/>
        </w:rPr>
        <w:t xml:space="preserve"> כאשר מדובר ברווחיה הצבורים של </w:t>
      </w:r>
      <w:r w:rsidRPr="003C5823">
        <w:rPr>
          <w:rFonts w:ascii="Century" w:hAnsi="Century" w:cs="Miriam" w:hint="cs"/>
          <w:b/>
          <w:spacing w:val="0"/>
          <w:sz w:val="22"/>
          <w:szCs w:val="24"/>
          <w:rtl/>
        </w:rPr>
        <w:t xml:space="preserve">חברה זרה המפיקה הכנסות </w:t>
      </w:r>
      <w:r>
        <w:rPr>
          <w:rFonts w:ascii="Century" w:hAnsi="Century" w:cs="Miriam" w:hint="cs"/>
          <w:b/>
          <w:spacing w:val="0"/>
          <w:sz w:val="22"/>
          <w:szCs w:val="24"/>
          <w:rtl/>
        </w:rPr>
        <w:t>מחוץ לישראל</w:t>
      </w:r>
      <w:r>
        <w:rPr>
          <w:rFonts w:hint="cs"/>
          <w:rtl/>
        </w:rPr>
        <w:t xml:space="preserve">, כבעניינה. התכלית המרכזית העומדת בבסיסו של סעיף 94ב לפקודה </w:t>
      </w:r>
      <w:r>
        <w:rPr>
          <w:rtl/>
        </w:rPr>
        <w:t>–</w:t>
      </w:r>
      <w:r>
        <w:rPr>
          <w:rFonts w:hint="cs"/>
          <w:rtl/>
        </w:rPr>
        <w:t xml:space="preserve"> יצירת "שקילות </w:t>
      </w:r>
      <w:proofErr w:type="spellStart"/>
      <w:r>
        <w:rPr>
          <w:rFonts w:hint="cs"/>
          <w:rtl/>
        </w:rPr>
        <w:t>מיסויית</w:t>
      </w:r>
      <w:proofErr w:type="spellEnd"/>
      <w:r>
        <w:rPr>
          <w:rFonts w:hint="cs"/>
          <w:rtl/>
        </w:rPr>
        <w:t xml:space="preserve">" בין מצב שבו רווחי החברה, שמניותיה נמכרות, מחולקים טרם מכירת המניות לבין מצב שבו רווחים אלה נותרים בחברה ומשתקפים בתמורה עבור המניות </w:t>
      </w:r>
      <w:r>
        <w:rPr>
          <w:rtl/>
        </w:rPr>
        <w:t>–</w:t>
      </w:r>
      <w:r>
        <w:rPr>
          <w:rFonts w:hint="cs"/>
          <w:rtl/>
        </w:rPr>
        <w:t xml:space="preserve"> שרירה וקיימת גם כאשר מדובר במכירת מניות של חברה זרה. </w:t>
      </w:r>
      <w:r>
        <w:rPr>
          <w:rFonts w:ascii="Century" w:hAnsi="Century" w:hint="cs"/>
          <w:sz w:val="22"/>
          <w:rtl/>
        </w:rPr>
        <w:t xml:space="preserve">סעיף 94ב במתכונתו לאחר תיקון מס' 132 נועד ליצור ניטרליות גורפת בין דרכי המימוש האפשריות, בין אם מדובר בהשקעה בחברה ישראלית ובין אם מדובר בהשקעה בחברה זרה, מבלי ליצור חבות מס נוספת. סעיף 94ב קובע כי סכום הרווחים הראויים לחלוקה לא יעלה על סכום הרווחים אשר </w:t>
      </w:r>
      <w:proofErr w:type="spellStart"/>
      <w:r>
        <w:rPr>
          <w:rFonts w:ascii="Century" w:hAnsi="Century" w:hint="cs"/>
          <w:sz w:val="22"/>
          <w:rtl/>
        </w:rPr>
        <w:t>נתחייבו</w:t>
      </w:r>
      <w:proofErr w:type="spellEnd"/>
      <w:r>
        <w:rPr>
          <w:rFonts w:ascii="Century" w:hAnsi="Century" w:hint="cs"/>
          <w:sz w:val="22"/>
          <w:rtl/>
        </w:rPr>
        <w:t xml:space="preserve"> במס, וסעיף 126(ג) קובע כי על סכום הדיבידנד המתקבל מחברה זרה יוטל מס חברות. על כן, מכיוון שעל הכנסה מדיבידנד מחברה זרה מוטל מס חברות ישראלי, הכנסה או רווחים אלו הם בגדר רווחים </w:t>
      </w:r>
      <w:proofErr w:type="spellStart"/>
      <w:r>
        <w:rPr>
          <w:rFonts w:ascii="Century" w:hAnsi="Century" w:hint="cs"/>
          <w:sz w:val="22"/>
          <w:rtl/>
        </w:rPr>
        <w:t>שנתחייבו</w:t>
      </w:r>
      <w:proofErr w:type="spellEnd"/>
      <w:r>
        <w:rPr>
          <w:rFonts w:ascii="Century" w:hAnsi="Century" w:hint="cs"/>
          <w:sz w:val="22"/>
          <w:rtl/>
        </w:rPr>
        <w:t xml:space="preserve"> במס ואין בהיעדר תשלום מס בפועל בישראל כדי להוציא הכנסה </w:t>
      </w:r>
      <w:proofErr w:type="spellStart"/>
      <w:r>
        <w:rPr>
          <w:rFonts w:ascii="Century" w:hAnsi="Century" w:hint="cs"/>
          <w:sz w:val="22"/>
          <w:rtl/>
        </w:rPr>
        <w:t>שנתחייבה</w:t>
      </w:r>
      <w:proofErr w:type="spellEnd"/>
      <w:r>
        <w:rPr>
          <w:rFonts w:ascii="Century" w:hAnsi="Century" w:hint="cs"/>
          <w:sz w:val="22"/>
          <w:rtl/>
        </w:rPr>
        <w:t xml:space="preserve"> במס זר.</w:t>
      </w:r>
    </w:p>
    <w:p w:rsidR="005307CB" w:rsidRDefault="005307CB" w:rsidP="005307CB">
      <w:pPr>
        <w:pStyle w:val="Ruller41"/>
        <w:rPr>
          <w:rtl/>
        </w:rPr>
      </w:pPr>
    </w:p>
    <w:p w:rsidR="005307CB" w:rsidRDefault="005307CB" w:rsidP="00535896">
      <w:pPr>
        <w:pStyle w:val="Ruller4"/>
        <w:rPr>
          <w:rtl/>
        </w:rPr>
      </w:pPr>
      <w:r>
        <w:rPr>
          <w:rFonts w:hint="cs"/>
          <w:rtl/>
        </w:rPr>
        <w:t>מנגד, פקיד השומה עמד על כך שאת התיבה "</w:t>
      </w:r>
      <w:proofErr w:type="spellStart"/>
      <w:r>
        <w:rPr>
          <w:rFonts w:hint="cs"/>
          <w:rtl/>
        </w:rPr>
        <w:t>נתחייבו</w:t>
      </w:r>
      <w:proofErr w:type="spellEnd"/>
      <w:r>
        <w:rPr>
          <w:rFonts w:hint="cs"/>
          <w:rtl/>
        </w:rPr>
        <w:t xml:space="preserve"> במס" </w:t>
      </w:r>
      <w:r w:rsidR="00535896">
        <w:rPr>
          <w:rFonts w:hint="cs"/>
          <w:rtl/>
        </w:rPr>
        <w:t>הנזכרת</w:t>
      </w:r>
      <w:r>
        <w:rPr>
          <w:rFonts w:hint="cs"/>
          <w:rtl/>
        </w:rPr>
        <w:t xml:space="preserve"> בחלופה </w:t>
      </w:r>
      <w:proofErr w:type="spellStart"/>
      <w:r>
        <w:rPr>
          <w:rFonts w:hint="cs"/>
          <w:rtl/>
        </w:rPr>
        <w:t>המיסויית</w:t>
      </w:r>
      <w:proofErr w:type="spellEnd"/>
      <w:r>
        <w:rPr>
          <w:rFonts w:hint="cs"/>
          <w:rtl/>
        </w:rPr>
        <w:t xml:space="preserve"> בסעיף 94ב(ב) יש לפרש בהתאם לפקודה, כאשר המונח "מס" המוגדר בסעיף 1 לפקודה ("בין מס הכנסה ובין מס חברות המוטלים על פי פקודה זו"), אינו כולל מס זר. מכאן שלפי החלופה </w:t>
      </w:r>
      <w:proofErr w:type="spellStart"/>
      <w:r>
        <w:rPr>
          <w:rFonts w:hint="cs"/>
          <w:rtl/>
        </w:rPr>
        <w:t>המיסויית</w:t>
      </w:r>
      <w:proofErr w:type="spellEnd"/>
      <w:r>
        <w:rPr>
          <w:rFonts w:hint="cs"/>
          <w:rtl/>
        </w:rPr>
        <w:t xml:space="preserve"> בסעיף 94ב, בעת מכירת מניות בחברה זרה, סכום הרווחים הראויים לחלוקה </w:t>
      </w:r>
      <w:proofErr w:type="spellStart"/>
      <w:r>
        <w:rPr>
          <w:rFonts w:hint="cs"/>
          <w:rtl/>
        </w:rPr>
        <w:t>ש"נתחייבו</w:t>
      </w:r>
      <w:proofErr w:type="spellEnd"/>
      <w:r>
        <w:rPr>
          <w:rFonts w:hint="cs"/>
          <w:rtl/>
        </w:rPr>
        <w:t xml:space="preserve"> במס" יהא לעולם אפס. מאחר שרווחים ראויים לחלוקה נקבעים בהתאם לחלופה הנמוכה, המסקנה היא כי לא היו למשיבה רווחים ראויים לחלוקה במכירת מניות דלק ארה"ב. עוד טען פקיד השומה, בניגוד לטענת המשיבה, כי מטרתו של סעיף 94ב היא השגת ניטרליות בין מכירת מניות לבין משיכת דיבידנד, ולא ניטרליות במובן זה שרווחים שהופקו </w:t>
      </w:r>
      <w:proofErr w:type="spellStart"/>
      <w:r>
        <w:rPr>
          <w:rFonts w:hint="cs"/>
          <w:rtl/>
        </w:rPr>
        <w:t>ומוסו</w:t>
      </w:r>
      <w:proofErr w:type="spellEnd"/>
      <w:r>
        <w:rPr>
          <w:rFonts w:hint="cs"/>
          <w:rtl/>
        </w:rPr>
        <w:t xml:space="preserve"> מחוץ לישראל, דינם לכל דבר ועניין כדין רווחים שהופקו </w:t>
      </w:r>
      <w:proofErr w:type="spellStart"/>
      <w:r>
        <w:rPr>
          <w:rFonts w:hint="cs"/>
          <w:rtl/>
        </w:rPr>
        <w:t>ומוסו</w:t>
      </w:r>
      <w:proofErr w:type="spellEnd"/>
      <w:r>
        <w:rPr>
          <w:rFonts w:hint="cs"/>
          <w:rtl/>
        </w:rPr>
        <w:t xml:space="preserve"> בישראל.</w:t>
      </w:r>
    </w:p>
    <w:p w:rsidR="005307CB" w:rsidRPr="001E3246" w:rsidRDefault="005307CB" w:rsidP="005307CB">
      <w:pPr>
        <w:pStyle w:val="Ruller41"/>
      </w:pPr>
    </w:p>
    <w:p w:rsidR="005307CB" w:rsidRPr="003C5823" w:rsidRDefault="005307CB" w:rsidP="005307CB">
      <w:pPr>
        <w:pStyle w:val="Ruller4"/>
        <w:rPr>
          <w:rFonts w:ascii="Century" w:hAnsi="Century"/>
          <w:sz w:val="22"/>
          <w:rtl/>
        </w:rPr>
      </w:pPr>
      <w:r w:rsidRPr="003C5823">
        <w:rPr>
          <w:rFonts w:hint="cs"/>
          <w:rtl/>
        </w:rPr>
        <w:t xml:space="preserve">בפסק דין מפורט ומנומק קיבל בית המשפט את ערעור המשיבה. תחילה עמד בית המשפט על כך שמטרת סעיף 94ב היא להביא ל"אדישות </w:t>
      </w:r>
      <w:proofErr w:type="spellStart"/>
      <w:r w:rsidRPr="003C5823">
        <w:rPr>
          <w:rFonts w:hint="cs"/>
          <w:rtl/>
        </w:rPr>
        <w:t>מיסויית</w:t>
      </w:r>
      <w:proofErr w:type="spellEnd"/>
      <w:r w:rsidRPr="003C5823">
        <w:rPr>
          <w:rFonts w:hint="cs"/>
          <w:rtl/>
        </w:rPr>
        <w:t xml:space="preserve">" של הנישום בין מצב שבו ימשוך את הרווחים מהחברה המוחזקת לבין מצב שבו ימכור את מניות החברה בטרם חלוקת הרווחים, ועל ההיסטוריה החקיקתית של הסעיף. לאחר מכן סקר בית המשפט את משמעות הרפורמה בשיטת המס הישראלית במסגרת תיקון מס' 132 ואת השלכותיה על מיסוי דיבידנד שמקורו </w:t>
      </w:r>
      <w:r>
        <w:rPr>
          <w:rFonts w:hint="cs"/>
          <w:rtl/>
        </w:rPr>
        <w:t>מחוץ לישראל</w:t>
      </w:r>
      <w:r w:rsidRPr="003C5823">
        <w:rPr>
          <w:rFonts w:hint="cs"/>
          <w:rtl/>
        </w:rPr>
        <w:t>. במסגרת הרפורמה, הפכה שיטת המיסוי משיטה טריטוריאלית גרידא, לשיטה טריטוריאלית ופרסונלית גם יחד, כמקובל במדינות רבות. משמעות הדבר הייתה כי לאחר הרפורמה חויבה במס לפי הפקודה הן הכנסה שהופקה בישראל והן הכנסה שהופק</w:t>
      </w:r>
      <w:r>
        <w:rPr>
          <w:rFonts w:hint="cs"/>
          <w:rtl/>
        </w:rPr>
        <w:t xml:space="preserve">ה מחוץ לישראל </w:t>
      </w:r>
      <w:r w:rsidRPr="003C5823">
        <w:rPr>
          <w:rFonts w:hint="cs"/>
          <w:rtl/>
        </w:rPr>
        <w:t xml:space="preserve">על ידי תושב ישראל. חיובו של תושב ישראל בהכנסה שהופקה </w:t>
      </w:r>
      <w:r>
        <w:rPr>
          <w:rFonts w:hint="cs"/>
          <w:rtl/>
        </w:rPr>
        <w:t>מחוץ לישראל</w:t>
      </w:r>
      <w:r w:rsidRPr="003C5823">
        <w:rPr>
          <w:rFonts w:hint="cs"/>
          <w:rtl/>
        </w:rPr>
        <w:t xml:space="preserve"> הצריכה הסדרת מנגנון זיכוי, אשר ימנע הטלת כפל מס על ההכנסה, הן במדינה שבה הופקה ההכנסה והן בישראל. מנגנון זיכוי זה מוסדר באמנות המס הב</w:t>
      </w:r>
      <w:r>
        <w:rPr>
          <w:rFonts w:hint="cs"/>
          <w:rtl/>
        </w:rPr>
        <w:t>י</w:t>
      </w:r>
      <w:r w:rsidRPr="003C5823">
        <w:rPr>
          <w:rFonts w:hint="cs"/>
          <w:rtl/>
        </w:rPr>
        <w:t xml:space="preserve">לטרליות עליהן חתומה ישראל ובהוראות הפקודה. כך, סעיף 200(א) לפקודה קובע כי מסי החוץ יותרו </w:t>
      </w:r>
      <w:r>
        <w:rPr>
          <w:rFonts w:hint="cs"/>
          <w:rtl/>
        </w:rPr>
        <w:t>ל</w:t>
      </w:r>
      <w:r w:rsidRPr="003C5823">
        <w:rPr>
          <w:rFonts w:hint="cs"/>
          <w:rtl/>
        </w:rPr>
        <w:t xml:space="preserve">זיכוי כנגד המס המשולם על </w:t>
      </w:r>
      <w:r>
        <w:rPr>
          <w:rFonts w:hint="cs"/>
          <w:rtl/>
        </w:rPr>
        <w:t xml:space="preserve">ידי תושב </w:t>
      </w:r>
      <w:r w:rsidRPr="003C5823">
        <w:rPr>
          <w:rFonts w:hint="cs"/>
          <w:rtl/>
        </w:rPr>
        <w:t>ישראל בגין אותה הכנסה ("זיכוי ישיר"). לצד מנגנון הזיכוי הישיר, כאשר חברה זרה מחלקת דיבידנד לחברה ישראלית, חלות הוראות סעיפים 126(ג) ו-203(ב)</w:t>
      </w:r>
      <w:r>
        <w:rPr>
          <w:rFonts w:hint="cs"/>
          <w:rtl/>
        </w:rPr>
        <w:t xml:space="preserve"> לפקודה</w:t>
      </w:r>
      <w:r w:rsidRPr="003C5823">
        <w:rPr>
          <w:rFonts w:hint="cs"/>
          <w:rtl/>
        </w:rPr>
        <w:t>, וכפועל יוצא מכך זכאית החברה הישראלית ל"זיכוי עקיף" בשל המס ששולם על ידי החברה הזרה. ביסוד "הזיכוי העקיף" עומדת התפיסה הרואה בחברה מעין "צינור" או "מכשיר" שבאמצעותו בעל המניות מפיק את הכנסתו. לפיכך, ככל שרווחי החברה, שהגיעו בסופו של יום לידי בעל המניות, התחייבו במס זר, גם בידי ישות משפטית אחרת, מן הראוי לראות כאילו המס הזר שולם על ידי אותו נישום.</w:t>
      </w:r>
    </w:p>
    <w:p w:rsidR="005307CB" w:rsidRDefault="005307CB" w:rsidP="005307CB">
      <w:pPr>
        <w:pStyle w:val="Ruller41"/>
        <w:rPr>
          <w:rtl/>
        </w:rPr>
      </w:pPr>
    </w:p>
    <w:p w:rsidR="005307CB" w:rsidRDefault="005307CB" w:rsidP="005307CB">
      <w:pPr>
        <w:pStyle w:val="Ruller4"/>
        <w:rPr>
          <w:rtl/>
        </w:rPr>
      </w:pPr>
      <w:r>
        <w:rPr>
          <w:rFonts w:hint="cs"/>
          <w:rtl/>
        </w:rPr>
        <w:t>בית המשפט דחה את גישת פקיד השומה, לפיה מאחר שדלק ארה"ב היא חברה זרה שרווחיה לא "</w:t>
      </w:r>
      <w:proofErr w:type="spellStart"/>
      <w:r>
        <w:rPr>
          <w:rFonts w:hint="cs"/>
          <w:rtl/>
        </w:rPr>
        <w:t>נתחייבו</w:t>
      </w:r>
      <w:proofErr w:type="spellEnd"/>
      <w:r>
        <w:rPr>
          <w:rFonts w:hint="cs"/>
          <w:rtl/>
        </w:rPr>
        <w:t xml:space="preserve"> במס" ומאחר שסעיף 94ב אינו מפנה לסעיף 126(ג), אין מקום להכיר ב"רווחים ראויים לחלוקה" לפי החלופה </w:t>
      </w:r>
      <w:proofErr w:type="spellStart"/>
      <w:r>
        <w:rPr>
          <w:rFonts w:hint="cs"/>
          <w:rtl/>
        </w:rPr>
        <w:t>המיסויית</w:t>
      </w:r>
      <w:proofErr w:type="spellEnd"/>
      <w:r>
        <w:rPr>
          <w:rFonts w:hint="cs"/>
          <w:rtl/>
        </w:rPr>
        <w:t>, ועל המשיבה לשלם מס מלא על התמורה ממכירת מניותיה בחברת דלק ארה"ב. בית המשפט סבר כי קיים חֶסֶר הניתן להשלמה בסעיף 94ב ויש להחיל את ההסדר הקבוע בו גם על מכירת מניותיה של חברה זרה.</w:t>
      </w:r>
    </w:p>
    <w:p w:rsidR="005307CB" w:rsidRPr="00674F41" w:rsidRDefault="005307CB" w:rsidP="005307CB">
      <w:pPr>
        <w:pStyle w:val="Ruller41"/>
      </w:pPr>
    </w:p>
    <w:p w:rsidR="005307CB" w:rsidRDefault="005307CB" w:rsidP="005307CB">
      <w:pPr>
        <w:pStyle w:val="Ruller4"/>
      </w:pPr>
      <w:r>
        <w:rPr>
          <w:rFonts w:hint="cs"/>
          <w:rtl/>
        </w:rPr>
        <w:t xml:space="preserve">ראשית, בית המשפט ציין כי את המונחים "רווחים ראויים לחלוקה" </w:t>
      </w:r>
      <w:proofErr w:type="spellStart"/>
      <w:r>
        <w:rPr>
          <w:rFonts w:hint="cs"/>
          <w:rtl/>
        </w:rPr>
        <w:t>ו"נתחייבו</w:t>
      </w:r>
      <w:proofErr w:type="spellEnd"/>
      <w:r>
        <w:rPr>
          <w:rFonts w:hint="cs"/>
          <w:rtl/>
        </w:rPr>
        <w:t xml:space="preserve"> במס" בסעיף 94ב לפקודה יש לפרש באופן ההולם את התכלית שביסוד ההסדרים הקיימים בסעיפים 94ב, 126 ו-203(ב) לפקודה, מיסוי חברות בכלל ומיסוי חברות במישור הבינלאומי בפרט. בהתאם לכך, את המונח "</w:t>
      </w:r>
      <w:proofErr w:type="spellStart"/>
      <w:r>
        <w:rPr>
          <w:rFonts w:hint="cs"/>
          <w:rtl/>
        </w:rPr>
        <w:t>נתחייבו</w:t>
      </w:r>
      <w:proofErr w:type="spellEnd"/>
      <w:r>
        <w:rPr>
          <w:rFonts w:hint="cs"/>
          <w:rtl/>
        </w:rPr>
        <w:t xml:space="preserve"> במס" יש לפרש ככולל בתוכו "כל מס המובא בחשבון במסגרת שיטת המיסוי הכוללת החלה לפי הפקודה על החברה ובעלי מניותיה". לפיכך, גם מס זר, אף שאינו "מוטל" על פי הפקודה, אך "מיובא" לתוך שיטת המיסוי הישראלית בדרך של מתן זיכוי בעת חלוקת דיבידנד, הוא בבחינת "מס" לעניין זה ויש לראותו ככזה. כמו כן, יש לפרש את הגדרת המונח "מס" באופן תכליתי. עוד ציין בית המשפט כי אין "להחזיק את המחוקק כמי שעושה מלאכת מחשבת בכל הנוגע לניסוחן של הוראות דין בתחום המס, ובמיוחד בתחום המיסוי הבינלאומי" (פסקה 71 לפסק הדין). בסופו של יום, יש לבחון את השאלה מהם רווחים "</w:t>
      </w:r>
      <w:proofErr w:type="spellStart"/>
      <w:r>
        <w:rPr>
          <w:rFonts w:hint="cs"/>
          <w:rtl/>
        </w:rPr>
        <w:t>שנתחייבו</w:t>
      </w:r>
      <w:proofErr w:type="spellEnd"/>
      <w:r>
        <w:rPr>
          <w:rFonts w:hint="cs"/>
          <w:rtl/>
        </w:rPr>
        <w:t xml:space="preserve"> במס" באופן מהותי ולא באופן טכני, כאשר השאלה העומדת על הפרק היא האם, בהתאם לשיטה הדו-שלבית, צפוי להיות מוטל מס נוסף ברמת החברה או שמא המס הצפוי הנוסף הוא ברמת בעלי המניות היחידים בלבד. חיזוק לפרשנות תכליתית זו מצא בית המשפט בפסק הדין ב</w:t>
      </w:r>
      <w:r w:rsidRPr="0096216F">
        <w:rPr>
          <w:rFonts w:ascii="Century" w:hAnsi="Century" w:hint="cs"/>
          <w:sz w:val="22"/>
          <w:rtl/>
        </w:rPr>
        <w:t>עניין</w:t>
      </w:r>
      <w:r>
        <w:rPr>
          <w:rFonts w:ascii="Century" w:hAnsi="Century" w:cs="Miriam" w:hint="cs"/>
          <w:b/>
          <w:spacing w:val="0"/>
          <w:sz w:val="22"/>
          <w:szCs w:val="24"/>
          <w:rtl/>
        </w:rPr>
        <w:t xml:space="preserve"> </w:t>
      </w:r>
      <w:proofErr w:type="spellStart"/>
      <w:r>
        <w:rPr>
          <w:rFonts w:ascii="Century" w:hAnsi="Century" w:cs="Miriam" w:hint="cs"/>
          <w:b/>
          <w:spacing w:val="0"/>
          <w:sz w:val="22"/>
          <w:szCs w:val="24"/>
          <w:rtl/>
        </w:rPr>
        <w:t>ז'ורבין</w:t>
      </w:r>
      <w:proofErr w:type="spellEnd"/>
      <w:r>
        <w:rPr>
          <w:rFonts w:ascii="Century" w:hAnsi="Century" w:hint="cs"/>
          <w:sz w:val="22"/>
          <w:rtl/>
        </w:rPr>
        <w:t xml:space="preserve">. </w:t>
      </w:r>
    </w:p>
    <w:p w:rsidR="005307CB" w:rsidRDefault="005307CB" w:rsidP="005307CB">
      <w:pPr>
        <w:pStyle w:val="Ruller4"/>
        <w:numPr>
          <w:ilvl w:val="0"/>
          <w:numId w:val="0"/>
        </w:numPr>
      </w:pPr>
    </w:p>
    <w:p w:rsidR="005307CB" w:rsidRPr="00A25929" w:rsidRDefault="005307CB" w:rsidP="005307CB">
      <w:pPr>
        <w:pStyle w:val="Ruller4"/>
        <w:rPr>
          <w:rtl/>
        </w:rPr>
      </w:pPr>
      <w:r w:rsidRPr="00A25929">
        <w:rPr>
          <w:rFonts w:hint="cs"/>
          <w:rtl/>
        </w:rPr>
        <w:t xml:space="preserve">שנית, בית המשפט סבר כי אין מקום להבחין בין מצב שבו חברה ישראלית פועלת </w:t>
      </w:r>
      <w:r>
        <w:rPr>
          <w:rFonts w:hint="cs"/>
          <w:rtl/>
        </w:rPr>
        <w:t>מחוץ לישראל</w:t>
      </w:r>
      <w:r w:rsidRPr="00A25929">
        <w:rPr>
          <w:rFonts w:hint="cs"/>
          <w:rtl/>
        </w:rPr>
        <w:t xml:space="preserve"> באמצעות סניף שלה (או </w:t>
      </w:r>
      <w:r>
        <w:rPr>
          <w:rFonts w:hint="cs"/>
          <w:rtl/>
        </w:rPr>
        <w:t xml:space="preserve">באמצעות </w:t>
      </w:r>
      <w:r w:rsidRPr="00A25929">
        <w:rPr>
          <w:rFonts w:hint="cs"/>
          <w:rtl/>
        </w:rPr>
        <w:t xml:space="preserve">חברת בת ישראלית), לבין מצב שבו היא פועלת </w:t>
      </w:r>
      <w:r>
        <w:rPr>
          <w:rFonts w:hint="cs"/>
          <w:rtl/>
        </w:rPr>
        <w:t xml:space="preserve">מחוץ לישראל </w:t>
      </w:r>
      <w:r w:rsidRPr="00A25929">
        <w:rPr>
          <w:rFonts w:hint="cs"/>
          <w:rtl/>
        </w:rPr>
        <w:t xml:space="preserve">באמצעות חברת בת זרה. </w:t>
      </w:r>
      <w:proofErr w:type="spellStart"/>
      <w:r w:rsidRPr="00A25929">
        <w:rPr>
          <w:rFonts w:hint="cs"/>
          <w:rtl/>
        </w:rPr>
        <w:t>הכל</w:t>
      </w:r>
      <w:proofErr w:type="spellEnd"/>
      <w:r w:rsidRPr="00A25929">
        <w:rPr>
          <w:rFonts w:hint="cs"/>
          <w:rtl/>
        </w:rPr>
        <w:t xml:space="preserve"> מסכימים כי יש להכיר ב"רווחים ראויים לחלוקה" במקרה שבו חברה ישראלית מוכרת מניותיה של חברת בת ישראלית המפיקה הכנסות </w:t>
      </w:r>
      <w:r>
        <w:rPr>
          <w:rFonts w:hint="cs"/>
          <w:rtl/>
        </w:rPr>
        <w:t>מחוץ לישראל</w:t>
      </w:r>
      <w:r w:rsidRPr="00A25929">
        <w:rPr>
          <w:rFonts w:hint="cs"/>
          <w:rtl/>
        </w:rPr>
        <w:t xml:space="preserve">, גם כאשר בשל הזיכוי הישיר והזיכוי העקיף לא משולם בפועל כל מס בישראל. לעומת זאת, </w:t>
      </w:r>
      <w:r>
        <w:rPr>
          <w:rFonts w:hint="cs"/>
          <w:rtl/>
        </w:rPr>
        <w:t xml:space="preserve">פקיד השומה </w:t>
      </w:r>
      <w:r w:rsidRPr="00A25929">
        <w:rPr>
          <w:rFonts w:hint="cs"/>
          <w:rtl/>
        </w:rPr>
        <w:t xml:space="preserve">לא הציג כל טעם מדוע ראוי שתוצאת המס תהא שונה כאשר החברה הישראלית פועלת </w:t>
      </w:r>
      <w:r>
        <w:rPr>
          <w:rFonts w:hint="cs"/>
          <w:rtl/>
        </w:rPr>
        <w:t>מחוץ לישראל</w:t>
      </w:r>
      <w:r w:rsidRPr="00A25929">
        <w:rPr>
          <w:rFonts w:hint="cs"/>
          <w:rtl/>
        </w:rPr>
        <w:t xml:space="preserve"> באמצעות חברת בת זרה. </w:t>
      </w:r>
    </w:p>
    <w:p w:rsidR="005307CB" w:rsidRPr="00A25929" w:rsidRDefault="005307CB" w:rsidP="005307CB">
      <w:pPr>
        <w:pStyle w:val="Ruller41"/>
      </w:pPr>
    </w:p>
    <w:p w:rsidR="005307CB" w:rsidRPr="00A25929" w:rsidRDefault="005307CB" w:rsidP="005307CB">
      <w:pPr>
        <w:pStyle w:val="Ruller4"/>
        <w:rPr>
          <w:rtl/>
        </w:rPr>
      </w:pPr>
      <w:r w:rsidRPr="00A25929">
        <w:rPr>
          <w:rFonts w:hint="cs"/>
          <w:rtl/>
        </w:rPr>
        <w:t xml:space="preserve">שלישית, בית המשפט שב וציין כי אחת מתכליות סעיף 94ב היא להביא ל"אדישות </w:t>
      </w:r>
      <w:proofErr w:type="spellStart"/>
      <w:r w:rsidRPr="00A25929">
        <w:rPr>
          <w:rFonts w:hint="cs"/>
          <w:rtl/>
        </w:rPr>
        <w:t>מיסויית</w:t>
      </w:r>
      <w:proofErr w:type="spellEnd"/>
      <w:r w:rsidRPr="00A25929">
        <w:rPr>
          <w:rFonts w:hint="cs"/>
          <w:rtl/>
        </w:rPr>
        <w:t xml:space="preserve">". הווה אומר, כי החבות במס לא תשתנה בין מצב שבו חברת האם מכרה את מניותיה בחברת הבת כאשר הרווחים נותרים באותה חברה, לבין מצב שבו משכה חברת האם דיבידנד ולאחר מכן מכרה את מניותיה. אי החלת ההסדר הקבוע בסעיף 94ב לגבי </w:t>
      </w:r>
      <w:proofErr w:type="spellStart"/>
      <w:r w:rsidRPr="00A25929">
        <w:rPr>
          <w:rFonts w:hint="cs"/>
          <w:rtl/>
        </w:rPr>
        <w:t>רר"ל</w:t>
      </w:r>
      <w:proofErr w:type="spellEnd"/>
      <w:r w:rsidRPr="00A25929">
        <w:rPr>
          <w:rFonts w:hint="cs"/>
          <w:rtl/>
        </w:rPr>
        <w:t xml:space="preserve"> במקרה של מכירת מניות בחברת בת זרה תביא לתוצאה שונה ותחטא לתכלית הסעיף. </w:t>
      </w:r>
    </w:p>
    <w:p w:rsidR="005307CB" w:rsidRDefault="005307CB" w:rsidP="005307CB">
      <w:pPr>
        <w:pStyle w:val="Ruller41"/>
        <w:rPr>
          <w:rtl/>
        </w:rPr>
      </w:pPr>
    </w:p>
    <w:p w:rsidR="005307CB" w:rsidRDefault="005307CB" w:rsidP="005307CB">
      <w:pPr>
        <w:pStyle w:val="Ruller4"/>
        <w:rPr>
          <w:rtl/>
        </w:rPr>
      </w:pPr>
      <w:r>
        <w:rPr>
          <w:rFonts w:hint="cs"/>
          <w:rtl/>
        </w:rPr>
        <w:t xml:space="preserve">בית המשפט לא התעלם מכך שסעיף 94ב מפנה לסעיף 126(ב) בלבד ולא לסעיף 126(ג), העוסק כאמור במיסוי דיבידנד שמקורו מחוץ לישראל. אלא שעובדה זו, גרס בית המשפט, אינה מצדיקה התעלמות מההסדרים הכוללים הקיימים בהוראות הפקודה בכל הנוגע למיסוי רווחיה של חברה, לרבות חברה זרה הפועלת מחוץ לישראל ולמיסוי הדיבידנד המחולק על ידה. הסדרים אלה מביאים בחשבון כי מיסוי חברות מתבצע בשיטה דו-שלבית (ולא בשיטה חד-שלבית או תלת-שלבית). יתר על כן, בית המשפט ציין כי, כפי שעולה מחוזר מס הכנסה מס' 23/2002 "הרפורמה במס הכנסה- שינויים בחלק ה' לפקודה" (31.12.2002), אף פקיד השומה עצמו מחיל את הוראת סעיף 94ב בנסיבות שבהן חלוקת הדיבידנד אינה כפופה להוראת סעיף 126(ב), תוך מתן פרשנות תכליתית לסעיף ולא פרשנות דווקנית ופורמלית. </w:t>
      </w:r>
    </w:p>
    <w:p w:rsidR="005307CB" w:rsidRDefault="005307CB" w:rsidP="005307CB">
      <w:pPr>
        <w:pStyle w:val="Ruller41"/>
        <w:rPr>
          <w:rtl/>
        </w:rPr>
      </w:pPr>
    </w:p>
    <w:p w:rsidR="005307CB" w:rsidRPr="00F13132" w:rsidRDefault="005307CB" w:rsidP="005307CB">
      <w:pPr>
        <w:pStyle w:val="Ruller41"/>
        <w:rPr>
          <w:rtl/>
        </w:rPr>
      </w:pPr>
      <w:r>
        <w:rPr>
          <w:rtl/>
        </w:rPr>
        <w:tab/>
      </w:r>
      <w:r>
        <w:rPr>
          <w:rFonts w:hint="cs"/>
          <w:rtl/>
        </w:rPr>
        <w:t>פקיד השומה לא השלים עם תוצאת פסק הדין ומכאן נולד הערעור שלפנינו.</w:t>
      </w:r>
    </w:p>
    <w:p w:rsidR="005307CB" w:rsidRDefault="005307CB" w:rsidP="005307CB">
      <w:pPr>
        <w:pStyle w:val="Ruller41"/>
        <w:rPr>
          <w:rtl/>
        </w:rPr>
      </w:pPr>
    </w:p>
    <w:p w:rsidR="005307CB" w:rsidRPr="00DC6EBA" w:rsidRDefault="005307CB" w:rsidP="005307CB">
      <w:pPr>
        <w:pStyle w:val="Ruller41"/>
        <w:rPr>
          <w:rFonts w:ascii="Century" w:hAnsi="Century" w:cs="Miriam"/>
          <w:b/>
          <w:spacing w:val="0"/>
          <w:szCs w:val="24"/>
          <w:rtl/>
        </w:rPr>
      </w:pPr>
      <w:r>
        <w:rPr>
          <w:rFonts w:ascii="Century" w:hAnsi="Century" w:cs="Miriam" w:hint="cs"/>
          <w:b/>
          <w:spacing w:val="0"/>
          <w:szCs w:val="24"/>
          <w:rtl/>
        </w:rPr>
        <w:t>טענות הצדדים</w:t>
      </w:r>
    </w:p>
    <w:p w:rsidR="005307CB" w:rsidRDefault="005307CB" w:rsidP="005307CB">
      <w:pPr>
        <w:pStyle w:val="Ruller4"/>
        <w:rPr>
          <w:rFonts w:ascii="Century" w:hAnsi="Century"/>
          <w:sz w:val="22"/>
          <w:rtl/>
        </w:rPr>
      </w:pPr>
      <w:r>
        <w:rPr>
          <w:rFonts w:hint="cs"/>
          <w:rtl/>
        </w:rPr>
        <w:t xml:space="preserve">פקיד השומה טוען בערעורו כי פרשנותו של בית המשפט המחוזי של סעיף 94ב לפקודה שגויה. לשיטתו, הפרשנות מבוססת על הנחה מנוגדת לדין בדבר זהות, סימטריה ושקילות בין רווח הון לבין דיבידנד. ברם, דין רווח הון אינו כדין </w:t>
      </w:r>
      <w:proofErr w:type="spellStart"/>
      <w:r>
        <w:rPr>
          <w:rFonts w:hint="cs"/>
          <w:rtl/>
        </w:rPr>
        <w:t>דיבידבנד</w:t>
      </w:r>
      <w:proofErr w:type="spellEnd"/>
      <w:r>
        <w:rPr>
          <w:rFonts w:hint="cs"/>
          <w:rtl/>
        </w:rPr>
        <w:t xml:space="preserve">. סעיף 94ב לפקודה מבקש ליצור שקילות חלקית בלבד, במקרים מסוימים ומצומצמים, לעניין </w:t>
      </w:r>
      <w:r>
        <w:rPr>
          <w:rFonts w:ascii="Century" w:hAnsi="Century" w:cs="Miriam" w:hint="cs"/>
          <w:b/>
          <w:spacing w:val="0"/>
          <w:sz w:val="22"/>
          <w:szCs w:val="24"/>
          <w:rtl/>
        </w:rPr>
        <w:t>שיעור המס</w:t>
      </w:r>
      <w:r>
        <w:rPr>
          <w:rFonts w:ascii="Century" w:hAnsi="Century" w:hint="cs"/>
          <w:sz w:val="22"/>
          <w:rtl/>
        </w:rPr>
        <w:t xml:space="preserve"> שיוטל על חלק מרווח ההון. לשונו ותכליתו של סעיף 94ב מעידות באופן מובהק על כך שהוא חל בעת מכירת מניותיה של חברה הכפופה למיסוי בישראל, ועליה בלבד.</w:t>
      </w:r>
    </w:p>
    <w:p w:rsidR="005307CB" w:rsidRDefault="005307CB" w:rsidP="005307CB">
      <w:pPr>
        <w:pStyle w:val="Ruller41"/>
        <w:rPr>
          <w:rtl/>
        </w:rPr>
      </w:pPr>
    </w:p>
    <w:p w:rsidR="005307CB" w:rsidRDefault="005307CB" w:rsidP="005307CB">
      <w:pPr>
        <w:pStyle w:val="Ruller4"/>
        <w:rPr>
          <w:rtl/>
        </w:rPr>
      </w:pPr>
      <w:r>
        <w:rPr>
          <w:rFonts w:hint="cs"/>
          <w:rtl/>
        </w:rPr>
        <w:t xml:space="preserve">סעיף 94ב מבטא לדעת פקיד השומה הסדר "שלם, מקיף וסדור" בנוגע להטבת המס הניתנת במסגרתו בעת מכירת מניות חברה, ביחס לחלק ברווח ההון המשקף את הרווחים הראויים לחלוקה שלא חולקו. כך, מבחינת עיתוי צמיחת הרווחים, רק רווחים שנצטברו בחברה "מתום שנת המס שקדמה לשנת רכישת המניה עד תום שנת המס שקדמה לשנת המכירה שלה" מובאים בחשבון; מבחינת אופן חישוב הרווחים, הטבת המס תחול על סכום הרווחים הנמוך מבין שתי חלופות, היינו החלופה החשבונאית או החלופה </w:t>
      </w:r>
      <w:proofErr w:type="spellStart"/>
      <w:r>
        <w:rPr>
          <w:rFonts w:hint="cs"/>
          <w:rtl/>
        </w:rPr>
        <w:t>המיסויית</w:t>
      </w:r>
      <w:proofErr w:type="spellEnd"/>
      <w:r>
        <w:rPr>
          <w:rFonts w:hint="cs"/>
          <w:rtl/>
        </w:rPr>
        <w:t>; וכיוצא באלה. הטבה זו מוסדרת כאמור באופן שלם וסדור, והיא חלה במקרים מסוימים בלבד, ולא על מכירת מניות של חברה זרה שאינה כפופה למשטר המס בישראל. על כן, שגה בית המשפט המחוזי בקבעו כי קיים חֶסֶר בהסדר החקיקתי הניתן להשלמה שיפוטית.</w:t>
      </w:r>
    </w:p>
    <w:p w:rsidR="005307CB" w:rsidRDefault="005307CB" w:rsidP="005307CB">
      <w:pPr>
        <w:pStyle w:val="Ruller41"/>
        <w:rPr>
          <w:rtl/>
        </w:rPr>
      </w:pPr>
    </w:p>
    <w:p w:rsidR="005307CB" w:rsidRDefault="005307CB" w:rsidP="005307CB">
      <w:pPr>
        <w:pStyle w:val="Ruller4"/>
        <w:rPr>
          <w:rtl/>
        </w:rPr>
      </w:pPr>
      <w:r>
        <w:rPr>
          <w:rFonts w:hint="cs"/>
          <w:rtl/>
        </w:rPr>
        <w:t>המונח "</w:t>
      </w:r>
      <w:proofErr w:type="spellStart"/>
      <w:r>
        <w:rPr>
          <w:rFonts w:hint="cs"/>
          <w:rtl/>
        </w:rPr>
        <w:t>נתחייבו</w:t>
      </w:r>
      <w:proofErr w:type="spellEnd"/>
      <w:r>
        <w:rPr>
          <w:rFonts w:hint="cs"/>
          <w:rtl/>
        </w:rPr>
        <w:t xml:space="preserve"> במס" בסעיף הוא ברור. "</w:t>
      </w:r>
      <w:proofErr w:type="spellStart"/>
      <w:r>
        <w:rPr>
          <w:rFonts w:hint="cs"/>
          <w:rtl/>
        </w:rPr>
        <w:t>נתחייבו</w:t>
      </w:r>
      <w:proofErr w:type="spellEnd"/>
      <w:r>
        <w:rPr>
          <w:rFonts w:hint="cs"/>
          <w:rtl/>
        </w:rPr>
        <w:t xml:space="preserve">" משמעו חיוב במס שאירע בעבר. לעומת זאת, הפרשנות שאימץ בית המשפט צופה פני עתיד </w:t>
      </w:r>
      <w:r>
        <w:rPr>
          <w:rtl/>
        </w:rPr>
        <w:t>–</w:t>
      </w:r>
      <w:r>
        <w:rPr>
          <w:rFonts w:hint="cs"/>
          <w:rtl/>
        </w:rPr>
        <w:t xml:space="preserve"> ככולל מס שבו היו צפויים הרווחים להתחייב או לא להתחייב בעתיד, אילו היו מחולקים </w:t>
      </w:r>
      <w:proofErr w:type="spellStart"/>
      <w:r>
        <w:rPr>
          <w:rFonts w:hint="cs"/>
          <w:rtl/>
        </w:rPr>
        <w:t>כדיבידינד</w:t>
      </w:r>
      <w:proofErr w:type="spellEnd"/>
      <w:r>
        <w:rPr>
          <w:rFonts w:hint="cs"/>
          <w:rtl/>
        </w:rPr>
        <w:t xml:space="preserve">. לפי ההגדרה שבסעיף 1 לפקודה, "מס" הוא "מס הכנסה" או "מס חברות", לפי הפקודה. בעתיד, ככל שיחולקו הרווחים, הם עשויים להתחייב במס לפי סעיף 126(ג) לפקודה וליהנות מזיכוי בשל מיסי חוץ לפי סעיף 203(א) לפקודה </w:t>
      </w:r>
      <w:r>
        <w:rPr>
          <w:rtl/>
        </w:rPr>
        <w:t>–</w:t>
      </w:r>
      <w:r>
        <w:rPr>
          <w:rFonts w:hint="cs"/>
          <w:rtl/>
        </w:rPr>
        <w:t xml:space="preserve"> ואף ייתכן שעקב כך לא יצטרך בעל המניות לשלם מס כלל. אולם, אין באפשרות עתידית ותיאורטית זו כדי להפוך רווחים אלה לכאלה </w:t>
      </w:r>
      <w:proofErr w:type="spellStart"/>
      <w:r>
        <w:rPr>
          <w:rFonts w:hint="cs"/>
          <w:rtl/>
        </w:rPr>
        <w:t>שנתחייבו</w:t>
      </w:r>
      <w:proofErr w:type="spellEnd"/>
      <w:r>
        <w:rPr>
          <w:rFonts w:hint="cs"/>
          <w:rtl/>
        </w:rPr>
        <w:t xml:space="preserve"> (לשון עבר) במס בישראל. כאשר מדובר בדיבידנד המתקבל מחברה זרה או מהכנסות שהופקו מחוץ ישראל, לא התרחש חיוב במס הכנסה או מס חברות על הרווחים הראויים לחלוקה. בענייננו, לא היה כל אירוע מס שבמסגרתו </w:t>
      </w:r>
      <w:proofErr w:type="spellStart"/>
      <w:r>
        <w:rPr>
          <w:rFonts w:hint="cs"/>
          <w:rtl/>
        </w:rPr>
        <w:t>נתחייבו</w:t>
      </w:r>
      <w:proofErr w:type="spellEnd"/>
      <w:r>
        <w:rPr>
          <w:rFonts w:hint="cs"/>
          <w:rtl/>
        </w:rPr>
        <w:t xml:space="preserve"> הרווחים במס; החיוב במס הוא קונסטרוקציה ספקולטיבית עתידית, של מה ש"עשוי" להתרחש, ולא בהתבסס על חיוב פוזיטיבי של פקיד השומה. על כן, טען פקיד השומה, שגה בית המשפט המחוזי בקבעו כי סעיף 94ב חל גם ביחס לדיבידנד של חברת בת זרה.</w:t>
      </w:r>
    </w:p>
    <w:p w:rsidR="005307CB" w:rsidRDefault="005307CB" w:rsidP="005307CB">
      <w:pPr>
        <w:pStyle w:val="Ruller41"/>
        <w:rPr>
          <w:rtl/>
        </w:rPr>
      </w:pPr>
    </w:p>
    <w:p w:rsidR="005307CB" w:rsidRPr="00043B2E" w:rsidRDefault="005307CB" w:rsidP="005307CB">
      <w:pPr>
        <w:pStyle w:val="Ruller4"/>
        <w:rPr>
          <w:rtl/>
        </w:rPr>
      </w:pPr>
      <w:r>
        <w:rPr>
          <w:rFonts w:hint="cs"/>
          <w:rtl/>
        </w:rPr>
        <w:t xml:space="preserve">פקיד השומה גרס עוד כי הסיבה העיקרית שהובילה את בית המשפט המחוזי לתוצאה האמורה היא סוגיית המיסוי הבינלאומי והנשיאה במסי חוץ. אולם, עניינו של סעיף 94ב לפקודה הוא במיסוי </w:t>
      </w:r>
      <w:r w:rsidRPr="002F2657">
        <w:rPr>
          <w:rFonts w:ascii="Century" w:hAnsi="Century" w:cs="Miriam" w:hint="cs"/>
          <w:b/>
          <w:spacing w:val="0"/>
          <w:sz w:val="22"/>
          <w:szCs w:val="24"/>
          <w:rtl/>
        </w:rPr>
        <w:t>פנימי</w:t>
      </w:r>
      <w:r>
        <w:rPr>
          <w:rFonts w:hint="cs"/>
          <w:rtl/>
        </w:rPr>
        <w:t>, במדינת ישראל. אכן, החלתו של סעיף 94ב רק אם הרווחים "</w:t>
      </w:r>
      <w:proofErr w:type="spellStart"/>
      <w:r>
        <w:rPr>
          <w:rFonts w:hint="cs"/>
          <w:rtl/>
        </w:rPr>
        <w:t>נתחייבו</w:t>
      </w:r>
      <w:proofErr w:type="spellEnd"/>
      <w:r>
        <w:rPr>
          <w:rFonts w:hint="cs"/>
          <w:rtl/>
        </w:rPr>
        <w:t xml:space="preserve"> במס" בישראל מושתתת על השאיפה להגשים אדישות </w:t>
      </w:r>
      <w:proofErr w:type="spellStart"/>
      <w:r>
        <w:rPr>
          <w:rFonts w:hint="cs"/>
          <w:rtl/>
        </w:rPr>
        <w:t>מיסויית</w:t>
      </w:r>
      <w:proofErr w:type="spellEnd"/>
      <w:r>
        <w:rPr>
          <w:rFonts w:hint="cs"/>
          <w:rtl/>
        </w:rPr>
        <w:t xml:space="preserve">, כך שחברות לא תחלקנה דיבידנדים רק משיקולי מס ותוכלנה להותיר רווחיהן בחברה ולהשקיעם. ברם, תכלית זו מכוּונת למשק הישראלי ולחברות ישראליות. לעומת זאת, אין כל סיבה או הצדקה להגשים את התכלית של אדישות </w:t>
      </w:r>
      <w:proofErr w:type="spellStart"/>
      <w:r>
        <w:rPr>
          <w:rFonts w:hint="cs"/>
          <w:rtl/>
        </w:rPr>
        <w:t>מיסויית</w:t>
      </w:r>
      <w:proofErr w:type="spellEnd"/>
      <w:r>
        <w:rPr>
          <w:rFonts w:hint="cs"/>
          <w:rtl/>
        </w:rPr>
        <w:t xml:space="preserve"> בקרב חברות זרות המנהלות עסקים מעבר לים ואינן כפופות למשטר המס בישראל. הטבת המס הקבועה בסעיף נועדה לנישומים המשלמים מס בישראל, ולא לנישומים זרים שאינם עושים כן.</w:t>
      </w:r>
    </w:p>
    <w:p w:rsidR="005307CB" w:rsidRDefault="005307CB" w:rsidP="005307CB">
      <w:pPr>
        <w:pStyle w:val="Ruller41"/>
        <w:rPr>
          <w:rtl/>
        </w:rPr>
      </w:pPr>
    </w:p>
    <w:p w:rsidR="005307CB" w:rsidRDefault="005307CB" w:rsidP="0043051E">
      <w:pPr>
        <w:pStyle w:val="Ruller4"/>
        <w:rPr>
          <w:rtl/>
        </w:rPr>
      </w:pPr>
      <w:r>
        <w:rPr>
          <w:rFonts w:hint="cs"/>
          <w:rtl/>
        </w:rPr>
        <w:t xml:space="preserve">המשיבה מנגד סמכה ידה על פסק דינו של בית המשפט המחוזי. לעמדתה, במסגרת תיקון מס' 132 האמור, אשר תיקן ועיצב מחדש את סעיף 94ב לפקודה, הוחלף משטר המס הטריטוריאלי שנהג בישראל במשטר מס פרסונאלי. הרפורמה ביקשה לקדם הסרת חסמי מס, ניטרליות </w:t>
      </w:r>
      <w:proofErr w:type="spellStart"/>
      <w:r>
        <w:rPr>
          <w:rFonts w:hint="cs"/>
          <w:rtl/>
        </w:rPr>
        <w:t>מיסויית</w:t>
      </w:r>
      <w:proofErr w:type="spellEnd"/>
      <w:r>
        <w:rPr>
          <w:rFonts w:hint="cs"/>
          <w:rtl/>
        </w:rPr>
        <w:t xml:space="preserve">, יעילות כלכלית, הגינות ושוויון. בהקשר זה, מודל המיסוי הדו-שלבי נועד לשמר "אדישות </w:t>
      </w:r>
      <w:proofErr w:type="spellStart"/>
      <w:r>
        <w:rPr>
          <w:rFonts w:hint="cs"/>
          <w:rtl/>
        </w:rPr>
        <w:t>מיסויית</w:t>
      </w:r>
      <w:proofErr w:type="spellEnd"/>
      <w:r>
        <w:rPr>
          <w:rFonts w:hint="cs"/>
          <w:rtl/>
        </w:rPr>
        <w:t xml:space="preserve">" באמצעות קירוב נטל המס המצרפי בפעילות באמצעות חברה למס השולי המוטל על הכנסתו של יחיד מפעילות שאינה מאוגדת. משטר מיסוי זה תקף גם כששרשרת החברות כוללת תאגיד הפועל מחוץ לישראל. </w:t>
      </w:r>
    </w:p>
    <w:p w:rsidR="005307CB" w:rsidRDefault="005307CB" w:rsidP="005307CB">
      <w:pPr>
        <w:pStyle w:val="Ruller41"/>
        <w:rPr>
          <w:rtl/>
        </w:rPr>
      </w:pPr>
    </w:p>
    <w:p w:rsidR="005307CB" w:rsidRDefault="005307CB" w:rsidP="005307CB">
      <w:pPr>
        <w:pStyle w:val="Ruller4"/>
        <w:rPr>
          <w:rtl/>
        </w:rPr>
      </w:pPr>
      <w:r>
        <w:rPr>
          <w:rFonts w:hint="cs"/>
          <w:rtl/>
        </w:rPr>
        <w:t xml:space="preserve">מטרתו של סעיף 94ב לפקודה היא להשוות את הסדר המס במכירה או בפירוק להסדר שהיה חל בחלוקת דיבידנד. בהליך בבית המשפט המחוזי הוכח שהוועדה הציבורית לרפורמה במס הכנסה ("ועדת </w:t>
      </w:r>
      <w:proofErr w:type="spellStart"/>
      <w:r>
        <w:rPr>
          <w:rFonts w:hint="cs"/>
          <w:rtl/>
        </w:rPr>
        <w:t>רבינוביץ</w:t>
      </w:r>
      <w:proofErr w:type="spellEnd"/>
      <w:r>
        <w:rPr>
          <w:rFonts w:hint="cs"/>
          <w:rtl/>
        </w:rPr>
        <w:t xml:space="preserve">'"), שעל בסיס המלצותיה חוקק תיקון מס' 132, ביקשה ליצור ניטרליות בין שתי הדרכים למימוש רווחים צבורים </w:t>
      </w:r>
      <w:r>
        <w:rPr>
          <w:rtl/>
        </w:rPr>
        <w:t>–</w:t>
      </w:r>
      <w:r>
        <w:rPr>
          <w:rFonts w:hint="cs"/>
          <w:rtl/>
        </w:rPr>
        <w:t xml:space="preserve"> הן ביחס לחברה ישראלית והן ביחס לחברה זרה. לטענת המשיבה, ההפניה המדויקת לסעיפים 125 ו-126(ב) לפקודה "</w:t>
      </w:r>
      <w:proofErr w:type="spellStart"/>
      <w:r>
        <w:rPr>
          <w:rFonts w:hint="cs"/>
          <w:rtl/>
        </w:rPr>
        <w:t>נשתרבבה</w:t>
      </w:r>
      <w:proofErr w:type="spellEnd"/>
      <w:r>
        <w:rPr>
          <w:rFonts w:hint="cs"/>
          <w:rtl/>
        </w:rPr>
        <w:t>" אליה ברגע האחרון במהלך דיונים בוועדת הכספים של הכנסת, מבלי שהמשתתפים בדיונים נתנו את דעתם לשינוי, ואין בה כדי למנוע בנסיבות העניין החלת ההסדר הקבוע בסעיף 94ב גם על רווחיה הראויים לחלוקה של חברה זרה.</w:t>
      </w:r>
    </w:p>
    <w:p w:rsidR="005307CB" w:rsidRPr="00100CD6" w:rsidRDefault="005307CB" w:rsidP="005307CB">
      <w:pPr>
        <w:pStyle w:val="Ruller41"/>
        <w:rPr>
          <w:rtl/>
        </w:rPr>
      </w:pPr>
    </w:p>
    <w:p w:rsidR="005307CB" w:rsidRDefault="005307CB" w:rsidP="005307CB">
      <w:pPr>
        <w:pStyle w:val="Ruller41"/>
        <w:rPr>
          <w:rFonts w:ascii="Century" w:hAnsi="Century" w:cs="Miriam"/>
          <w:b/>
          <w:spacing w:val="0"/>
          <w:szCs w:val="24"/>
          <w:rtl/>
        </w:rPr>
      </w:pPr>
      <w:r w:rsidRPr="00DC6EBA">
        <w:rPr>
          <w:rFonts w:ascii="Century" w:hAnsi="Century" w:cs="Miriam" w:hint="cs"/>
          <w:b/>
          <w:spacing w:val="0"/>
          <w:szCs w:val="24"/>
          <w:rtl/>
        </w:rPr>
        <w:t>דיון והכרעה</w:t>
      </w:r>
    </w:p>
    <w:p w:rsidR="005307CB" w:rsidRDefault="005307CB" w:rsidP="005307CB">
      <w:pPr>
        <w:pStyle w:val="Ruller4"/>
        <w:rPr>
          <w:rtl/>
        </w:rPr>
      </w:pPr>
      <w:r>
        <w:rPr>
          <w:rFonts w:hint="cs"/>
          <w:rtl/>
        </w:rPr>
        <w:t>כאמור, השאלה העומדת להכרעה היא, האם ההסדר הקבוע בסעיף 94ב חל גם בעת מכירת מניותיה של חברה זרה על ידי חברה ישראלית.</w:t>
      </w:r>
    </w:p>
    <w:p w:rsidR="005307CB" w:rsidRDefault="005307CB" w:rsidP="005307CB">
      <w:pPr>
        <w:pStyle w:val="Ruller41"/>
        <w:rPr>
          <w:rtl/>
        </w:rPr>
      </w:pPr>
    </w:p>
    <w:p w:rsidR="005307CB" w:rsidRDefault="00535896" w:rsidP="00535896">
      <w:pPr>
        <w:pStyle w:val="Ruller4"/>
        <w:rPr>
          <w:rFonts w:ascii="Century" w:hAnsi="Century"/>
          <w:sz w:val="22"/>
          <w:rtl/>
        </w:rPr>
      </w:pPr>
      <w:r>
        <w:rPr>
          <w:rFonts w:hint="cs"/>
          <w:rtl/>
        </w:rPr>
        <w:t>המשיבה</w:t>
      </w:r>
      <w:r w:rsidR="00D74EE2">
        <w:rPr>
          <w:rFonts w:hint="cs"/>
          <w:rtl/>
        </w:rPr>
        <w:t xml:space="preserve"> סברה</w:t>
      </w:r>
      <w:r w:rsidR="005307CB">
        <w:rPr>
          <w:rFonts w:hint="cs"/>
          <w:rtl/>
        </w:rPr>
        <w:t xml:space="preserve"> כי סעיף 94ב לפקודה אינו מפנה לסעיף 126(ג) לפקודה בשל "טעות" שנפלה בידי המחוקק ועל כן מדובר בחֶסֶר הניתן להשלמה. אולם, לעמדתי, פרשנות זו אינה אפשרית </w:t>
      </w:r>
      <w:r w:rsidR="005307CB">
        <w:rPr>
          <w:rFonts w:ascii="Century" w:hAnsi="Century" w:cs="Miriam" w:hint="cs"/>
          <w:b/>
          <w:spacing w:val="0"/>
          <w:sz w:val="22"/>
          <w:szCs w:val="24"/>
          <w:rtl/>
        </w:rPr>
        <w:t>מבחינה לשונית</w:t>
      </w:r>
      <w:r w:rsidR="005307CB">
        <w:rPr>
          <w:rFonts w:ascii="Century" w:hAnsi="Century" w:hint="cs"/>
          <w:sz w:val="22"/>
          <w:rtl/>
        </w:rPr>
        <w:t xml:space="preserve">. "פשוטו של מקרא" (בג"ץ 4140/95 </w:t>
      </w:r>
      <w:r w:rsidR="005307CB">
        <w:rPr>
          <w:rFonts w:ascii="Century" w:hAnsi="Century" w:cs="Miriam" w:hint="cs"/>
          <w:b/>
          <w:spacing w:val="0"/>
          <w:sz w:val="22"/>
          <w:szCs w:val="24"/>
          <w:rtl/>
        </w:rPr>
        <w:t>סופרפארם (ישראל) בע"מ נ' מנהל המכס ומע"מ</w:t>
      </w:r>
      <w:r w:rsidR="005307CB">
        <w:rPr>
          <w:rFonts w:ascii="Century" w:hAnsi="Century" w:hint="cs"/>
          <w:sz w:val="22"/>
          <w:rtl/>
        </w:rPr>
        <w:t xml:space="preserve">, פ"ד נד(1) 49, 61 (1999)) מורה כי סעיף 94ב </w:t>
      </w:r>
      <w:r w:rsidR="005307CB" w:rsidRPr="007C615C">
        <w:rPr>
          <w:rFonts w:ascii="Century" w:hAnsi="Century" w:cs="Miriam" w:hint="cs"/>
          <w:b/>
          <w:spacing w:val="0"/>
          <w:sz w:val="22"/>
          <w:szCs w:val="24"/>
          <w:rtl/>
        </w:rPr>
        <w:t>יוצר הסדר שלילי</w:t>
      </w:r>
      <w:r w:rsidR="005307CB">
        <w:rPr>
          <w:rFonts w:ascii="Century" w:hAnsi="Century" w:hint="cs"/>
          <w:sz w:val="22"/>
          <w:rtl/>
        </w:rPr>
        <w:t xml:space="preserve">, ולא מבטא חֶסֶר בחקיקה הדורש השלמה. </w:t>
      </w:r>
    </w:p>
    <w:p w:rsidR="005307CB" w:rsidRDefault="005307CB" w:rsidP="005307CB">
      <w:pPr>
        <w:pStyle w:val="Ruller41"/>
        <w:rPr>
          <w:rtl/>
        </w:rPr>
      </w:pPr>
    </w:p>
    <w:p w:rsidR="005307CB" w:rsidRDefault="005307CB" w:rsidP="005307CB">
      <w:pPr>
        <w:pStyle w:val="Ruller4"/>
        <w:rPr>
          <w:rtl/>
        </w:rPr>
      </w:pPr>
      <w:r>
        <w:rPr>
          <w:rFonts w:hint="cs"/>
          <w:rtl/>
        </w:rPr>
        <w:t>ב</w:t>
      </w:r>
      <w:r>
        <w:rPr>
          <w:rFonts w:ascii="Century" w:hAnsi="Century" w:hint="cs"/>
          <w:sz w:val="22"/>
          <w:rtl/>
        </w:rPr>
        <w:t xml:space="preserve">דנ"א 2308/15 </w:t>
      </w:r>
      <w:r>
        <w:rPr>
          <w:rFonts w:ascii="Century" w:hAnsi="Century" w:cs="Miriam" w:hint="cs"/>
          <w:b/>
          <w:spacing w:val="0"/>
          <w:sz w:val="22"/>
          <w:szCs w:val="24"/>
          <w:rtl/>
        </w:rPr>
        <w:t>פקיד השומה רחובות נ' דמארי</w:t>
      </w:r>
      <w:r>
        <w:rPr>
          <w:rFonts w:hint="cs"/>
          <w:rtl/>
        </w:rPr>
        <w:t xml:space="preserve"> </w:t>
      </w:r>
      <w:r>
        <w:rPr>
          <w:rFonts w:ascii="Century" w:hAnsi="Century" w:hint="cs"/>
          <w:sz w:val="22"/>
          <w:rtl/>
        </w:rPr>
        <w:t xml:space="preserve">(12.9.2017) (להלן: עניין </w:t>
      </w:r>
      <w:r>
        <w:rPr>
          <w:rFonts w:ascii="Century" w:hAnsi="Century" w:cs="Miriam" w:hint="cs"/>
          <w:b/>
          <w:spacing w:val="0"/>
          <w:sz w:val="22"/>
          <w:szCs w:val="24"/>
          <w:rtl/>
        </w:rPr>
        <w:t>דמארי</w:t>
      </w:r>
      <w:r>
        <w:rPr>
          <w:rFonts w:ascii="Century" w:hAnsi="Century" w:hint="cs"/>
          <w:sz w:val="22"/>
          <w:rtl/>
        </w:rPr>
        <w:t xml:space="preserve">) </w:t>
      </w:r>
      <w:r>
        <w:rPr>
          <w:rFonts w:hint="cs"/>
          <w:rtl/>
        </w:rPr>
        <w:t xml:space="preserve">היטיבה הנשיאה </w:t>
      </w:r>
      <w:r w:rsidRPr="00541701">
        <w:rPr>
          <w:rFonts w:ascii="Century" w:hAnsi="Century" w:cs="Miriam" w:hint="cs"/>
          <w:b/>
          <w:spacing w:val="0"/>
          <w:sz w:val="22"/>
          <w:szCs w:val="24"/>
          <w:rtl/>
        </w:rPr>
        <w:t xml:space="preserve">מ' נאור </w:t>
      </w:r>
      <w:r>
        <w:rPr>
          <w:rFonts w:hint="cs"/>
          <w:rtl/>
        </w:rPr>
        <w:t>להגדיר משמעותו של חֶסֶר בחקיקה הדורש השלמה שיפוטית, כדלקמן:</w:t>
      </w:r>
    </w:p>
    <w:p w:rsidR="005307CB" w:rsidRDefault="005307CB" w:rsidP="005307CB">
      <w:pPr>
        <w:pStyle w:val="Ruller41"/>
        <w:rPr>
          <w:rtl/>
        </w:rPr>
      </w:pPr>
    </w:p>
    <w:p w:rsidR="005307CB" w:rsidRDefault="005307CB" w:rsidP="005307CB">
      <w:pPr>
        <w:pStyle w:val="Ruller5"/>
        <w:rPr>
          <w:rtl/>
        </w:rPr>
      </w:pPr>
      <w:r>
        <w:rPr>
          <w:rFonts w:hint="cs"/>
          <w:rtl/>
        </w:rPr>
        <w:t xml:space="preserve">"השאלה אם הסדר חקיקתי מהווה הסדר שלילי היא שאלה פרשנית. היא ממוקדת במשמעותהּ של בחירתו הנורמטיבית של המחוקק להתייחס לעניינים מסוימים ולהימנע מלהתייחס לעניינים אחרים. הפרשנות שלפיה הסדר נורמטיבי מהווה הסדר שלילי תאומץ במקרים שבהם מסיק בית המשפט כי שתיקתו של המחוקק הייתה מכוּונת ותכליתהּ </w:t>
      </w:r>
      <w:r>
        <w:rPr>
          <w:rFonts w:ascii="Century" w:hAnsi="Century" w:cs="Miriam" w:hint="cs"/>
          <w:b/>
          <w:spacing w:val="0"/>
          <w:szCs w:val="24"/>
          <w:rtl/>
        </w:rPr>
        <w:t xml:space="preserve">לשלול </w:t>
      </w:r>
      <w:r>
        <w:rPr>
          <w:rFonts w:ascii="Century" w:hAnsi="Century" w:hint="cs"/>
          <w:rtl/>
        </w:rPr>
        <w:t xml:space="preserve">את העניינים שאליהם נמנע מלהתייחס (ראו והשוו: ע"א 4628/93 </w:t>
      </w:r>
      <w:r>
        <w:rPr>
          <w:rFonts w:ascii="Century" w:hAnsi="Century" w:cs="Miriam" w:hint="cs"/>
          <w:b/>
          <w:spacing w:val="0"/>
          <w:szCs w:val="24"/>
          <w:rtl/>
        </w:rPr>
        <w:t xml:space="preserve">מדינת ישראל נ' </w:t>
      </w:r>
      <w:proofErr w:type="spellStart"/>
      <w:r>
        <w:rPr>
          <w:rFonts w:ascii="Century" w:hAnsi="Century" w:cs="Miriam" w:hint="cs"/>
          <w:b/>
          <w:spacing w:val="0"/>
          <w:szCs w:val="24"/>
          <w:rtl/>
        </w:rPr>
        <w:t>אפרופים</w:t>
      </w:r>
      <w:proofErr w:type="spellEnd"/>
      <w:r>
        <w:rPr>
          <w:rFonts w:ascii="Century" w:hAnsi="Century" w:cs="Miriam" w:hint="cs"/>
          <w:b/>
          <w:spacing w:val="0"/>
          <w:szCs w:val="24"/>
          <w:rtl/>
        </w:rPr>
        <w:t xml:space="preserve"> שיכון ויזום (1991) בע"מ</w:t>
      </w:r>
      <w:r>
        <w:rPr>
          <w:rFonts w:ascii="Century" w:hAnsi="Century" w:hint="cs"/>
          <w:rtl/>
        </w:rPr>
        <w:t xml:space="preserve">, פ"ד מט(2) 265, 323 (1995)). זו היא 'שתיקה מדעת' (ע"א 108/59 </w:t>
      </w:r>
      <w:proofErr w:type="spellStart"/>
      <w:r>
        <w:rPr>
          <w:rFonts w:ascii="Century" w:hAnsi="Century" w:cs="Miriam" w:hint="cs"/>
          <w:b/>
          <w:spacing w:val="0"/>
          <w:szCs w:val="24"/>
          <w:rtl/>
        </w:rPr>
        <w:t>פריצקר</w:t>
      </w:r>
      <w:proofErr w:type="spellEnd"/>
      <w:r>
        <w:rPr>
          <w:rFonts w:ascii="Century" w:hAnsi="Century" w:cs="Miriam" w:hint="cs"/>
          <w:b/>
          <w:spacing w:val="0"/>
          <w:szCs w:val="24"/>
          <w:rtl/>
        </w:rPr>
        <w:t xml:space="preserve"> נ' "ניב" אגודה חקלאית שיתופית של קצינים משוחררים בע"מ (בפירוק)</w:t>
      </w:r>
      <w:r>
        <w:rPr>
          <w:rFonts w:ascii="Century" w:hAnsi="Century" w:hint="cs"/>
          <w:rtl/>
        </w:rPr>
        <w:t xml:space="preserve">, פ"ד יד 1545, 1549 (1960); עניין </w:t>
      </w:r>
      <w:r>
        <w:rPr>
          <w:rFonts w:ascii="Century" w:hAnsi="Century" w:cs="Miriam" w:hint="cs"/>
          <w:b/>
          <w:spacing w:val="0"/>
          <w:szCs w:val="24"/>
          <w:rtl/>
        </w:rPr>
        <w:t>אבן זוהר</w:t>
      </w:r>
      <w:r>
        <w:rPr>
          <w:rFonts w:ascii="Century" w:hAnsi="Century" w:hint="cs"/>
          <w:rtl/>
        </w:rPr>
        <w:t xml:space="preserve">, פס' 56). במילים אחרות, הסדר נורמטיבי יפורש כהסדר שלילי מקום שפרשנות זו מגשימה את תכליתו של ההסדר, קרי את </w:t>
      </w:r>
      <w:r>
        <w:rPr>
          <w:rFonts w:ascii="Century" w:hAnsi="Century" w:cs="Miriam" w:hint="cs"/>
          <w:b/>
          <w:spacing w:val="0"/>
          <w:szCs w:val="24"/>
          <w:rtl/>
        </w:rPr>
        <w:t xml:space="preserve">רצון המחוקק </w:t>
      </w:r>
      <w:r>
        <w:rPr>
          <w:rFonts w:ascii="Century" w:hAnsi="Century" w:hint="cs"/>
          <w:rtl/>
        </w:rPr>
        <w:t xml:space="preserve">ואת </w:t>
      </w:r>
      <w:r>
        <w:rPr>
          <w:rFonts w:ascii="Century" w:hAnsi="Century" w:cs="Miriam" w:hint="cs"/>
          <w:b/>
          <w:spacing w:val="0"/>
          <w:szCs w:val="24"/>
          <w:rtl/>
        </w:rPr>
        <w:t>כוונתו</w:t>
      </w:r>
      <w:r>
        <w:rPr>
          <w:rFonts w:ascii="Century" w:hAnsi="Century" w:hint="cs"/>
          <w:rtl/>
        </w:rPr>
        <w:t xml:space="preserve"> (ע"א 73/50 </w:t>
      </w:r>
      <w:proofErr w:type="spellStart"/>
      <w:r>
        <w:rPr>
          <w:rFonts w:ascii="Century" w:hAnsi="Century" w:cs="Miriam" w:hint="cs"/>
          <w:b/>
          <w:spacing w:val="0"/>
          <w:szCs w:val="24"/>
          <w:rtl/>
        </w:rPr>
        <w:t>דעואל</w:t>
      </w:r>
      <w:proofErr w:type="spellEnd"/>
      <w:r>
        <w:rPr>
          <w:rFonts w:ascii="Century" w:hAnsi="Century" w:cs="Miriam" w:hint="cs"/>
          <w:b/>
          <w:spacing w:val="0"/>
          <w:szCs w:val="24"/>
          <w:rtl/>
        </w:rPr>
        <w:t xml:space="preserve"> נ' </w:t>
      </w:r>
      <w:proofErr w:type="spellStart"/>
      <w:r>
        <w:rPr>
          <w:rFonts w:ascii="Century" w:hAnsi="Century" w:cs="Miriam" w:hint="cs"/>
          <w:b/>
          <w:spacing w:val="0"/>
          <w:szCs w:val="24"/>
          <w:rtl/>
        </w:rPr>
        <w:t>פטרזילקה</w:t>
      </w:r>
      <w:proofErr w:type="spellEnd"/>
      <w:r>
        <w:rPr>
          <w:rFonts w:ascii="Century" w:hAnsi="Century" w:hint="cs"/>
          <w:rtl/>
        </w:rPr>
        <w:t xml:space="preserve">, פ"ד ו 599, 605 (1952); והשוו: </w:t>
      </w:r>
      <w:proofErr w:type="spellStart"/>
      <w:r>
        <w:rPr>
          <w:rFonts w:ascii="Century" w:hAnsi="Century" w:hint="cs"/>
          <w:rtl/>
        </w:rPr>
        <w:t>על"ע</w:t>
      </w:r>
      <w:proofErr w:type="spellEnd"/>
      <w:r>
        <w:rPr>
          <w:rFonts w:ascii="Century" w:hAnsi="Century" w:hint="cs"/>
          <w:rtl/>
        </w:rPr>
        <w:t xml:space="preserve"> 663/90 </w:t>
      </w:r>
      <w:r>
        <w:rPr>
          <w:rFonts w:ascii="Century" w:hAnsi="Century" w:cs="Miriam" w:hint="cs"/>
          <w:b/>
          <w:spacing w:val="0"/>
          <w:szCs w:val="24"/>
          <w:rtl/>
        </w:rPr>
        <w:t>פלוני נ' הוועד המחוזי של לשכת עורכי הדין תל-אביב-יפו</w:t>
      </w:r>
      <w:r>
        <w:rPr>
          <w:rFonts w:ascii="Century" w:hAnsi="Century" w:hint="cs"/>
          <w:rtl/>
        </w:rPr>
        <w:t xml:space="preserve">, פ"ד </w:t>
      </w:r>
      <w:proofErr w:type="spellStart"/>
      <w:r>
        <w:rPr>
          <w:rFonts w:ascii="Century" w:hAnsi="Century" w:hint="cs"/>
          <w:rtl/>
        </w:rPr>
        <w:t>מז</w:t>
      </w:r>
      <w:proofErr w:type="spellEnd"/>
      <w:r>
        <w:rPr>
          <w:rFonts w:ascii="Century" w:hAnsi="Century" w:hint="cs"/>
          <w:rtl/>
        </w:rPr>
        <w:t xml:space="preserve">(3) 397, 404 (1993)). מנגד, ישנם מקרים שבהם המחוקק לא התכוון ליצור הסדר נורמטיבי שהוא הסדר שלילי. אם ההסדר אינו שלם באופן הסותר את תכליתו, הרי שמדובר בחֶסֶר בחקיקה (ברק, בעמ' 461). 'חסר קיים רק אם הסדר משפטי נועד להיות שלם, אך הוא חסר </w:t>
      </w:r>
      <w:proofErr w:type="spellStart"/>
      <w:r>
        <w:rPr>
          <w:rFonts w:ascii="Century" w:hAnsi="Century" w:hint="cs"/>
          <w:rtl/>
        </w:rPr>
        <w:t>פיתרון</w:t>
      </w:r>
      <w:proofErr w:type="spellEnd"/>
      <w:r>
        <w:rPr>
          <w:rFonts w:ascii="Century" w:hAnsi="Century" w:hint="cs"/>
          <w:rtl/>
        </w:rPr>
        <w:t xml:space="preserve"> לבעיה מסוימת' (שם, בעמ' 466). במילים אחרות, בסיטואציה של חֶסֶר חקיקתי כוונתו המקורית של המחוקק אינה תואמת את התוצאה החקיקתית שיצאה תחת ידו: בעוד שהמחוקק התכוון לחוקק הסדר שלם שיגשים את תכליתו, בפועל דבר החקיקה שנחקק אינו שלם וקיימת בעיה מסוימת שלא זכתה לפתרון. החֶסֶר, אפוא, הוא העדר הפתרון לבעיה שנוצרה, באופן המנוגד לתכליתו של ההסדר החקיקתי. בית-המשפט רשאי להשלים את החֶסֶר במטרה להגשים את תכליתו של ההסדר (שם, בעמ' 457 ו-460)." (עניין </w:t>
      </w:r>
      <w:r>
        <w:rPr>
          <w:rFonts w:ascii="Century" w:hAnsi="Century" w:cs="Miriam" w:hint="cs"/>
          <w:b/>
          <w:spacing w:val="0"/>
          <w:szCs w:val="24"/>
          <w:rtl/>
        </w:rPr>
        <w:t>דמארי</w:t>
      </w:r>
      <w:r>
        <w:rPr>
          <w:rFonts w:ascii="Century" w:hAnsi="Century" w:hint="cs"/>
          <w:rtl/>
        </w:rPr>
        <w:t xml:space="preserve">, פסקה 22 לפסק דינה; ראו גם: בג"ץ 6301/18 </w:t>
      </w:r>
      <w:r>
        <w:rPr>
          <w:rFonts w:ascii="Century" w:hAnsi="Century" w:cs="Miriam" w:hint="cs"/>
          <w:b/>
          <w:spacing w:val="0"/>
          <w:szCs w:val="24"/>
          <w:rtl/>
        </w:rPr>
        <w:t xml:space="preserve">השופטת רונית </w:t>
      </w:r>
      <w:proofErr w:type="spellStart"/>
      <w:r>
        <w:rPr>
          <w:rFonts w:ascii="Century" w:hAnsi="Century" w:cs="Miriam" w:hint="cs"/>
          <w:b/>
          <w:spacing w:val="0"/>
          <w:szCs w:val="24"/>
          <w:rtl/>
        </w:rPr>
        <w:t>פוזננסקי</w:t>
      </w:r>
      <w:proofErr w:type="spellEnd"/>
      <w:r>
        <w:rPr>
          <w:rFonts w:ascii="Century" w:hAnsi="Century" w:cs="Miriam" w:hint="cs"/>
          <w:b/>
          <w:spacing w:val="0"/>
          <w:szCs w:val="24"/>
          <w:rtl/>
        </w:rPr>
        <w:t xml:space="preserve"> כץ נ' שרת המשפטים</w:t>
      </w:r>
      <w:r>
        <w:rPr>
          <w:rFonts w:ascii="Century" w:hAnsi="Century" w:hint="cs"/>
          <w:rtl/>
        </w:rPr>
        <w:t xml:space="preserve">, פסקאות 32-30 לחוות דעתו של השופט </w:t>
      </w:r>
      <w:r>
        <w:rPr>
          <w:rFonts w:ascii="Century" w:hAnsi="Century" w:cs="Miriam" w:hint="cs"/>
          <w:b/>
          <w:spacing w:val="0"/>
          <w:szCs w:val="24"/>
          <w:rtl/>
        </w:rPr>
        <w:t>ע' פוגלמן</w:t>
      </w:r>
      <w:r>
        <w:rPr>
          <w:rFonts w:ascii="Century" w:hAnsi="Century" w:hint="cs"/>
          <w:rtl/>
        </w:rPr>
        <w:t xml:space="preserve"> (27.12.2018); אהרן ברק "חקיקה שיפוטית" </w:t>
      </w:r>
      <w:r>
        <w:rPr>
          <w:rFonts w:ascii="Century" w:hAnsi="Century" w:cs="Miriam" w:hint="cs"/>
          <w:b/>
          <w:spacing w:val="0"/>
          <w:szCs w:val="24"/>
          <w:rtl/>
        </w:rPr>
        <w:t>משפטים</w:t>
      </w:r>
      <w:r>
        <w:rPr>
          <w:rFonts w:ascii="Century" w:hAnsi="Century" w:hint="cs"/>
          <w:rtl/>
        </w:rPr>
        <w:t xml:space="preserve"> </w:t>
      </w:r>
      <w:proofErr w:type="spellStart"/>
      <w:r>
        <w:rPr>
          <w:rFonts w:ascii="Century" w:hAnsi="Century" w:hint="cs"/>
          <w:rtl/>
        </w:rPr>
        <w:t>יג</w:t>
      </w:r>
      <w:proofErr w:type="spellEnd"/>
      <w:r>
        <w:rPr>
          <w:rFonts w:ascii="Century" w:hAnsi="Century" w:hint="cs"/>
          <w:rtl/>
        </w:rPr>
        <w:t xml:space="preserve"> 25 (1983); אהרן ברק </w:t>
      </w:r>
      <w:r>
        <w:rPr>
          <w:rFonts w:ascii="Century" w:hAnsi="Century" w:cs="Miriam" w:hint="cs"/>
          <w:b/>
          <w:spacing w:val="0"/>
          <w:szCs w:val="24"/>
          <w:rtl/>
        </w:rPr>
        <w:t xml:space="preserve">פרשנות במשפט כרך ראשון </w:t>
      </w:r>
      <w:r>
        <w:rPr>
          <w:rFonts w:ascii="Century" w:hAnsi="Century" w:cs="Miriam"/>
          <w:b/>
          <w:spacing w:val="0"/>
          <w:szCs w:val="24"/>
          <w:rtl/>
        </w:rPr>
        <w:t>–</w:t>
      </w:r>
      <w:r>
        <w:rPr>
          <w:rFonts w:ascii="Century" w:hAnsi="Century" w:cs="Miriam" w:hint="cs"/>
          <w:b/>
          <w:spacing w:val="0"/>
          <w:szCs w:val="24"/>
          <w:rtl/>
        </w:rPr>
        <w:t xml:space="preserve"> תורת הפרשנות הכללית</w:t>
      </w:r>
      <w:r>
        <w:rPr>
          <w:rFonts w:ascii="Century" w:hAnsi="Century" w:hint="cs"/>
          <w:rtl/>
        </w:rPr>
        <w:t xml:space="preserve"> 483-443 (1992)).</w:t>
      </w:r>
    </w:p>
    <w:p w:rsidR="005307CB" w:rsidRDefault="005307CB" w:rsidP="005307CB">
      <w:pPr>
        <w:pStyle w:val="Ruller5"/>
        <w:rPr>
          <w:rtl/>
        </w:rPr>
      </w:pPr>
    </w:p>
    <w:p w:rsidR="005307CB" w:rsidRPr="00C46A2F" w:rsidRDefault="005307CB" w:rsidP="005307CB">
      <w:pPr>
        <w:pStyle w:val="Ruller41"/>
        <w:rPr>
          <w:rFonts w:ascii="Century" w:hAnsi="Century"/>
          <w:rtl/>
        </w:rPr>
      </w:pPr>
      <w:r>
        <w:rPr>
          <w:rtl/>
        </w:rPr>
        <w:tab/>
      </w:r>
      <w:r>
        <w:rPr>
          <w:rFonts w:hint="cs"/>
          <w:rtl/>
        </w:rPr>
        <w:t xml:space="preserve">בענייננו, אין מדובר בדבר חקיקה בו חסר פתרון לבעיה מסוימת, מיסוי רווחים ראויים לחלוקה המתקבלים מחברה זרה, כי אם </w:t>
      </w:r>
      <w:r w:rsidR="0007087B">
        <w:rPr>
          <w:rFonts w:hint="cs"/>
          <w:rtl/>
        </w:rPr>
        <w:t xml:space="preserve">בדבר חקיקה שבו </w:t>
      </w:r>
      <w:r>
        <w:rPr>
          <w:rFonts w:hint="cs"/>
          <w:rtl/>
        </w:rPr>
        <w:t xml:space="preserve">פתרון לבעיה שאינו נושא חן בעיני המשיבה. מדובר ב"הסדר שלם, מקיף וסדור" (עניין </w:t>
      </w:r>
      <w:r w:rsidRPr="00D267CD">
        <w:rPr>
          <w:rFonts w:ascii="Century" w:hAnsi="Century" w:cs="Miriam" w:hint="cs"/>
          <w:b/>
          <w:spacing w:val="0"/>
          <w:szCs w:val="24"/>
          <w:rtl/>
        </w:rPr>
        <w:t>דמארי</w:t>
      </w:r>
      <w:r>
        <w:rPr>
          <w:rFonts w:ascii="Century" w:hAnsi="Century" w:hint="cs"/>
          <w:rtl/>
        </w:rPr>
        <w:t xml:space="preserve">, פסקה 24 לפסק דינה של הנשיאה </w:t>
      </w:r>
      <w:r>
        <w:rPr>
          <w:rFonts w:ascii="Century" w:hAnsi="Century" w:cs="Miriam" w:hint="cs"/>
          <w:b/>
          <w:spacing w:val="0"/>
          <w:szCs w:val="24"/>
          <w:rtl/>
        </w:rPr>
        <w:t>נאור</w:t>
      </w:r>
      <w:r>
        <w:rPr>
          <w:rFonts w:ascii="Century" w:hAnsi="Century" w:hint="cs"/>
          <w:rtl/>
        </w:rPr>
        <w:t xml:space="preserve">), המוציא מגדרו, בין היתר, גם מקרים בהם המניות הנמכרות הן של חברה זרה שאינה חייבת במס חברות. </w:t>
      </w:r>
      <w:r w:rsidRPr="00D267CD">
        <w:rPr>
          <w:rFonts w:ascii="Century" w:hAnsi="Century" w:hint="cs"/>
          <w:rtl/>
        </w:rPr>
        <w:t>פשיטא</w:t>
      </w:r>
      <w:r>
        <w:rPr>
          <w:rFonts w:hint="cs"/>
          <w:rtl/>
        </w:rPr>
        <w:t xml:space="preserve">, כי </w:t>
      </w:r>
      <w:proofErr w:type="spellStart"/>
      <w:r>
        <w:rPr>
          <w:rFonts w:hint="cs"/>
          <w:rtl/>
        </w:rPr>
        <w:t>בכגון</w:t>
      </w:r>
      <w:proofErr w:type="spellEnd"/>
      <w:r>
        <w:rPr>
          <w:rFonts w:hint="cs"/>
          <w:rtl/>
        </w:rPr>
        <w:t xml:space="preserve"> דא בית המשפט אינו רשאי "להשלים" את דבר החקיקה על מנת להביא לתוצאה אחרת הרצויה בעיניו.</w:t>
      </w:r>
      <w:r>
        <w:rPr>
          <w:rFonts w:ascii="Century" w:hAnsi="Century" w:hint="cs"/>
          <w:rtl/>
        </w:rPr>
        <w:t xml:space="preserve"> אבהיר.</w:t>
      </w:r>
    </w:p>
    <w:p w:rsidR="005307CB" w:rsidRDefault="005307CB" w:rsidP="005307CB">
      <w:pPr>
        <w:pStyle w:val="Ruller41"/>
        <w:rPr>
          <w:rtl/>
        </w:rPr>
      </w:pPr>
    </w:p>
    <w:p w:rsidR="005307CB" w:rsidRDefault="005307CB" w:rsidP="005307CB">
      <w:pPr>
        <w:pStyle w:val="Ruller4"/>
        <w:rPr>
          <w:rFonts w:ascii="Century" w:hAnsi="Century"/>
          <w:sz w:val="22"/>
          <w:rtl/>
        </w:rPr>
      </w:pPr>
      <w:r>
        <w:rPr>
          <w:rFonts w:hint="cs"/>
          <w:rtl/>
        </w:rPr>
        <w:t xml:space="preserve">כידוע, לחוקי המס אין כללי פרשנות ייחודיים והם יפורשו בהתאם לתורת הפרשנות הלשונית והתכליתית בדומה לענפי המשפט האחרים (ראו למשל: ע"א 165/82 </w:t>
      </w:r>
      <w:r>
        <w:rPr>
          <w:rFonts w:ascii="Century" w:hAnsi="Century" w:cs="Miriam" w:hint="cs"/>
          <w:b/>
          <w:spacing w:val="0"/>
          <w:sz w:val="22"/>
          <w:szCs w:val="24"/>
          <w:rtl/>
        </w:rPr>
        <w:t>קיבוץ חצור נ' פקיד שומה רחובות</w:t>
      </w:r>
      <w:r>
        <w:rPr>
          <w:rFonts w:ascii="Century" w:hAnsi="Century" w:hint="cs"/>
          <w:sz w:val="22"/>
          <w:rtl/>
        </w:rPr>
        <w:t xml:space="preserve">, פ"ד לט(2) 70, 75 (1985) (להלן: עניין </w:t>
      </w:r>
      <w:r>
        <w:rPr>
          <w:rFonts w:ascii="Century" w:hAnsi="Century" w:cs="Miriam" w:hint="cs"/>
          <w:b/>
          <w:spacing w:val="0"/>
          <w:sz w:val="22"/>
          <w:szCs w:val="24"/>
          <w:rtl/>
        </w:rPr>
        <w:t>קיבוץ חצור</w:t>
      </w:r>
      <w:r>
        <w:rPr>
          <w:rFonts w:ascii="Century" w:hAnsi="Century" w:hint="cs"/>
          <w:sz w:val="22"/>
          <w:rtl/>
        </w:rPr>
        <w:t xml:space="preserve">); ע"א 8569/06 </w:t>
      </w:r>
      <w:r>
        <w:rPr>
          <w:rFonts w:ascii="Century" w:hAnsi="Century" w:cs="Miriam" w:hint="cs"/>
          <w:b/>
          <w:spacing w:val="0"/>
          <w:sz w:val="22"/>
          <w:szCs w:val="24"/>
          <w:rtl/>
        </w:rPr>
        <w:t>מנהל מיסוי מקרקעין, חיפה</w:t>
      </w:r>
      <w:r>
        <w:rPr>
          <w:rFonts w:ascii="Century" w:hAnsi="Century" w:hint="cs"/>
          <w:sz w:val="22"/>
          <w:rtl/>
        </w:rPr>
        <w:t xml:space="preserve"> </w:t>
      </w:r>
      <w:r w:rsidRPr="00B53EBE">
        <w:rPr>
          <w:rFonts w:ascii="Century" w:hAnsi="Century" w:cs="Miriam" w:hint="cs"/>
          <w:b/>
          <w:spacing w:val="0"/>
          <w:sz w:val="22"/>
          <w:szCs w:val="24"/>
          <w:rtl/>
        </w:rPr>
        <w:t>נ' פוליטי</w:t>
      </w:r>
      <w:r>
        <w:rPr>
          <w:rFonts w:ascii="Century" w:hAnsi="Century" w:hint="cs"/>
          <w:sz w:val="22"/>
          <w:rtl/>
        </w:rPr>
        <w:t xml:space="preserve">, פ"ד סב(4) 280, 302 (2008) (להלן: עניין </w:t>
      </w:r>
      <w:r>
        <w:rPr>
          <w:rFonts w:ascii="Century" w:hAnsi="Century" w:cs="Miriam" w:hint="cs"/>
          <w:b/>
          <w:spacing w:val="0"/>
          <w:sz w:val="22"/>
          <w:szCs w:val="24"/>
          <w:rtl/>
        </w:rPr>
        <w:t>פוליטי</w:t>
      </w:r>
      <w:r>
        <w:rPr>
          <w:rFonts w:ascii="Century" w:hAnsi="Century" w:hint="cs"/>
          <w:sz w:val="22"/>
          <w:rtl/>
        </w:rPr>
        <w:t xml:space="preserve">); עניין </w:t>
      </w:r>
      <w:r w:rsidRPr="00925E95">
        <w:rPr>
          <w:rFonts w:ascii="Century" w:hAnsi="Century" w:cs="Miriam" w:hint="cs"/>
          <w:b/>
          <w:spacing w:val="0"/>
          <w:sz w:val="22"/>
          <w:szCs w:val="24"/>
          <w:rtl/>
        </w:rPr>
        <w:t>דמארי</w:t>
      </w:r>
      <w:r>
        <w:rPr>
          <w:rFonts w:ascii="Century" w:hAnsi="Century" w:hint="cs"/>
          <w:sz w:val="22"/>
          <w:rtl/>
        </w:rPr>
        <w:t xml:space="preserve">, </w:t>
      </w:r>
      <w:r w:rsidRPr="00925E95">
        <w:rPr>
          <w:rFonts w:ascii="Century" w:hAnsi="Century" w:hint="cs"/>
          <w:sz w:val="22"/>
          <w:rtl/>
        </w:rPr>
        <w:t xml:space="preserve">פסקה </w:t>
      </w:r>
      <w:r>
        <w:rPr>
          <w:rFonts w:ascii="Century" w:hAnsi="Century" w:hint="cs"/>
          <w:sz w:val="22"/>
          <w:rtl/>
        </w:rPr>
        <w:t xml:space="preserve">20 לפסק דינה של הנשיאה </w:t>
      </w:r>
      <w:r>
        <w:rPr>
          <w:rFonts w:ascii="Century" w:hAnsi="Century" w:cs="Miriam" w:hint="cs"/>
          <w:b/>
          <w:spacing w:val="0"/>
          <w:sz w:val="22"/>
          <w:szCs w:val="24"/>
          <w:rtl/>
        </w:rPr>
        <w:t>מ' נאור</w:t>
      </w:r>
      <w:r>
        <w:rPr>
          <w:rFonts w:ascii="Century" w:hAnsi="Century" w:hint="cs"/>
          <w:sz w:val="22"/>
          <w:rtl/>
        </w:rPr>
        <w:t xml:space="preserve">; אהרן ברק "פרשנות דיני המסים" </w:t>
      </w:r>
      <w:r>
        <w:rPr>
          <w:rFonts w:ascii="Century" w:hAnsi="Century" w:cs="Miriam" w:hint="cs"/>
          <w:b/>
          <w:spacing w:val="0"/>
          <w:sz w:val="22"/>
          <w:szCs w:val="24"/>
          <w:rtl/>
        </w:rPr>
        <w:t xml:space="preserve">משפטים </w:t>
      </w:r>
      <w:proofErr w:type="spellStart"/>
      <w:r>
        <w:rPr>
          <w:rFonts w:ascii="Century" w:hAnsi="Century" w:hint="cs"/>
          <w:sz w:val="22"/>
          <w:rtl/>
        </w:rPr>
        <w:t>כח</w:t>
      </w:r>
      <w:proofErr w:type="spellEnd"/>
      <w:r>
        <w:rPr>
          <w:rFonts w:ascii="Century" w:hAnsi="Century" w:hint="cs"/>
          <w:sz w:val="22"/>
          <w:rtl/>
        </w:rPr>
        <w:t xml:space="preserve"> 425 (1997) (להלן: </w:t>
      </w:r>
      <w:r>
        <w:rPr>
          <w:rFonts w:ascii="Century" w:hAnsi="Century" w:cs="Miriam" w:hint="cs"/>
          <w:b/>
          <w:spacing w:val="0"/>
          <w:sz w:val="22"/>
          <w:szCs w:val="24"/>
          <w:rtl/>
        </w:rPr>
        <w:t>ברק "פרשנות דיני המסים</w:t>
      </w:r>
      <w:r>
        <w:rPr>
          <w:rFonts w:ascii="Century" w:hAnsi="Century" w:hint="cs"/>
          <w:sz w:val="22"/>
          <w:rtl/>
        </w:rPr>
        <w:t xml:space="preserve">")). </w:t>
      </w:r>
    </w:p>
    <w:p w:rsidR="005307CB" w:rsidRDefault="005307CB" w:rsidP="005307CB">
      <w:pPr>
        <w:pStyle w:val="Ruller41"/>
        <w:rPr>
          <w:rtl/>
        </w:rPr>
      </w:pPr>
    </w:p>
    <w:p w:rsidR="005307CB" w:rsidRDefault="005307CB" w:rsidP="00CC3A24">
      <w:pPr>
        <w:pStyle w:val="Ruller4"/>
        <w:rPr>
          <w:rFonts w:ascii="Century" w:hAnsi="Century"/>
          <w:sz w:val="22"/>
          <w:rtl/>
        </w:rPr>
      </w:pPr>
      <w:r>
        <w:rPr>
          <w:rFonts w:hint="cs"/>
          <w:rtl/>
        </w:rPr>
        <w:t xml:space="preserve">בהתאם לתורת הפרשנות המקובלת, הליך הפרשנות הוא הליך דו-שלבי. בשלב הראשון, יש לאתר את כל המשמעויות שלשון הטקסט יכולה לאצור. הווה אומר, אלה שיש להן נקודת אחיזה, ולוּ מינימלית, בלשון החקיקה (עניין </w:t>
      </w:r>
      <w:r>
        <w:rPr>
          <w:rFonts w:ascii="Century" w:hAnsi="Century" w:cs="Miriam" w:hint="cs"/>
          <w:b/>
          <w:spacing w:val="0"/>
          <w:sz w:val="22"/>
          <w:szCs w:val="24"/>
          <w:rtl/>
        </w:rPr>
        <w:t>קיבוץ חצור</w:t>
      </w:r>
      <w:r>
        <w:rPr>
          <w:rFonts w:ascii="Century" w:hAnsi="Century" w:hint="cs"/>
          <w:sz w:val="22"/>
          <w:rtl/>
        </w:rPr>
        <w:t xml:space="preserve">, עמ' 75). שכן, "גבול הפרשנות הוא גבול הלשון" (ע"א 1900/96 </w:t>
      </w:r>
      <w:proofErr w:type="spellStart"/>
      <w:r>
        <w:rPr>
          <w:rFonts w:ascii="Century" w:hAnsi="Century" w:cs="Miriam" w:hint="cs"/>
          <w:b/>
          <w:spacing w:val="0"/>
          <w:sz w:val="22"/>
          <w:szCs w:val="24"/>
          <w:rtl/>
        </w:rPr>
        <w:t>טלמצ'יו</w:t>
      </w:r>
      <w:proofErr w:type="spellEnd"/>
      <w:r>
        <w:rPr>
          <w:rFonts w:ascii="Century" w:hAnsi="Century" w:cs="Miriam" w:hint="cs"/>
          <w:b/>
          <w:spacing w:val="0"/>
          <w:sz w:val="22"/>
          <w:szCs w:val="24"/>
          <w:rtl/>
        </w:rPr>
        <w:t xml:space="preserve"> נ' האפוטרופוס הכללי</w:t>
      </w:r>
      <w:r>
        <w:rPr>
          <w:rFonts w:ascii="Century" w:hAnsi="Century" w:hint="cs"/>
          <w:sz w:val="22"/>
          <w:rtl/>
        </w:rPr>
        <w:t xml:space="preserve">, פ"ד </w:t>
      </w:r>
      <w:proofErr w:type="spellStart"/>
      <w:r>
        <w:rPr>
          <w:rFonts w:ascii="Century" w:hAnsi="Century" w:hint="cs"/>
          <w:sz w:val="22"/>
          <w:rtl/>
        </w:rPr>
        <w:t>נג</w:t>
      </w:r>
      <w:proofErr w:type="spellEnd"/>
      <w:r>
        <w:rPr>
          <w:rFonts w:ascii="Century" w:hAnsi="Century" w:hint="cs"/>
          <w:sz w:val="22"/>
          <w:rtl/>
        </w:rPr>
        <w:t xml:space="preserve">(2) 817, 827 (1999); עניין </w:t>
      </w:r>
      <w:r>
        <w:rPr>
          <w:rFonts w:ascii="Century" w:hAnsi="Century" w:cs="Miriam" w:hint="cs"/>
          <w:b/>
          <w:spacing w:val="0"/>
          <w:sz w:val="22"/>
          <w:szCs w:val="24"/>
          <w:rtl/>
        </w:rPr>
        <w:t>דמארי</w:t>
      </w:r>
      <w:r>
        <w:rPr>
          <w:rFonts w:ascii="Century" w:hAnsi="Century" w:hint="cs"/>
          <w:sz w:val="22"/>
          <w:rtl/>
        </w:rPr>
        <w:t xml:space="preserve">, פסקה 20 לפסק דינה של הנשיאה </w:t>
      </w:r>
      <w:r>
        <w:rPr>
          <w:rFonts w:ascii="Century" w:hAnsi="Century" w:cs="Miriam" w:hint="cs"/>
          <w:b/>
          <w:spacing w:val="0"/>
          <w:sz w:val="22"/>
          <w:szCs w:val="24"/>
          <w:rtl/>
        </w:rPr>
        <w:t>נאור</w:t>
      </w:r>
      <w:r>
        <w:rPr>
          <w:rFonts w:ascii="Century" w:hAnsi="Century" w:hint="cs"/>
          <w:sz w:val="22"/>
          <w:rtl/>
        </w:rPr>
        <w:t xml:space="preserve">). ובניסוח אחר, "מלאכת הפרשנות אינה מוגבלת אך למילים, אך המילים מגבילות את הפירוש ... ייתכן, שיינתן ללשון החוק פירוש מרחיב או פירוש מצמצם, רגיל או פירוש חריג, אך בדרך כלל יש למצוא נקודת אחיזה ארכימדית למטרה בלשון החוק" (ד"נ 40/80 </w:t>
      </w:r>
      <w:r>
        <w:rPr>
          <w:rFonts w:ascii="Century" w:hAnsi="Century" w:cs="Miriam" w:hint="cs"/>
          <w:b/>
          <w:spacing w:val="0"/>
          <w:sz w:val="22"/>
          <w:szCs w:val="24"/>
          <w:rtl/>
        </w:rPr>
        <w:t xml:space="preserve">קניג נ' </w:t>
      </w:r>
      <w:r w:rsidRPr="00D31EAE">
        <w:rPr>
          <w:rFonts w:ascii="Century" w:hAnsi="Century" w:cs="Miriam" w:hint="cs"/>
          <w:b/>
          <w:spacing w:val="0"/>
          <w:sz w:val="22"/>
          <w:szCs w:val="24"/>
          <w:rtl/>
        </w:rPr>
        <w:t>כהן</w:t>
      </w:r>
      <w:r>
        <w:rPr>
          <w:rFonts w:ascii="Century" w:hAnsi="Century" w:hint="cs"/>
          <w:sz w:val="22"/>
          <w:rtl/>
        </w:rPr>
        <w:t>, פ"ד לו(3) 701, 71</w:t>
      </w:r>
      <w:r w:rsidR="00CC3A24">
        <w:rPr>
          <w:rFonts w:ascii="Century" w:hAnsi="Century" w:hint="cs"/>
          <w:sz w:val="22"/>
          <w:rtl/>
        </w:rPr>
        <w:t>6</w:t>
      </w:r>
      <w:r>
        <w:rPr>
          <w:rFonts w:ascii="Century" w:hAnsi="Century" w:hint="cs"/>
          <w:sz w:val="22"/>
          <w:rtl/>
        </w:rPr>
        <w:t xml:space="preserve"> (1982); ראו גם: ע"א 450/17 </w:t>
      </w:r>
      <w:proofErr w:type="spellStart"/>
      <w:r>
        <w:rPr>
          <w:rFonts w:ascii="Century" w:hAnsi="Century" w:cs="Miriam" w:hint="cs"/>
          <w:b/>
          <w:spacing w:val="0"/>
          <w:sz w:val="22"/>
          <w:szCs w:val="24"/>
          <w:rtl/>
        </w:rPr>
        <w:t>אס.בי.אן</w:t>
      </w:r>
      <w:proofErr w:type="spellEnd"/>
      <w:r>
        <w:rPr>
          <w:rFonts w:ascii="Century" w:hAnsi="Century" w:cs="Miriam" w:hint="cs"/>
          <w:b/>
          <w:spacing w:val="0"/>
          <w:sz w:val="22"/>
          <w:szCs w:val="24"/>
          <w:rtl/>
        </w:rPr>
        <w:t xml:space="preserve"> הלבשה בע"מ נ' מדינת ישראל רשות המיסים</w:t>
      </w:r>
      <w:r>
        <w:rPr>
          <w:rFonts w:ascii="Century" w:hAnsi="Century" w:hint="cs"/>
          <w:sz w:val="22"/>
          <w:rtl/>
        </w:rPr>
        <w:t xml:space="preserve">, פסקה 7 לחוות דעתי (29.10.2019) (להלן: </w:t>
      </w:r>
      <w:r w:rsidRPr="00CF111F">
        <w:rPr>
          <w:rFonts w:ascii="Century" w:hAnsi="Century" w:hint="cs"/>
          <w:sz w:val="22"/>
          <w:rtl/>
        </w:rPr>
        <w:t>עניין</w:t>
      </w:r>
      <w:r w:rsidRPr="00140F01">
        <w:rPr>
          <w:rFonts w:ascii="Century" w:hAnsi="Century" w:cs="Miriam" w:hint="cs"/>
          <w:b/>
          <w:spacing w:val="0"/>
          <w:sz w:val="22"/>
          <w:szCs w:val="24"/>
          <w:rtl/>
        </w:rPr>
        <w:t xml:space="preserve"> </w:t>
      </w:r>
      <w:proofErr w:type="spellStart"/>
      <w:r w:rsidRPr="00140F01">
        <w:rPr>
          <w:rFonts w:ascii="Century" w:hAnsi="Century" w:cs="Miriam" w:hint="cs"/>
          <w:b/>
          <w:spacing w:val="0"/>
          <w:sz w:val="22"/>
          <w:szCs w:val="24"/>
          <w:rtl/>
        </w:rPr>
        <w:t>אס.בי.אן</w:t>
      </w:r>
      <w:proofErr w:type="spellEnd"/>
      <w:r>
        <w:rPr>
          <w:rFonts w:ascii="Century" w:hAnsi="Century" w:hint="cs"/>
          <w:sz w:val="22"/>
          <w:rtl/>
        </w:rPr>
        <w:t>)).</w:t>
      </w:r>
    </w:p>
    <w:p w:rsidR="005307CB" w:rsidRDefault="005307CB" w:rsidP="005307CB">
      <w:pPr>
        <w:pStyle w:val="Ruller41"/>
        <w:rPr>
          <w:rtl/>
        </w:rPr>
      </w:pPr>
    </w:p>
    <w:p w:rsidR="005307CB" w:rsidRDefault="005307CB" w:rsidP="005307CB">
      <w:pPr>
        <w:pStyle w:val="Ruller4"/>
        <w:rPr>
          <w:rFonts w:ascii="Century" w:hAnsi="Century"/>
          <w:sz w:val="22"/>
          <w:rtl/>
        </w:rPr>
      </w:pPr>
      <w:r w:rsidRPr="00D31EAE">
        <w:rPr>
          <w:rFonts w:ascii="Century" w:hAnsi="Century" w:hint="cs"/>
          <w:sz w:val="22"/>
          <w:rtl/>
        </w:rPr>
        <w:t xml:space="preserve">בשלב </w:t>
      </w:r>
      <w:r>
        <w:rPr>
          <w:rFonts w:ascii="Century" w:hAnsi="Century" w:hint="cs"/>
          <w:sz w:val="22"/>
          <w:rtl/>
        </w:rPr>
        <w:t xml:space="preserve">השני, ככל שישנה יותר מפרשנות לשונית אחת אפשרית, נדרש בית המשפט לאתר את תכליותיו של דבר החקיקה שפרשנותו מונחת לפניו ולבחון מבין כל האפשרויות הפרשניות שאותרו את הפרשנות המגשימה תכליות אלה באופן המיטבי ביותר (ראו: עניין </w:t>
      </w:r>
      <w:r>
        <w:rPr>
          <w:rFonts w:ascii="Century" w:hAnsi="Century" w:cs="Miriam" w:hint="cs"/>
          <w:b/>
          <w:spacing w:val="0"/>
          <w:sz w:val="22"/>
          <w:szCs w:val="24"/>
          <w:rtl/>
        </w:rPr>
        <w:t>קיבוץ חצור</w:t>
      </w:r>
      <w:r>
        <w:rPr>
          <w:rFonts w:ascii="Century" w:hAnsi="Century" w:hint="cs"/>
          <w:sz w:val="22"/>
          <w:rtl/>
        </w:rPr>
        <w:t xml:space="preserve">, עמ' 75). זוהי אפוא שיטת פרשנות החקיקה בתמצית (להרחבה, ראו: אהרן ברק </w:t>
      </w:r>
      <w:r>
        <w:rPr>
          <w:rFonts w:ascii="Century" w:hAnsi="Century" w:cs="Miriam" w:hint="cs"/>
          <w:b/>
          <w:spacing w:val="0"/>
          <w:sz w:val="22"/>
          <w:szCs w:val="24"/>
          <w:rtl/>
        </w:rPr>
        <w:t>פרשנות במשפט</w:t>
      </w:r>
      <w:r>
        <w:rPr>
          <w:rFonts w:ascii="Century" w:hAnsi="Century" w:hint="cs"/>
          <w:sz w:val="22"/>
          <w:rtl/>
        </w:rPr>
        <w:t xml:space="preserve"> כרך שני </w:t>
      </w:r>
      <w:r>
        <w:rPr>
          <w:rFonts w:ascii="Century" w:hAnsi="Century"/>
          <w:sz w:val="22"/>
          <w:rtl/>
        </w:rPr>
        <w:t>–</w:t>
      </w:r>
      <w:r>
        <w:rPr>
          <w:rFonts w:ascii="Century" w:hAnsi="Century" w:hint="cs"/>
          <w:sz w:val="22"/>
          <w:rtl/>
        </w:rPr>
        <w:t xml:space="preserve"> פרשנות החקיקה (1993) (להלן: </w:t>
      </w:r>
      <w:r>
        <w:rPr>
          <w:rFonts w:ascii="Century" w:hAnsi="Century" w:cs="Miriam" w:hint="cs"/>
          <w:b/>
          <w:spacing w:val="0"/>
          <w:sz w:val="22"/>
          <w:szCs w:val="24"/>
          <w:rtl/>
        </w:rPr>
        <w:t>פרשנות במשפט</w:t>
      </w:r>
      <w:r>
        <w:rPr>
          <w:rFonts w:ascii="Century" w:hAnsi="Century" w:hint="cs"/>
          <w:sz w:val="22"/>
          <w:rtl/>
        </w:rPr>
        <w:t>)). היא נכונה כאמור לסוגיות פרשניות בכלל, ובתוכן גם לפרשנות דיני מיסים בפרט.</w:t>
      </w:r>
    </w:p>
    <w:p w:rsidR="005307CB" w:rsidRPr="00233F7D" w:rsidRDefault="005307CB" w:rsidP="005307CB">
      <w:pPr>
        <w:pStyle w:val="Ruller41"/>
        <w:rPr>
          <w:rtl/>
        </w:rPr>
      </w:pPr>
    </w:p>
    <w:p w:rsidR="005307CB" w:rsidRDefault="005307CB" w:rsidP="005307CB">
      <w:pPr>
        <w:pStyle w:val="Ruller4"/>
      </w:pPr>
      <w:r>
        <w:rPr>
          <w:rFonts w:hint="cs"/>
          <w:rtl/>
        </w:rPr>
        <w:t>לעמדתי, במקרה שלפנינו ניתן לעצור בשלב בחינת הלשון, שכן לשונו של סעיף 94ב ברורה לגמרי. בניגוד לקביעת בית המשפט המחוזי ולטענות המשיבה, להשקפתי, לא ניתן לקרוא לתוך הסעיף אפשרות לפיה הוא חל גם על מכירת מניותיהן של חברות זרות שאינן כפופות למס בישראל. לשם הנוחות, אביא בשנית את לשון הסעיף:</w:t>
      </w:r>
    </w:p>
    <w:p w:rsidR="005307CB" w:rsidRDefault="005307CB" w:rsidP="005307CB">
      <w:pPr>
        <w:pStyle w:val="Ruller4"/>
        <w:numPr>
          <w:ilvl w:val="0"/>
          <w:numId w:val="0"/>
        </w:numPr>
        <w:rPr>
          <w:rtl/>
        </w:rPr>
      </w:pPr>
    </w:p>
    <w:p w:rsidR="005307CB" w:rsidRDefault="005307CB" w:rsidP="005307CB">
      <w:pPr>
        <w:pStyle w:val="Ruller5"/>
        <w:rPr>
          <w:rFonts w:ascii="Century" w:hAnsi="Century"/>
          <w:rtl/>
        </w:rPr>
      </w:pPr>
      <w:r>
        <w:rPr>
          <w:rFonts w:hint="cs"/>
          <w:rtl/>
        </w:rPr>
        <w:t xml:space="preserve">"שיעור המס על חלק רווח ההון הריאלי השווה לחלק </w:t>
      </w:r>
      <w:r w:rsidRPr="00140F01">
        <w:rPr>
          <w:rFonts w:ascii="Century" w:hAnsi="Century" w:cs="Miriam" w:hint="cs"/>
          <w:b/>
          <w:spacing w:val="0"/>
          <w:szCs w:val="24"/>
          <w:rtl/>
        </w:rPr>
        <w:t>מהרווחים הראויים לחלוקה</w:t>
      </w:r>
      <w:r>
        <w:rPr>
          <w:rFonts w:hint="cs"/>
          <w:rtl/>
        </w:rPr>
        <w:t xml:space="preserve">, כיחס שבין חלקו של המוכר בזכות לרווחים בחברה על פי המניה לכלל הזכויות לרווחים בחברה, </w:t>
      </w:r>
      <w:r>
        <w:rPr>
          <w:rFonts w:ascii="Century" w:hAnsi="Century" w:cs="Miriam" w:hint="cs"/>
          <w:b/>
          <w:spacing w:val="0"/>
          <w:szCs w:val="24"/>
          <w:rtl/>
        </w:rPr>
        <w:t>יהיה שיעור המס שהיה חל עליהם, אילו היו מתקבלים כדיבידנד סמוך לפני המכירה, לפי סעיפים 125ב או 126(ב), לפי העניין</w:t>
      </w:r>
      <w:r>
        <w:rPr>
          <w:rFonts w:ascii="Century" w:hAnsi="Century" w:hint="cs"/>
          <w:rtl/>
        </w:rPr>
        <w:t xml:space="preserve">" (ההדגשות הוספו </w:t>
      </w:r>
      <w:r>
        <w:rPr>
          <w:rFonts w:ascii="Century" w:hAnsi="Century"/>
          <w:rtl/>
        </w:rPr>
        <w:t>–</w:t>
      </w:r>
      <w:r>
        <w:rPr>
          <w:rFonts w:ascii="Century" w:hAnsi="Century" w:hint="cs"/>
          <w:rtl/>
        </w:rPr>
        <w:t xml:space="preserve"> ד.מ.).</w:t>
      </w:r>
    </w:p>
    <w:p w:rsidR="005307CB" w:rsidRPr="00A91B67" w:rsidRDefault="005307CB" w:rsidP="005307CB">
      <w:pPr>
        <w:pStyle w:val="Ruller5"/>
        <w:rPr>
          <w:rFonts w:ascii="Century" w:hAnsi="Century"/>
        </w:rPr>
      </w:pPr>
    </w:p>
    <w:p w:rsidR="005307CB" w:rsidRPr="0048011F" w:rsidRDefault="005307CB" w:rsidP="005307CB">
      <w:pPr>
        <w:pStyle w:val="Ruller41"/>
        <w:rPr>
          <w:rFonts w:ascii="Century" w:hAnsi="Century"/>
          <w:rtl/>
        </w:rPr>
      </w:pPr>
      <w:r>
        <w:rPr>
          <w:rFonts w:ascii="Century" w:hAnsi="Century"/>
          <w:rtl/>
        </w:rPr>
        <w:tab/>
      </w:r>
      <w:r>
        <w:rPr>
          <w:rFonts w:ascii="Century" w:hAnsi="Century" w:hint="cs"/>
          <w:rtl/>
        </w:rPr>
        <w:t xml:space="preserve">בפסיקה נקבע זה מכבר כי דרך החישוב של הרווחים הראויים לחלוקה לפי סעיף 94ב כוללת שני שלבים: </w:t>
      </w:r>
      <w:r>
        <w:rPr>
          <w:rFonts w:ascii="Century" w:hAnsi="Century" w:cs="Miriam" w:hint="cs"/>
          <w:b/>
          <w:spacing w:val="0"/>
          <w:szCs w:val="24"/>
          <w:rtl/>
        </w:rPr>
        <w:t>בשלב הראשון</w:t>
      </w:r>
      <w:r>
        <w:rPr>
          <w:rFonts w:ascii="Century" w:hAnsi="Century" w:hint="cs"/>
          <w:rtl/>
        </w:rPr>
        <w:t xml:space="preserve">, יש להגדיר את סך כל הרווחים הראויים לחלוקה; </w:t>
      </w:r>
      <w:r>
        <w:rPr>
          <w:rFonts w:ascii="Century" w:hAnsi="Century" w:cs="Miriam" w:hint="cs"/>
          <w:b/>
          <w:spacing w:val="0"/>
          <w:szCs w:val="24"/>
          <w:rtl/>
        </w:rPr>
        <w:t>ובשלב השני</w:t>
      </w:r>
      <w:r>
        <w:rPr>
          <w:rFonts w:ascii="Century" w:hAnsi="Century" w:hint="cs"/>
          <w:rtl/>
        </w:rPr>
        <w:t xml:space="preserve">, רק אם נמצאו רווחים ראויים לחלוקה, יש לפעול לפי הוראות סעיפים 94ב(א)(1) ו-94ב(א)(2) (עניין </w:t>
      </w:r>
      <w:r>
        <w:rPr>
          <w:rFonts w:ascii="Century" w:hAnsi="Century" w:cs="Miriam" w:hint="cs"/>
          <w:b/>
          <w:spacing w:val="0"/>
          <w:szCs w:val="24"/>
          <w:rtl/>
        </w:rPr>
        <w:t>פגי</w:t>
      </w:r>
      <w:r>
        <w:rPr>
          <w:rFonts w:ascii="Century" w:hAnsi="Century" w:hint="cs"/>
          <w:rtl/>
        </w:rPr>
        <w:t xml:space="preserve">, פסקה 29). </w:t>
      </w:r>
      <w:r>
        <w:rPr>
          <w:rFonts w:hint="cs"/>
          <w:rtl/>
        </w:rPr>
        <w:t>סעיף 94ב(ב)(1) מגדיר מהם "רווחים ראויים לחלוקה":</w:t>
      </w:r>
    </w:p>
    <w:p w:rsidR="005307CB" w:rsidRDefault="005307CB" w:rsidP="005307CB">
      <w:pPr>
        <w:pStyle w:val="Ruller41"/>
        <w:rPr>
          <w:rtl/>
        </w:rPr>
      </w:pPr>
    </w:p>
    <w:p w:rsidR="005307CB" w:rsidRPr="00544614" w:rsidRDefault="005307CB" w:rsidP="005307CB">
      <w:pPr>
        <w:pStyle w:val="Ruller5"/>
        <w:rPr>
          <w:rFonts w:ascii="Century" w:hAnsi="Century"/>
          <w:rtl/>
        </w:rPr>
      </w:pPr>
      <w:r>
        <w:rPr>
          <w:rFonts w:ascii="Century" w:hAnsi="Century" w:hint="cs"/>
          <w:rtl/>
        </w:rPr>
        <w:t>"</w:t>
      </w:r>
      <w:r w:rsidRPr="00544614">
        <w:rPr>
          <w:rFonts w:ascii="Century" w:hAnsi="Century" w:hint="cs"/>
          <w:rtl/>
        </w:rPr>
        <w:t xml:space="preserve">רווחים כאמור שנצטברו בחברה מתום שנת המס שקדמה לשנת רכישת המניה עד תום שנת המס שקדמה לשנת המכירה שלה ... </w:t>
      </w:r>
      <w:proofErr w:type="spellStart"/>
      <w:r w:rsidRPr="00266B32">
        <w:rPr>
          <w:rFonts w:ascii="Century" w:hAnsi="Century" w:hint="cs"/>
          <w:rtl/>
        </w:rPr>
        <w:t>הכל</w:t>
      </w:r>
      <w:proofErr w:type="spellEnd"/>
      <w:r w:rsidRPr="00266B32">
        <w:rPr>
          <w:rFonts w:ascii="Century" w:hAnsi="Century" w:cs="Miriam" w:hint="cs"/>
          <w:b/>
          <w:spacing w:val="0"/>
          <w:szCs w:val="24"/>
          <w:rtl/>
        </w:rPr>
        <w:t xml:space="preserve"> לפי המאזן של החברה</w:t>
      </w:r>
      <w:r w:rsidRPr="00266B32">
        <w:rPr>
          <w:rFonts w:ascii="Century" w:hAnsi="Century" w:hint="cs"/>
          <w:rtl/>
        </w:rPr>
        <w:t xml:space="preserve"> </w:t>
      </w:r>
      <w:r>
        <w:rPr>
          <w:rFonts w:ascii="Century" w:hAnsi="Century" w:hint="cs"/>
          <w:rtl/>
        </w:rPr>
        <w:t xml:space="preserve">לתום שנת המס שקדמה לשנת המכירה או ליום התחלת הפירוק, לפי </w:t>
      </w:r>
      <w:proofErr w:type="spellStart"/>
      <w:r>
        <w:rPr>
          <w:rFonts w:ascii="Century" w:hAnsi="Century" w:hint="cs"/>
          <w:rtl/>
        </w:rPr>
        <w:t>הענין</w:t>
      </w:r>
      <w:proofErr w:type="spellEnd"/>
      <w:r>
        <w:rPr>
          <w:rFonts w:ascii="Century" w:hAnsi="Century" w:hint="cs"/>
          <w:rtl/>
        </w:rPr>
        <w:t xml:space="preserve">, לרבות רווחים </w:t>
      </w:r>
      <w:proofErr w:type="spellStart"/>
      <w:r>
        <w:rPr>
          <w:rFonts w:ascii="Century" w:hAnsi="Century" w:hint="cs"/>
          <w:rtl/>
        </w:rPr>
        <w:t>שהוונו</w:t>
      </w:r>
      <w:proofErr w:type="spellEnd"/>
      <w:r>
        <w:rPr>
          <w:rFonts w:ascii="Century" w:hAnsi="Century" w:hint="cs"/>
          <w:rtl/>
        </w:rPr>
        <w:t xml:space="preserve"> ... </w:t>
      </w:r>
      <w:r w:rsidRPr="00544614">
        <w:rPr>
          <w:rFonts w:ascii="Century" w:hAnsi="Century" w:hint="cs"/>
          <w:rtl/>
        </w:rPr>
        <w:t xml:space="preserve">וסכום הרווחים הראויים לחלוקה לא יעלה על סכום הרווחים </w:t>
      </w:r>
      <w:proofErr w:type="spellStart"/>
      <w:r w:rsidRPr="00266B32">
        <w:rPr>
          <w:rFonts w:ascii="Century" w:hAnsi="Century" w:cs="Miriam" w:hint="cs"/>
          <w:b/>
          <w:spacing w:val="0"/>
          <w:szCs w:val="24"/>
          <w:rtl/>
        </w:rPr>
        <w:t>שנתחייבו</w:t>
      </w:r>
      <w:proofErr w:type="spellEnd"/>
      <w:r w:rsidRPr="00266B32">
        <w:rPr>
          <w:rFonts w:ascii="Century" w:hAnsi="Century" w:cs="Miriam" w:hint="cs"/>
          <w:b/>
          <w:spacing w:val="0"/>
          <w:szCs w:val="24"/>
          <w:rtl/>
        </w:rPr>
        <w:t xml:space="preserve"> במס</w:t>
      </w:r>
      <w:r w:rsidRPr="00266B32">
        <w:rPr>
          <w:rFonts w:ascii="Century" w:hAnsi="Century" w:hint="cs"/>
          <w:rtl/>
        </w:rPr>
        <w:t xml:space="preserve"> </w:t>
      </w:r>
      <w:r w:rsidRPr="00544614">
        <w:rPr>
          <w:rFonts w:ascii="Century" w:hAnsi="Century" w:hint="cs"/>
          <w:rtl/>
        </w:rPr>
        <w:t>לרבות מס שבח בתקופה האמורה בניכוי המס עליהם ודיבידנד שחולק מהם ובניכוי הפס</w:t>
      </w:r>
      <w:r>
        <w:rPr>
          <w:rFonts w:ascii="Century" w:hAnsi="Century" w:hint="cs"/>
          <w:rtl/>
        </w:rPr>
        <w:t>ד</w:t>
      </w:r>
      <w:r w:rsidRPr="00544614">
        <w:rPr>
          <w:rFonts w:ascii="Century" w:hAnsi="Century" w:hint="cs"/>
          <w:rtl/>
        </w:rPr>
        <w:t xml:space="preserve"> שנוצר בחברה שמניותיה נמכרות, אשר לא קוזז ובצירוף הרווחים שהיו חייבים במס כאמור אילולא פוטרו ממנו</w:t>
      </w:r>
      <w:r>
        <w:rPr>
          <w:rFonts w:ascii="Century" w:hAnsi="Century" w:hint="cs"/>
          <w:rtl/>
        </w:rPr>
        <w:t xml:space="preserve">" (ההדגשה הוספה </w:t>
      </w:r>
      <w:r>
        <w:rPr>
          <w:rFonts w:ascii="Century" w:hAnsi="Century"/>
          <w:rtl/>
        </w:rPr>
        <w:t>–</w:t>
      </w:r>
      <w:r>
        <w:rPr>
          <w:rFonts w:ascii="Century" w:hAnsi="Century" w:hint="cs"/>
          <w:rtl/>
        </w:rPr>
        <w:t xml:space="preserve"> ד.מ.).</w:t>
      </w:r>
    </w:p>
    <w:p w:rsidR="005307CB" w:rsidRDefault="005307CB" w:rsidP="005307CB">
      <w:pPr>
        <w:pStyle w:val="Ruller4"/>
        <w:numPr>
          <w:ilvl w:val="0"/>
          <w:numId w:val="0"/>
        </w:numPr>
        <w:rPr>
          <w:rtl/>
        </w:rPr>
      </w:pPr>
    </w:p>
    <w:p w:rsidR="005307CB" w:rsidRDefault="005307CB" w:rsidP="00CC3A24">
      <w:pPr>
        <w:pStyle w:val="Ruller4"/>
        <w:numPr>
          <w:ilvl w:val="0"/>
          <w:numId w:val="0"/>
        </w:numPr>
        <w:rPr>
          <w:rtl/>
        </w:rPr>
      </w:pPr>
      <w:r>
        <w:rPr>
          <w:rtl/>
        </w:rPr>
        <w:tab/>
      </w:r>
      <w:r>
        <w:rPr>
          <w:rFonts w:hint="cs"/>
          <w:rtl/>
        </w:rPr>
        <w:t xml:space="preserve">ההגדרה של "רווחים ראויים לחלוקה" קובעת אפוא שתי חלופות: "החלופה החשבונאית" ("לפי המאזן של החברה") ו"החלופה </w:t>
      </w:r>
      <w:proofErr w:type="spellStart"/>
      <w:r>
        <w:rPr>
          <w:rFonts w:hint="cs"/>
          <w:rtl/>
        </w:rPr>
        <w:t>המיסויית</w:t>
      </w:r>
      <w:proofErr w:type="spellEnd"/>
      <w:r>
        <w:rPr>
          <w:rFonts w:hint="cs"/>
          <w:rtl/>
        </w:rPr>
        <w:t xml:space="preserve">" ("סכום הרווחים </w:t>
      </w:r>
      <w:proofErr w:type="spellStart"/>
      <w:r>
        <w:rPr>
          <w:rFonts w:hint="cs"/>
          <w:rtl/>
        </w:rPr>
        <w:t>שנתחייבו</w:t>
      </w:r>
      <w:proofErr w:type="spellEnd"/>
      <w:r>
        <w:rPr>
          <w:rFonts w:hint="cs"/>
          <w:rtl/>
        </w:rPr>
        <w:t xml:space="preserve"> במס"). לפי החלופה החשבונאית, יש לקחת בחשבון את הרווחים שנצטברו בחברה מתום שנת המס שקדמה לרכישת המניה ועד תום שנת המס שקדמה לשנת מכירת המניה, הראויים לחלוקה כדיבידנד על פי מאזן החברה. על פי החלופה </w:t>
      </w:r>
      <w:proofErr w:type="spellStart"/>
      <w:r>
        <w:rPr>
          <w:rFonts w:hint="cs"/>
          <w:rtl/>
        </w:rPr>
        <w:t>המיסויית</w:t>
      </w:r>
      <w:proofErr w:type="spellEnd"/>
      <w:r>
        <w:rPr>
          <w:rFonts w:hint="cs"/>
          <w:rtl/>
        </w:rPr>
        <w:t xml:space="preserve">, יש לחשב את סכום </w:t>
      </w:r>
      <w:r w:rsidRPr="009A3FDF">
        <w:rPr>
          <w:rFonts w:ascii="Century" w:hAnsi="Century" w:cs="Miriam" w:hint="cs"/>
          <w:b/>
          <w:spacing w:val="0"/>
          <w:sz w:val="22"/>
          <w:szCs w:val="24"/>
          <w:rtl/>
        </w:rPr>
        <w:t xml:space="preserve">הרווחים </w:t>
      </w:r>
      <w:proofErr w:type="spellStart"/>
      <w:r w:rsidRPr="009A3FDF">
        <w:rPr>
          <w:rFonts w:ascii="Century" w:hAnsi="Century" w:cs="Miriam" w:hint="cs"/>
          <w:b/>
          <w:spacing w:val="0"/>
          <w:sz w:val="22"/>
          <w:szCs w:val="24"/>
          <w:rtl/>
        </w:rPr>
        <w:t>ש</w:t>
      </w:r>
      <w:r w:rsidRPr="009728CD">
        <w:rPr>
          <w:rFonts w:ascii="Century" w:hAnsi="Century" w:cs="Miriam" w:hint="cs"/>
          <w:b/>
          <w:spacing w:val="0"/>
          <w:sz w:val="22"/>
          <w:szCs w:val="24"/>
          <w:rtl/>
        </w:rPr>
        <w:t>נתחייבו</w:t>
      </w:r>
      <w:proofErr w:type="spellEnd"/>
      <w:r w:rsidRPr="009728CD">
        <w:rPr>
          <w:rFonts w:ascii="Century" w:hAnsi="Century" w:cs="Miriam" w:hint="cs"/>
          <w:b/>
          <w:spacing w:val="0"/>
          <w:sz w:val="22"/>
          <w:szCs w:val="24"/>
          <w:rtl/>
        </w:rPr>
        <w:t xml:space="preserve"> במס </w:t>
      </w:r>
      <w:r>
        <w:rPr>
          <w:rFonts w:hint="cs"/>
          <w:rtl/>
        </w:rPr>
        <w:t xml:space="preserve">(בניכוי המס ששולם, דיבידנד שחולק והפסדים שטרם קוזזו ובצירוף רווחים פטורים ממס) (עניין </w:t>
      </w:r>
      <w:proofErr w:type="spellStart"/>
      <w:r w:rsidRPr="009728CD">
        <w:rPr>
          <w:rFonts w:ascii="Century" w:hAnsi="Century" w:cs="Miriam" w:hint="cs"/>
          <w:b/>
          <w:spacing w:val="0"/>
          <w:sz w:val="22"/>
          <w:szCs w:val="24"/>
          <w:rtl/>
        </w:rPr>
        <w:t>ז'ורבין</w:t>
      </w:r>
      <w:proofErr w:type="spellEnd"/>
      <w:r>
        <w:rPr>
          <w:rFonts w:ascii="Century" w:hAnsi="Century" w:hint="cs"/>
          <w:sz w:val="22"/>
          <w:rtl/>
        </w:rPr>
        <w:t xml:space="preserve">, פסקה 19; אלכסנדר שפירא </w:t>
      </w:r>
      <w:r>
        <w:rPr>
          <w:rFonts w:ascii="Century" w:hAnsi="Century" w:cs="Miriam" w:hint="cs"/>
          <w:b/>
          <w:spacing w:val="0"/>
          <w:sz w:val="22"/>
          <w:szCs w:val="24"/>
          <w:rtl/>
        </w:rPr>
        <w:t>מיסוי שוק ההון</w:t>
      </w:r>
      <w:r>
        <w:rPr>
          <w:rFonts w:ascii="Century" w:hAnsi="Century" w:hint="cs"/>
          <w:sz w:val="22"/>
          <w:rtl/>
        </w:rPr>
        <w:t xml:space="preserve"> </w:t>
      </w:r>
      <w:r w:rsidR="00CC3A24">
        <w:rPr>
          <w:rFonts w:ascii="Century" w:hAnsi="Century" w:hint="cs"/>
          <w:sz w:val="22"/>
          <w:rtl/>
        </w:rPr>
        <w:t>486-485</w:t>
      </w:r>
      <w:r>
        <w:rPr>
          <w:rFonts w:ascii="Century" w:hAnsi="Century" w:hint="cs"/>
          <w:sz w:val="22"/>
          <w:rtl/>
        </w:rPr>
        <w:t xml:space="preserve"> (מהדורה שלישית, 2019); </w:t>
      </w:r>
      <w:proofErr w:type="spellStart"/>
      <w:r w:rsidRPr="00140F01">
        <w:rPr>
          <w:rFonts w:ascii="Century" w:hAnsi="Century" w:cs="Miriam" w:hint="cs"/>
          <w:b/>
          <w:spacing w:val="0"/>
          <w:sz w:val="22"/>
          <w:szCs w:val="24"/>
          <w:rtl/>
        </w:rPr>
        <w:t>אלקינס</w:t>
      </w:r>
      <w:proofErr w:type="spellEnd"/>
      <w:r>
        <w:rPr>
          <w:rFonts w:hint="cs"/>
          <w:rtl/>
        </w:rPr>
        <w:t xml:space="preserve">, 387). מבין שתי החלופות, הסכום שיילקח בחשבון הוא הסכום הנמוך </w:t>
      </w:r>
      <w:proofErr w:type="spellStart"/>
      <w:r>
        <w:rPr>
          <w:rFonts w:hint="cs"/>
          <w:rtl/>
        </w:rPr>
        <w:t>מביניהן</w:t>
      </w:r>
      <w:proofErr w:type="spellEnd"/>
      <w:r>
        <w:rPr>
          <w:rFonts w:hint="cs"/>
          <w:rtl/>
        </w:rPr>
        <w:t>.</w:t>
      </w:r>
    </w:p>
    <w:p w:rsidR="005307CB" w:rsidRDefault="005307CB" w:rsidP="005307CB">
      <w:pPr>
        <w:pStyle w:val="Ruller41"/>
        <w:rPr>
          <w:rtl/>
        </w:rPr>
      </w:pPr>
    </w:p>
    <w:p w:rsidR="005307CB" w:rsidRDefault="005307CB" w:rsidP="005307CB">
      <w:pPr>
        <w:pStyle w:val="Ruller4"/>
        <w:rPr>
          <w:rtl/>
        </w:rPr>
      </w:pPr>
      <w:r>
        <w:rPr>
          <w:rFonts w:hint="cs"/>
          <w:rtl/>
        </w:rPr>
        <w:t xml:space="preserve">בית המשפט המחוזי קבע כאמור כי בתוך התיבה "רווחים </w:t>
      </w:r>
      <w:proofErr w:type="spellStart"/>
      <w:r>
        <w:rPr>
          <w:rFonts w:hint="cs"/>
          <w:rtl/>
        </w:rPr>
        <w:t>שנתחייבו</w:t>
      </w:r>
      <w:proofErr w:type="spellEnd"/>
      <w:r>
        <w:rPr>
          <w:rFonts w:hint="cs"/>
          <w:rtl/>
        </w:rPr>
        <w:t xml:space="preserve"> במס" נכנסים גם מסי חוץ. ברם, לקביעה זו אין אחיזה בלשון החוק. סעיף 1 לפקודה, סעיף ההגדרות, קובע כי מס או מס הכנסה הוא "בין מס הכנסה ובין מס חברות המוטלים על פי פקודה זו". הגדרת מס בסעיף 1 מובחנת ממסי חוץ, המוגדרים בסעיף 199 לפקודה כ"מסים המשתלמים על ידי תושב ישראל לרשויות המס של מדינה מחוץ לישראל, על הכנסה שהופקה או שנצמחה באותה המדינה, לרבות מסים המשתלמים למדינות שהן חלק ממדינה פדרלית או לרשויות אזוריות שהן חלק מאותה המדינה, המחושבים כאחוז מההכנסה, ולמעט מסים עירוניים". מהגדרות אלה אנו למדים כי התיבה "</w:t>
      </w:r>
      <w:proofErr w:type="spellStart"/>
      <w:r>
        <w:rPr>
          <w:rFonts w:hint="cs"/>
          <w:rtl/>
        </w:rPr>
        <w:t>נתחייבו</w:t>
      </w:r>
      <w:proofErr w:type="spellEnd"/>
      <w:r>
        <w:rPr>
          <w:rFonts w:hint="cs"/>
          <w:rtl/>
        </w:rPr>
        <w:t xml:space="preserve"> במס" מוציאה מתוך הגדרת "רווחים ראויים לחלוקה" רווחים צבורים של חברה זרה, שלא </w:t>
      </w:r>
      <w:proofErr w:type="spellStart"/>
      <w:r>
        <w:rPr>
          <w:rFonts w:hint="cs"/>
          <w:rtl/>
        </w:rPr>
        <w:t>נתחייבה</w:t>
      </w:r>
      <w:proofErr w:type="spellEnd"/>
      <w:r>
        <w:rPr>
          <w:rFonts w:hint="cs"/>
          <w:rtl/>
        </w:rPr>
        <w:t xml:space="preserve"> במס בישראל.</w:t>
      </w:r>
    </w:p>
    <w:p w:rsidR="005307CB" w:rsidRDefault="005307CB" w:rsidP="005307CB">
      <w:pPr>
        <w:pStyle w:val="Ruller41"/>
        <w:rPr>
          <w:rtl/>
        </w:rPr>
      </w:pPr>
    </w:p>
    <w:p w:rsidR="005307CB" w:rsidRDefault="005307CB" w:rsidP="005307CB">
      <w:pPr>
        <w:pStyle w:val="Ruller4"/>
      </w:pPr>
      <w:r>
        <w:rPr>
          <w:rFonts w:hint="cs"/>
          <w:rtl/>
        </w:rPr>
        <w:t xml:space="preserve">חיזוק לפרשנות זו ניתן למצוא בעובדה שבכל הנוגע לשיעור המס החל על רווחים ראויים לחלוקה, בחר המחוקק להפנות בסעיף 94ב לסעיף 125ב, העוסק במיסוי יחיד ומיסוי מקרים "מיוחדים" כדוגמת חברה משפחתית, וסעיף 126(ב), הקובע את שיעור המס המוטל על דיבידנד המתקבל מחבר-בני-אדם "החייב במס חברות", קרי חברה המפיקה הכנסותיה </w:t>
      </w:r>
      <w:r w:rsidRPr="00AD7673">
        <w:rPr>
          <w:rFonts w:ascii="Century" w:hAnsi="Century" w:cs="Miriam" w:hint="cs"/>
          <w:b/>
          <w:spacing w:val="0"/>
          <w:sz w:val="22"/>
          <w:szCs w:val="24"/>
          <w:rtl/>
        </w:rPr>
        <w:t>בישראל</w:t>
      </w:r>
      <w:r>
        <w:rPr>
          <w:rFonts w:hint="cs"/>
          <w:rtl/>
        </w:rPr>
        <w:t xml:space="preserve">. לעומת זאת, הסעיף </w:t>
      </w:r>
      <w:r w:rsidRPr="00AD7673">
        <w:rPr>
          <w:rFonts w:ascii="Century" w:hAnsi="Century" w:cs="Miriam" w:hint="cs"/>
          <w:b/>
          <w:spacing w:val="0"/>
          <w:sz w:val="22"/>
          <w:szCs w:val="24"/>
          <w:rtl/>
        </w:rPr>
        <w:t>אינו</w:t>
      </w:r>
      <w:r>
        <w:rPr>
          <w:rFonts w:hint="cs"/>
          <w:rtl/>
        </w:rPr>
        <w:t xml:space="preserve"> מפנה, להשקפתי בכוונת מכוון, לסעיפים 126(ג) ו-203(ב), העוסקים במיסוי דיבידנד המתקבל מחברה זרה או שמקורו בהכנסות שהופקו או שנצמחו </w:t>
      </w:r>
      <w:r w:rsidRPr="006D114D">
        <w:rPr>
          <w:rFonts w:ascii="Century" w:hAnsi="Century" w:cs="Miriam" w:hint="cs"/>
          <w:b/>
          <w:spacing w:val="0"/>
          <w:sz w:val="22"/>
          <w:szCs w:val="24"/>
          <w:rtl/>
        </w:rPr>
        <w:t>מחוץ לישראל</w:t>
      </w:r>
      <w:r>
        <w:rPr>
          <w:rFonts w:hint="cs"/>
          <w:rtl/>
        </w:rPr>
        <w:t>. אין המדובר אפוא בחֶסֶר, כי אם בהשמטה מכוונת ובהכרעה של המחוקק, שאינה עומדת בסתירה לתכלית החקיקה.</w:t>
      </w:r>
    </w:p>
    <w:p w:rsidR="005307CB" w:rsidRDefault="005307CB" w:rsidP="005307CB">
      <w:pPr>
        <w:pStyle w:val="Ruller4"/>
        <w:numPr>
          <w:ilvl w:val="0"/>
          <w:numId w:val="0"/>
        </w:numPr>
        <w:rPr>
          <w:rtl/>
        </w:rPr>
      </w:pPr>
    </w:p>
    <w:p w:rsidR="005307CB" w:rsidRDefault="005307CB" w:rsidP="005307CB">
      <w:pPr>
        <w:pStyle w:val="Ruller4"/>
        <w:numPr>
          <w:ilvl w:val="0"/>
          <w:numId w:val="0"/>
        </w:numPr>
        <w:rPr>
          <w:rtl/>
        </w:rPr>
      </w:pPr>
      <w:r>
        <w:rPr>
          <w:rtl/>
        </w:rPr>
        <w:tab/>
      </w:r>
      <w:r>
        <w:rPr>
          <w:rFonts w:hint="cs"/>
          <w:rtl/>
        </w:rPr>
        <w:t xml:space="preserve">לשלמות התמונה אציין, כי בהצעת חוק לתיקון פקודת מס הכנסה (תיקון מס' 132), התשס"ב-2002 הוגדר שיעור המס בסעיף 94ב אשר יוטל על חברה בגין הרווחים הראויים לחלוקה כ"גובה שיעור המס שהיה חל עליהם אם היו מתקבלים כדיבידנד סמוך לפני המכירה", ללא הפניה לסעיפים ספציפיים. בית המשפט המחוזי מצא בכך תימוכין לעמדתו כי לא היה בכוונת המחוקק להבחין בין חברה ישראלית לחברה זרה לעניין זה. עם זאת, בצדק טען המערער כי בכך שלבסוף הפנה המחוקק באופן מפורש לסעיף 126(ב) לפקודה ניתן ללמוד כי הדבר נעשה בכוונת מכוון, ואין מקום לפרש את החוק בהתאם להצעת החוק המקורית, אשר נערכו בה שינויים על ידי המחוקק (ראו גם, למשל: עניין </w:t>
      </w:r>
      <w:proofErr w:type="spellStart"/>
      <w:r w:rsidRPr="00140F01">
        <w:rPr>
          <w:rFonts w:ascii="Century" w:hAnsi="Century" w:cs="Miriam" w:hint="cs"/>
          <w:b/>
          <w:spacing w:val="0"/>
          <w:sz w:val="22"/>
          <w:szCs w:val="24"/>
          <w:rtl/>
        </w:rPr>
        <w:t>אס.בי.אן</w:t>
      </w:r>
      <w:proofErr w:type="spellEnd"/>
      <w:r>
        <w:rPr>
          <w:rFonts w:hint="cs"/>
          <w:rtl/>
        </w:rPr>
        <w:t>, פסקה 8 לחוות דעתי).</w:t>
      </w:r>
    </w:p>
    <w:p w:rsidR="005307CB" w:rsidRDefault="005307CB" w:rsidP="005307CB">
      <w:pPr>
        <w:pStyle w:val="Ruller41"/>
        <w:rPr>
          <w:rtl/>
        </w:rPr>
      </w:pPr>
    </w:p>
    <w:p w:rsidR="005307CB" w:rsidRDefault="005307CB" w:rsidP="0036154B">
      <w:pPr>
        <w:pStyle w:val="Ruller4"/>
        <w:rPr>
          <w:rFonts w:ascii="Arial TUR" w:hAnsi="Arial TUR"/>
          <w:rtl/>
        </w:rPr>
      </w:pPr>
      <w:r>
        <w:rPr>
          <w:rFonts w:hint="cs"/>
          <w:rtl/>
        </w:rPr>
        <w:t>לשיטתי, ניתן לעצור בנקודה זו. מלשונו של הסעיף וקיבוצן של ההגדרות הרלוונטיות, ברור ונהיר כי המחוקק החריג מכירת מניות של חברה שהכנסותיה לא התקבלו בישראל מגדרו של סעיף 94ב והטבת המס הכלולה בו. כפי שציין השופט (</w:t>
      </w:r>
      <w:proofErr w:type="spellStart"/>
      <w:r>
        <w:rPr>
          <w:rFonts w:hint="cs"/>
          <w:rtl/>
        </w:rPr>
        <w:t>כתארו</w:t>
      </w:r>
      <w:proofErr w:type="spellEnd"/>
      <w:r>
        <w:rPr>
          <w:rFonts w:hint="cs"/>
          <w:rtl/>
        </w:rPr>
        <w:t xml:space="preserve"> אז) </w:t>
      </w:r>
      <w:r>
        <w:rPr>
          <w:rFonts w:ascii="Century" w:hAnsi="Century" w:cs="Miriam" w:hint="cs"/>
          <w:b/>
          <w:spacing w:val="0"/>
          <w:szCs w:val="24"/>
          <w:rtl/>
        </w:rPr>
        <w:t xml:space="preserve">א' </w:t>
      </w:r>
      <w:proofErr w:type="spellStart"/>
      <w:r>
        <w:rPr>
          <w:rFonts w:ascii="Century" w:hAnsi="Century" w:cs="Miriam" w:hint="cs"/>
          <w:b/>
          <w:spacing w:val="0"/>
          <w:szCs w:val="24"/>
          <w:rtl/>
        </w:rPr>
        <w:t>גרוניס</w:t>
      </w:r>
      <w:proofErr w:type="spellEnd"/>
      <w:r>
        <w:rPr>
          <w:rFonts w:ascii="Century" w:hAnsi="Century" w:hint="cs"/>
          <w:rtl/>
        </w:rPr>
        <w:t xml:space="preserve"> בעניין </w:t>
      </w:r>
      <w:r>
        <w:rPr>
          <w:rFonts w:ascii="Century" w:hAnsi="Century" w:cs="Miriam" w:hint="cs"/>
          <w:b/>
          <w:spacing w:val="0"/>
          <w:szCs w:val="24"/>
          <w:rtl/>
        </w:rPr>
        <w:t>פוליטי</w:t>
      </w:r>
      <w:r>
        <w:rPr>
          <w:rFonts w:ascii="Century" w:hAnsi="Century" w:hint="cs"/>
          <w:rtl/>
        </w:rPr>
        <w:t>,</w:t>
      </w:r>
      <w:r>
        <w:rPr>
          <w:rFonts w:hint="cs"/>
          <w:rtl/>
        </w:rPr>
        <w:t xml:space="preserve"> </w:t>
      </w:r>
      <w:r>
        <w:rPr>
          <w:rFonts w:ascii="Century" w:hAnsi="Century" w:hint="cs"/>
          <w:sz w:val="22"/>
          <w:rtl/>
        </w:rPr>
        <w:t xml:space="preserve">"דיני המס סבוכים דיים בלא שבית המשפט יסבכם יותר על ידי מתן פרשנות הסוטה באורח בוטה מלשון החוק ומכוונתם של יוצריו" (עניין </w:t>
      </w:r>
      <w:r>
        <w:rPr>
          <w:rFonts w:ascii="Century" w:hAnsi="Century" w:cs="Miriam" w:hint="cs"/>
          <w:b/>
          <w:spacing w:val="0"/>
          <w:sz w:val="22"/>
          <w:szCs w:val="24"/>
          <w:rtl/>
        </w:rPr>
        <w:t>פוליטי</w:t>
      </w:r>
      <w:r>
        <w:rPr>
          <w:rFonts w:ascii="Century" w:hAnsi="Century" w:hint="cs"/>
          <w:sz w:val="22"/>
          <w:rtl/>
        </w:rPr>
        <w:t>, עמ' 327)</w:t>
      </w:r>
      <w:r>
        <w:rPr>
          <w:rFonts w:ascii="Century" w:hAnsi="Century" w:hint="cs"/>
          <w:rtl/>
        </w:rPr>
        <w:t>. הדברים נכונים ביתר שאת בסוגיית המיסוי הראוי של תאגידים, אחת הסוגיות הסבוכות בתחום מדיניות המס</w:t>
      </w:r>
      <w:r w:rsidR="0036154B">
        <w:rPr>
          <w:rFonts w:hint="cs"/>
          <w:rtl/>
        </w:rPr>
        <w:t>.</w:t>
      </w:r>
      <w:r>
        <w:rPr>
          <w:rFonts w:ascii="Arial TUR" w:hAnsi="Arial TUR" w:hint="cs"/>
          <w:rtl/>
        </w:rPr>
        <w:t xml:space="preserve"> בכל מקרה, העמדה לפיה המחוקק "אינו עושה מלאכת מחשבת" בחקיקת דיני המס לעומת דינים אחרים, תוך פסיחה על לשון החוק, איננה מקובלת עלי (עניין </w:t>
      </w:r>
      <w:r>
        <w:rPr>
          <w:rFonts w:ascii="Century" w:hAnsi="Century" w:cs="Miriam" w:hint="cs"/>
          <w:b/>
          <w:spacing w:val="0"/>
          <w:sz w:val="22"/>
          <w:szCs w:val="24"/>
          <w:rtl/>
        </w:rPr>
        <w:t>חצור</w:t>
      </w:r>
      <w:r>
        <w:rPr>
          <w:rFonts w:ascii="Century" w:hAnsi="Century" w:hint="cs"/>
          <w:sz w:val="22"/>
          <w:rtl/>
        </w:rPr>
        <w:t>, עמ' 78-77).</w:t>
      </w:r>
      <w:r>
        <w:rPr>
          <w:rFonts w:ascii="Arial TUR" w:hAnsi="Arial TUR" w:hint="cs"/>
          <w:rtl/>
        </w:rPr>
        <w:t xml:space="preserve"> כפי שנכתב מלפני דורי דורות מפי מ"מ הנשיא </w:t>
      </w:r>
      <w:r>
        <w:rPr>
          <w:rFonts w:ascii="Century" w:hAnsi="Century" w:cs="Miriam" w:hint="cs"/>
          <w:b/>
          <w:spacing w:val="0"/>
          <w:sz w:val="22"/>
          <w:szCs w:val="24"/>
          <w:rtl/>
        </w:rPr>
        <w:t xml:space="preserve">מ' </w:t>
      </w:r>
      <w:proofErr w:type="spellStart"/>
      <w:r>
        <w:rPr>
          <w:rFonts w:ascii="Century" w:hAnsi="Century" w:cs="Miriam" w:hint="cs"/>
          <w:b/>
          <w:spacing w:val="0"/>
          <w:sz w:val="22"/>
          <w:szCs w:val="24"/>
          <w:rtl/>
        </w:rPr>
        <w:t>זילברג</w:t>
      </w:r>
      <w:proofErr w:type="spellEnd"/>
      <w:r>
        <w:rPr>
          <w:rFonts w:ascii="Arial TUR" w:hAnsi="Arial TUR" w:hint="cs"/>
          <w:rtl/>
        </w:rPr>
        <w:t>:</w:t>
      </w:r>
    </w:p>
    <w:p w:rsidR="005307CB" w:rsidRDefault="005307CB" w:rsidP="005307CB">
      <w:pPr>
        <w:pStyle w:val="Ruller41"/>
        <w:rPr>
          <w:rtl/>
        </w:rPr>
      </w:pPr>
    </w:p>
    <w:p w:rsidR="005307CB" w:rsidRPr="007C529C" w:rsidRDefault="005307CB" w:rsidP="005307CB">
      <w:pPr>
        <w:pStyle w:val="Ruller5"/>
        <w:rPr>
          <w:rtl/>
        </w:rPr>
      </w:pPr>
      <w:r>
        <w:rPr>
          <w:rFonts w:hint="cs"/>
          <w:rtl/>
        </w:rPr>
        <w:t xml:space="preserve">"מחוקק, אף-על-פי ששגה </w:t>
      </w:r>
      <w:r>
        <w:rPr>
          <w:rtl/>
        </w:rPr>
        <w:t>–</w:t>
      </w:r>
      <w:r>
        <w:rPr>
          <w:rFonts w:hint="cs"/>
          <w:rtl/>
        </w:rPr>
        <w:t xml:space="preserve"> מחוקק הוא, ואין בית-המשפט יכול לשוות למונחיו מובן שאין הלשון </w:t>
      </w:r>
      <w:proofErr w:type="spellStart"/>
      <w:r>
        <w:rPr>
          <w:rFonts w:hint="cs"/>
          <w:rtl/>
        </w:rPr>
        <w:t>סובלתו</w:t>
      </w:r>
      <w:proofErr w:type="spellEnd"/>
      <w:r>
        <w:rPr>
          <w:rFonts w:hint="cs"/>
          <w:rtl/>
        </w:rPr>
        <w:t>" (</w:t>
      </w:r>
      <w:proofErr w:type="spellStart"/>
      <w:r>
        <w:rPr>
          <w:rFonts w:hint="cs"/>
          <w:rtl/>
        </w:rPr>
        <w:t>המ</w:t>
      </w:r>
      <w:proofErr w:type="spellEnd"/>
      <w:r>
        <w:rPr>
          <w:rFonts w:hint="cs"/>
          <w:rtl/>
        </w:rPr>
        <w:t xml:space="preserve">' 560/67 </w:t>
      </w:r>
      <w:proofErr w:type="spellStart"/>
      <w:r>
        <w:rPr>
          <w:rFonts w:cs="Miriam" w:hint="cs"/>
          <w:b/>
          <w:spacing w:val="0"/>
          <w:szCs w:val="24"/>
          <w:rtl/>
        </w:rPr>
        <w:t>זילברשלג</w:t>
      </w:r>
      <w:proofErr w:type="spellEnd"/>
      <w:r>
        <w:rPr>
          <w:rFonts w:cs="Miriam" w:hint="cs"/>
          <w:b/>
          <w:spacing w:val="0"/>
          <w:szCs w:val="24"/>
          <w:rtl/>
        </w:rPr>
        <w:t xml:space="preserve"> נ' מדינת ישראל</w:t>
      </w:r>
      <w:r>
        <w:rPr>
          <w:rFonts w:hint="cs"/>
          <w:rtl/>
        </w:rPr>
        <w:t xml:space="preserve">, פ"ד </w:t>
      </w:r>
      <w:proofErr w:type="spellStart"/>
      <w:r>
        <w:rPr>
          <w:rFonts w:hint="cs"/>
          <w:rtl/>
        </w:rPr>
        <w:t>כא</w:t>
      </w:r>
      <w:proofErr w:type="spellEnd"/>
      <w:r>
        <w:rPr>
          <w:rFonts w:hint="cs"/>
          <w:rtl/>
        </w:rPr>
        <w:t>(2) 797, 801 (1967)).</w:t>
      </w:r>
    </w:p>
    <w:p w:rsidR="005307CB" w:rsidRDefault="005307CB" w:rsidP="005307CB">
      <w:pPr>
        <w:pStyle w:val="Ruller41"/>
        <w:rPr>
          <w:rtl/>
        </w:rPr>
      </w:pPr>
    </w:p>
    <w:p w:rsidR="005307CB" w:rsidRDefault="005307CB" w:rsidP="005307CB">
      <w:pPr>
        <w:pStyle w:val="Ruller41"/>
        <w:rPr>
          <w:rtl/>
        </w:rPr>
      </w:pPr>
      <w:r>
        <w:rPr>
          <w:rtl/>
        </w:rPr>
        <w:tab/>
      </w:r>
      <w:r>
        <w:rPr>
          <w:rFonts w:hint="cs"/>
          <w:rtl/>
        </w:rPr>
        <w:t>דברים אלה נכונים ביתר שאת בענייננו, שעה שעולה כי אין מדובר כלל בשגגה שיצאה תחת ידו של המחוקק.</w:t>
      </w:r>
    </w:p>
    <w:p w:rsidR="005307CB" w:rsidRDefault="005307CB" w:rsidP="005307CB">
      <w:pPr>
        <w:pStyle w:val="Ruller41"/>
        <w:rPr>
          <w:rtl/>
        </w:rPr>
      </w:pPr>
    </w:p>
    <w:p w:rsidR="005307CB" w:rsidRDefault="005307CB" w:rsidP="005307CB">
      <w:pPr>
        <w:pStyle w:val="Ruller4"/>
      </w:pPr>
      <w:r>
        <w:rPr>
          <w:rFonts w:hint="cs"/>
          <w:rtl/>
        </w:rPr>
        <w:t xml:space="preserve">במידה רבה למעלה מן הצורך, אתייחס בקצרה למספר נקודות אותן העלה בית המשפט המחוזי בפסק דינו. </w:t>
      </w:r>
    </w:p>
    <w:p w:rsidR="005307CB" w:rsidRDefault="005307CB" w:rsidP="005307CB">
      <w:pPr>
        <w:pStyle w:val="Ruller4"/>
        <w:numPr>
          <w:ilvl w:val="0"/>
          <w:numId w:val="0"/>
        </w:numPr>
        <w:rPr>
          <w:rtl/>
        </w:rPr>
      </w:pPr>
    </w:p>
    <w:p w:rsidR="005307CB" w:rsidRDefault="005307CB" w:rsidP="005307CB">
      <w:pPr>
        <w:pStyle w:val="Ruller4"/>
        <w:numPr>
          <w:ilvl w:val="0"/>
          <w:numId w:val="0"/>
        </w:numPr>
        <w:rPr>
          <w:rtl/>
        </w:rPr>
      </w:pPr>
      <w:r>
        <w:rPr>
          <w:rtl/>
        </w:rPr>
        <w:tab/>
      </w:r>
      <w:r>
        <w:rPr>
          <w:rFonts w:hint="cs"/>
          <w:rtl/>
        </w:rPr>
        <w:t xml:space="preserve">אחת ההנמקות לתוצאה אליה הגיע בית המשפט המחוזי הייתה העובדה שאין כל הצדקה להבחין בין פעילות של חברה ישראלית באמצעות סניף במדינה זרה לבין הקמתה של חברת בת באותה מדינה. סוג טיעון זה אמנם שובה את הלב, אולם אין בידי להסכים עם עמדה עקרונית זו. אכן, מבחינה </w:t>
      </w:r>
      <w:r w:rsidRPr="00D72C9C">
        <w:rPr>
          <w:rFonts w:ascii="Century" w:hAnsi="Century" w:cs="Miriam" w:hint="cs"/>
          <w:b/>
          <w:spacing w:val="0"/>
          <w:sz w:val="22"/>
          <w:szCs w:val="24"/>
          <w:rtl/>
        </w:rPr>
        <w:t>כלכלית</w:t>
      </w:r>
      <w:r>
        <w:rPr>
          <w:rFonts w:hint="cs"/>
          <w:rtl/>
        </w:rPr>
        <w:t xml:space="preserve"> ניתן לטעון כי אין הבדל משמעותי בין פעולה באמצעות חברת בת זרה לבין הקמת סניף באותה מדינה מחוץ לישראל. אולם, מבחינה </w:t>
      </w:r>
      <w:proofErr w:type="spellStart"/>
      <w:r>
        <w:rPr>
          <w:rFonts w:ascii="Century" w:hAnsi="Century" w:cs="Miriam" w:hint="cs"/>
          <w:b/>
          <w:spacing w:val="0"/>
          <w:sz w:val="22"/>
          <w:szCs w:val="24"/>
          <w:rtl/>
        </w:rPr>
        <w:t>מיסויית</w:t>
      </w:r>
      <w:proofErr w:type="spellEnd"/>
      <w:r>
        <w:rPr>
          <w:rFonts w:ascii="Century" w:hAnsi="Century" w:hint="cs"/>
          <w:sz w:val="22"/>
          <w:rtl/>
        </w:rPr>
        <w:t xml:space="preserve"> ישנו הבדל בין שתי צורות התאגדות אלה. בעוד שבמצב הראשון החברה הישראלית או חברת הבת הישראלית חייבות במס בישראל בהיותן תושבות ישראל, כאשר חברה ישראלית פועלת באמצעות חברת בת זרה, החברה הזרה אינה חייבת ככלל במס בישראל, זולת אם השליטה והניהול של החברה בישראל או אם הפיקה הכנסות בישראל. כאמור, סעיף 94ב עוסק במהותו במיסוי בישראל ומתנה את הזכאות להטבת המס הקבועה בו בכך שהרווחים הראויים לחלוקה, לפי החלופה </w:t>
      </w:r>
      <w:proofErr w:type="spellStart"/>
      <w:r>
        <w:rPr>
          <w:rFonts w:ascii="Century" w:hAnsi="Century" w:hint="cs"/>
          <w:sz w:val="22"/>
          <w:rtl/>
        </w:rPr>
        <w:t>המיסויית</w:t>
      </w:r>
      <w:proofErr w:type="spellEnd"/>
      <w:r>
        <w:rPr>
          <w:rFonts w:ascii="Century" w:hAnsi="Century" w:hint="cs"/>
          <w:sz w:val="22"/>
          <w:rtl/>
        </w:rPr>
        <w:t xml:space="preserve">, </w:t>
      </w:r>
      <w:proofErr w:type="spellStart"/>
      <w:r>
        <w:rPr>
          <w:rFonts w:ascii="Century" w:hAnsi="Century" w:hint="cs"/>
          <w:sz w:val="22"/>
          <w:rtl/>
        </w:rPr>
        <w:t>נתחייבו</w:t>
      </w:r>
      <w:proofErr w:type="spellEnd"/>
      <w:r>
        <w:rPr>
          <w:rFonts w:ascii="Century" w:hAnsi="Century" w:hint="cs"/>
          <w:sz w:val="22"/>
          <w:rtl/>
        </w:rPr>
        <w:t xml:space="preserve"> במס חברות או במס הכנסה בישראל.</w:t>
      </w:r>
      <w:r>
        <w:rPr>
          <w:rFonts w:hint="cs"/>
          <w:rtl/>
        </w:rPr>
        <w:t xml:space="preserve"> לפיכך, הסעיף יכול לחול במכירת מניות של חברת בת ישראלית, אך אינו רלוונטי במכירת מניות של חברת בת זרה, שהכנסותיה לא </w:t>
      </w:r>
      <w:proofErr w:type="spellStart"/>
      <w:r>
        <w:rPr>
          <w:rFonts w:hint="cs"/>
          <w:rtl/>
        </w:rPr>
        <w:t>נתחייבו</w:t>
      </w:r>
      <w:proofErr w:type="spellEnd"/>
      <w:r>
        <w:rPr>
          <w:rFonts w:hint="cs"/>
          <w:rtl/>
        </w:rPr>
        <w:t xml:space="preserve"> במס בישראל. </w:t>
      </w:r>
    </w:p>
    <w:p w:rsidR="005307CB" w:rsidRDefault="005307CB" w:rsidP="005307CB">
      <w:pPr>
        <w:pStyle w:val="Ruller41"/>
        <w:rPr>
          <w:rtl/>
        </w:rPr>
      </w:pPr>
    </w:p>
    <w:p w:rsidR="005307CB" w:rsidRDefault="005307CB" w:rsidP="005307CB">
      <w:pPr>
        <w:pStyle w:val="Ruller4"/>
        <w:rPr>
          <w:rFonts w:ascii="Century" w:hAnsi="Century"/>
          <w:sz w:val="22"/>
          <w:rtl/>
        </w:rPr>
      </w:pPr>
      <w:r>
        <w:rPr>
          <w:rFonts w:hint="cs"/>
          <w:rtl/>
        </w:rPr>
        <w:t xml:space="preserve">בית המשפט המחוזי הקדיש חלק ניכר מפסק דינו לתכליתו של סעיף 94ב ובפרט לניטרליות בייצוא ההון </w:t>
      </w:r>
      <w:proofErr w:type="spellStart"/>
      <w:r>
        <w:rPr>
          <w:rFonts w:hint="cs"/>
          <w:rtl/>
        </w:rPr>
        <w:t>ול"אדישות</w:t>
      </w:r>
      <w:proofErr w:type="spellEnd"/>
      <w:r>
        <w:rPr>
          <w:rFonts w:hint="cs"/>
          <w:rtl/>
        </w:rPr>
        <w:t xml:space="preserve"> </w:t>
      </w:r>
      <w:proofErr w:type="spellStart"/>
      <w:r>
        <w:rPr>
          <w:rFonts w:hint="cs"/>
          <w:rtl/>
        </w:rPr>
        <w:t>המיסויית</w:t>
      </w:r>
      <w:proofErr w:type="spellEnd"/>
      <w:r>
        <w:rPr>
          <w:rFonts w:hint="cs"/>
          <w:rtl/>
        </w:rPr>
        <w:t xml:space="preserve">" אותה ביקש המחוקק להשיג באמצעות הסעיף. מכיוון שלעמדתי ניתן לעצור </w:t>
      </w:r>
      <w:r w:rsidRPr="00CF111F">
        <w:rPr>
          <w:rFonts w:hint="cs"/>
          <w:rtl/>
        </w:rPr>
        <w:t>ב</w:t>
      </w:r>
      <w:r w:rsidRPr="0029699C">
        <w:rPr>
          <w:rFonts w:hint="cs"/>
          <w:rtl/>
        </w:rPr>
        <w:t>שלב הפרשני הראשון</w:t>
      </w:r>
      <w:r>
        <w:rPr>
          <w:rFonts w:hint="cs"/>
          <w:rtl/>
        </w:rPr>
        <w:t xml:space="preserve"> </w:t>
      </w:r>
      <w:r>
        <w:rPr>
          <w:rtl/>
        </w:rPr>
        <w:t>–</w:t>
      </w:r>
      <w:r w:rsidRPr="0029699C">
        <w:rPr>
          <w:rFonts w:hint="cs"/>
          <w:rtl/>
        </w:rPr>
        <w:t xml:space="preserve"> במשמעות הלשון</w:t>
      </w:r>
      <w:r>
        <w:rPr>
          <w:rFonts w:hint="cs"/>
          <w:rtl/>
        </w:rPr>
        <w:t xml:space="preserve">, כאמור, לא אכנס בהרחבה לתכליותיו של סעיף 94ב. כפי שציינתי לעיל, הטבת המס הקבועה בסעיף 94ב לפקודה נועדה להגשים שתי תכליות עיקריות. </w:t>
      </w:r>
      <w:r w:rsidRPr="00B3771B">
        <w:rPr>
          <w:rFonts w:ascii="Century" w:hAnsi="Century" w:cs="Miriam" w:hint="cs"/>
          <w:b/>
          <w:spacing w:val="0"/>
          <w:sz w:val="22"/>
          <w:szCs w:val="24"/>
          <w:rtl/>
        </w:rPr>
        <w:t>ראשית</w:t>
      </w:r>
      <w:r>
        <w:rPr>
          <w:rFonts w:hint="cs"/>
          <w:rtl/>
        </w:rPr>
        <w:t xml:space="preserve">, הסעיף מבקש למנוע הטלת נטל מס עודף על רווחי החברה הראויים לחלוקה, בהתחשב בעובדה כי החברה כבר שילמה מס על רווחים אלה קודם לכן. שכן אלמלא ההוראה, היה מוכר המניות חב במס רווחי הון, בשיעור גבוה יחסית, בגין רווחי החברה שכבר </w:t>
      </w:r>
      <w:proofErr w:type="spellStart"/>
      <w:r>
        <w:rPr>
          <w:rFonts w:hint="cs"/>
          <w:rtl/>
        </w:rPr>
        <w:t>מוסו</w:t>
      </w:r>
      <w:proofErr w:type="spellEnd"/>
      <w:r>
        <w:rPr>
          <w:rFonts w:hint="cs"/>
          <w:rtl/>
        </w:rPr>
        <w:t xml:space="preserve">, במסגרת מיסוי תמורת המניות ששולמה לו, המשקפת בין השאר את הרווחים הצבורים בחברה. </w:t>
      </w:r>
      <w:r w:rsidRPr="00B3771B">
        <w:rPr>
          <w:rFonts w:ascii="Century" w:hAnsi="Century" w:cs="Miriam" w:hint="cs"/>
          <w:b/>
          <w:spacing w:val="0"/>
          <w:sz w:val="22"/>
          <w:szCs w:val="24"/>
          <w:rtl/>
        </w:rPr>
        <w:t>שנית</w:t>
      </w:r>
      <w:r>
        <w:rPr>
          <w:rFonts w:hint="cs"/>
          <w:rtl/>
        </w:rPr>
        <w:t xml:space="preserve">, כפי שהדגיש בית המשפט המחוזי, הסעיף מבקש ליצור "אדישות </w:t>
      </w:r>
      <w:proofErr w:type="spellStart"/>
      <w:r>
        <w:rPr>
          <w:rFonts w:hint="cs"/>
          <w:rtl/>
        </w:rPr>
        <w:t>מיסויית</w:t>
      </w:r>
      <w:proofErr w:type="spellEnd"/>
      <w:r>
        <w:rPr>
          <w:rFonts w:hint="cs"/>
          <w:rtl/>
        </w:rPr>
        <w:t xml:space="preserve">" ולמנוע </w:t>
      </w:r>
      <w:proofErr w:type="spellStart"/>
      <w:r>
        <w:rPr>
          <w:rFonts w:hint="cs"/>
          <w:rtl/>
        </w:rPr>
        <w:t>הטייה</w:t>
      </w:r>
      <w:proofErr w:type="spellEnd"/>
      <w:r>
        <w:rPr>
          <w:rFonts w:hint="cs"/>
          <w:rtl/>
        </w:rPr>
        <w:t xml:space="preserve"> בלתי רצויה אצל בעלי המניות ביחס להחלטה האם לחלק את רווחי החברה כדיבידנד, טרם מכירת המניות, אם לאו (עניין </w:t>
      </w:r>
      <w:r w:rsidRPr="00685F31">
        <w:rPr>
          <w:rFonts w:ascii="Century" w:hAnsi="Century" w:cs="Miriam" w:hint="cs"/>
          <w:b/>
          <w:spacing w:val="0"/>
          <w:sz w:val="22"/>
          <w:szCs w:val="24"/>
          <w:rtl/>
        </w:rPr>
        <w:t>סלמן</w:t>
      </w:r>
      <w:r>
        <w:rPr>
          <w:rFonts w:ascii="Century" w:hAnsi="Century" w:hint="cs"/>
          <w:sz w:val="22"/>
          <w:rtl/>
        </w:rPr>
        <w:t xml:space="preserve">, פסקה 30; </w:t>
      </w:r>
      <w:r w:rsidRPr="00B3771B">
        <w:rPr>
          <w:rFonts w:ascii="Century" w:hAnsi="Century" w:hint="cs"/>
          <w:sz w:val="22"/>
          <w:rtl/>
        </w:rPr>
        <w:t>עניין</w:t>
      </w:r>
      <w:r w:rsidRPr="00B3771B">
        <w:rPr>
          <w:rFonts w:hint="cs"/>
          <w:rtl/>
        </w:rPr>
        <w:t xml:space="preserve"> </w:t>
      </w:r>
      <w:r>
        <w:rPr>
          <w:rFonts w:ascii="Century" w:hAnsi="Century" w:cs="Miriam" w:hint="cs"/>
          <w:b/>
          <w:spacing w:val="0"/>
          <w:szCs w:val="24"/>
          <w:rtl/>
        </w:rPr>
        <w:t>סיוון</w:t>
      </w:r>
      <w:r>
        <w:rPr>
          <w:rFonts w:ascii="Century" w:hAnsi="Century" w:hint="cs"/>
          <w:rtl/>
        </w:rPr>
        <w:t xml:space="preserve">, 606-605; עניין </w:t>
      </w:r>
      <w:proofErr w:type="spellStart"/>
      <w:r>
        <w:rPr>
          <w:rFonts w:ascii="Century" w:hAnsi="Century" w:cs="Miriam" w:hint="cs"/>
          <w:b/>
          <w:spacing w:val="0"/>
          <w:sz w:val="22"/>
          <w:szCs w:val="24"/>
          <w:rtl/>
        </w:rPr>
        <w:t>ז'ורבין</w:t>
      </w:r>
      <w:proofErr w:type="spellEnd"/>
      <w:r>
        <w:rPr>
          <w:rFonts w:ascii="Century" w:hAnsi="Century" w:hint="cs"/>
          <w:sz w:val="22"/>
          <w:rtl/>
        </w:rPr>
        <w:t xml:space="preserve">, פסקה 17). </w:t>
      </w:r>
    </w:p>
    <w:p w:rsidR="005307CB" w:rsidRDefault="005307CB" w:rsidP="005307CB">
      <w:pPr>
        <w:pStyle w:val="Ruller41"/>
        <w:rPr>
          <w:rtl/>
        </w:rPr>
      </w:pPr>
    </w:p>
    <w:p w:rsidR="005307CB" w:rsidRPr="00EC6BAD" w:rsidRDefault="005307CB" w:rsidP="005307CB">
      <w:pPr>
        <w:pStyle w:val="Ruller41"/>
        <w:rPr>
          <w:rFonts w:ascii="Century" w:hAnsi="Century"/>
          <w:rtl/>
        </w:rPr>
      </w:pPr>
      <w:r>
        <w:rPr>
          <w:rtl/>
        </w:rPr>
        <w:tab/>
      </w:r>
      <w:r>
        <w:rPr>
          <w:rFonts w:hint="cs"/>
          <w:rtl/>
        </w:rPr>
        <w:t xml:space="preserve">על פניו אפוא, הבאה לניטרליות מס בין-מדינתית אינה אחת מתכליותיו של הסעיף. מעבר לכך, רצונו של המחוקק להביא לאדישות </w:t>
      </w:r>
      <w:proofErr w:type="spellStart"/>
      <w:r>
        <w:rPr>
          <w:rFonts w:hint="cs"/>
          <w:rtl/>
        </w:rPr>
        <w:t>מיסויית</w:t>
      </w:r>
      <w:proofErr w:type="spellEnd"/>
      <w:r>
        <w:rPr>
          <w:rFonts w:hint="cs"/>
          <w:rtl/>
        </w:rPr>
        <w:t xml:space="preserve"> של הנישום אינו חזית </w:t>
      </w:r>
      <w:proofErr w:type="spellStart"/>
      <w:r>
        <w:rPr>
          <w:rFonts w:hint="cs"/>
          <w:rtl/>
        </w:rPr>
        <w:t>הכל</w:t>
      </w:r>
      <w:proofErr w:type="spellEnd"/>
      <w:r>
        <w:rPr>
          <w:rFonts w:hint="cs"/>
          <w:rtl/>
        </w:rPr>
        <w:t xml:space="preserve">, ותכלית זו לא יכולה להוביל לקריאה לתוך הסעיף את מה שלא נכלל בו. אדישות </w:t>
      </w:r>
      <w:proofErr w:type="spellStart"/>
      <w:r>
        <w:rPr>
          <w:rFonts w:hint="cs"/>
          <w:rtl/>
        </w:rPr>
        <w:t>מיסויית</w:t>
      </w:r>
      <w:proofErr w:type="spellEnd"/>
      <w:r>
        <w:rPr>
          <w:rFonts w:hint="cs"/>
          <w:rtl/>
        </w:rPr>
        <w:t xml:space="preserve"> נועדה כאמור להביא למצב שבו שיקולי מס לא יהיו מעורבים בהחלטה על חלוקת דיבידנדים, אלא רק </w:t>
      </w:r>
      <w:proofErr w:type="spellStart"/>
      <w:r>
        <w:rPr>
          <w:rFonts w:hint="cs"/>
          <w:rtl/>
        </w:rPr>
        <w:t>שיקוליים</w:t>
      </w:r>
      <w:proofErr w:type="spellEnd"/>
      <w:r>
        <w:rPr>
          <w:rFonts w:hint="cs"/>
          <w:rtl/>
        </w:rPr>
        <w:t xml:space="preserve"> עסקיים כך שחברות תוכלנה להותיר רווחיהן בחברה ולהשקיעם. אולם, שעה שהסעיף עוסק במיסוי </w:t>
      </w:r>
      <w:r>
        <w:rPr>
          <w:rFonts w:ascii="Century" w:hAnsi="Century" w:cs="Miriam" w:hint="cs"/>
          <w:b/>
          <w:spacing w:val="0"/>
          <w:szCs w:val="24"/>
          <w:rtl/>
        </w:rPr>
        <w:t>מדינתי</w:t>
      </w:r>
      <w:r>
        <w:rPr>
          <w:rFonts w:ascii="Century" w:hAnsi="Century" w:hint="cs"/>
          <w:rtl/>
        </w:rPr>
        <w:t>, תכלית זו מכוונת ל</w:t>
      </w:r>
      <w:r>
        <w:rPr>
          <w:rFonts w:ascii="Century" w:hAnsi="Century" w:cs="Miriam" w:hint="cs"/>
          <w:b/>
          <w:spacing w:val="0"/>
          <w:szCs w:val="24"/>
          <w:rtl/>
        </w:rPr>
        <w:t>משק הישראלי</w:t>
      </w:r>
      <w:r>
        <w:rPr>
          <w:rFonts w:ascii="Century" w:hAnsi="Century" w:hint="cs"/>
          <w:rtl/>
        </w:rPr>
        <w:t xml:space="preserve"> ולא למשק שמחוצה לו. מבחינת מדיניות </w:t>
      </w:r>
      <w:proofErr w:type="spellStart"/>
      <w:r>
        <w:rPr>
          <w:rFonts w:ascii="Century" w:hAnsi="Century" w:hint="cs"/>
          <w:rtl/>
        </w:rPr>
        <w:t>מיסויית</w:t>
      </w:r>
      <w:proofErr w:type="spellEnd"/>
      <w:r>
        <w:rPr>
          <w:rFonts w:ascii="Century" w:hAnsi="Century" w:hint="cs"/>
          <w:rtl/>
        </w:rPr>
        <w:t xml:space="preserve">, ישנו היגיון במתן הטבת המס האמורה לחברות ישראליות המתחייבות במס בישראל. על אף שישנה פגיעה </w:t>
      </w:r>
      <w:r>
        <w:rPr>
          <w:rFonts w:ascii="Century" w:hAnsi="Century" w:cs="Miriam" w:hint="cs"/>
          <w:b/>
          <w:spacing w:val="0"/>
          <w:szCs w:val="24"/>
          <w:rtl/>
        </w:rPr>
        <w:t>זמנית</w:t>
      </w:r>
      <w:r>
        <w:rPr>
          <w:rFonts w:ascii="Century" w:hAnsi="Century" w:hint="cs"/>
          <w:rtl/>
        </w:rPr>
        <w:t xml:space="preserve"> באוצר המדינה, שכן מערכת המס "תפגוש" את הכסף בשלב מאוחר יותר, ישנם יתרונות כלכליים-משקיים אחרים בהשקעה חוזרת של רווחי החברה בחברה על פני חלוקתם לבעלי מניותיה. ברם, יתרונות אלה אינם קיימים ככל שמדובר בחברה זרה שאינה כפופה למשטר המס הישראלי.</w:t>
      </w:r>
    </w:p>
    <w:p w:rsidR="005307CB" w:rsidRPr="00B3771B" w:rsidRDefault="005307CB" w:rsidP="005307CB">
      <w:pPr>
        <w:pStyle w:val="Ruller41"/>
        <w:rPr>
          <w:rtl/>
        </w:rPr>
      </w:pPr>
    </w:p>
    <w:p w:rsidR="005307CB" w:rsidRDefault="005307CB" w:rsidP="009F2DE9">
      <w:pPr>
        <w:pStyle w:val="Ruller4"/>
        <w:rPr>
          <w:rtl/>
        </w:rPr>
      </w:pPr>
      <w:r>
        <w:rPr>
          <w:rFonts w:hint="cs"/>
          <w:rtl/>
        </w:rPr>
        <w:t xml:space="preserve">ולבסוף, בפרשנות הסעיף נתן בית המשפט המחוזי משקל גם לכך שבחוזר מס הכנסה מס' 23/2002 "הרפורמה במס הכנסה </w:t>
      </w:r>
      <w:r>
        <w:rPr>
          <w:rtl/>
        </w:rPr>
        <w:t>–</w:t>
      </w:r>
      <w:r>
        <w:rPr>
          <w:rFonts w:hint="cs"/>
          <w:rtl/>
        </w:rPr>
        <w:t xml:space="preserve"> שינויים בחלק ה' לפקודה" צוין בסעיף 6.1.6, כי שיעור המס שיחולו על חלק הרווחים הראויים לחלוקה לגבי מוכר שהוא חבר בני אדם יהיו "בהתאם להוראות סעיפים 126(ב) או </w:t>
      </w:r>
      <w:r w:rsidRPr="009F2DE9">
        <w:rPr>
          <w:rFonts w:ascii="Century" w:hAnsi="Century" w:hint="cs"/>
          <w:b/>
          <w:spacing w:val="0"/>
          <w:sz w:val="22"/>
          <w:rtl/>
        </w:rPr>
        <w:t>126(ג)</w:t>
      </w:r>
      <w:r w:rsidRPr="009F2DE9">
        <w:rPr>
          <w:rFonts w:ascii="Century" w:hAnsi="Century" w:hint="cs"/>
          <w:sz w:val="22"/>
          <w:rtl/>
        </w:rPr>
        <w:t xml:space="preserve"> </w:t>
      </w:r>
      <w:r w:rsidRPr="0036154B">
        <w:rPr>
          <w:rFonts w:ascii="Century" w:hAnsi="Century" w:hint="cs"/>
          <w:sz w:val="22"/>
          <w:rtl/>
        </w:rPr>
        <w:t>לפקודה</w:t>
      </w:r>
      <w:r>
        <w:rPr>
          <w:rFonts w:ascii="Century" w:hAnsi="Century" w:hint="cs"/>
          <w:sz w:val="22"/>
          <w:rtl/>
        </w:rPr>
        <w:t xml:space="preserve">, לפי העניין...". אולם, במסגרת אותו חוזר, בסעיף 6.2.3, הבהירה רשות המיסים "ברחל בתך הקטנה" כי "למען הסר ספק, סעיף 94ב לא חל על מכירה של ניירות ערך זרים". </w:t>
      </w:r>
      <w:r>
        <w:rPr>
          <w:rFonts w:hint="cs"/>
          <w:rtl/>
        </w:rPr>
        <w:t xml:space="preserve">מעבר לכך, שעה שמצאתי כי רווחיה של חברה זרה אינם בגדר "רווחים ראויים לחלוקה" כהגדרתם בסעיף 94ב לפקודה, גם הפניה של רשות המיסים לחישוב שיעור המס באמצעות סעיף 126(ג) אין בה כדי לסייע למשיבה. </w:t>
      </w:r>
    </w:p>
    <w:p w:rsidR="005307CB" w:rsidRDefault="005307CB" w:rsidP="005307CB">
      <w:pPr>
        <w:pStyle w:val="Ruller41"/>
        <w:rPr>
          <w:rtl/>
        </w:rPr>
      </w:pPr>
    </w:p>
    <w:p w:rsidR="005307CB" w:rsidRDefault="00397299" w:rsidP="002B5B2F">
      <w:pPr>
        <w:pStyle w:val="Ruller41"/>
        <w:rPr>
          <w:rtl/>
        </w:rPr>
      </w:pPr>
      <w:r>
        <w:rPr>
          <w:rFonts w:ascii="Century" w:hAnsi="Century" w:cs="Miriam"/>
          <w:b/>
          <w:spacing w:val="0"/>
          <w:szCs w:val="24"/>
          <w:rtl/>
        </w:rPr>
        <w:tab/>
      </w:r>
      <w:r w:rsidR="005307CB" w:rsidRPr="006F1E22">
        <w:rPr>
          <w:rFonts w:ascii="Century" w:hAnsi="Century" w:hint="cs"/>
          <w:rtl/>
        </w:rPr>
        <w:t>סוף דבר</w:t>
      </w:r>
      <w:r w:rsidR="006F1E22">
        <w:rPr>
          <w:rFonts w:ascii="Century" w:hAnsi="Century" w:hint="cs"/>
          <w:rtl/>
        </w:rPr>
        <w:t>,</w:t>
      </w:r>
      <w:r w:rsidR="005307CB" w:rsidRPr="006F1E22">
        <w:rPr>
          <w:rFonts w:ascii="Century" w:hAnsi="Century" w:hint="cs"/>
          <w:rtl/>
        </w:rPr>
        <w:t xml:space="preserve"> </w:t>
      </w:r>
      <w:r w:rsidR="002B5B2F">
        <w:rPr>
          <w:rFonts w:ascii="Century" w:hAnsi="Century" w:hint="cs"/>
          <w:rtl/>
        </w:rPr>
        <w:t xml:space="preserve">אציע לחבריי כי </w:t>
      </w:r>
      <w:r w:rsidR="005307CB">
        <w:rPr>
          <w:rFonts w:ascii="Century" w:hAnsi="Century" w:hint="cs"/>
          <w:rtl/>
        </w:rPr>
        <w:t xml:space="preserve">הערעור </w:t>
      </w:r>
      <w:r w:rsidR="002B5B2F">
        <w:rPr>
          <w:rFonts w:ascii="Century" w:hAnsi="Century" w:hint="cs"/>
          <w:rtl/>
        </w:rPr>
        <w:t>י</w:t>
      </w:r>
      <w:r w:rsidR="005307CB">
        <w:rPr>
          <w:rFonts w:ascii="Century" w:hAnsi="Century" w:hint="cs"/>
          <w:rtl/>
        </w:rPr>
        <w:t>תקבל</w:t>
      </w:r>
      <w:r w:rsidR="002B5B2F">
        <w:rPr>
          <w:rFonts w:ascii="Century" w:hAnsi="Century" w:hint="cs"/>
          <w:rtl/>
        </w:rPr>
        <w:t xml:space="preserve"> וכי </w:t>
      </w:r>
      <w:r w:rsidR="005307CB">
        <w:rPr>
          <w:rFonts w:ascii="Century" w:hAnsi="Century" w:hint="cs"/>
          <w:rtl/>
        </w:rPr>
        <w:t>המשיבה</w:t>
      </w:r>
      <w:r w:rsidR="005307CB">
        <w:rPr>
          <w:rFonts w:hint="cs"/>
          <w:rtl/>
        </w:rPr>
        <w:t xml:space="preserve"> תישא בהוצאות פקיד השומה בסך של 40,000 ש"ח.</w:t>
      </w:r>
      <w:r w:rsidR="005307CB" w:rsidRPr="0085317D" w:rsidDel="00A7396C">
        <w:rPr>
          <w:rtl/>
        </w:rPr>
        <w:t xml:space="preserve"> </w:t>
      </w:r>
    </w:p>
    <w:p w:rsidR="006D467A" w:rsidRPr="004B7DBF" w:rsidRDefault="006D467A" w:rsidP="002B5B2F">
      <w:pPr>
        <w:pStyle w:val="Ruller41"/>
      </w:pPr>
    </w:p>
    <w:p w:rsidR="005307CB" w:rsidRDefault="005307CB" w:rsidP="00A51FAE">
      <w:pPr>
        <w:pStyle w:val="Ruller41"/>
        <w:rPr>
          <w:rtl/>
        </w:rPr>
      </w:pPr>
    </w:p>
    <w:p w:rsidR="00B43DE8" w:rsidRDefault="00B43DE8" w:rsidP="00B43DE8">
      <w:pPr>
        <w:pStyle w:val="Ruller41"/>
        <w:jc w:val="right"/>
        <w:rPr>
          <w:rtl/>
        </w:rPr>
      </w:pPr>
      <w:r>
        <w:rPr>
          <w:rFonts w:hint="cs"/>
          <w:rtl/>
        </w:rPr>
        <w:t>ש ו פ ט</w:t>
      </w:r>
    </w:p>
    <w:p w:rsidR="00B43DE8" w:rsidRDefault="00B43DE8" w:rsidP="00A51FAE">
      <w:pPr>
        <w:pStyle w:val="Ruller41"/>
        <w:rPr>
          <w:rtl/>
        </w:rPr>
      </w:pPr>
    </w:p>
    <w:p w:rsidR="006D467A" w:rsidRDefault="006D467A" w:rsidP="00A51FAE">
      <w:pPr>
        <w:pStyle w:val="Ruller41"/>
        <w:rPr>
          <w:rtl/>
        </w:rPr>
      </w:pPr>
    </w:p>
    <w:p w:rsidR="006D467A" w:rsidRDefault="006D467A" w:rsidP="00A51FAE">
      <w:pPr>
        <w:pStyle w:val="Ruller41"/>
        <w:rPr>
          <w:rtl/>
        </w:rPr>
      </w:pPr>
    </w:p>
    <w:p w:rsidR="006D467A" w:rsidRPr="00503A3E" w:rsidRDefault="006D467A" w:rsidP="006D467A">
      <w:pPr>
        <w:pStyle w:val="BODYVERDICT"/>
        <w:rPr>
          <w:rFonts w:cs="Miriam"/>
          <w:sz w:val="24"/>
          <w:szCs w:val="24"/>
          <w:u w:val="single"/>
          <w:rtl/>
        </w:rPr>
      </w:pPr>
      <w:r>
        <w:rPr>
          <w:rFonts w:cs="Miriam"/>
          <w:sz w:val="24"/>
          <w:szCs w:val="24"/>
          <w:u w:val="single"/>
          <w:rtl/>
        </w:rPr>
        <w:t>השופטת ע' ברון:</w:t>
      </w:r>
    </w:p>
    <w:p w:rsidR="006D467A" w:rsidRDefault="006D467A" w:rsidP="006D467A">
      <w:pPr>
        <w:pStyle w:val="Ruller41"/>
        <w:rPr>
          <w:rtl/>
        </w:rPr>
      </w:pPr>
    </w:p>
    <w:p w:rsidR="006D467A" w:rsidRDefault="006D467A" w:rsidP="006D467A">
      <w:pPr>
        <w:pStyle w:val="Ruller41"/>
        <w:rPr>
          <w:rtl/>
        </w:rPr>
      </w:pPr>
      <w:r>
        <w:rPr>
          <w:rtl/>
        </w:rPr>
        <w:tab/>
      </w:r>
      <w:r>
        <w:rPr>
          <w:rFonts w:hint="cs"/>
          <w:rtl/>
        </w:rPr>
        <w:t xml:space="preserve">אני שותפה לדעת חברי, השופט </w:t>
      </w:r>
      <w:r w:rsidRPr="00055519">
        <w:rPr>
          <w:rFonts w:ascii="Century" w:hAnsi="Century" w:cs="Miriam" w:hint="cs"/>
          <w:b/>
          <w:spacing w:val="0"/>
          <w:szCs w:val="24"/>
          <w:rtl/>
        </w:rPr>
        <w:t>ד' מינץ</w:t>
      </w:r>
      <w:r>
        <w:rPr>
          <w:rFonts w:hint="cs"/>
          <w:rtl/>
        </w:rPr>
        <w:t xml:space="preserve">, כי הסדר המיסוי הקבוע בסעיף 94ב לפקודת מס הכנסה עניינו במיסוי מדינתי ונועד למשק הישראלי ולא למשק חוץ-ישראלי. כך על פי לשון הסעיף והוראת סעיף 126 לפקודה, ומשעה שסעיף 94ב מפנה במפורש לסעיף 126(ב) ואינו מפנה לסעיף 126(ג); ואין זאת אלא שהטבת המס הגלומה בסעיף 94ב נועדה לחברות ישראליות הכפופות למשטר המס בישראל, ואינה חלה מקום שנמכרות מניות של חברה זרה המוחזקות בידי חברה ישראלית, כבמקרה דנן. עמדת המשיבה, שנתקבלה על דעת בית המשפט המחוזי, גם אם היא משקפת את הדין הרצוי </w:t>
      </w:r>
      <w:r>
        <w:rPr>
          <w:rtl/>
        </w:rPr>
        <w:t>–</w:t>
      </w:r>
      <w:r>
        <w:rPr>
          <w:rFonts w:hint="cs"/>
          <w:rtl/>
        </w:rPr>
        <w:t xml:space="preserve">ואינני קובעת כך </w:t>
      </w:r>
      <w:r>
        <w:rPr>
          <w:rtl/>
        </w:rPr>
        <w:t>–</w:t>
      </w:r>
      <w:r>
        <w:rPr>
          <w:rFonts w:hint="cs"/>
          <w:rtl/>
        </w:rPr>
        <w:t xml:space="preserve"> הרי שבכל מקרה איננה הדין המצוי. והתוצאה היא, שדין הערעור להתקבל.</w:t>
      </w:r>
    </w:p>
    <w:p w:rsidR="006D467A" w:rsidRDefault="006D467A" w:rsidP="00A51FAE">
      <w:pPr>
        <w:pStyle w:val="Ruller41"/>
        <w:rPr>
          <w:rtl/>
        </w:rPr>
      </w:pPr>
    </w:p>
    <w:p w:rsidR="00B43DE8" w:rsidRDefault="00B43DE8" w:rsidP="00A51FAE">
      <w:pPr>
        <w:pStyle w:val="Ruller41"/>
        <w:rPr>
          <w:rtl/>
        </w:rPr>
      </w:pPr>
    </w:p>
    <w:p w:rsidR="00B43DE8" w:rsidRDefault="00B43DE8" w:rsidP="00A51FAE">
      <w:pPr>
        <w:pStyle w:val="Ruller41"/>
        <w:rPr>
          <w:rtl/>
        </w:rPr>
      </w:pPr>
    </w:p>
    <w:p w:rsidR="00B43DE8" w:rsidRDefault="00B43DE8" w:rsidP="00B43DE8">
      <w:pPr>
        <w:pStyle w:val="Ruller41"/>
        <w:jc w:val="right"/>
        <w:rPr>
          <w:rtl/>
        </w:rPr>
      </w:pPr>
      <w:r>
        <w:rPr>
          <w:rFonts w:hint="cs"/>
          <w:rtl/>
        </w:rPr>
        <w:t>ש ו פ ט ת</w:t>
      </w:r>
    </w:p>
    <w:p w:rsidR="00B43DE8" w:rsidRDefault="00B43DE8" w:rsidP="00A51FAE">
      <w:pPr>
        <w:pStyle w:val="Ruller41"/>
        <w:rPr>
          <w:rtl/>
        </w:rPr>
      </w:pPr>
    </w:p>
    <w:p w:rsidR="00033FD2" w:rsidRPr="00503A3E" w:rsidRDefault="00033FD2" w:rsidP="00033FD2">
      <w:pPr>
        <w:pStyle w:val="BODYVERDICT"/>
        <w:rPr>
          <w:rFonts w:cs="Miriam"/>
          <w:sz w:val="24"/>
          <w:szCs w:val="24"/>
          <w:u w:val="single"/>
          <w:rtl/>
        </w:rPr>
      </w:pPr>
      <w:r>
        <w:rPr>
          <w:rFonts w:cs="Miriam"/>
          <w:sz w:val="24"/>
          <w:szCs w:val="24"/>
          <w:u w:val="single"/>
          <w:rtl/>
        </w:rPr>
        <w:t>המשנה לנשיאה ח' מלצר</w:t>
      </w:r>
      <w:r w:rsidRPr="00D307AC">
        <w:rPr>
          <w:rFonts w:cs="Miriam"/>
          <w:sz w:val="24"/>
          <w:szCs w:val="24"/>
          <w:rtl/>
        </w:rPr>
        <w:t>:</w:t>
      </w:r>
    </w:p>
    <w:p w:rsidR="00033FD2" w:rsidRDefault="00033FD2" w:rsidP="00033FD2">
      <w:pPr>
        <w:pStyle w:val="Ruller41"/>
        <w:rPr>
          <w:rtl/>
        </w:rPr>
      </w:pPr>
    </w:p>
    <w:p w:rsidR="00033FD2" w:rsidRDefault="00033FD2" w:rsidP="00033FD2">
      <w:pPr>
        <w:pStyle w:val="Ruller41"/>
        <w:rPr>
          <w:rtl/>
        </w:rPr>
      </w:pPr>
      <w:r w:rsidRPr="005B2485">
        <w:rPr>
          <w:rFonts w:hint="cs"/>
          <w:rtl/>
        </w:rPr>
        <w:t>1.</w:t>
      </w:r>
      <w:r>
        <w:rPr>
          <w:rtl/>
        </w:rPr>
        <w:tab/>
      </w:r>
      <w:r>
        <w:rPr>
          <w:rFonts w:hint="cs"/>
          <w:rtl/>
        </w:rPr>
        <w:t xml:space="preserve">אני מצטרף בהסכמה לחוות דעתו המפורטת והמנומקת של חברי, השופט </w:t>
      </w:r>
      <w:r w:rsidRPr="0000423B">
        <w:rPr>
          <w:rFonts w:ascii="Century" w:hAnsi="Century" w:cs="Miriam" w:hint="cs"/>
          <w:b/>
          <w:spacing w:val="0"/>
          <w:szCs w:val="24"/>
          <w:rtl/>
        </w:rPr>
        <w:t>ד' מינץ</w:t>
      </w:r>
      <w:r>
        <w:rPr>
          <w:rFonts w:hint="cs"/>
          <w:rtl/>
        </w:rPr>
        <w:t>,</w:t>
      </w:r>
      <w:r w:rsidRPr="0000423B">
        <w:rPr>
          <w:rFonts w:hint="cs"/>
          <w:rtl/>
        </w:rPr>
        <w:t xml:space="preserve"> </w:t>
      </w:r>
      <w:r>
        <w:rPr>
          <w:rFonts w:hint="cs"/>
          <w:rtl/>
        </w:rPr>
        <w:t xml:space="preserve">וכן לאמור בתגובתה של חברתי, השופטת </w:t>
      </w:r>
      <w:r w:rsidRPr="0000423B">
        <w:rPr>
          <w:rFonts w:ascii="Century" w:hAnsi="Century" w:cs="Miriam" w:hint="cs"/>
          <w:b/>
          <w:spacing w:val="0"/>
          <w:szCs w:val="24"/>
          <w:rtl/>
        </w:rPr>
        <w:t>ע' ברון</w:t>
      </w:r>
      <w:r>
        <w:rPr>
          <w:rFonts w:hint="cs"/>
          <w:rtl/>
        </w:rPr>
        <w:t>.</w:t>
      </w:r>
    </w:p>
    <w:p w:rsidR="00033FD2" w:rsidRDefault="00033FD2" w:rsidP="00033FD2">
      <w:pPr>
        <w:pStyle w:val="Ruller41"/>
        <w:rPr>
          <w:rtl/>
        </w:rPr>
      </w:pPr>
    </w:p>
    <w:p w:rsidR="00033FD2" w:rsidRDefault="00033FD2" w:rsidP="00033FD2">
      <w:pPr>
        <w:pStyle w:val="Ruller41"/>
        <w:rPr>
          <w:rtl/>
        </w:rPr>
      </w:pPr>
      <w:r>
        <w:rPr>
          <w:rFonts w:hint="cs"/>
          <w:rtl/>
        </w:rPr>
        <w:t>2.</w:t>
      </w:r>
      <w:r>
        <w:rPr>
          <w:rFonts w:hint="cs"/>
          <w:rtl/>
        </w:rPr>
        <w:tab/>
        <w:t xml:space="preserve">הנני מרשה לעצמי להוסיף רק שלוש הערות </w:t>
      </w:r>
      <w:r>
        <w:rPr>
          <w:rtl/>
        </w:rPr>
        <w:t>–</w:t>
      </w:r>
      <w:r>
        <w:rPr>
          <w:rFonts w:hint="cs"/>
          <w:rtl/>
        </w:rPr>
        <w:t xml:space="preserve"> כולן בסוגיות של פרשנות:</w:t>
      </w:r>
    </w:p>
    <w:p w:rsidR="00033FD2" w:rsidRDefault="00033FD2" w:rsidP="00033FD2">
      <w:pPr>
        <w:pStyle w:val="Ruller41"/>
        <w:rPr>
          <w:rtl/>
        </w:rPr>
      </w:pPr>
    </w:p>
    <w:p w:rsidR="00033FD2" w:rsidRDefault="00033FD2" w:rsidP="00033FD2">
      <w:pPr>
        <w:pStyle w:val="Ruller41"/>
        <w:numPr>
          <w:ilvl w:val="0"/>
          <w:numId w:val="25"/>
        </w:numPr>
        <w:tabs>
          <w:tab w:val="clear" w:pos="800"/>
          <w:tab w:val="left" w:pos="1082"/>
        </w:tabs>
        <w:ind w:left="374" w:firstLine="0"/>
      </w:pPr>
      <w:r>
        <w:rPr>
          <w:rFonts w:hint="cs"/>
          <w:rtl/>
        </w:rPr>
        <w:t xml:space="preserve">הדרך שבה יש לנקוט בפרשנות </w:t>
      </w:r>
      <w:proofErr w:type="spellStart"/>
      <w:r>
        <w:rPr>
          <w:rFonts w:hint="cs"/>
          <w:rtl/>
        </w:rPr>
        <w:t>מיסויית</w:t>
      </w:r>
      <w:proofErr w:type="spellEnd"/>
      <w:r>
        <w:rPr>
          <w:rFonts w:hint="cs"/>
          <w:rtl/>
        </w:rPr>
        <w:t xml:space="preserve"> בעקבות </w:t>
      </w:r>
      <w:r w:rsidRPr="0000423B">
        <w:rPr>
          <w:rFonts w:ascii="Century" w:hAnsi="Century" w:cs="Miriam" w:hint="cs"/>
          <w:b/>
          <w:spacing w:val="0"/>
          <w:szCs w:val="24"/>
          <w:rtl/>
        </w:rPr>
        <w:t>הלכת חצור</w:t>
      </w:r>
      <w:r w:rsidRPr="0000423B">
        <w:rPr>
          <w:rFonts w:hint="cs"/>
          <w:rtl/>
        </w:rPr>
        <w:t xml:space="preserve"> </w:t>
      </w:r>
      <w:r>
        <w:rPr>
          <w:rFonts w:hint="cs"/>
          <w:rtl/>
        </w:rPr>
        <w:t xml:space="preserve">(ע"א 165/82 </w:t>
      </w:r>
      <w:r w:rsidRPr="0000423B">
        <w:rPr>
          <w:rFonts w:ascii="Century" w:hAnsi="Century" w:cs="Miriam" w:hint="cs"/>
          <w:b/>
          <w:spacing w:val="0"/>
          <w:szCs w:val="24"/>
          <w:rtl/>
        </w:rPr>
        <w:t>קיבוץ חצור נ' פקיד שומה רחובות</w:t>
      </w:r>
      <w:r>
        <w:rPr>
          <w:rFonts w:hint="cs"/>
          <w:rtl/>
        </w:rPr>
        <w:t xml:space="preserve">, פ"ד לט(2) 70 (1985) פורטה על ידי ועל ידי חברתי, הנשיאה </w:t>
      </w:r>
      <w:r w:rsidRPr="0000423B">
        <w:rPr>
          <w:rFonts w:ascii="Century" w:hAnsi="Century" w:cs="Miriam" w:hint="cs"/>
          <w:b/>
          <w:spacing w:val="0"/>
          <w:szCs w:val="24"/>
          <w:rtl/>
        </w:rPr>
        <w:t>א' חיות</w:t>
      </w:r>
      <w:r w:rsidRPr="0000423B">
        <w:rPr>
          <w:rFonts w:hint="cs"/>
          <w:rtl/>
        </w:rPr>
        <w:t xml:space="preserve"> </w:t>
      </w:r>
      <w:r>
        <w:rPr>
          <w:rFonts w:hint="cs"/>
          <w:rtl/>
        </w:rPr>
        <w:t xml:space="preserve">ב-ע"א 3012/18 </w:t>
      </w:r>
      <w:r w:rsidRPr="0000423B">
        <w:rPr>
          <w:rFonts w:ascii="Century" w:hAnsi="Century" w:cs="Miriam" w:hint="cs"/>
          <w:b/>
          <w:spacing w:val="0"/>
          <w:szCs w:val="24"/>
          <w:rtl/>
        </w:rPr>
        <w:t xml:space="preserve">מנהל מיסוי מקרקעין חיפה נ' </w:t>
      </w:r>
      <w:proofErr w:type="spellStart"/>
      <w:r>
        <w:rPr>
          <w:rFonts w:ascii="Century" w:hAnsi="Century" w:cs="Miriam" w:hint="cs"/>
          <w:b/>
          <w:spacing w:val="0"/>
          <w:szCs w:val="24"/>
          <w:rtl/>
        </w:rPr>
        <w:t>טוונטי</w:t>
      </w:r>
      <w:proofErr w:type="spellEnd"/>
      <w:r w:rsidRPr="0000423B">
        <w:rPr>
          <w:rFonts w:ascii="Century" w:hAnsi="Century" w:cs="Miriam" w:hint="cs"/>
          <w:b/>
          <w:spacing w:val="0"/>
          <w:szCs w:val="24"/>
          <w:rtl/>
        </w:rPr>
        <w:t xml:space="preserve"> </w:t>
      </w:r>
      <w:proofErr w:type="spellStart"/>
      <w:r>
        <w:rPr>
          <w:rFonts w:ascii="Century" w:hAnsi="Century" w:cs="Miriam" w:hint="cs"/>
          <w:b/>
          <w:spacing w:val="0"/>
          <w:szCs w:val="24"/>
          <w:rtl/>
        </w:rPr>
        <w:t>האנדרד</w:t>
      </w:r>
      <w:proofErr w:type="spellEnd"/>
      <w:r w:rsidRPr="0000423B">
        <w:rPr>
          <w:rFonts w:ascii="Century" w:hAnsi="Century" w:cs="Miriam" w:hint="cs"/>
          <w:b/>
          <w:spacing w:val="0"/>
          <w:szCs w:val="24"/>
          <w:rtl/>
        </w:rPr>
        <w:t xml:space="preserve"> נהריה בע"מ </w:t>
      </w:r>
      <w:r>
        <w:rPr>
          <w:rFonts w:hint="cs"/>
          <w:rtl/>
        </w:rPr>
        <w:t>(04.07.2019).</w:t>
      </w:r>
    </w:p>
    <w:p w:rsidR="00033FD2" w:rsidRDefault="00033FD2" w:rsidP="00033FD2">
      <w:pPr>
        <w:pStyle w:val="Ruller41"/>
        <w:ind w:left="720"/>
      </w:pPr>
    </w:p>
    <w:p w:rsidR="00033FD2" w:rsidRDefault="00033FD2" w:rsidP="00033FD2">
      <w:pPr>
        <w:pStyle w:val="Ruller41"/>
        <w:numPr>
          <w:ilvl w:val="0"/>
          <w:numId w:val="25"/>
        </w:numPr>
        <w:tabs>
          <w:tab w:val="clear" w:pos="800"/>
          <w:tab w:val="left" w:pos="1082"/>
        </w:tabs>
        <w:ind w:left="374" w:firstLine="0"/>
      </w:pPr>
      <w:r>
        <w:rPr>
          <w:rFonts w:hint="cs"/>
          <w:rtl/>
        </w:rPr>
        <w:t>שתיקת המחוקק יכולה להתפרש בכמה לשונות:</w:t>
      </w:r>
    </w:p>
    <w:p w:rsidR="00033FD2" w:rsidRDefault="00033FD2" w:rsidP="00033FD2">
      <w:pPr>
        <w:pStyle w:val="Ruller41"/>
        <w:ind w:left="720"/>
        <w:rPr>
          <w:rtl/>
        </w:rPr>
      </w:pPr>
    </w:p>
    <w:p w:rsidR="00033FD2" w:rsidRDefault="00033FD2" w:rsidP="00033FD2">
      <w:pPr>
        <w:pStyle w:val="Ruller41"/>
        <w:numPr>
          <w:ilvl w:val="0"/>
          <w:numId w:val="26"/>
        </w:numPr>
      </w:pPr>
      <w:r>
        <w:rPr>
          <w:rFonts w:hint="cs"/>
          <w:rtl/>
        </w:rPr>
        <w:t xml:space="preserve"> לעיתים היא מעידה על </w:t>
      </w:r>
      <w:r w:rsidRPr="00CA61A7">
        <w:rPr>
          <w:rFonts w:ascii="Century" w:hAnsi="Century" w:cs="Miriam" w:hint="cs"/>
          <w:b/>
          <w:spacing w:val="0"/>
          <w:szCs w:val="24"/>
          <w:rtl/>
        </w:rPr>
        <w:t>חוסר</w:t>
      </w:r>
      <w:r w:rsidRPr="00CA61A7">
        <w:rPr>
          <w:rFonts w:hint="cs"/>
          <w:rtl/>
        </w:rPr>
        <w:t xml:space="preserve"> </w:t>
      </w:r>
      <w:r>
        <w:rPr>
          <w:rFonts w:hint="cs"/>
          <w:rtl/>
        </w:rPr>
        <w:t>(לקונה).</w:t>
      </w:r>
    </w:p>
    <w:p w:rsidR="00033FD2" w:rsidRDefault="00033FD2" w:rsidP="00033FD2">
      <w:pPr>
        <w:pStyle w:val="Ruller41"/>
        <w:ind w:left="1080"/>
      </w:pPr>
    </w:p>
    <w:p w:rsidR="00033FD2" w:rsidRDefault="00033FD2" w:rsidP="00033FD2">
      <w:pPr>
        <w:pStyle w:val="Ruller41"/>
        <w:numPr>
          <w:ilvl w:val="0"/>
          <w:numId w:val="26"/>
        </w:numPr>
      </w:pPr>
      <w:r>
        <w:rPr>
          <w:rFonts w:hint="cs"/>
          <w:rtl/>
        </w:rPr>
        <w:t xml:space="preserve"> לעיתים היא מהווה אי-נקיטת עמדה בסוגיה המשפטית הרלבנטית, תוך השארת הסדרתה למערכות נורמטיביות </w:t>
      </w:r>
      <w:r w:rsidRPr="00137BDC">
        <w:rPr>
          <w:rFonts w:ascii="Century" w:hAnsi="Century" w:cs="Miriam" w:hint="cs"/>
          <w:b/>
          <w:spacing w:val="0"/>
          <w:szCs w:val="24"/>
          <w:rtl/>
        </w:rPr>
        <w:t>שמחוץ</w:t>
      </w:r>
      <w:r>
        <w:rPr>
          <w:rFonts w:hint="cs"/>
          <w:rtl/>
        </w:rPr>
        <w:t xml:space="preserve"> לחוק המתפרש (או לפרק מסוים בו).</w:t>
      </w:r>
    </w:p>
    <w:p w:rsidR="00033FD2" w:rsidRDefault="00033FD2" w:rsidP="00033FD2">
      <w:pPr>
        <w:pStyle w:val="af"/>
        <w:rPr>
          <w:rtl/>
        </w:rPr>
      </w:pPr>
    </w:p>
    <w:p w:rsidR="00033FD2" w:rsidRDefault="00033FD2" w:rsidP="00A34831">
      <w:pPr>
        <w:pStyle w:val="Ruller41"/>
        <w:numPr>
          <w:ilvl w:val="0"/>
          <w:numId w:val="26"/>
        </w:numPr>
      </w:pPr>
      <w:r>
        <w:rPr>
          <w:rFonts w:hint="cs"/>
          <w:rtl/>
        </w:rPr>
        <w:t xml:space="preserve"> לעיתים השתיקה מהווה הסדר </w:t>
      </w:r>
      <w:r w:rsidRPr="00255E7B">
        <w:rPr>
          <w:rFonts w:ascii="Century" w:hAnsi="Century" w:cs="Miriam" w:hint="cs"/>
          <w:b/>
          <w:spacing w:val="0"/>
          <w:szCs w:val="24"/>
          <w:rtl/>
        </w:rPr>
        <w:t>משתמע</w:t>
      </w:r>
      <w:r>
        <w:rPr>
          <w:rFonts w:hint="cs"/>
          <w:rtl/>
        </w:rPr>
        <w:t xml:space="preserve">. סוג זה של </w:t>
      </w:r>
      <w:r w:rsidRPr="00255E7B">
        <w:rPr>
          <w:rFonts w:ascii="Century" w:hAnsi="Century" w:cs="Miriam" w:hint="cs"/>
          <w:b/>
          <w:spacing w:val="0"/>
          <w:szCs w:val="24"/>
          <w:rtl/>
        </w:rPr>
        <w:t>השתמעות</w:t>
      </w:r>
      <w:r w:rsidRPr="00255E7B">
        <w:rPr>
          <w:rFonts w:hint="cs"/>
          <w:rtl/>
        </w:rPr>
        <w:t xml:space="preserve"> </w:t>
      </w:r>
      <w:r>
        <w:rPr>
          <w:rFonts w:hint="cs"/>
          <w:rtl/>
        </w:rPr>
        <w:t>ש</w:t>
      </w:r>
      <w:r w:rsidR="00497D58">
        <w:rPr>
          <w:rFonts w:hint="cs"/>
          <w:rtl/>
        </w:rPr>
        <w:t xml:space="preserve">ני היבטים </w:t>
      </w:r>
      <w:r>
        <w:rPr>
          <w:rFonts w:hint="cs"/>
          <w:rtl/>
        </w:rPr>
        <w:t>אפשרי</w:t>
      </w:r>
      <w:r w:rsidR="00A34831">
        <w:rPr>
          <w:rFonts w:hint="cs"/>
          <w:rtl/>
        </w:rPr>
        <w:t>ים</w:t>
      </w:r>
      <w:r>
        <w:rPr>
          <w:rFonts w:hint="cs"/>
          <w:rtl/>
        </w:rPr>
        <w:t xml:space="preserve"> לו: </w:t>
      </w:r>
    </w:p>
    <w:p w:rsidR="00033FD2" w:rsidRDefault="00033FD2" w:rsidP="00033FD2">
      <w:pPr>
        <w:pStyle w:val="Ruller41"/>
        <w:numPr>
          <w:ilvl w:val="0"/>
          <w:numId w:val="27"/>
        </w:numPr>
      </w:pPr>
      <w:r>
        <w:rPr>
          <w:rFonts w:hint="cs"/>
          <w:rtl/>
        </w:rPr>
        <w:t xml:space="preserve">השתמעות שלילית (שמכונה לרוב </w:t>
      </w:r>
      <w:r w:rsidRPr="00255E7B">
        <w:rPr>
          <w:rFonts w:ascii="Century" w:hAnsi="Century" w:cs="Miriam" w:hint="cs"/>
          <w:b/>
          <w:spacing w:val="0"/>
          <w:szCs w:val="24"/>
          <w:rtl/>
        </w:rPr>
        <w:t>הסדר שלילי</w:t>
      </w:r>
      <w:r>
        <w:rPr>
          <w:rFonts w:hint="cs"/>
          <w:rtl/>
        </w:rPr>
        <w:t>).</w:t>
      </w:r>
    </w:p>
    <w:p w:rsidR="00033FD2" w:rsidRDefault="00033FD2" w:rsidP="00033FD2">
      <w:pPr>
        <w:pStyle w:val="Ruller41"/>
        <w:numPr>
          <w:ilvl w:val="0"/>
          <w:numId w:val="27"/>
        </w:numPr>
      </w:pPr>
      <w:r>
        <w:rPr>
          <w:rFonts w:hint="cs"/>
          <w:rtl/>
        </w:rPr>
        <w:t>השתמעות חיובית.</w:t>
      </w:r>
    </w:p>
    <w:p w:rsidR="00033FD2" w:rsidRDefault="00033FD2" w:rsidP="00033FD2">
      <w:pPr>
        <w:pStyle w:val="Ruller41"/>
        <w:rPr>
          <w:rtl/>
        </w:rPr>
      </w:pPr>
    </w:p>
    <w:p w:rsidR="00033FD2" w:rsidRDefault="00033FD2" w:rsidP="00033FD2">
      <w:pPr>
        <w:pStyle w:val="Ruller41"/>
        <w:ind w:left="800"/>
        <w:rPr>
          <w:rtl/>
        </w:rPr>
      </w:pPr>
      <w:r>
        <w:rPr>
          <w:rtl/>
        </w:rPr>
        <w:tab/>
      </w:r>
      <w:r>
        <w:rPr>
          <w:rFonts w:hint="cs"/>
          <w:rtl/>
        </w:rPr>
        <w:t xml:space="preserve">בבג"ץ 3132/15 </w:t>
      </w:r>
      <w:r w:rsidRPr="009546CD">
        <w:rPr>
          <w:rFonts w:ascii="Century" w:hAnsi="Century" w:cs="Miriam" w:hint="cs"/>
          <w:b/>
          <w:spacing w:val="0"/>
          <w:szCs w:val="24"/>
          <w:rtl/>
        </w:rPr>
        <w:t xml:space="preserve">מפלגת יש עתיד בראשות יאיר לפיד נ' ראש ממשלת ישראל </w:t>
      </w:r>
      <w:r>
        <w:rPr>
          <w:rFonts w:hint="cs"/>
          <w:rtl/>
        </w:rPr>
        <w:t xml:space="preserve">(13.04.2016) </w:t>
      </w:r>
      <w:proofErr w:type="spellStart"/>
      <w:r>
        <w:rPr>
          <w:rFonts w:hint="cs"/>
          <w:rtl/>
        </w:rPr>
        <w:t>ובדנ"מ</w:t>
      </w:r>
      <w:proofErr w:type="spellEnd"/>
      <w:r>
        <w:rPr>
          <w:rFonts w:hint="cs"/>
          <w:rtl/>
        </w:rPr>
        <w:t xml:space="preserve"> 5519/15 </w:t>
      </w:r>
      <w:r w:rsidRPr="009546CD">
        <w:rPr>
          <w:rFonts w:ascii="Century" w:hAnsi="Century" w:cs="Miriam" w:hint="cs"/>
          <w:b/>
          <w:spacing w:val="0"/>
          <w:szCs w:val="24"/>
          <w:rtl/>
        </w:rPr>
        <w:t xml:space="preserve">יונס נ' מי הגליל תאגיד המים והביוב האזורי בע"מ </w:t>
      </w:r>
      <w:r>
        <w:rPr>
          <w:rFonts w:hint="cs"/>
          <w:rtl/>
        </w:rPr>
        <w:t xml:space="preserve">(17.12.2019) הצגתי והדגמתי את האבחנות הנ"ל, תוך הפנייה לפסיקה ישראלית ולמקורות זרים בהקשרים אלה. </w:t>
      </w:r>
    </w:p>
    <w:p w:rsidR="00033FD2" w:rsidRDefault="00033FD2" w:rsidP="00033FD2">
      <w:pPr>
        <w:pStyle w:val="Ruller41"/>
        <w:rPr>
          <w:rtl/>
        </w:rPr>
      </w:pPr>
    </w:p>
    <w:p w:rsidR="00033FD2" w:rsidRDefault="00033FD2" w:rsidP="00033FD2">
      <w:pPr>
        <w:pStyle w:val="Ruller41"/>
        <w:ind w:left="800"/>
        <w:rPr>
          <w:rtl/>
        </w:rPr>
      </w:pPr>
      <w:r>
        <w:rPr>
          <w:rtl/>
        </w:rPr>
        <w:tab/>
      </w:r>
      <w:r>
        <w:rPr>
          <w:rFonts w:hint="cs"/>
          <w:rtl/>
        </w:rPr>
        <w:t>במקרה שלפנינו המשיבה ובית המשפט המחוזי הנכבד כיוונו, למעשה, לחלופה ב(2) הנ"ל, ואולם אני מסכים עם חברי וחברתי שמדובר פה ב</w:t>
      </w:r>
      <w:r w:rsidRPr="009546CD">
        <w:rPr>
          <w:rFonts w:ascii="Century" w:hAnsi="Century" w:cs="Miriam" w:hint="cs"/>
          <w:b/>
          <w:spacing w:val="0"/>
          <w:szCs w:val="24"/>
          <w:rtl/>
        </w:rPr>
        <w:t>הסדר שלילי</w:t>
      </w:r>
      <w:r>
        <w:rPr>
          <w:rFonts w:hint="cs"/>
          <w:rtl/>
        </w:rPr>
        <w:t xml:space="preserve">. </w:t>
      </w:r>
    </w:p>
    <w:p w:rsidR="00033FD2" w:rsidRDefault="00033FD2" w:rsidP="00033FD2">
      <w:pPr>
        <w:pStyle w:val="Ruller41"/>
        <w:rPr>
          <w:rtl/>
        </w:rPr>
      </w:pPr>
    </w:p>
    <w:p w:rsidR="00033FD2" w:rsidRDefault="00033FD2" w:rsidP="00497D58">
      <w:pPr>
        <w:pStyle w:val="Ruller41"/>
        <w:numPr>
          <w:ilvl w:val="0"/>
          <w:numId w:val="25"/>
        </w:numPr>
        <w:tabs>
          <w:tab w:val="clear" w:pos="800"/>
          <w:tab w:val="left" w:pos="1082"/>
        </w:tabs>
        <w:ind w:left="374" w:firstLine="0"/>
        <w:rPr>
          <w:rtl/>
        </w:rPr>
      </w:pPr>
      <w:r>
        <w:rPr>
          <w:rFonts w:hint="cs"/>
          <w:rtl/>
        </w:rPr>
        <w:t>העובדה שהמשיבה מבקשת להסתמך על האמור ב</w:t>
      </w:r>
      <w:r w:rsidRPr="004F750E">
        <w:rPr>
          <w:rFonts w:ascii="Century" w:hAnsi="Century" w:cs="Miriam" w:hint="cs"/>
          <w:b/>
          <w:spacing w:val="0"/>
          <w:szCs w:val="24"/>
          <w:rtl/>
        </w:rPr>
        <w:t>חוזר מס בהכנסה מס' 23/2002</w:t>
      </w:r>
      <w:r>
        <w:rPr>
          <w:rFonts w:hint="cs"/>
          <w:rtl/>
        </w:rPr>
        <w:t xml:space="preserve">, בו בזמן שהמערער מצביע על כך כי בחוזר הנ"ל מופיעה גם הוראה נוגדת (בסעיף 6.2.3 לחוזר, שם מבהירה </w:t>
      </w:r>
      <w:r w:rsidRPr="004F750E">
        <w:rPr>
          <w:rFonts w:ascii="Century" w:hAnsi="Century" w:cs="Miriam" w:hint="cs"/>
          <w:b/>
          <w:spacing w:val="0"/>
          <w:szCs w:val="24"/>
          <w:rtl/>
        </w:rPr>
        <w:t>רשות המיסים</w:t>
      </w:r>
      <w:r w:rsidRPr="004F750E">
        <w:rPr>
          <w:rFonts w:hint="cs"/>
          <w:rtl/>
        </w:rPr>
        <w:t xml:space="preserve"> </w:t>
      </w:r>
      <w:r>
        <w:rPr>
          <w:rFonts w:hint="cs"/>
          <w:rtl/>
        </w:rPr>
        <w:t xml:space="preserve">כי: "למען הסר ספק </w:t>
      </w:r>
      <w:r>
        <w:rPr>
          <w:rtl/>
        </w:rPr>
        <w:t>–</w:t>
      </w:r>
      <w:r>
        <w:rPr>
          <w:rFonts w:hint="cs"/>
          <w:rtl/>
        </w:rPr>
        <w:t xml:space="preserve"> סעיף 94</w:t>
      </w:r>
      <w:r w:rsidR="00497D58">
        <w:rPr>
          <w:rFonts w:hint="cs"/>
          <w:rtl/>
        </w:rPr>
        <w:t xml:space="preserve">(ב) </w:t>
      </w:r>
      <w:r>
        <w:rPr>
          <w:rFonts w:hint="cs"/>
          <w:rtl/>
        </w:rPr>
        <w:t xml:space="preserve">לא חל על מכירה של ניירות ערך זרים") </w:t>
      </w:r>
      <w:r>
        <w:rPr>
          <w:rtl/>
        </w:rPr>
        <w:t>–</w:t>
      </w:r>
      <w:r>
        <w:rPr>
          <w:rFonts w:hint="cs"/>
          <w:rtl/>
        </w:rPr>
        <w:t xml:space="preserve"> מלמדת כי לעיתים חוזרים שכאלה אינם מנוסחים בדקדקנות מספקת, ומעוררים קשיים, ככל שאנו נדרשים לפרשנות החיקוקים הרלבנטיים.</w:t>
      </w:r>
    </w:p>
    <w:p w:rsidR="00B43DE8" w:rsidRDefault="00B43DE8" w:rsidP="00A51FAE">
      <w:pPr>
        <w:pStyle w:val="Ruller41"/>
        <w:rPr>
          <w:rtl/>
        </w:rPr>
      </w:pPr>
    </w:p>
    <w:p w:rsidR="00B43DE8" w:rsidRDefault="00B43DE8" w:rsidP="00A51FAE">
      <w:pPr>
        <w:pStyle w:val="Ruller41"/>
        <w:rPr>
          <w:rtl/>
        </w:rPr>
      </w:pPr>
    </w:p>
    <w:p w:rsidR="00B43DE8" w:rsidRDefault="00B43DE8" w:rsidP="00B43DE8">
      <w:pPr>
        <w:pStyle w:val="Ruller41"/>
        <w:jc w:val="right"/>
        <w:rPr>
          <w:rtl/>
        </w:rPr>
      </w:pPr>
      <w:r>
        <w:rPr>
          <w:rFonts w:hint="cs"/>
          <w:rtl/>
        </w:rPr>
        <w:t>המשנה-לנשיאה</w:t>
      </w:r>
    </w:p>
    <w:p w:rsidR="003E19E8" w:rsidRDefault="003E19E8" w:rsidP="003E19E8">
      <w:pPr>
        <w:pStyle w:val="Ruller4"/>
        <w:numPr>
          <w:ilvl w:val="0"/>
          <w:numId w:val="0"/>
        </w:numPr>
        <w:rPr>
          <w:rFonts w:ascii="Arial TUR" w:hAnsi="Arial TUR"/>
          <w:sz w:val="22"/>
          <w:rtl/>
        </w:rPr>
      </w:pPr>
      <w:r>
        <w:rPr>
          <w:rFonts w:ascii="Arial TUR" w:hAnsi="Arial TUR"/>
          <w:sz w:val="22"/>
          <w:rtl/>
        </w:rPr>
        <w:tab/>
      </w:r>
    </w:p>
    <w:p w:rsidR="00B43DE8" w:rsidRPr="003E19E8" w:rsidRDefault="003E19E8" w:rsidP="003E19E8">
      <w:pPr>
        <w:pStyle w:val="Ruller4"/>
        <w:numPr>
          <w:ilvl w:val="0"/>
          <w:numId w:val="0"/>
        </w:numPr>
        <w:rPr>
          <w:rFonts w:ascii="Arial TUR" w:hAnsi="Arial TUR"/>
          <w:sz w:val="22"/>
          <w:rtl/>
        </w:rPr>
      </w:pPr>
      <w:r>
        <w:rPr>
          <w:rFonts w:ascii="Arial TUR" w:hAnsi="Arial TUR"/>
          <w:sz w:val="22"/>
          <w:rtl/>
        </w:rPr>
        <w:tab/>
      </w:r>
      <w:r w:rsidRPr="003E19E8">
        <w:rPr>
          <w:rFonts w:ascii="Arial TUR" w:hAnsi="Arial TUR"/>
          <w:sz w:val="22"/>
          <w:rtl/>
        </w:rPr>
        <w:t xml:space="preserve">הוחלט כאמור בפסק דינו של השופט </w:t>
      </w:r>
      <w:r w:rsidRPr="003E19E8">
        <w:rPr>
          <w:rFonts w:ascii="Century" w:hAnsi="Century" w:cs="Miriam"/>
          <w:b/>
          <w:spacing w:val="0"/>
          <w:sz w:val="22"/>
          <w:szCs w:val="24"/>
          <w:rtl/>
        </w:rPr>
        <w:t>ד' מינץ</w:t>
      </w:r>
      <w:r w:rsidRPr="003E19E8">
        <w:rPr>
          <w:rFonts w:ascii="Arial TUR" w:hAnsi="Arial TUR"/>
          <w:sz w:val="22"/>
          <w:rtl/>
        </w:rPr>
        <w:t>.</w:t>
      </w:r>
    </w:p>
    <w:p w:rsidR="00B43DE8" w:rsidRDefault="00B43DE8" w:rsidP="00B43DE8">
      <w:pPr>
        <w:pStyle w:val="Ruller41"/>
        <w:rPr>
          <w:rtl/>
        </w:rPr>
      </w:pPr>
      <w:r>
        <w:rPr>
          <w:rtl/>
        </w:rPr>
        <w:tab/>
      </w:r>
    </w:p>
    <w:p w:rsidR="00016EF1" w:rsidRDefault="00B43DE8" w:rsidP="00B43DE8">
      <w:pPr>
        <w:pStyle w:val="Ruller41"/>
        <w:rPr>
          <w:rtl/>
        </w:rPr>
      </w:pPr>
      <w:r>
        <w:rPr>
          <w:rtl/>
        </w:rPr>
        <w:tab/>
        <w:t xml:space="preserve">ניתן היום, </w:t>
      </w:r>
      <w:r>
        <w:rPr>
          <w:rFonts w:hint="eastAsia"/>
          <w:rtl/>
        </w:rPr>
        <w:t>‏כ</w:t>
      </w:r>
      <w:r>
        <w:rPr>
          <w:rtl/>
        </w:rPr>
        <w:t>"</w:t>
      </w:r>
      <w:r>
        <w:rPr>
          <w:rFonts w:hint="cs"/>
          <w:rtl/>
        </w:rPr>
        <w:t xml:space="preserve">ט </w:t>
      </w:r>
      <w:r w:rsidR="003E19E8">
        <w:rPr>
          <w:rtl/>
        </w:rPr>
        <w:t>בטבת התש"</w:t>
      </w:r>
      <w:r w:rsidR="003E19E8">
        <w:rPr>
          <w:rFonts w:hint="cs"/>
          <w:rtl/>
        </w:rPr>
        <w:t>ף</w:t>
      </w:r>
      <w:r>
        <w:rPr>
          <w:rtl/>
        </w:rPr>
        <w:t xml:space="preserve"> (</w:t>
      </w:r>
      <w:r>
        <w:rPr>
          <w:rFonts w:hint="eastAsia"/>
          <w:rtl/>
        </w:rPr>
        <w:t>‏</w:t>
      </w:r>
      <w:r>
        <w:rPr>
          <w:rtl/>
        </w:rPr>
        <w:t>2</w:t>
      </w:r>
      <w:r>
        <w:rPr>
          <w:rFonts w:hint="cs"/>
          <w:rtl/>
        </w:rPr>
        <w:t>6</w:t>
      </w:r>
      <w:r>
        <w:rPr>
          <w:rtl/>
        </w:rPr>
        <w:t>.1.2020).</w:t>
      </w:r>
    </w:p>
    <w:p w:rsidR="00B43DE8" w:rsidRDefault="00B43DE8" w:rsidP="00A51FAE">
      <w:pPr>
        <w:pStyle w:val="Ruller41"/>
        <w:rPr>
          <w:rtl/>
        </w:rPr>
      </w:pPr>
    </w:p>
    <w:p w:rsidR="00B43DE8" w:rsidRDefault="00B43DE8" w:rsidP="00A51FAE">
      <w:pPr>
        <w:pStyle w:val="Ruller41"/>
        <w:rPr>
          <w:rtl/>
        </w:rPr>
      </w:pPr>
    </w:p>
    <w:tbl>
      <w:tblPr>
        <w:bidiVisual/>
        <w:tblW w:w="8363" w:type="dxa"/>
        <w:tblLook w:val="01E0" w:firstRow="1" w:lastRow="1" w:firstColumn="1" w:lastColumn="1" w:noHBand="0" w:noVBand="0"/>
      </w:tblPr>
      <w:tblGrid>
        <w:gridCol w:w="2797"/>
        <w:gridCol w:w="2783"/>
        <w:gridCol w:w="2783"/>
      </w:tblGrid>
      <w:tr w:rsidR="001A0164" w:rsidTr="00D00B1D">
        <w:tc>
          <w:tcPr>
            <w:tcW w:w="2842" w:type="dxa"/>
            <w:shd w:val="clear" w:color="auto" w:fill="auto"/>
          </w:tcPr>
          <w:p w:rsidR="00016EF1" w:rsidRDefault="00207EDE" w:rsidP="00B43DE8">
            <w:pPr>
              <w:pStyle w:val="Ruller41"/>
              <w:jc w:val="center"/>
              <w:rPr>
                <w:rtl/>
              </w:rPr>
            </w:pPr>
            <w:r>
              <w:rPr>
                <w:rtl/>
              </w:rPr>
              <w:t>המשנה לנשיאה</w:t>
            </w:r>
          </w:p>
        </w:tc>
        <w:tc>
          <w:tcPr>
            <w:tcW w:w="2843" w:type="dxa"/>
            <w:shd w:val="clear" w:color="auto" w:fill="auto"/>
          </w:tcPr>
          <w:p w:rsidR="001A0164" w:rsidRDefault="00207EDE" w:rsidP="00BA0B08">
            <w:pPr>
              <w:pStyle w:val="Ruller41"/>
              <w:jc w:val="center"/>
              <w:rPr>
                <w:rtl/>
              </w:rPr>
            </w:pPr>
            <w:r>
              <w:rPr>
                <w:rtl/>
              </w:rPr>
              <w:t>ש ו פ ט ת</w:t>
            </w:r>
          </w:p>
        </w:tc>
        <w:tc>
          <w:tcPr>
            <w:tcW w:w="2843" w:type="dxa"/>
            <w:shd w:val="clear" w:color="auto" w:fill="auto"/>
          </w:tcPr>
          <w:p w:rsidR="001A0164" w:rsidRDefault="00207EDE" w:rsidP="00BA0B08">
            <w:pPr>
              <w:pStyle w:val="Ruller41"/>
              <w:jc w:val="center"/>
              <w:rPr>
                <w:rtl/>
              </w:rPr>
            </w:pPr>
            <w:r>
              <w:rPr>
                <w:rtl/>
              </w:rPr>
              <w:t>ש ו פ ט</w:t>
            </w:r>
          </w:p>
        </w:tc>
      </w:tr>
    </w:tbl>
    <w:p w:rsidR="00044953" w:rsidRDefault="00044953" w:rsidP="00A51FAE">
      <w:pPr>
        <w:pStyle w:val="Ruller41"/>
        <w:rPr>
          <w:rtl/>
        </w:rPr>
      </w:pPr>
    </w:p>
    <w:p w:rsidR="00916FF8" w:rsidRDefault="00916FF8">
      <w:pPr>
        <w:rPr>
          <w:szCs w:val="16"/>
          <w:rtl/>
        </w:rPr>
      </w:pPr>
      <w:r>
        <w:rPr>
          <w:szCs w:val="16"/>
          <w:rtl/>
        </w:rPr>
        <w:t>_________________</w:t>
      </w:r>
      <w:r w:rsidR="00A12E0F">
        <w:rPr>
          <w:rFonts w:hint="cs"/>
          <w:szCs w:val="16"/>
          <w:rtl/>
        </w:rPr>
        <w:t>________</w:t>
      </w:r>
    </w:p>
    <w:p w:rsidR="00916FF8" w:rsidRDefault="00591983" w:rsidP="00B009CC">
      <w:pPr>
        <w:pStyle w:val="Ruller38"/>
        <w:rPr>
          <w:rtl/>
        </w:rPr>
      </w:pPr>
      <w:r>
        <w:rPr>
          <w:sz w:val="16"/>
        </w:rPr>
        <w:t xml:space="preserve"> </w:t>
      </w:r>
      <w:r w:rsidR="00A12E0F">
        <w:rPr>
          <w:sz w:val="16"/>
        </w:rPr>
        <w:t xml:space="preserve">  </w:t>
      </w:r>
      <w:r w:rsidR="00207EDE">
        <w:rPr>
          <w:sz w:val="16"/>
        </w:rPr>
        <w:t xml:space="preserve">18085110_N09.docx   </w:t>
      </w:r>
      <w:proofErr w:type="spellStart"/>
      <w:r w:rsidR="005307CB">
        <w:rPr>
          <w:rFonts w:hint="cs"/>
          <w:sz w:val="16"/>
          <w:rtl/>
        </w:rPr>
        <w:t>רח</w:t>
      </w:r>
      <w:proofErr w:type="spellEnd"/>
    </w:p>
    <w:p w:rsidR="00591983" w:rsidRPr="0058440A" w:rsidRDefault="00591983" w:rsidP="0058440A">
      <w:pPr>
        <w:pStyle w:val="Ruller38"/>
        <w:rPr>
          <w:rtl/>
        </w:rPr>
      </w:pPr>
      <w:r>
        <w:rPr>
          <w:rtl/>
        </w:rPr>
        <w:t>מרכז מידע, טל'</w:t>
      </w:r>
      <w:r>
        <w:rPr>
          <w:rFonts w:hint="cs"/>
          <w:rtl/>
        </w:rPr>
        <w:t xml:space="preserve"> </w:t>
      </w:r>
      <w:r w:rsidR="00B63343">
        <w:rPr>
          <w:rFonts w:hint="cs"/>
          <w:rtl/>
        </w:rPr>
        <w:t>077</w:t>
      </w:r>
      <w:r>
        <w:rPr>
          <w:rFonts w:hint="cs"/>
          <w:rtl/>
        </w:rPr>
        <w:t>-</w:t>
      </w:r>
      <w:r w:rsidR="00B63343">
        <w:rPr>
          <w:rFonts w:hint="cs"/>
          <w:rtl/>
        </w:rPr>
        <w:t>270</w:t>
      </w:r>
      <w:r w:rsidR="00E21CA9">
        <w:rPr>
          <w:rFonts w:hint="cs"/>
          <w:rtl/>
        </w:rPr>
        <w:t>3</w:t>
      </w:r>
      <w:r w:rsidR="009B38DA">
        <w:rPr>
          <w:rFonts w:hint="cs"/>
          <w:rtl/>
        </w:rPr>
        <w:t>333</w:t>
      </w:r>
      <w:r w:rsidR="00866D0F">
        <w:rPr>
          <w:rFonts w:hint="cs"/>
          <w:rtl/>
        </w:rPr>
        <w:t>, 3852*</w:t>
      </w:r>
      <w:r>
        <w:rPr>
          <w:rFonts w:hint="cs"/>
          <w:rtl/>
        </w:rPr>
        <w:t xml:space="preserve"> ; אתר אינטרנט,  </w:t>
      </w:r>
      <w:hyperlink r:id="rId9" w:history="1">
        <w:r w:rsidR="0058440A" w:rsidRPr="00CB1590">
          <w:rPr>
            <w:rStyle w:val="Hyperlink"/>
            <w:sz w:val="16"/>
          </w:rPr>
          <w:t>http://supreme.court.gov.i</w:t>
        </w:r>
      </w:hyperlink>
      <w:r w:rsidR="0058440A" w:rsidRPr="00CB1590">
        <w:rPr>
          <w:sz w:val="16"/>
        </w:rPr>
        <w:t>l</w:t>
      </w:r>
    </w:p>
    <w:sectPr w:rsidR="00591983" w:rsidRPr="0058440A" w:rsidSect="00591983">
      <w:headerReference w:type="even" r:id="rId10"/>
      <w:headerReference w:type="default" r:id="rId11"/>
      <w:footerReference w:type="even" r:id="rId12"/>
      <w:footerReference w:type="default" r:id="rId13"/>
      <w:headerReference w:type="first" r:id="rId14"/>
      <w:footerReference w:type="first" r:id="rId15"/>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512" w:rsidRDefault="007F7512">
      <w:r>
        <w:separator/>
      </w:r>
    </w:p>
  </w:endnote>
  <w:endnote w:type="continuationSeparator" w:id="0">
    <w:p w:rsidR="007F7512" w:rsidRDefault="007F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TUR">
    <w:altName w:val="Arial"/>
    <w:charset w:val="00"/>
    <w:family w:val="swiss"/>
    <w:pitch w:val="variable"/>
    <w:sig w:usb0="20002A85" w:usb1="C0007843"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3"/>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3"/>
      <w:rPr>
        <w:rtl/>
      </w:rPr>
    </w:pPr>
  </w:p>
  <w:p w:rsidR="00377102" w:rsidRDefault="003771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EDE" w:rsidRDefault="00207EDE">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B4D" w:rsidRPr="00F959DB" w:rsidRDefault="00045B4D" w:rsidP="00914156">
    <w:pPr>
      <w:pStyle w:val="a3"/>
      <w:bidi w:val="0"/>
      <w:jc w:val="right"/>
      <w:rPr>
        <w:sz w:val="16"/>
        <w:szCs w:val="16"/>
      </w:rPr>
    </w:pPr>
    <w:bookmarkStart w:id="6" w:name="footer_line"/>
    <w:bookmarkEnd w:id="6"/>
  </w:p>
  <w:p w:rsidR="00045B4D" w:rsidRDefault="00045B4D">
    <w:pPr>
      <w:pStyle w:val="a3"/>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512" w:rsidRDefault="007F7512">
      <w:r>
        <w:separator/>
      </w:r>
    </w:p>
  </w:footnote>
  <w:footnote w:type="continuationSeparator" w:id="0">
    <w:p w:rsidR="007F7512" w:rsidRDefault="007F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5"/>
      <w:rPr>
        <w:rtl/>
      </w:rPr>
    </w:pPr>
  </w:p>
  <w:p w:rsidR="00377102" w:rsidRDefault="003771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435057">
      <w:rPr>
        <w:rStyle w:val="a4"/>
        <w:noProof/>
        <w:rtl/>
      </w:rPr>
      <w:t>2</w:t>
    </w:r>
    <w:r>
      <w:rPr>
        <w:rStyle w:val="a4"/>
        <w:rtl/>
      </w:rPr>
      <w:fldChar w:fldCharType="end"/>
    </w:r>
  </w:p>
  <w:p w:rsidR="00377102" w:rsidRDefault="00377102">
    <w:pPr>
      <w:pStyle w:val="a5"/>
      <w:rPr>
        <w:rtl/>
      </w:rPr>
    </w:pPr>
  </w:p>
  <w:p w:rsidR="00377102" w:rsidRDefault="0037710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363" w:type="dxa"/>
      <w:tblLook w:val="0000" w:firstRow="0" w:lastRow="0" w:firstColumn="0" w:lastColumn="0" w:noHBand="0" w:noVBand="0"/>
    </w:tblPr>
    <w:tblGrid>
      <w:gridCol w:w="8363"/>
    </w:tblGrid>
    <w:tr w:rsidR="00045B4D" w:rsidTr="00EC23AC">
      <w:trPr>
        <w:trHeight w:val="342"/>
      </w:trPr>
      <w:tc>
        <w:tcPr>
          <w:tcW w:w="9828" w:type="dxa"/>
        </w:tcPr>
        <w:p w:rsidR="00377102" w:rsidRPr="002F7BB6" w:rsidRDefault="00EE3810" w:rsidP="00045B4D">
          <w:pPr>
            <w:pStyle w:val="Casenameintextbody"/>
            <w:jc w:val="center"/>
            <w:rPr>
              <w:u w:val="none"/>
              <w:rtl/>
            </w:rPr>
          </w:pPr>
          <w:r w:rsidRPr="002F7BB6">
            <w:rPr>
              <w:noProof/>
              <w:sz w:val="16"/>
              <w:szCs w:val="18"/>
              <w:u w:val="none"/>
              <w:rtl/>
            </w:rPr>
            <w:drawing>
              <wp:inline distT="0" distB="0" distL="0" distR="0">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rsidR="00045B4D" w:rsidRDefault="00045B4D" w:rsidP="00045B4D">
    <w:pPr>
      <w:pStyle w:val="a5"/>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6001B"/>
    <w:multiLevelType w:val="hybridMultilevel"/>
    <w:tmpl w:val="B2C4B5E4"/>
    <w:lvl w:ilvl="0" w:tplc="5F9C772A">
      <w:start w:val="1"/>
      <w:numFmt w:val="decimal"/>
      <w:pStyle w:val="Ruller4"/>
      <w:lvlText w:val="%1."/>
      <w:lvlJc w:val="left"/>
      <w:pPr>
        <w:tabs>
          <w:tab w:val="num" w:pos="90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0BF283A"/>
    <w:multiLevelType w:val="hybridMultilevel"/>
    <w:tmpl w:val="40EC0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331548"/>
    <w:multiLevelType w:val="hybridMultilevel"/>
    <w:tmpl w:val="DF02D7C8"/>
    <w:lvl w:ilvl="0" w:tplc="705E47B2">
      <w:start w:val="1"/>
      <w:numFmt w:val="hebrew1"/>
      <w:lvlText w:val="(%1)"/>
      <w:lvlJc w:val="left"/>
      <w:pPr>
        <w:ind w:left="2004" w:hanging="360"/>
      </w:pPr>
      <w:rPr>
        <w:rFonts w:hint="default"/>
      </w:rPr>
    </w:lvl>
    <w:lvl w:ilvl="1" w:tplc="04090019" w:tentative="1">
      <w:start w:val="1"/>
      <w:numFmt w:val="lowerLetter"/>
      <w:lvlText w:val="%2."/>
      <w:lvlJc w:val="left"/>
      <w:pPr>
        <w:ind w:left="2724" w:hanging="360"/>
      </w:pPr>
    </w:lvl>
    <w:lvl w:ilvl="2" w:tplc="0409001B" w:tentative="1">
      <w:start w:val="1"/>
      <w:numFmt w:val="lowerRoman"/>
      <w:lvlText w:val="%3."/>
      <w:lvlJc w:val="right"/>
      <w:pPr>
        <w:ind w:left="3444" w:hanging="180"/>
      </w:pPr>
    </w:lvl>
    <w:lvl w:ilvl="3" w:tplc="0409000F" w:tentative="1">
      <w:start w:val="1"/>
      <w:numFmt w:val="decimal"/>
      <w:lvlText w:val="%4."/>
      <w:lvlJc w:val="left"/>
      <w:pPr>
        <w:ind w:left="4164" w:hanging="360"/>
      </w:pPr>
    </w:lvl>
    <w:lvl w:ilvl="4" w:tplc="04090019" w:tentative="1">
      <w:start w:val="1"/>
      <w:numFmt w:val="lowerLetter"/>
      <w:lvlText w:val="%5."/>
      <w:lvlJc w:val="left"/>
      <w:pPr>
        <w:ind w:left="4884" w:hanging="360"/>
      </w:pPr>
    </w:lvl>
    <w:lvl w:ilvl="5" w:tplc="0409001B" w:tentative="1">
      <w:start w:val="1"/>
      <w:numFmt w:val="lowerRoman"/>
      <w:lvlText w:val="%6."/>
      <w:lvlJc w:val="right"/>
      <w:pPr>
        <w:ind w:left="5604" w:hanging="180"/>
      </w:pPr>
    </w:lvl>
    <w:lvl w:ilvl="6" w:tplc="0409000F" w:tentative="1">
      <w:start w:val="1"/>
      <w:numFmt w:val="decimal"/>
      <w:lvlText w:val="%7."/>
      <w:lvlJc w:val="left"/>
      <w:pPr>
        <w:ind w:left="6324" w:hanging="360"/>
      </w:pPr>
    </w:lvl>
    <w:lvl w:ilvl="7" w:tplc="04090019" w:tentative="1">
      <w:start w:val="1"/>
      <w:numFmt w:val="lowerLetter"/>
      <w:lvlText w:val="%8."/>
      <w:lvlJc w:val="left"/>
      <w:pPr>
        <w:ind w:left="7044" w:hanging="360"/>
      </w:pPr>
    </w:lvl>
    <w:lvl w:ilvl="8" w:tplc="0409001B" w:tentative="1">
      <w:start w:val="1"/>
      <w:numFmt w:val="lowerRoman"/>
      <w:lvlText w:val="%9."/>
      <w:lvlJc w:val="right"/>
      <w:pPr>
        <w:ind w:left="7764" w:hanging="180"/>
      </w:pPr>
    </w:lvl>
  </w:abstractNum>
  <w:abstractNum w:abstractNumId="13" w15:restartNumberingAfterBreak="0">
    <w:nsid w:val="1CFE038A"/>
    <w:multiLevelType w:val="hybridMultilevel"/>
    <w:tmpl w:val="03C86642"/>
    <w:lvl w:ilvl="0" w:tplc="CF72F802">
      <w:start w:val="1"/>
      <w:numFmt w:val="hebrew1"/>
      <w:lvlText w:val="(%1)"/>
      <w:lvlJc w:val="left"/>
      <w:pPr>
        <w:ind w:left="2004" w:hanging="360"/>
      </w:pPr>
      <w:rPr>
        <w:rFonts w:hint="default"/>
      </w:rPr>
    </w:lvl>
    <w:lvl w:ilvl="1" w:tplc="04090019" w:tentative="1">
      <w:start w:val="1"/>
      <w:numFmt w:val="lowerLetter"/>
      <w:lvlText w:val="%2."/>
      <w:lvlJc w:val="left"/>
      <w:pPr>
        <w:ind w:left="2724" w:hanging="360"/>
      </w:pPr>
    </w:lvl>
    <w:lvl w:ilvl="2" w:tplc="0409001B" w:tentative="1">
      <w:start w:val="1"/>
      <w:numFmt w:val="lowerRoman"/>
      <w:lvlText w:val="%3."/>
      <w:lvlJc w:val="right"/>
      <w:pPr>
        <w:ind w:left="3444" w:hanging="180"/>
      </w:pPr>
    </w:lvl>
    <w:lvl w:ilvl="3" w:tplc="0409000F" w:tentative="1">
      <w:start w:val="1"/>
      <w:numFmt w:val="decimal"/>
      <w:lvlText w:val="%4."/>
      <w:lvlJc w:val="left"/>
      <w:pPr>
        <w:ind w:left="4164" w:hanging="360"/>
      </w:pPr>
    </w:lvl>
    <w:lvl w:ilvl="4" w:tplc="04090019" w:tentative="1">
      <w:start w:val="1"/>
      <w:numFmt w:val="lowerLetter"/>
      <w:lvlText w:val="%5."/>
      <w:lvlJc w:val="left"/>
      <w:pPr>
        <w:ind w:left="4884" w:hanging="360"/>
      </w:pPr>
    </w:lvl>
    <w:lvl w:ilvl="5" w:tplc="0409001B" w:tentative="1">
      <w:start w:val="1"/>
      <w:numFmt w:val="lowerRoman"/>
      <w:lvlText w:val="%6."/>
      <w:lvlJc w:val="right"/>
      <w:pPr>
        <w:ind w:left="5604" w:hanging="180"/>
      </w:pPr>
    </w:lvl>
    <w:lvl w:ilvl="6" w:tplc="0409000F" w:tentative="1">
      <w:start w:val="1"/>
      <w:numFmt w:val="decimal"/>
      <w:lvlText w:val="%7."/>
      <w:lvlJc w:val="left"/>
      <w:pPr>
        <w:ind w:left="6324" w:hanging="360"/>
      </w:pPr>
    </w:lvl>
    <w:lvl w:ilvl="7" w:tplc="04090019" w:tentative="1">
      <w:start w:val="1"/>
      <w:numFmt w:val="lowerLetter"/>
      <w:lvlText w:val="%8."/>
      <w:lvlJc w:val="left"/>
      <w:pPr>
        <w:ind w:left="7044" w:hanging="360"/>
      </w:pPr>
    </w:lvl>
    <w:lvl w:ilvl="8" w:tplc="0409001B" w:tentative="1">
      <w:start w:val="1"/>
      <w:numFmt w:val="lowerRoman"/>
      <w:lvlText w:val="%9."/>
      <w:lvlJc w:val="right"/>
      <w:pPr>
        <w:ind w:left="7764" w:hanging="180"/>
      </w:pPr>
    </w:lvl>
  </w:abstractNum>
  <w:abstractNum w:abstractNumId="14" w15:restartNumberingAfterBreak="0">
    <w:nsid w:val="2A4012E7"/>
    <w:multiLevelType w:val="hybridMultilevel"/>
    <w:tmpl w:val="648A83C6"/>
    <w:lvl w:ilvl="0" w:tplc="064283CA">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684CFE"/>
    <w:multiLevelType w:val="hybridMultilevel"/>
    <w:tmpl w:val="FAAAFC0E"/>
    <w:lvl w:ilvl="0" w:tplc="C4B60408">
      <w:start w:val="1"/>
      <w:numFmt w:val="hebrew1"/>
      <w:lvlText w:val="(%1)"/>
      <w:lvlJc w:val="left"/>
      <w:pPr>
        <w:ind w:left="2004" w:hanging="360"/>
      </w:pPr>
      <w:rPr>
        <w:rFonts w:hint="default"/>
      </w:rPr>
    </w:lvl>
    <w:lvl w:ilvl="1" w:tplc="04090019" w:tentative="1">
      <w:start w:val="1"/>
      <w:numFmt w:val="lowerLetter"/>
      <w:lvlText w:val="%2."/>
      <w:lvlJc w:val="left"/>
      <w:pPr>
        <w:ind w:left="2724" w:hanging="360"/>
      </w:pPr>
    </w:lvl>
    <w:lvl w:ilvl="2" w:tplc="0409001B" w:tentative="1">
      <w:start w:val="1"/>
      <w:numFmt w:val="lowerRoman"/>
      <w:lvlText w:val="%3."/>
      <w:lvlJc w:val="right"/>
      <w:pPr>
        <w:ind w:left="3444" w:hanging="180"/>
      </w:pPr>
    </w:lvl>
    <w:lvl w:ilvl="3" w:tplc="0409000F" w:tentative="1">
      <w:start w:val="1"/>
      <w:numFmt w:val="decimal"/>
      <w:lvlText w:val="%4."/>
      <w:lvlJc w:val="left"/>
      <w:pPr>
        <w:ind w:left="4164" w:hanging="360"/>
      </w:pPr>
    </w:lvl>
    <w:lvl w:ilvl="4" w:tplc="04090019" w:tentative="1">
      <w:start w:val="1"/>
      <w:numFmt w:val="lowerLetter"/>
      <w:lvlText w:val="%5."/>
      <w:lvlJc w:val="left"/>
      <w:pPr>
        <w:ind w:left="4884" w:hanging="360"/>
      </w:pPr>
    </w:lvl>
    <w:lvl w:ilvl="5" w:tplc="0409001B" w:tentative="1">
      <w:start w:val="1"/>
      <w:numFmt w:val="lowerRoman"/>
      <w:lvlText w:val="%6."/>
      <w:lvlJc w:val="right"/>
      <w:pPr>
        <w:ind w:left="5604" w:hanging="180"/>
      </w:pPr>
    </w:lvl>
    <w:lvl w:ilvl="6" w:tplc="0409000F" w:tentative="1">
      <w:start w:val="1"/>
      <w:numFmt w:val="decimal"/>
      <w:lvlText w:val="%7."/>
      <w:lvlJc w:val="left"/>
      <w:pPr>
        <w:ind w:left="6324" w:hanging="360"/>
      </w:pPr>
    </w:lvl>
    <w:lvl w:ilvl="7" w:tplc="04090019" w:tentative="1">
      <w:start w:val="1"/>
      <w:numFmt w:val="lowerLetter"/>
      <w:lvlText w:val="%8."/>
      <w:lvlJc w:val="left"/>
      <w:pPr>
        <w:ind w:left="7044" w:hanging="360"/>
      </w:pPr>
    </w:lvl>
    <w:lvl w:ilvl="8" w:tplc="0409001B" w:tentative="1">
      <w:start w:val="1"/>
      <w:numFmt w:val="lowerRoman"/>
      <w:lvlText w:val="%9."/>
      <w:lvlJc w:val="right"/>
      <w:pPr>
        <w:ind w:left="7764" w:hanging="180"/>
      </w:pPr>
    </w:lvl>
  </w:abstractNum>
  <w:abstractNum w:abstractNumId="16" w15:restartNumberingAfterBreak="0">
    <w:nsid w:val="33AF7D56"/>
    <w:multiLevelType w:val="hybridMultilevel"/>
    <w:tmpl w:val="8A72A84C"/>
    <w:lvl w:ilvl="0" w:tplc="EB7CA22A">
      <w:start w:val="1"/>
      <w:numFmt w:val="decimal"/>
      <w:lvlText w:val="(%1)"/>
      <w:lvlJc w:val="left"/>
      <w:pPr>
        <w:ind w:left="1080" w:hanging="360"/>
      </w:pPr>
      <w:rPr>
        <w:rFonts w:ascii="FrankRuehl" w:hAnsi="FrankRuehl" w:cs="FrankRuehl" w:hint="default"/>
        <w:sz w:val="20"/>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D5669F"/>
    <w:multiLevelType w:val="hybridMultilevel"/>
    <w:tmpl w:val="61CE7AD2"/>
    <w:lvl w:ilvl="0" w:tplc="F398A3B8">
      <w:start w:val="1"/>
      <w:numFmt w:val="hebrew1"/>
      <w:lvlText w:val="(%1)"/>
      <w:lvlJc w:val="left"/>
      <w:pPr>
        <w:ind w:left="2004" w:hanging="360"/>
      </w:pPr>
      <w:rPr>
        <w:rFonts w:hint="default"/>
      </w:rPr>
    </w:lvl>
    <w:lvl w:ilvl="1" w:tplc="04090019" w:tentative="1">
      <w:start w:val="1"/>
      <w:numFmt w:val="lowerLetter"/>
      <w:lvlText w:val="%2."/>
      <w:lvlJc w:val="left"/>
      <w:pPr>
        <w:ind w:left="2724" w:hanging="360"/>
      </w:pPr>
    </w:lvl>
    <w:lvl w:ilvl="2" w:tplc="0409001B" w:tentative="1">
      <w:start w:val="1"/>
      <w:numFmt w:val="lowerRoman"/>
      <w:lvlText w:val="%3."/>
      <w:lvlJc w:val="right"/>
      <w:pPr>
        <w:ind w:left="3444" w:hanging="180"/>
      </w:pPr>
    </w:lvl>
    <w:lvl w:ilvl="3" w:tplc="0409000F" w:tentative="1">
      <w:start w:val="1"/>
      <w:numFmt w:val="decimal"/>
      <w:lvlText w:val="%4."/>
      <w:lvlJc w:val="left"/>
      <w:pPr>
        <w:ind w:left="4164" w:hanging="360"/>
      </w:pPr>
    </w:lvl>
    <w:lvl w:ilvl="4" w:tplc="04090019" w:tentative="1">
      <w:start w:val="1"/>
      <w:numFmt w:val="lowerLetter"/>
      <w:lvlText w:val="%5."/>
      <w:lvlJc w:val="left"/>
      <w:pPr>
        <w:ind w:left="4884" w:hanging="360"/>
      </w:pPr>
    </w:lvl>
    <w:lvl w:ilvl="5" w:tplc="0409001B" w:tentative="1">
      <w:start w:val="1"/>
      <w:numFmt w:val="lowerRoman"/>
      <w:lvlText w:val="%6."/>
      <w:lvlJc w:val="right"/>
      <w:pPr>
        <w:ind w:left="5604" w:hanging="180"/>
      </w:pPr>
    </w:lvl>
    <w:lvl w:ilvl="6" w:tplc="0409000F" w:tentative="1">
      <w:start w:val="1"/>
      <w:numFmt w:val="decimal"/>
      <w:lvlText w:val="%7."/>
      <w:lvlJc w:val="left"/>
      <w:pPr>
        <w:ind w:left="6324" w:hanging="360"/>
      </w:pPr>
    </w:lvl>
    <w:lvl w:ilvl="7" w:tplc="04090019" w:tentative="1">
      <w:start w:val="1"/>
      <w:numFmt w:val="lowerLetter"/>
      <w:lvlText w:val="%8."/>
      <w:lvlJc w:val="left"/>
      <w:pPr>
        <w:ind w:left="7044" w:hanging="360"/>
      </w:pPr>
    </w:lvl>
    <w:lvl w:ilvl="8" w:tplc="0409001B" w:tentative="1">
      <w:start w:val="1"/>
      <w:numFmt w:val="lowerRoman"/>
      <w:lvlText w:val="%9."/>
      <w:lvlJc w:val="right"/>
      <w:pPr>
        <w:ind w:left="7764" w:hanging="180"/>
      </w:pPr>
    </w:lvl>
  </w:abstractNum>
  <w:abstractNum w:abstractNumId="18" w15:restartNumberingAfterBreak="0">
    <w:nsid w:val="3EA6336C"/>
    <w:multiLevelType w:val="hybridMultilevel"/>
    <w:tmpl w:val="5E5EA94C"/>
    <w:lvl w:ilvl="0" w:tplc="FFF4FF64">
      <w:start w:val="1"/>
      <w:numFmt w:val="hebrew1"/>
      <w:lvlText w:val="(%1)"/>
      <w:lvlJc w:val="left"/>
      <w:pPr>
        <w:ind w:left="2004" w:hanging="360"/>
      </w:pPr>
      <w:rPr>
        <w:rFonts w:hint="default"/>
      </w:rPr>
    </w:lvl>
    <w:lvl w:ilvl="1" w:tplc="04090019" w:tentative="1">
      <w:start w:val="1"/>
      <w:numFmt w:val="lowerLetter"/>
      <w:lvlText w:val="%2."/>
      <w:lvlJc w:val="left"/>
      <w:pPr>
        <w:ind w:left="2724" w:hanging="360"/>
      </w:pPr>
    </w:lvl>
    <w:lvl w:ilvl="2" w:tplc="0409001B" w:tentative="1">
      <w:start w:val="1"/>
      <w:numFmt w:val="lowerRoman"/>
      <w:lvlText w:val="%3."/>
      <w:lvlJc w:val="right"/>
      <w:pPr>
        <w:ind w:left="3444" w:hanging="180"/>
      </w:pPr>
    </w:lvl>
    <w:lvl w:ilvl="3" w:tplc="0409000F" w:tentative="1">
      <w:start w:val="1"/>
      <w:numFmt w:val="decimal"/>
      <w:lvlText w:val="%4."/>
      <w:lvlJc w:val="left"/>
      <w:pPr>
        <w:ind w:left="4164" w:hanging="360"/>
      </w:pPr>
    </w:lvl>
    <w:lvl w:ilvl="4" w:tplc="04090019" w:tentative="1">
      <w:start w:val="1"/>
      <w:numFmt w:val="lowerLetter"/>
      <w:lvlText w:val="%5."/>
      <w:lvlJc w:val="left"/>
      <w:pPr>
        <w:ind w:left="4884" w:hanging="360"/>
      </w:pPr>
    </w:lvl>
    <w:lvl w:ilvl="5" w:tplc="0409001B" w:tentative="1">
      <w:start w:val="1"/>
      <w:numFmt w:val="lowerRoman"/>
      <w:lvlText w:val="%6."/>
      <w:lvlJc w:val="right"/>
      <w:pPr>
        <w:ind w:left="5604" w:hanging="180"/>
      </w:pPr>
    </w:lvl>
    <w:lvl w:ilvl="6" w:tplc="0409000F" w:tentative="1">
      <w:start w:val="1"/>
      <w:numFmt w:val="decimal"/>
      <w:lvlText w:val="%7."/>
      <w:lvlJc w:val="left"/>
      <w:pPr>
        <w:ind w:left="6324" w:hanging="360"/>
      </w:pPr>
    </w:lvl>
    <w:lvl w:ilvl="7" w:tplc="04090019" w:tentative="1">
      <w:start w:val="1"/>
      <w:numFmt w:val="lowerLetter"/>
      <w:lvlText w:val="%8."/>
      <w:lvlJc w:val="left"/>
      <w:pPr>
        <w:ind w:left="7044" w:hanging="360"/>
      </w:pPr>
    </w:lvl>
    <w:lvl w:ilvl="8" w:tplc="0409001B" w:tentative="1">
      <w:start w:val="1"/>
      <w:numFmt w:val="lowerRoman"/>
      <w:lvlText w:val="%9."/>
      <w:lvlJc w:val="right"/>
      <w:pPr>
        <w:ind w:left="7764" w:hanging="180"/>
      </w:pPr>
    </w:lvl>
  </w:abstractNum>
  <w:abstractNum w:abstractNumId="19" w15:restartNumberingAfterBreak="0">
    <w:nsid w:val="41A818AD"/>
    <w:multiLevelType w:val="hybridMultilevel"/>
    <w:tmpl w:val="BB1A6CFA"/>
    <w:lvl w:ilvl="0" w:tplc="70F84D08">
      <w:start w:val="1"/>
      <w:numFmt w:val="hebrew1"/>
      <w:lvlText w:val="(%1)"/>
      <w:lvlJc w:val="left"/>
      <w:pPr>
        <w:ind w:left="2064" w:hanging="420"/>
      </w:pPr>
      <w:rPr>
        <w:rFonts w:hint="default"/>
      </w:rPr>
    </w:lvl>
    <w:lvl w:ilvl="1" w:tplc="04090019" w:tentative="1">
      <w:start w:val="1"/>
      <w:numFmt w:val="lowerLetter"/>
      <w:lvlText w:val="%2."/>
      <w:lvlJc w:val="left"/>
      <w:pPr>
        <w:ind w:left="2724" w:hanging="360"/>
      </w:pPr>
    </w:lvl>
    <w:lvl w:ilvl="2" w:tplc="0409001B" w:tentative="1">
      <w:start w:val="1"/>
      <w:numFmt w:val="lowerRoman"/>
      <w:lvlText w:val="%3."/>
      <w:lvlJc w:val="right"/>
      <w:pPr>
        <w:ind w:left="3444" w:hanging="180"/>
      </w:pPr>
    </w:lvl>
    <w:lvl w:ilvl="3" w:tplc="0409000F" w:tentative="1">
      <w:start w:val="1"/>
      <w:numFmt w:val="decimal"/>
      <w:lvlText w:val="%4."/>
      <w:lvlJc w:val="left"/>
      <w:pPr>
        <w:ind w:left="4164" w:hanging="360"/>
      </w:pPr>
    </w:lvl>
    <w:lvl w:ilvl="4" w:tplc="04090019" w:tentative="1">
      <w:start w:val="1"/>
      <w:numFmt w:val="lowerLetter"/>
      <w:lvlText w:val="%5."/>
      <w:lvlJc w:val="left"/>
      <w:pPr>
        <w:ind w:left="4884" w:hanging="360"/>
      </w:pPr>
    </w:lvl>
    <w:lvl w:ilvl="5" w:tplc="0409001B" w:tentative="1">
      <w:start w:val="1"/>
      <w:numFmt w:val="lowerRoman"/>
      <w:lvlText w:val="%6."/>
      <w:lvlJc w:val="right"/>
      <w:pPr>
        <w:ind w:left="5604" w:hanging="180"/>
      </w:pPr>
    </w:lvl>
    <w:lvl w:ilvl="6" w:tplc="0409000F" w:tentative="1">
      <w:start w:val="1"/>
      <w:numFmt w:val="decimal"/>
      <w:lvlText w:val="%7."/>
      <w:lvlJc w:val="left"/>
      <w:pPr>
        <w:ind w:left="6324" w:hanging="360"/>
      </w:pPr>
    </w:lvl>
    <w:lvl w:ilvl="7" w:tplc="04090019" w:tentative="1">
      <w:start w:val="1"/>
      <w:numFmt w:val="lowerLetter"/>
      <w:lvlText w:val="%8."/>
      <w:lvlJc w:val="left"/>
      <w:pPr>
        <w:ind w:left="7044" w:hanging="360"/>
      </w:pPr>
    </w:lvl>
    <w:lvl w:ilvl="8" w:tplc="0409001B" w:tentative="1">
      <w:start w:val="1"/>
      <w:numFmt w:val="lowerRoman"/>
      <w:lvlText w:val="%9."/>
      <w:lvlJc w:val="right"/>
      <w:pPr>
        <w:ind w:left="7764" w:hanging="180"/>
      </w:pPr>
    </w:lvl>
  </w:abstractNum>
  <w:abstractNum w:abstractNumId="20" w15:restartNumberingAfterBreak="0">
    <w:nsid w:val="44BC15AE"/>
    <w:multiLevelType w:val="hybridMultilevel"/>
    <w:tmpl w:val="F8EC1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27334C"/>
    <w:multiLevelType w:val="hybridMultilevel"/>
    <w:tmpl w:val="6C34A77C"/>
    <w:lvl w:ilvl="0" w:tplc="4EE4FC5E">
      <w:start w:val="1"/>
      <w:numFmt w:val="hebrew1"/>
      <w:lvlText w:val="(%1)"/>
      <w:lvlJc w:val="left"/>
      <w:pPr>
        <w:ind w:left="2004" w:hanging="360"/>
      </w:pPr>
      <w:rPr>
        <w:rFonts w:hint="default"/>
      </w:rPr>
    </w:lvl>
    <w:lvl w:ilvl="1" w:tplc="04090019" w:tentative="1">
      <w:start w:val="1"/>
      <w:numFmt w:val="lowerLetter"/>
      <w:lvlText w:val="%2."/>
      <w:lvlJc w:val="left"/>
      <w:pPr>
        <w:ind w:left="2724" w:hanging="360"/>
      </w:pPr>
    </w:lvl>
    <w:lvl w:ilvl="2" w:tplc="0409001B" w:tentative="1">
      <w:start w:val="1"/>
      <w:numFmt w:val="lowerRoman"/>
      <w:lvlText w:val="%3."/>
      <w:lvlJc w:val="right"/>
      <w:pPr>
        <w:ind w:left="3444" w:hanging="180"/>
      </w:pPr>
    </w:lvl>
    <w:lvl w:ilvl="3" w:tplc="0409000F" w:tentative="1">
      <w:start w:val="1"/>
      <w:numFmt w:val="decimal"/>
      <w:lvlText w:val="%4."/>
      <w:lvlJc w:val="left"/>
      <w:pPr>
        <w:ind w:left="4164" w:hanging="360"/>
      </w:pPr>
    </w:lvl>
    <w:lvl w:ilvl="4" w:tplc="04090019" w:tentative="1">
      <w:start w:val="1"/>
      <w:numFmt w:val="lowerLetter"/>
      <w:lvlText w:val="%5."/>
      <w:lvlJc w:val="left"/>
      <w:pPr>
        <w:ind w:left="4884" w:hanging="360"/>
      </w:pPr>
    </w:lvl>
    <w:lvl w:ilvl="5" w:tplc="0409001B" w:tentative="1">
      <w:start w:val="1"/>
      <w:numFmt w:val="lowerRoman"/>
      <w:lvlText w:val="%6."/>
      <w:lvlJc w:val="right"/>
      <w:pPr>
        <w:ind w:left="5604" w:hanging="180"/>
      </w:pPr>
    </w:lvl>
    <w:lvl w:ilvl="6" w:tplc="0409000F" w:tentative="1">
      <w:start w:val="1"/>
      <w:numFmt w:val="decimal"/>
      <w:lvlText w:val="%7."/>
      <w:lvlJc w:val="left"/>
      <w:pPr>
        <w:ind w:left="6324" w:hanging="360"/>
      </w:pPr>
    </w:lvl>
    <w:lvl w:ilvl="7" w:tplc="04090019" w:tentative="1">
      <w:start w:val="1"/>
      <w:numFmt w:val="lowerLetter"/>
      <w:lvlText w:val="%8."/>
      <w:lvlJc w:val="left"/>
      <w:pPr>
        <w:ind w:left="7044" w:hanging="360"/>
      </w:pPr>
    </w:lvl>
    <w:lvl w:ilvl="8" w:tplc="0409001B" w:tentative="1">
      <w:start w:val="1"/>
      <w:numFmt w:val="lowerRoman"/>
      <w:lvlText w:val="%9."/>
      <w:lvlJc w:val="right"/>
      <w:pPr>
        <w:ind w:left="7764" w:hanging="180"/>
      </w:pPr>
    </w:lvl>
  </w:abstractNum>
  <w:abstractNum w:abstractNumId="22" w15:restartNumberingAfterBreak="0">
    <w:nsid w:val="4FE70B62"/>
    <w:multiLevelType w:val="hybridMultilevel"/>
    <w:tmpl w:val="ADA8711E"/>
    <w:lvl w:ilvl="0" w:tplc="DBB0A036">
      <w:start w:val="1"/>
      <w:numFmt w:val="hebrew1"/>
      <w:pStyle w:val="Ruller40"/>
      <w:lvlText w:val="%1."/>
      <w:lvlJc w:val="left"/>
      <w:pPr>
        <w:tabs>
          <w:tab w:val="num" w:pos="90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5A72447"/>
    <w:multiLevelType w:val="hybridMultilevel"/>
    <w:tmpl w:val="D6E47454"/>
    <w:lvl w:ilvl="0" w:tplc="FC168F82">
      <w:start w:val="1"/>
      <w:numFmt w:val="hebrew1"/>
      <w:lvlText w:val="(%1)"/>
      <w:lvlJc w:val="left"/>
      <w:pPr>
        <w:ind w:left="2094" w:hanging="450"/>
      </w:pPr>
      <w:rPr>
        <w:rFonts w:hint="default"/>
      </w:rPr>
    </w:lvl>
    <w:lvl w:ilvl="1" w:tplc="04090019" w:tentative="1">
      <w:start w:val="1"/>
      <w:numFmt w:val="lowerLetter"/>
      <w:lvlText w:val="%2."/>
      <w:lvlJc w:val="left"/>
      <w:pPr>
        <w:ind w:left="2724" w:hanging="360"/>
      </w:pPr>
    </w:lvl>
    <w:lvl w:ilvl="2" w:tplc="0409001B" w:tentative="1">
      <w:start w:val="1"/>
      <w:numFmt w:val="lowerRoman"/>
      <w:lvlText w:val="%3."/>
      <w:lvlJc w:val="right"/>
      <w:pPr>
        <w:ind w:left="3444" w:hanging="180"/>
      </w:pPr>
    </w:lvl>
    <w:lvl w:ilvl="3" w:tplc="0409000F" w:tentative="1">
      <w:start w:val="1"/>
      <w:numFmt w:val="decimal"/>
      <w:lvlText w:val="%4."/>
      <w:lvlJc w:val="left"/>
      <w:pPr>
        <w:ind w:left="4164" w:hanging="360"/>
      </w:pPr>
    </w:lvl>
    <w:lvl w:ilvl="4" w:tplc="04090019" w:tentative="1">
      <w:start w:val="1"/>
      <w:numFmt w:val="lowerLetter"/>
      <w:lvlText w:val="%5."/>
      <w:lvlJc w:val="left"/>
      <w:pPr>
        <w:ind w:left="4884" w:hanging="360"/>
      </w:pPr>
    </w:lvl>
    <w:lvl w:ilvl="5" w:tplc="0409001B" w:tentative="1">
      <w:start w:val="1"/>
      <w:numFmt w:val="lowerRoman"/>
      <w:lvlText w:val="%6."/>
      <w:lvlJc w:val="right"/>
      <w:pPr>
        <w:ind w:left="5604" w:hanging="180"/>
      </w:pPr>
    </w:lvl>
    <w:lvl w:ilvl="6" w:tplc="0409000F" w:tentative="1">
      <w:start w:val="1"/>
      <w:numFmt w:val="decimal"/>
      <w:lvlText w:val="%7."/>
      <w:lvlJc w:val="left"/>
      <w:pPr>
        <w:ind w:left="6324" w:hanging="360"/>
      </w:pPr>
    </w:lvl>
    <w:lvl w:ilvl="7" w:tplc="04090019" w:tentative="1">
      <w:start w:val="1"/>
      <w:numFmt w:val="lowerLetter"/>
      <w:lvlText w:val="%8."/>
      <w:lvlJc w:val="left"/>
      <w:pPr>
        <w:ind w:left="7044" w:hanging="360"/>
      </w:pPr>
    </w:lvl>
    <w:lvl w:ilvl="8" w:tplc="0409001B" w:tentative="1">
      <w:start w:val="1"/>
      <w:numFmt w:val="lowerRoman"/>
      <w:lvlText w:val="%9."/>
      <w:lvlJc w:val="right"/>
      <w:pPr>
        <w:ind w:left="7764" w:hanging="180"/>
      </w:pPr>
    </w:lvl>
  </w:abstractNum>
  <w:abstractNum w:abstractNumId="24" w15:restartNumberingAfterBreak="0">
    <w:nsid w:val="589D5133"/>
    <w:multiLevelType w:val="hybridMultilevel"/>
    <w:tmpl w:val="187EF6EC"/>
    <w:lvl w:ilvl="0" w:tplc="B36CD342">
      <w:start w:val="1"/>
      <w:numFmt w:val="hebrew1"/>
      <w:lvlText w:val="(%1)"/>
      <w:lvlJc w:val="left"/>
      <w:pPr>
        <w:ind w:left="2004" w:hanging="360"/>
      </w:pPr>
      <w:rPr>
        <w:rFonts w:hint="default"/>
      </w:rPr>
    </w:lvl>
    <w:lvl w:ilvl="1" w:tplc="04090019" w:tentative="1">
      <w:start w:val="1"/>
      <w:numFmt w:val="lowerLetter"/>
      <w:lvlText w:val="%2."/>
      <w:lvlJc w:val="left"/>
      <w:pPr>
        <w:ind w:left="2724" w:hanging="360"/>
      </w:pPr>
    </w:lvl>
    <w:lvl w:ilvl="2" w:tplc="0409001B" w:tentative="1">
      <w:start w:val="1"/>
      <w:numFmt w:val="lowerRoman"/>
      <w:lvlText w:val="%3."/>
      <w:lvlJc w:val="right"/>
      <w:pPr>
        <w:ind w:left="3444" w:hanging="180"/>
      </w:pPr>
    </w:lvl>
    <w:lvl w:ilvl="3" w:tplc="0409000F" w:tentative="1">
      <w:start w:val="1"/>
      <w:numFmt w:val="decimal"/>
      <w:lvlText w:val="%4."/>
      <w:lvlJc w:val="left"/>
      <w:pPr>
        <w:ind w:left="4164" w:hanging="360"/>
      </w:pPr>
    </w:lvl>
    <w:lvl w:ilvl="4" w:tplc="04090019" w:tentative="1">
      <w:start w:val="1"/>
      <w:numFmt w:val="lowerLetter"/>
      <w:lvlText w:val="%5."/>
      <w:lvlJc w:val="left"/>
      <w:pPr>
        <w:ind w:left="4884" w:hanging="360"/>
      </w:pPr>
    </w:lvl>
    <w:lvl w:ilvl="5" w:tplc="0409001B" w:tentative="1">
      <w:start w:val="1"/>
      <w:numFmt w:val="lowerRoman"/>
      <w:lvlText w:val="%6."/>
      <w:lvlJc w:val="right"/>
      <w:pPr>
        <w:ind w:left="5604" w:hanging="180"/>
      </w:pPr>
    </w:lvl>
    <w:lvl w:ilvl="6" w:tplc="0409000F" w:tentative="1">
      <w:start w:val="1"/>
      <w:numFmt w:val="decimal"/>
      <w:lvlText w:val="%7."/>
      <w:lvlJc w:val="left"/>
      <w:pPr>
        <w:ind w:left="6324" w:hanging="360"/>
      </w:pPr>
    </w:lvl>
    <w:lvl w:ilvl="7" w:tplc="04090019" w:tentative="1">
      <w:start w:val="1"/>
      <w:numFmt w:val="lowerLetter"/>
      <w:lvlText w:val="%8."/>
      <w:lvlJc w:val="left"/>
      <w:pPr>
        <w:ind w:left="7044" w:hanging="360"/>
      </w:pPr>
    </w:lvl>
    <w:lvl w:ilvl="8" w:tplc="0409001B" w:tentative="1">
      <w:start w:val="1"/>
      <w:numFmt w:val="lowerRoman"/>
      <w:lvlText w:val="%9."/>
      <w:lvlJc w:val="right"/>
      <w:pPr>
        <w:ind w:left="7764" w:hanging="180"/>
      </w:pPr>
    </w:lvl>
  </w:abstractNum>
  <w:abstractNum w:abstractNumId="25" w15:restartNumberingAfterBreak="0">
    <w:nsid w:val="5B41107E"/>
    <w:multiLevelType w:val="hybridMultilevel"/>
    <w:tmpl w:val="3D8C97BC"/>
    <w:lvl w:ilvl="0" w:tplc="3B0C9E16">
      <w:start w:val="1"/>
      <w:numFmt w:val="hebrew1"/>
      <w:lvlText w:val="(%1)"/>
      <w:lvlJc w:val="left"/>
      <w:pPr>
        <w:ind w:left="2004" w:hanging="360"/>
      </w:pPr>
      <w:rPr>
        <w:rFonts w:hint="default"/>
      </w:rPr>
    </w:lvl>
    <w:lvl w:ilvl="1" w:tplc="04090019" w:tentative="1">
      <w:start w:val="1"/>
      <w:numFmt w:val="lowerLetter"/>
      <w:lvlText w:val="%2."/>
      <w:lvlJc w:val="left"/>
      <w:pPr>
        <w:ind w:left="2724" w:hanging="360"/>
      </w:pPr>
    </w:lvl>
    <w:lvl w:ilvl="2" w:tplc="0409001B" w:tentative="1">
      <w:start w:val="1"/>
      <w:numFmt w:val="lowerRoman"/>
      <w:lvlText w:val="%3."/>
      <w:lvlJc w:val="right"/>
      <w:pPr>
        <w:ind w:left="3444" w:hanging="180"/>
      </w:pPr>
    </w:lvl>
    <w:lvl w:ilvl="3" w:tplc="0409000F" w:tentative="1">
      <w:start w:val="1"/>
      <w:numFmt w:val="decimal"/>
      <w:lvlText w:val="%4."/>
      <w:lvlJc w:val="left"/>
      <w:pPr>
        <w:ind w:left="4164" w:hanging="360"/>
      </w:pPr>
    </w:lvl>
    <w:lvl w:ilvl="4" w:tplc="04090019" w:tentative="1">
      <w:start w:val="1"/>
      <w:numFmt w:val="lowerLetter"/>
      <w:lvlText w:val="%5."/>
      <w:lvlJc w:val="left"/>
      <w:pPr>
        <w:ind w:left="4884" w:hanging="360"/>
      </w:pPr>
    </w:lvl>
    <w:lvl w:ilvl="5" w:tplc="0409001B" w:tentative="1">
      <w:start w:val="1"/>
      <w:numFmt w:val="lowerRoman"/>
      <w:lvlText w:val="%6."/>
      <w:lvlJc w:val="right"/>
      <w:pPr>
        <w:ind w:left="5604" w:hanging="180"/>
      </w:pPr>
    </w:lvl>
    <w:lvl w:ilvl="6" w:tplc="0409000F" w:tentative="1">
      <w:start w:val="1"/>
      <w:numFmt w:val="decimal"/>
      <w:lvlText w:val="%7."/>
      <w:lvlJc w:val="left"/>
      <w:pPr>
        <w:ind w:left="6324" w:hanging="360"/>
      </w:pPr>
    </w:lvl>
    <w:lvl w:ilvl="7" w:tplc="04090019" w:tentative="1">
      <w:start w:val="1"/>
      <w:numFmt w:val="lowerLetter"/>
      <w:lvlText w:val="%8."/>
      <w:lvlJc w:val="left"/>
      <w:pPr>
        <w:ind w:left="7044" w:hanging="360"/>
      </w:pPr>
    </w:lvl>
    <w:lvl w:ilvl="8" w:tplc="0409001B" w:tentative="1">
      <w:start w:val="1"/>
      <w:numFmt w:val="lowerRoman"/>
      <w:lvlText w:val="%9."/>
      <w:lvlJc w:val="right"/>
      <w:pPr>
        <w:ind w:left="7764" w:hanging="180"/>
      </w:pPr>
    </w:lvl>
  </w:abstractNum>
  <w:abstractNum w:abstractNumId="26" w15:restartNumberingAfterBreak="0">
    <w:nsid w:val="78E37725"/>
    <w:multiLevelType w:val="hybridMultilevel"/>
    <w:tmpl w:val="DF9E318E"/>
    <w:lvl w:ilvl="0" w:tplc="8304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22"/>
  </w:num>
  <w:num w:numId="13">
    <w:abstractNumId w:val="11"/>
  </w:num>
  <w:num w:numId="14">
    <w:abstractNumId w:val="24"/>
  </w:num>
  <w:num w:numId="15">
    <w:abstractNumId w:val="15"/>
  </w:num>
  <w:num w:numId="16">
    <w:abstractNumId w:val="13"/>
  </w:num>
  <w:num w:numId="17">
    <w:abstractNumId w:val="18"/>
  </w:num>
  <w:num w:numId="18">
    <w:abstractNumId w:val="17"/>
  </w:num>
  <w:num w:numId="19">
    <w:abstractNumId w:val="12"/>
  </w:num>
  <w:num w:numId="20">
    <w:abstractNumId w:val="21"/>
  </w:num>
  <w:num w:numId="21">
    <w:abstractNumId w:val="23"/>
  </w:num>
  <w:num w:numId="22">
    <w:abstractNumId w:val="25"/>
  </w:num>
  <w:num w:numId="23">
    <w:abstractNumId w:val="19"/>
  </w:num>
  <w:num w:numId="24">
    <w:abstractNumId w:val="20"/>
  </w:num>
  <w:num w:numId="25">
    <w:abstractNumId w:val="26"/>
  </w:num>
  <w:num w:numId="26">
    <w:abstractNumId w:val="1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16EF1"/>
    <w:rsid w:val="00032036"/>
    <w:rsid w:val="00033FD2"/>
    <w:rsid w:val="00036227"/>
    <w:rsid w:val="00044953"/>
    <w:rsid w:val="00045B4D"/>
    <w:rsid w:val="0007087B"/>
    <w:rsid w:val="000725F5"/>
    <w:rsid w:val="00072AD2"/>
    <w:rsid w:val="000B1478"/>
    <w:rsid w:val="000C4690"/>
    <w:rsid w:val="000D25C4"/>
    <w:rsid w:val="00134A67"/>
    <w:rsid w:val="0014772E"/>
    <w:rsid w:val="001A0164"/>
    <w:rsid w:val="00200D6B"/>
    <w:rsid w:val="00207EDE"/>
    <w:rsid w:val="002216DC"/>
    <w:rsid w:val="0026161D"/>
    <w:rsid w:val="00265F6E"/>
    <w:rsid w:val="002876BF"/>
    <w:rsid w:val="002A4A7A"/>
    <w:rsid w:val="002A4BF3"/>
    <w:rsid w:val="002B5B2F"/>
    <w:rsid w:val="002D37C9"/>
    <w:rsid w:val="002F7BB6"/>
    <w:rsid w:val="003448B2"/>
    <w:rsid w:val="0036154B"/>
    <w:rsid w:val="00361DB2"/>
    <w:rsid w:val="0037622E"/>
    <w:rsid w:val="00377102"/>
    <w:rsid w:val="00383892"/>
    <w:rsid w:val="0039709B"/>
    <w:rsid w:val="00397299"/>
    <w:rsid w:val="003A16FD"/>
    <w:rsid w:val="003D72DA"/>
    <w:rsid w:val="003E19E8"/>
    <w:rsid w:val="003F1F97"/>
    <w:rsid w:val="0041048F"/>
    <w:rsid w:val="0043051E"/>
    <w:rsid w:val="00435057"/>
    <w:rsid w:val="00437D59"/>
    <w:rsid w:val="004610A4"/>
    <w:rsid w:val="00467E45"/>
    <w:rsid w:val="00497D58"/>
    <w:rsid w:val="004B29FF"/>
    <w:rsid w:val="004C7868"/>
    <w:rsid w:val="00503A3E"/>
    <w:rsid w:val="005102FA"/>
    <w:rsid w:val="00527F02"/>
    <w:rsid w:val="005307CB"/>
    <w:rsid w:val="00535896"/>
    <w:rsid w:val="005803E2"/>
    <w:rsid w:val="0058440A"/>
    <w:rsid w:val="00591983"/>
    <w:rsid w:val="00624A42"/>
    <w:rsid w:val="0065522F"/>
    <w:rsid w:val="0067404E"/>
    <w:rsid w:val="006A30F7"/>
    <w:rsid w:val="006C42AD"/>
    <w:rsid w:val="006D467A"/>
    <w:rsid w:val="006F1E22"/>
    <w:rsid w:val="00725345"/>
    <w:rsid w:val="00741CC0"/>
    <w:rsid w:val="007B512F"/>
    <w:rsid w:val="007F7512"/>
    <w:rsid w:val="00810894"/>
    <w:rsid w:val="008143AB"/>
    <w:rsid w:val="00814D26"/>
    <w:rsid w:val="0083345F"/>
    <w:rsid w:val="00836667"/>
    <w:rsid w:val="00866D0F"/>
    <w:rsid w:val="008A1078"/>
    <w:rsid w:val="008C2F11"/>
    <w:rsid w:val="008D78B9"/>
    <w:rsid w:val="008E3F85"/>
    <w:rsid w:val="009051E8"/>
    <w:rsid w:val="00914156"/>
    <w:rsid w:val="00916FF8"/>
    <w:rsid w:val="00922093"/>
    <w:rsid w:val="00930C85"/>
    <w:rsid w:val="00985436"/>
    <w:rsid w:val="009B38DA"/>
    <w:rsid w:val="009F2DE9"/>
    <w:rsid w:val="009F2F53"/>
    <w:rsid w:val="009F4187"/>
    <w:rsid w:val="00A12E0F"/>
    <w:rsid w:val="00A34831"/>
    <w:rsid w:val="00A51FAE"/>
    <w:rsid w:val="00A80845"/>
    <w:rsid w:val="00AB69F7"/>
    <w:rsid w:val="00AD097B"/>
    <w:rsid w:val="00AD64B9"/>
    <w:rsid w:val="00AE022B"/>
    <w:rsid w:val="00AE2C06"/>
    <w:rsid w:val="00B009CC"/>
    <w:rsid w:val="00B0782A"/>
    <w:rsid w:val="00B43DE8"/>
    <w:rsid w:val="00B62B8C"/>
    <w:rsid w:val="00B63343"/>
    <w:rsid w:val="00B87FF7"/>
    <w:rsid w:val="00BA0B08"/>
    <w:rsid w:val="00BC0E82"/>
    <w:rsid w:val="00BD40F9"/>
    <w:rsid w:val="00C050CC"/>
    <w:rsid w:val="00C41C86"/>
    <w:rsid w:val="00C63A6C"/>
    <w:rsid w:val="00CA13AF"/>
    <w:rsid w:val="00CA1444"/>
    <w:rsid w:val="00CB1590"/>
    <w:rsid w:val="00CB7600"/>
    <w:rsid w:val="00CC0E9D"/>
    <w:rsid w:val="00CC3639"/>
    <w:rsid w:val="00CC3A24"/>
    <w:rsid w:val="00CF7000"/>
    <w:rsid w:val="00D00B1D"/>
    <w:rsid w:val="00D00CB7"/>
    <w:rsid w:val="00D25F16"/>
    <w:rsid w:val="00D74EE2"/>
    <w:rsid w:val="00DF3622"/>
    <w:rsid w:val="00E21CA9"/>
    <w:rsid w:val="00E31063"/>
    <w:rsid w:val="00E36FE9"/>
    <w:rsid w:val="00E73E98"/>
    <w:rsid w:val="00E75223"/>
    <w:rsid w:val="00E90D72"/>
    <w:rsid w:val="00EA0BE1"/>
    <w:rsid w:val="00EC23AC"/>
    <w:rsid w:val="00EC2992"/>
    <w:rsid w:val="00ED46A4"/>
    <w:rsid w:val="00ED6FD9"/>
    <w:rsid w:val="00EE3810"/>
    <w:rsid w:val="00F63C3B"/>
    <w:rsid w:val="00F959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53A2B"/>
  <w15:chartTrackingRefBased/>
  <w15:docId w15:val="{3A82DE19-8438-45D8-956E-25ABEEFCA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1">
    <w:name w:val="Ruller4"/>
    <w:basedOn w:val="a"/>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1"/>
    <w:next w:val="Ruller41"/>
    <w:rPr>
      <w:rFonts w:cs="David"/>
      <w:b/>
      <w:bCs/>
      <w:u w:val="single"/>
    </w:rPr>
  </w:style>
  <w:style w:type="character" w:customStyle="1" w:styleId="Hand">
    <w:name w:val="Hand"/>
    <w:rPr>
      <w:rFonts w:cs="Guttman Yad"/>
    </w:rPr>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pPr>
      <w:tabs>
        <w:tab w:val="center" w:pos="4153"/>
        <w:tab w:val="right" w:pos="8306"/>
      </w:tabs>
    </w:pPr>
  </w:style>
  <w:style w:type="paragraph" w:customStyle="1" w:styleId="2">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rsid w:val="003F1F97"/>
    <w:rPr>
      <w:color w:val="0000FF"/>
      <w:u w:val="single"/>
    </w:rPr>
  </w:style>
  <w:style w:type="table" w:styleId="a6">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7">
    <w:name w:val="annotation reference"/>
    <w:basedOn w:val="a0"/>
    <w:rsid w:val="00D00B1D"/>
    <w:rPr>
      <w:sz w:val="16"/>
      <w:szCs w:val="16"/>
    </w:rPr>
  </w:style>
  <w:style w:type="paragraph" w:styleId="a8">
    <w:name w:val="annotation text"/>
    <w:basedOn w:val="a"/>
    <w:link w:val="a9"/>
    <w:rsid w:val="00D00B1D"/>
    <w:rPr>
      <w:szCs w:val="20"/>
    </w:rPr>
  </w:style>
  <w:style w:type="character" w:customStyle="1" w:styleId="a9">
    <w:name w:val="טקסט הערה תו"/>
    <w:basedOn w:val="a0"/>
    <w:link w:val="a8"/>
    <w:rsid w:val="00D00B1D"/>
    <w:rPr>
      <w:rFonts w:cs="David"/>
    </w:rPr>
  </w:style>
  <w:style w:type="paragraph" w:styleId="aa">
    <w:name w:val="annotation subject"/>
    <w:basedOn w:val="a8"/>
    <w:next w:val="a8"/>
    <w:link w:val="ab"/>
    <w:rsid w:val="00D00B1D"/>
    <w:rPr>
      <w:b/>
      <w:bCs/>
    </w:rPr>
  </w:style>
  <w:style w:type="character" w:customStyle="1" w:styleId="ab">
    <w:name w:val="נושא הערה תו"/>
    <w:basedOn w:val="a9"/>
    <w:link w:val="aa"/>
    <w:rsid w:val="00D00B1D"/>
    <w:rPr>
      <w:rFonts w:cs="David"/>
      <w:b/>
      <w:bCs/>
    </w:rPr>
  </w:style>
  <w:style w:type="paragraph" w:styleId="ac">
    <w:name w:val="Balloon Text"/>
    <w:basedOn w:val="a"/>
    <w:link w:val="ad"/>
    <w:rsid w:val="00D00B1D"/>
    <w:rPr>
      <w:rFonts w:ascii="Tahoma" w:hAnsi="Tahoma" w:cs="Tahoma"/>
      <w:sz w:val="18"/>
      <w:szCs w:val="18"/>
    </w:rPr>
  </w:style>
  <w:style w:type="character" w:customStyle="1" w:styleId="ad">
    <w:name w:val="טקסט בלונים תו"/>
    <w:basedOn w:val="a0"/>
    <w:link w:val="ac"/>
    <w:rsid w:val="00D00B1D"/>
    <w:rPr>
      <w:rFonts w:ascii="Tahoma" w:hAnsi="Tahoma" w:cs="Tahoma"/>
      <w:sz w:val="18"/>
      <w:szCs w:val="18"/>
    </w:rPr>
  </w:style>
  <w:style w:type="paragraph" w:customStyle="1" w:styleId="Ruller4">
    <w:name w:val="Ruller 4 ממוספר"/>
    <w:basedOn w:val="Ruller41"/>
    <w:next w:val="Ruller41"/>
    <w:rsid w:val="005307CB"/>
    <w:pPr>
      <w:numPr>
        <w:numId w:val="11"/>
      </w:numPr>
    </w:pPr>
    <w:rPr>
      <w:rFonts w:ascii="Garamond" w:hAnsi="Garamond"/>
      <w:sz w:val="24"/>
    </w:rPr>
  </w:style>
  <w:style w:type="paragraph" w:customStyle="1" w:styleId="Ruller40">
    <w:name w:val="Ruller4 אלפביתי"/>
    <w:basedOn w:val="Ruller41"/>
    <w:next w:val="Ruller41"/>
    <w:rsid w:val="005307CB"/>
    <w:pPr>
      <w:numPr>
        <w:numId w:val="12"/>
      </w:numPr>
    </w:pPr>
  </w:style>
  <w:style w:type="character" w:customStyle="1" w:styleId="default">
    <w:name w:val="default"/>
    <w:rsid w:val="005307CB"/>
    <w:rPr>
      <w:rFonts w:ascii="Times New Roman" w:hAnsi="Times New Roman" w:cs="Times New Roman"/>
      <w:sz w:val="26"/>
      <w:szCs w:val="26"/>
    </w:rPr>
  </w:style>
  <w:style w:type="paragraph" w:customStyle="1" w:styleId="P00">
    <w:name w:val="P00"/>
    <w:link w:val="P000"/>
    <w:rsid w:val="005307C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noProof/>
      <w:szCs w:val="26"/>
      <w:lang w:eastAsia="he-IL"/>
    </w:rPr>
  </w:style>
  <w:style w:type="paragraph" w:customStyle="1" w:styleId="P22">
    <w:name w:val="P22"/>
    <w:basedOn w:val="P00"/>
    <w:rsid w:val="005307CB"/>
    <w:pPr>
      <w:tabs>
        <w:tab w:val="clear" w:pos="624"/>
        <w:tab w:val="clear" w:pos="1021"/>
      </w:tabs>
      <w:ind w:right="1021"/>
    </w:pPr>
  </w:style>
  <w:style w:type="character" w:customStyle="1" w:styleId="P000">
    <w:name w:val="P00 תו"/>
    <w:link w:val="P00"/>
    <w:rsid w:val="005307CB"/>
    <w:rPr>
      <w:noProof/>
      <w:szCs w:val="26"/>
      <w:lang w:eastAsia="he-IL"/>
    </w:rPr>
  </w:style>
  <w:style w:type="paragraph" w:customStyle="1" w:styleId="P02">
    <w:name w:val="P02"/>
    <w:basedOn w:val="P00"/>
    <w:rsid w:val="005307CB"/>
    <w:pPr>
      <w:ind w:right="1021" w:hanging="1021"/>
    </w:pPr>
  </w:style>
  <w:style w:type="paragraph" w:styleId="ae">
    <w:name w:val="Revision"/>
    <w:hidden/>
    <w:uiPriority w:val="99"/>
    <w:semiHidden/>
    <w:rsid w:val="005307CB"/>
    <w:rPr>
      <w:rFonts w:ascii="Century" w:hAnsi="Century" w:cs="FrankRuehl"/>
      <w:spacing w:val="10"/>
      <w:szCs w:val="28"/>
    </w:rPr>
  </w:style>
  <w:style w:type="paragraph" w:styleId="af">
    <w:name w:val="List Paragraph"/>
    <w:basedOn w:val="a"/>
    <w:uiPriority w:val="34"/>
    <w:qFormat/>
    <w:rsid w:val="00033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upreme.court.gov.i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12B4B-0583-4F81-8ED1-A1A3F72EC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6370</Words>
  <Characters>30488</Characters>
  <Application>Microsoft Office Word</Application>
  <DocSecurity>0</DocSecurity>
  <Lines>15244</Lines>
  <Paragraphs>2457</Paragraphs>
  <ScaleCrop>false</ScaleCrop>
  <HeadingPairs>
    <vt:vector size="2" baseType="variant">
      <vt:variant>
        <vt:lpstr>שם</vt:lpstr>
      </vt:variant>
      <vt:variant>
        <vt:i4>1</vt:i4>
      </vt:variant>
    </vt:vector>
  </HeadingPairs>
  <TitlesOfParts>
    <vt:vector size="1" baseType="lpstr">
      <vt:lpstr>החלטה בתיק ע"א  8511/18</vt:lpstr>
    </vt:vector>
  </TitlesOfParts>
  <Company/>
  <LinksUpToDate>false</LinksUpToDate>
  <CharactersWithSpaces>34401</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2020-01-26T14:07:59Z</cp:lastPrinted>
  <dcterms:created xsi:type="dcterms:W3CDTF">2020-01-26T14:07:59Z</dcterms:created>
  <dcterms:modified xsi:type="dcterms:W3CDTF">2020-01-26T14:07:59Z</dcterms:modified>
</cp:coreProperties>
</file>