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8363" w:type="dxa"/>
        <w:tblInd w:w="9" w:type="dxa"/>
        <w:tblLook w:val="0000" w:firstRow="0" w:lastRow="0" w:firstColumn="0" w:lastColumn="0" w:noHBand="0" w:noVBand="0"/>
      </w:tblPr>
      <w:tblGrid>
        <w:gridCol w:w="8363"/>
      </w:tblGrid>
      <w:tr w:rsidR="00036227" w:rsidTr="00D26814">
        <w:tc>
          <w:tcPr>
            <w:tcW w:w="8363" w:type="dxa"/>
          </w:tcPr>
          <w:p w:rsidR="00916FF8" w:rsidRPr="00624A42" w:rsidRDefault="007710C6" w:rsidP="004C7868">
            <w:pPr>
              <w:pStyle w:val="FileNumber0"/>
              <w:rPr>
                <w:sz w:val="28"/>
                <w:u w:val="single"/>
                <w:rtl/>
              </w:rPr>
            </w:pPr>
            <w:r>
              <w:rPr>
                <w:u w:val="single"/>
                <w:rtl/>
              </w:rPr>
              <w:t>בבית המשפט העליון בשבתו כבית משפט גבוה לצדק</w:t>
            </w:r>
          </w:p>
        </w:tc>
      </w:tr>
    </w:tbl>
    <w:p w:rsidR="00916FF8" w:rsidRDefault="00916FF8">
      <w:pPr>
        <w:jc w:val="right"/>
        <w:rPr>
          <w:rFonts w:cs="Miriam"/>
          <w:b/>
          <w:bCs/>
          <w:u w:val="single"/>
        </w:rPr>
      </w:pPr>
    </w:p>
    <w:tbl>
      <w:tblPr>
        <w:bidiVisual/>
        <w:tblW w:w="8363" w:type="dxa"/>
        <w:tblLook w:val="0000" w:firstRow="0" w:lastRow="0" w:firstColumn="0" w:lastColumn="0" w:noHBand="0" w:noVBand="0"/>
      </w:tblPr>
      <w:tblGrid>
        <w:gridCol w:w="8363"/>
      </w:tblGrid>
      <w:tr w:rsidR="00036227" w:rsidTr="0039709B">
        <w:trPr>
          <w:trHeight w:val="342"/>
        </w:trPr>
        <w:tc>
          <w:tcPr>
            <w:tcW w:w="9828" w:type="dxa"/>
          </w:tcPr>
          <w:p w:rsidR="00916FF8" w:rsidRPr="00810894" w:rsidRDefault="007710C6">
            <w:pPr>
              <w:pStyle w:val="FileNumber"/>
              <w:rPr>
                <w:sz w:val="28"/>
                <w:szCs w:val="28"/>
              </w:rPr>
            </w:pPr>
            <w:bookmarkStart w:id="0" w:name="casename_body"/>
            <w:r>
              <w:rPr>
                <w:sz w:val="28"/>
                <w:szCs w:val="28"/>
                <w:rtl/>
              </w:rPr>
              <w:t>בג"ץ  2335/19</w:t>
            </w:r>
          </w:p>
        </w:tc>
      </w:tr>
      <w:bookmarkEnd w:id="0"/>
    </w:tbl>
    <w:p w:rsidR="00916FF8" w:rsidRDefault="00916FF8">
      <w:pPr>
        <w:jc w:val="right"/>
        <w:rPr>
          <w:rFonts w:cs="Miriam"/>
          <w:b/>
          <w:bCs/>
          <w:u w:val="single"/>
        </w:rPr>
      </w:pPr>
    </w:p>
    <w:tbl>
      <w:tblPr>
        <w:bidiVisual/>
        <w:tblW w:w="8364" w:type="dxa"/>
        <w:tblLayout w:type="fixed"/>
        <w:tblLook w:val="0000" w:firstRow="0" w:lastRow="0" w:firstColumn="0" w:lastColumn="0" w:noHBand="0" w:noVBand="0"/>
      </w:tblPr>
      <w:tblGrid>
        <w:gridCol w:w="3210"/>
        <w:gridCol w:w="5154"/>
      </w:tblGrid>
      <w:tr w:rsidR="00036227" w:rsidTr="00EC23AC">
        <w:trPr>
          <w:trHeight w:val="287"/>
        </w:trPr>
        <w:tc>
          <w:tcPr>
            <w:tcW w:w="3261" w:type="dxa"/>
          </w:tcPr>
          <w:p w:rsidR="00036227" w:rsidRDefault="00CB7600">
            <w:pPr>
              <w:pStyle w:val="BodyRuller"/>
              <w:rPr>
                <w:rFonts w:cs="Miriam"/>
                <w:b/>
                <w:bCs/>
                <w:u w:val="single"/>
              </w:rPr>
            </w:pPr>
            <w:r>
              <w:rPr>
                <w:rFonts w:hint="cs"/>
                <w:rtl/>
              </w:rPr>
              <w:t>ל</w:t>
            </w:r>
            <w:r w:rsidR="00036227">
              <w:rPr>
                <w:rtl/>
              </w:rPr>
              <w:t>פני:</w:t>
            </w:r>
            <w:r w:rsidR="00036227">
              <w:rPr>
                <w:rtl/>
              </w:rPr>
              <w:tab/>
            </w:r>
          </w:p>
        </w:tc>
        <w:tc>
          <w:tcPr>
            <w:tcW w:w="5239" w:type="dxa"/>
          </w:tcPr>
          <w:p w:rsidR="00036227" w:rsidRDefault="007710C6">
            <w:pPr>
              <w:pStyle w:val="BodyRuller"/>
            </w:pPr>
            <w:r>
              <w:rPr>
                <w:rtl/>
              </w:rPr>
              <w:t>כבוד המשנה לנשיאה ח' מלצר</w:t>
            </w:r>
          </w:p>
        </w:tc>
      </w:tr>
      <w:tr w:rsidR="007710C6" w:rsidTr="00EC23AC">
        <w:trPr>
          <w:trHeight w:val="287"/>
        </w:trPr>
        <w:tc>
          <w:tcPr>
            <w:tcW w:w="3261" w:type="dxa"/>
          </w:tcPr>
          <w:p w:rsidR="007710C6" w:rsidRDefault="007710C6">
            <w:pPr>
              <w:pStyle w:val="BodyRuller"/>
              <w:rPr>
                <w:rtl/>
              </w:rPr>
            </w:pPr>
          </w:p>
        </w:tc>
        <w:tc>
          <w:tcPr>
            <w:tcW w:w="5239" w:type="dxa"/>
          </w:tcPr>
          <w:p w:rsidR="007710C6" w:rsidRDefault="007710C6">
            <w:pPr>
              <w:pStyle w:val="BodyRuller"/>
              <w:rPr>
                <w:rtl/>
              </w:rPr>
            </w:pPr>
            <w:r>
              <w:rPr>
                <w:rtl/>
              </w:rPr>
              <w:t>כבוד השופטת ע' ברון</w:t>
            </w:r>
          </w:p>
        </w:tc>
      </w:tr>
      <w:tr w:rsidR="007710C6" w:rsidTr="00EC23AC">
        <w:trPr>
          <w:trHeight w:val="287"/>
        </w:trPr>
        <w:tc>
          <w:tcPr>
            <w:tcW w:w="3261" w:type="dxa"/>
          </w:tcPr>
          <w:p w:rsidR="007710C6" w:rsidRDefault="007710C6">
            <w:pPr>
              <w:pStyle w:val="BodyRuller"/>
              <w:rPr>
                <w:rtl/>
              </w:rPr>
            </w:pPr>
          </w:p>
        </w:tc>
        <w:tc>
          <w:tcPr>
            <w:tcW w:w="5239" w:type="dxa"/>
          </w:tcPr>
          <w:p w:rsidR="007710C6" w:rsidRDefault="007710C6">
            <w:pPr>
              <w:pStyle w:val="BodyRuller"/>
              <w:rPr>
                <w:rtl/>
              </w:rPr>
            </w:pPr>
            <w:r>
              <w:rPr>
                <w:rtl/>
              </w:rPr>
              <w:t>כבוד השופט ד' מינץ</w:t>
            </w:r>
          </w:p>
        </w:tc>
      </w:tr>
    </w:tbl>
    <w:p w:rsidR="00916FF8" w:rsidRDefault="00916FF8">
      <w:pPr>
        <w:pStyle w:val="Ruller3"/>
        <w:rPr>
          <w:rFonts w:cs="Miriam"/>
          <w:b/>
          <w:bCs/>
          <w:u w:val="single"/>
          <w:rtl/>
        </w:rPr>
      </w:pPr>
    </w:p>
    <w:tbl>
      <w:tblPr>
        <w:bidiVisual/>
        <w:tblW w:w="8364" w:type="dxa"/>
        <w:tblLayout w:type="fixed"/>
        <w:tblLook w:val="0000" w:firstRow="0" w:lastRow="0" w:firstColumn="0" w:lastColumn="0" w:noHBand="0" w:noVBand="0"/>
      </w:tblPr>
      <w:tblGrid>
        <w:gridCol w:w="3210"/>
        <w:gridCol w:w="5154"/>
      </w:tblGrid>
      <w:tr w:rsidR="00D00CB7" w:rsidTr="00DD6306">
        <w:trPr>
          <w:trHeight w:val="287"/>
        </w:trPr>
        <w:tc>
          <w:tcPr>
            <w:tcW w:w="3261" w:type="dxa"/>
          </w:tcPr>
          <w:p w:rsidR="00D00CB7" w:rsidRPr="00E75223" w:rsidRDefault="007710C6" w:rsidP="00DD6306">
            <w:pPr>
              <w:pStyle w:val="BodyRuller"/>
              <w:rPr>
                <w:rFonts w:ascii="David" w:hAnsi="David"/>
              </w:rPr>
            </w:pPr>
            <w:r>
              <w:rPr>
                <w:rFonts w:ascii="David" w:hAnsi="David"/>
                <w:rtl/>
              </w:rPr>
              <w:t>העותר</w:t>
            </w:r>
            <w:r w:rsidR="00073919">
              <w:rPr>
                <w:rFonts w:ascii="David" w:hAnsi="David" w:hint="cs"/>
                <w:rtl/>
              </w:rPr>
              <w:t>ת</w:t>
            </w:r>
            <w:r>
              <w:rPr>
                <w:rFonts w:ascii="David" w:hAnsi="David"/>
                <w:rtl/>
              </w:rPr>
              <w:t>:</w:t>
            </w:r>
          </w:p>
        </w:tc>
        <w:tc>
          <w:tcPr>
            <w:tcW w:w="5239" w:type="dxa"/>
          </w:tcPr>
          <w:p w:rsidR="00D00CB7" w:rsidRDefault="007710C6" w:rsidP="00DD6306">
            <w:pPr>
              <w:pStyle w:val="BodyRuller"/>
            </w:pPr>
            <w:r>
              <w:rPr>
                <w:rtl/>
              </w:rPr>
              <w:t>עמותת הקנאביס הרפואי</w:t>
            </w:r>
          </w:p>
        </w:tc>
      </w:tr>
    </w:tbl>
    <w:p w:rsidR="00D00CB7" w:rsidRDefault="00D00CB7">
      <w:pPr>
        <w:pStyle w:val="Ruller3"/>
      </w:pPr>
    </w:p>
    <w:tbl>
      <w:tblPr>
        <w:bidiVisual/>
        <w:tblW w:w="8363" w:type="dxa"/>
        <w:tblLook w:val="0000" w:firstRow="0" w:lastRow="0" w:firstColumn="0" w:lastColumn="0" w:noHBand="0" w:noVBand="0"/>
      </w:tblPr>
      <w:tblGrid>
        <w:gridCol w:w="3222"/>
        <w:gridCol w:w="5141"/>
      </w:tblGrid>
      <w:tr w:rsidR="00036227" w:rsidTr="0039709B">
        <w:tc>
          <w:tcPr>
            <w:tcW w:w="3284" w:type="dxa"/>
          </w:tcPr>
          <w:p w:rsidR="00036227" w:rsidRDefault="00036227">
            <w:pPr>
              <w:pStyle w:val="BodyRuller"/>
            </w:pPr>
          </w:p>
        </w:tc>
        <w:tc>
          <w:tcPr>
            <w:tcW w:w="5238" w:type="dxa"/>
          </w:tcPr>
          <w:p w:rsidR="00036227" w:rsidRDefault="00036227">
            <w:pPr>
              <w:pStyle w:val="BodyRuller"/>
            </w:pPr>
            <w:r>
              <w:rPr>
                <w:rFonts w:hint="cs"/>
                <w:rtl/>
              </w:rPr>
              <w:t>נ</w:t>
            </w:r>
            <w:r>
              <w:t xml:space="preserve">  </w:t>
            </w:r>
            <w:r>
              <w:rPr>
                <w:rFonts w:hint="cs"/>
                <w:rtl/>
              </w:rPr>
              <w:t>ג</w:t>
            </w:r>
            <w:r>
              <w:t xml:space="preserve">  </w:t>
            </w:r>
            <w:r>
              <w:rPr>
                <w:rFonts w:hint="cs"/>
                <w:rtl/>
              </w:rPr>
              <w:t>ד</w:t>
            </w:r>
          </w:p>
        </w:tc>
      </w:tr>
    </w:tbl>
    <w:p w:rsidR="00916FF8" w:rsidRDefault="00916FF8">
      <w:pPr>
        <w:pStyle w:val="Ruller3"/>
        <w:rPr>
          <w:rtl/>
        </w:rPr>
      </w:pPr>
    </w:p>
    <w:tbl>
      <w:tblPr>
        <w:bidiVisual/>
        <w:tblW w:w="8364" w:type="dxa"/>
        <w:tblLayout w:type="fixed"/>
        <w:tblLook w:val="0000" w:firstRow="0" w:lastRow="0" w:firstColumn="0" w:lastColumn="0" w:noHBand="0" w:noVBand="0"/>
      </w:tblPr>
      <w:tblGrid>
        <w:gridCol w:w="3210"/>
        <w:gridCol w:w="5154"/>
      </w:tblGrid>
      <w:tr w:rsidR="0083345F" w:rsidTr="00DD6306">
        <w:trPr>
          <w:trHeight w:val="287"/>
        </w:trPr>
        <w:tc>
          <w:tcPr>
            <w:tcW w:w="3261" w:type="dxa"/>
          </w:tcPr>
          <w:p w:rsidR="0083345F" w:rsidRPr="00E75223" w:rsidRDefault="007710C6" w:rsidP="00DD6306">
            <w:pPr>
              <w:pStyle w:val="BodyRuller"/>
              <w:rPr>
                <w:rFonts w:ascii="David" w:hAnsi="David"/>
              </w:rPr>
            </w:pPr>
            <w:r>
              <w:rPr>
                <w:rFonts w:ascii="David" w:hAnsi="David"/>
                <w:rtl/>
              </w:rPr>
              <w:t>המשיבים:</w:t>
            </w:r>
          </w:p>
        </w:tc>
        <w:tc>
          <w:tcPr>
            <w:tcW w:w="5239" w:type="dxa"/>
          </w:tcPr>
          <w:p w:rsidR="0083345F" w:rsidRDefault="007710C6" w:rsidP="00DD6306">
            <w:pPr>
              <w:pStyle w:val="BodyRuller"/>
            </w:pPr>
            <w:r>
              <w:rPr>
                <w:rtl/>
              </w:rPr>
              <w:t>1. משרד הבריאות</w:t>
            </w:r>
            <w:r w:rsidR="00073919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- שר הבריאות</w:t>
            </w:r>
          </w:p>
        </w:tc>
      </w:tr>
      <w:tr w:rsidR="007710C6" w:rsidTr="00DD6306">
        <w:trPr>
          <w:trHeight w:val="287"/>
        </w:trPr>
        <w:tc>
          <w:tcPr>
            <w:tcW w:w="3261" w:type="dxa"/>
          </w:tcPr>
          <w:p w:rsidR="007710C6" w:rsidRDefault="007710C6" w:rsidP="00DD6306">
            <w:pPr>
              <w:pStyle w:val="BodyRuller"/>
              <w:rPr>
                <w:rFonts w:ascii="David" w:hAnsi="David"/>
                <w:rtl/>
              </w:rPr>
            </w:pPr>
          </w:p>
        </w:tc>
        <w:tc>
          <w:tcPr>
            <w:tcW w:w="5239" w:type="dxa"/>
          </w:tcPr>
          <w:p w:rsidR="007710C6" w:rsidRDefault="007710C6" w:rsidP="00DD6306">
            <w:pPr>
              <w:pStyle w:val="BodyRuller"/>
              <w:rPr>
                <w:rtl/>
              </w:rPr>
            </w:pPr>
            <w:r>
              <w:rPr>
                <w:rtl/>
              </w:rPr>
              <w:t>2. משרד החקלאות</w:t>
            </w:r>
            <w:r w:rsidR="00073919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-</w:t>
            </w:r>
            <w:r w:rsidR="00073919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שר החקלאות</w:t>
            </w:r>
          </w:p>
        </w:tc>
      </w:tr>
      <w:tr w:rsidR="007710C6" w:rsidTr="00DD6306">
        <w:trPr>
          <w:trHeight w:val="287"/>
        </w:trPr>
        <w:tc>
          <w:tcPr>
            <w:tcW w:w="3261" w:type="dxa"/>
          </w:tcPr>
          <w:p w:rsidR="007710C6" w:rsidRDefault="007710C6" w:rsidP="00DD6306">
            <w:pPr>
              <w:pStyle w:val="BodyRuller"/>
              <w:rPr>
                <w:rFonts w:ascii="David" w:hAnsi="David"/>
                <w:rtl/>
              </w:rPr>
            </w:pPr>
          </w:p>
        </w:tc>
        <w:tc>
          <w:tcPr>
            <w:tcW w:w="5239" w:type="dxa"/>
          </w:tcPr>
          <w:p w:rsidR="007710C6" w:rsidRDefault="007710C6" w:rsidP="00DD6306">
            <w:pPr>
              <w:pStyle w:val="BodyRuller"/>
              <w:rPr>
                <w:rtl/>
              </w:rPr>
            </w:pPr>
            <w:r>
              <w:rPr>
                <w:rtl/>
              </w:rPr>
              <w:t>3. תיקון עולם</w:t>
            </w:r>
          </w:p>
        </w:tc>
      </w:tr>
      <w:tr w:rsidR="007710C6" w:rsidTr="00DD6306">
        <w:trPr>
          <w:trHeight w:val="287"/>
        </w:trPr>
        <w:tc>
          <w:tcPr>
            <w:tcW w:w="3261" w:type="dxa"/>
          </w:tcPr>
          <w:p w:rsidR="007710C6" w:rsidRDefault="007710C6" w:rsidP="00DD6306">
            <w:pPr>
              <w:pStyle w:val="BodyRuller"/>
              <w:rPr>
                <w:rFonts w:ascii="David" w:hAnsi="David"/>
                <w:rtl/>
              </w:rPr>
            </w:pPr>
          </w:p>
        </w:tc>
        <w:tc>
          <w:tcPr>
            <w:tcW w:w="5239" w:type="dxa"/>
          </w:tcPr>
          <w:p w:rsidR="007710C6" w:rsidRDefault="007710C6" w:rsidP="00DD6306">
            <w:pPr>
              <w:pStyle w:val="BodyRuller"/>
              <w:rPr>
                <w:rtl/>
              </w:rPr>
            </w:pPr>
            <w:r>
              <w:rPr>
                <w:rtl/>
              </w:rPr>
              <w:t xml:space="preserve">4. בזלת </w:t>
            </w:r>
            <w:proofErr w:type="spellStart"/>
            <w:r>
              <w:rPr>
                <w:rtl/>
              </w:rPr>
              <w:t>נחושתן</w:t>
            </w:r>
            <w:proofErr w:type="spellEnd"/>
            <w:r>
              <w:rPr>
                <w:rtl/>
              </w:rPr>
              <w:t xml:space="preserve"> בע"מ</w:t>
            </w:r>
          </w:p>
        </w:tc>
      </w:tr>
      <w:tr w:rsidR="007710C6" w:rsidTr="00DD6306">
        <w:trPr>
          <w:trHeight w:val="287"/>
        </w:trPr>
        <w:tc>
          <w:tcPr>
            <w:tcW w:w="3261" w:type="dxa"/>
          </w:tcPr>
          <w:p w:rsidR="007710C6" w:rsidRDefault="007710C6" w:rsidP="00DD6306">
            <w:pPr>
              <w:pStyle w:val="BodyRuller"/>
              <w:rPr>
                <w:rFonts w:ascii="David" w:hAnsi="David"/>
                <w:rtl/>
              </w:rPr>
            </w:pPr>
          </w:p>
        </w:tc>
        <w:tc>
          <w:tcPr>
            <w:tcW w:w="5239" w:type="dxa"/>
          </w:tcPr>
          <w:p w:rsidR="007710C6" w:rsidRDefault="007710C6" w:rsidP="00DD6306">
            <w:pPr>
              <w:pStyle w:val="BodyRuller"/>
              <w:rPr>
                <w:rtl/>
              </w:rPr>
            </w:pPr>
            <w:r>
              <w:rPr>
                <w:rtl/>
              </w:rPr>
              <w:t>5. הסתדרות הרוקחים בישראל</w:t>
            </w:r>
          </w:p>
        </w:tc>
      </w:tr>
      <w:tr w:rsidR="007710C6" w:rsidTr="00DD6306">
        <w:trPr>
          <w:trHeight w:val="287"/>
        </w:trPr>
        <w:tc>
          <w:tcPr>
            <w:tcW w:w="3261" w:type="dxa"/>
          </w:tcPr>
          <w:p w:rsidR="007710C6" w:rsidRDefault="007710C6" w:rsidP="00DD6306">
            <w:pPr>
              <w:pStyle w:val="BodyRuller"/>
              <w:rPr>
                <w:rFonts w:ascii="David" w:hAnsi="David"/>
                <w:rtl/>
              </w:rPr>
            </w:pPr>
          </w:p>
        </w:tc>
        <w:tc>
          <w:tcPr>
            <w:tcW w:w="5239" w:type="dxa"/>
          </w:tcPr>
          <w:p w:rsidR="007710C6" w:rsidRDefault="007710C6" w:rsidP="00DD6306">
            <w:pPr>
              <w:pStyle w:val="BodyRuller"/>
              <w:rPr>
                <w:rtl/>
              </w:rPr>
            </w:pPr>
            <w:r>
              <w:rPr>
                <w:rtl/>
              </w:rPr>
              <w:t>6. ברף אוף לייף ישראל בע"מ</w:t>
            </w:r>
          </w:p>
        </w:tc>
      </w:tr>
      <w:tr w:rsidR="007710C6" w:rsidTr="00DD6306">
        <w:trPr>
          <w:trHeight w:val="287"/>
        </w:trPr>
        <w:tc>
          <w:tcPr>
            <w:tcW w:w="3261" w:type="dxa"/>
          </w:tcPr>
          <w:p w:rsidR="007710C6" w:rsidRDefault="007710C6" w:rsidP="00DD6306">
            <w:pPr>
              <w:pStyle w:val="BodyRuller"/>
              <w:rPr>
                <w:rFonts w:ascii="David" w:hAnsi="David"/>
                <w:rtl/>
              </w:rPr>
            </w:pPr>
          </w:p>
        </w:tc>
        <w:tc>
          <w:tcPr>
            <w:tcW w:w="5239" w:type="dxa"/>
          </w:tcPr>
          <w:p w:rsidR="007710C6" w:rsidRDefault="007710C6" w:rsidP="00DD6306">
            <w:pPr>
              <w:pStyle w:val="BodyRuller"/>
              <w:rPr>
                <w:rtl/>
              </w:rPr>
            </w:pPr>
            <w:r>
              <w:rPr>
                <w:rtl/>
              </w:rPr>
              <w:t>7. ארגון הרוקחות בישראל</w:t>
            </w:r>
          </w:p>
        </w:tc>
      </w:tr>
      <w:tr w:rsidR="007710C6" w:rsidTr="00DD6306">
        <w:trPr>
          <w:trHeight w:val="287"/>
        </w:trPr>
        <w:tc>
          <w:tcPr>
            <w:tcW w:w="3261" w:type="dxa"/>
          </w:tcPr>
          <w:p w:rsidR="007710C6" w:rsidRDefault="007710C6" w:rsidP="00DD6306">
            <w:pPr>
              <w:pStyle w:val="BodyRuller"/>
              <w:rPr>
                <w:rFonts w:ascii="David" w:hAnsi="David"/>
                <w:rtl/>
              </w:rPr>
            </w:pPr>
          </w:p>
        </w:tc>
        <w:tc>
          <w:tcPr>
            <w:tcW w:w="5239" w:type="dxa"/>
          </w:tcPr>
          <w:p w:rsidR="007710C6" w:rsidRDefault="007710C6" w:rsidP="00DD6306">
            <w:pPr>
              <w:pStyle w:val="BodyRuller"/>
              <w:rPr>
                <w:rtl/>
              </w:rPr>
            </w:pPr>
            <w:r>
              <w:rPr>
                <w:rtl/>
              </w:rPr>
              <w:t xml:space="preserve">8. </w:t>
            </w:r>
            <w:proofErr w:type="spellStart"/>
            <w:r>
              <w:rPr>
                <w:rtl/>
              </w:rPr>
              <w:t>בטר</w:t>
            </w:r>
            <w:proofErr w:type="spellEnd"/>
            <w:r>
              <w:rPr>
                <w:rtl/>
              </w:rPr>
              <w:t xml:space="preserve"> בע"מ</w:t>
            </w:r>
          </w:p>
        </w:tc>
      </w:tr>
      <w:tr w:rsidR="007710C6" w:rsidTr="00DD6306">
        <w:trPr>
          <w:trHeight w:val="287"/>
        </w:trPr>
        <w:tc>
          <w:tcPr>
            <w:tcW w:w="3261" w:type="dxa"/>
          </w:tcPr>
          <w:p w:rsidR="007710C6" w:rsidRDefault="007710C6" w:rsidP="00DD6306">
            <w:pPr>
              <w:pStyle w:val="BodyRuller"/>
              <w:rPr>
                <w:rFonts w:ascii="David" w:hAnsi="David"/>
                <w:rtl/>
              </w:rPr>
            </w:pPr>
          </w:p>
        </w:tc>
        <w:tc>
          <w:tcPr>
            <w:tcW w:w="5239" w:type="dxa"/>
          </w:tcPr>
          <w:p w:rsidR="007710C6" w:rsidRDefault="007710C6" w:rsidP="00DD6306">
            <w:pPr>
              <w:pStyle w:val="BodyRuller"/>
              <w:rPr>
                <w:rtl/>
              </w:rPr>
            </w:pPr>
            <w:r>
              <w:rPr>
                <w:rtl/>
              </w:rPr>
              <w:t xml:space="preserve">9. </w:t>
            </w:r>
            <w:proofErr w:type="spellStart"/>
            <w:r>
              <w:rPr>
                <w:rtl/>
              </w:rPr>
              <w:t>קנדוק</w:t>
            </w:r>
            <w:proofErr w:type="spellEnd"/>
            <w:r>
              <w:rPr>
                <w:rtl/>
              </w:rPr>
              <w:t xml:space="preserve"> בע"מ</w:t>
            </w:r>
          </w:p>
        </w:tc>
      </w:tr>
      <w:tr w:rsidR="007710C6" w:rsidTr="00DD6306">
        <w:trPr>
          <w:trHeight w:val="287"/>
        </w:trPr>
        <w:tc>
          <w:tcPr>
            <w:tcW w:w="3261" w:type="dxa"/>
          </w:tcPr>
          <w:p w:rsidR="007710C6" w:rsidRDefault="007710C6" w:rsidP="00DD6306">
            <w:pPr>
              <w:pStyle w:val="BodyRuller"/>
              <w:rPr>
                <w:rFonts w:ascii="David" w:hAnsi="David"/>
                <w:rtl/>
              </w:rPr>
            </w:pPr>
          </w:p>
        </w:tc>
        <w:tc>
          <w:tcPr>
            <w:tcW w:w="5239" w:type="dxa"/>
          </w:tcPr>
          <w:p w:rsidR="007710C6" w:rsidRDefault="007710C6" w:rsidP="00DD6306">
            <w:pPr>
              <w:pStyle w:val="BodyRuller"/>
              <w:rPr>
                <w:rtl/>
              </w:rPr>
            </w:pPr>
            <w:r>
              <w:rPr>
                <w:rtl/>
              </w:rPr>
              <w:t>10. פוקוס צמחי מרפא בע"מ</w:t>
            </w:r>
          </w:p>
        </w:tc>
      </w:tr>
      <w:tr w:rsidR="007710C6" w:rsidTr="00DD6306">
        <w:trPr>
          <w:trHeight w:val="287"/>
        </w:trPr>
        <w:tc>
          <w:tcPr>
            <w:tcW w:w="3261" w:type="dxa"/>
          </w:tcPr>
          <w:p w:rsidR="007710C6" w:rsidRDefault="007710C6" w:rsidP="00DD6306">
            <w:pPr>
              <w:pStyle w:val="BodyRuller"/>
              <w:rPr>
                <w:rFonts w:ascii="David" w:hAnsi="David"/>
                <w:rtl/>
              </w:rPr>
            </w:pPr>
          </w:p>
        </w:tc>
        <w:tc>
          <w:tcPr>
            <w:tcW w:w="5239" w:type="dxa"/>
          </w:tcPr>
          <w:p w:rsidR="007710C6" w:rsidRDefault="007710C6" w:rsidP="00DD6306">
            <w:pPr>
              <w:pStyle w:val="BodyRuller"/>
              <w:rPr>
                <w:rtl/>
              </w:rPr>
            </w:pPr>
            <w:r>
              <w:rPr>
                <w:rtl/>
              </w:rPr>
              <w:t>11. שיח שריד בע"מ</w:t>
            </w:r>
          </w:p>
        </w:tc>
      </w:tr>
      <w:tr w:rsidR="007710C6" w:rsidTr="00DD6306">
        <w:trPr>
          <w:trHeight w:val="287"/>
        </w:trPr>
        <w:tc>
          <w:tcPr>
            <w:tcW w:w="3261" w:type="dxa"/>
          </w:tcPr>
          <w:p w:rsidR="007710C6" w:rsidRDefault="007710C6" w:rsidP="00DD6306">
            <w:pPr>
              <w:pStyle w:val="BodyRuller"/>
              <w:rPr>
                <w:rFonts w:ascii="David" w:hAnsi="David"/>
                <w:rtl/>
              </w:rPr>
            </w:pPr>
          </w:p>
        </w:tc>
        <w:tc>
          <w:tcPr>
            <w:tcW w:w="5239" w:type="dxa"/>
          </w:tcPr>
          <w:p w:rsidR="007710C6" w:rsidRDefault="007710C6" w:rsidP="00DD6306">
            <w:pPr>
              <w:pStyle w:val="BodyRuller"/>
              <w:rPr>
                <w:rtl/>
              </w:rPr>
            </w:pPr>
            <w:r>
              <w:rPr>
                <w:rtl/>
              </w:rPr>
              <w:t xml:space="preserve">12. </w:t>
            </w:r>
            <w:proofErr w:type="spellStart"/>
            <w:r>
              <w:rPr>
                <w:rtl/>
              </w:rPr>
              <w:t>פארמוקן</w:t>
            </w:r>
            <w:proofErr w:type="spellEnd"/>
            <w:r>
              <w:rPr>
                <w:rtl/>
              </w:rPr>
              <w:t xml:space="preserve"> בע"מ</w:t>
            </w:r>
          </w:p>
        </w:tc>
      </w:tr>
    </w:tbl>
    <w:p w:rsidR="0083345F" w:rsidRDefault="0083345F">
      <w:pPr>
        <w:pStyle w:val="Ruller3"/>
        <w:rPr>
          <w:rtl/>
        </w:rPr>
      </w:pPr>
    </w:p>
    <w:tbl>
      <w:tblPr>
        <w:bidiVisual/>
        <w:tblW w:w="8364" w:type="dxa"/>
        <w:tblLayout w:type="fixed"/>
        <w:tblLook w:val="0000" w:firstRow="0" w:lastRow="0" w:firstColumn="0" w:lastColumn="0" w:noHBand="0" w:noVBand="0"/>
      </w:tblPr>
      <w:tblGrid>
        <w:gridCol w:w="3210"/>
        <w:gridCol w:w="5154"/>
      </w:tblGrid>
      <w:tr w:rsidR="00073919" w:rsidTr="00587C9A">
        <w:trPr>
          <w:trHeight w:val="287"/>
        </w:trPr>
        <w:tc>
          <w:tcPr>
            <w:tcW w:w="3261" w:type="dxa"/>
          </w:tcPr>
          <w:p w:rsidR="00073919" w:rsidRPr="00E75223" w:rsidRDefault="00073919" w:rsidP="00073919">
            <w:pPr>
              <w:pStyle w:val="BodyRuller"/>
              <w:rPr>
                <w:rFonts w:ascii="David" w:hAnsi="David"/>
              </w:rPr>
            </w:pPr>
            <w:r>
              <w:rPr>
                <w:rFonts w:ascii="David" w:hAnsi="David" w:hint="cs"/>
                <w:rtl/>
              </w:rPr>
              <w:t>המבקשות להצטרף כידידות בית המשפט</w:t>
            </w:r>
            <w:r>
              <w:rPr>
                <w:rFonts w:ascii="David" w:hAnsi="David"/>
                <w:rtl/>
              </w:rPr>
              <w:t>:</w:t>
            </w:r>
          </w:p>
        </w:tc>
        <w:tc>
          <w:tcPr>
            <w:tcW w:w="5239" w:type="dxa"/>
          </w:tcPr>
          <w:p w:rsidR="00073919" w:rsidRDefault="00073919" w:rsidP="00073919">
            <w:pPr>
              <w:pStyle w:val="BodyRuller"/>
              <w:rPr>
                <w:rtl/>
              </w:rPr>
            </w:pPr>
          </w:p>
          <w:p w:rsidR="00073919" w:rsidRDefault="00073919" w:rsidP="00073919">
            <w:pPr>
              <w:pStyle w:val="BodyRuller"/>
            </w:pPr>
            <w:r>
              <w:rPr>
                <w:rFonts w:hint="cs"/>
                <w:rtl/>
              </w:rPr>
              <w:t>1. ההסתדרות הרפואית בישראל</w:t>
            </w:r>
          </w:p>
        </w:tc>
      </w:tr>
      <w:tr w:rsidR="00073919" w:rsidTr="00587C9A">
        <w:trPr>
          <w:trHeight w:val="287"/>
        </w:trPr>
        <w:tc>
          <w:tcPr>
            <w:tcW w:w="3261" w:type="dxa"/>
          </w:tcPr>
          <w:p w:rsidR="00073919" w:rsidRDefault="00073919" w:rsidP="00587C9A">
            <w:pPr>
              <w:pStyle w:val="BodyRuller"/>
              <w:rPr>
                <w:rFonts w:ascii="David" w:hAnsi="David"/>
                <w:rtl/>
              </w:rPr>
            </w:pPr>
          </w:p>
        </w:tc>
        <w:tc>
          <w:tcPr>
            <w:tcW w:w="5239" w:type="dxa"/>
          </w:tcPr>
          <w:p w:rsidR="00073919" w:rsidRDefault="00073919" w:rsidP="00587C9A">
            <w:pPr>
              <w:pStyle w:val="BodyRuller"/>
              <w:rPr>
                <w:rtl/>
              </w:rPr>
            </w:pPr>
            <w:r>
              <w:rPr>
                <w:rFonts w:hint="cs"/>
                <w:rtl/>
              </w:rPr>
              <w:t>2. התאחדות התעשיינים בישראל</w:t>
            </w:r>
          </w:p>
        </w:tc>
      </w:tr>
    </w:tbl>
    <w:p w:rsidR="00073919" w:rsidRDefault="00073919">
      <w:pPr>
        <w:pStyle w:val="Ruller3"/>
      </w:pPr>
    </w:p>
    <w:tbl>
      <w:tblPr>
        <w:bidiVisual/>
        <w:tblW w:w="0" w:type="auto"/>
        <w:tblInd w:w="3209" w:type="dxa"/>
        <w:tblLook w:val="0000" w:firstRow="0" w:lastRow="0" w:firstColumn="0" w:lastColumn="0" w:noHBand="0" w:noVBand="0"/>
      </w:tblPr>
      <w:tblGrid>
        <w:gridCol w:w="5103"/>
      </w:tblGrid>
      <w:tr w:rsidR="00036227" w:rsidTr="00CA1444">
        <w:tc>
          <w:tcPr>
            <w:tcW w:w="5103" w:type="dxa"/>
          </w:tcPr>
          <w:p w:rsidR="00916FF8" w:rsidRPr="00265F6E" w:rsidRDefault="00073919">
            <w:pPr>
              <w:pStyle w:val="BodyRull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דיון בהתנגדות לצו-על-תנאי</w:t>
            </w:r>
          </w:p>
        </w:tc>
      </w:tr>
    </w:tbl>
    <w:p w:rsidR="00916FF8" w:rsidRDefault="00916FF8">
      <w:pPr>
        <w:pStyle w:val="Ruller3"/>
        <w:rPr>
          <w:rtl/>
        </w:rPr>
      </w:pPr>
    </w:p>
    <w:tbl>
      <w:tblPr>
        <w:bidiVisual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2"/>
        <w:gridCol w:w="5151"/>
      </w:tblGrid>
      <w:tr w:rsidR="00073919" w:rsidTr="00587C9A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073919" w:rsidRDefault="00073919" w:rsidP="00587C9A">
            <w:pPr>
              <w:pStyle w:val="BodyRuller"/>
            </w:pPr>
            <w:r>
              <w:rPr>
                <w:rtl/>
              </w:rPr>
              <w:t>בשם העותר</w:t>
            </w:r>
            <w:r>
              <w:rPr>
                <w:rFonts w:hint="cs"/>
                <w:rtl/>
              </w:rPr>
              <w:t>ת</w:t>
            </w:r>
            <w:r>
              <w:rPr>
                <w:rtl/>
              </w:rPr>
              <w:t>: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</w:tcPr>
          <w:p w:rsidR="00073919" w:rsidRDefault="00073919" w:rsidP="00587C9A">
            <w:pPr>
              <w:pStyle w:val="BodyRuller"/>
            </w:pPr>
            <w:r>
              <w:rPr>
                <w:rtl/>
              </w:rPr>
              <w:t>עו"ד יסמין מזרחי</w:t>
            </w:r>
            <w:r>
              <w:rPr>
                <w:rFonts w:hint="cs"/>
                <w:rtl/>
              </w:rPr>
              <w:t xml:space="preserve">; </w:t>
            </w:r>
            <w:r>
              <w:rPr>
                <w:rtl/>
              </w:rPr>
              <w:t xml:space="preserve">עו"ד מרים </w:t>
            </w:r>
            <w:proofErr w:type="spellStart"/>
            <w:r>
              <w:rPr>
                <w:rtl/>
              </w:rPr>
              <w:t>בריינין</w:t>
            </w:r>
            <w:proofErr w:type="spellEnd"/>
            <w:r>
              <w:rPr>
                <w:rtl/>
              </w:rPr>
              <w:t xml:space="preserve"> </w:t>
            </w:r>
          </w:p>
        </w:tc>
      </w:tr>
    </w:tbl>
    <w:p w:rsidR="00073919" w:rsidRPr="00EF4B2D" w:rsidRDefault="00073919" w:rsidP="00073919">
      <w:pPr>
        <w:pStyle w:val="Ruller3"/>
        <w:rPr>
          <w:sz w:val="6"/>
          <w:szCs w:val="12"/>
        </w:rPr>
      </w:pPr>
    </w:p>
    <w:tbl>
      <w:tblPr>
        <w:bidiVisual/>
        <w:tblW w:w="8363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3"/>
        <w:gridCol w:w="5150"/>
      </w:tblGrid>
      <w:tr w:rsidR="00073919" w:rsidTr="00587C9A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073919" w:rsidRDefault="00073919" w:rsidP="00587C9A">
            <w:pPr>
              <w:pStyle w:val="BodyRuller"/>
            </w:pPr>
            <w:r>
              <w:rPr>
                <w:rtl/>
              </w:rPr>
              <w:t>בשם המשיבים</w:t>
            </w:r>
            <w:r>
              <w:rPr>
                <w:rFonts w:hint="cs"/>
                <w:rtl/>
              </w:rPr>
              <w:t xml:space="preserve"> 2-1</w:t>
            </w:r>
            <w:r>
              <w:rPr>
                <w:rtl/>
              </w:rPr>
              <w:t>: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</w:tcPr>
          <w:p w:rsidR="00073919" w:rsidRDefault="00073919" w:rsidP="00587C9A">
            <w:pPr>
              <w:pStyle w:val="BodyRuller"/>
            </w:pPr>
            <w:r>
              <w:rPr>
                <w:rtl/>
              </w:rPr>
              <w:t xml:space="preserve">עו"ד רן רוזנברג </w:t>
            </w:r>
          </w:p>
        </w:tc>
      </w:tr>
      <w:tr w:rsidR="00073919" w:rsidTr="00587C9A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073919" w:rsidRDefault="00073919" w:rsidP="00587C9A">
            <w:pPr>
              <w:pStyle w:val="BodyRuller"/>
            </w:pPr>
            <w:r>
              <w:rPr>
                <w:rFonts w:hint="cs"/>
                <w:rtl/>
              </w:rPr>
              <w:t>בשם המשיבות 3, 10, 11 ו-12: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</w:tcPr>
          <w:p w:rsidR="00073919" w:rsidRDefault="00073919" w:rsidP="00587C9A">
            <w:pPr>
              <w:pStyle w:val="BodyRuller"/>
              <w:rPr>
                <w:rtl/>
              </w:rPr>
            </w:pPr>
          </w:p>
          <w:p w:rsidR="00073919" w:rsidRDefault="00073919" w:rsidP="00587C9A">
            <w:pPr>
              <w:pStyle w:val="BodyRuller"/>
              <w:rPr>
                <w:rtl/>
              </w:rPr>
            </w:pPr>
            <w:r>
              <w:rPr>
                <w:rtl/>
              </w:rPr>
              <w:t xml:space="preserve">עו"ד רועי </w:t>
            </w:r>
            <w:proofErr w:type="spellStart"/>
            <w:r>
              <w:rPr>
                <w:rtl/>
              </w:rPr>
              <w:t>בלכר</w:t>
            </w:r>
            <w:proofErr w:type="spellEnd"/>
            <w:r>
              <w:rPr>
                <w:rFonts w:hint="cs"/>
                <w:rtl/>
              </w:rPr>
              <w:t xml:space="preserve">; עו"ד </w:t>
            </w:r>
            <w:proofErr w:type="spellStart"/>
            <w:r>
              <w:rPr>
                <w:rFonts w:hint="cs"/>
                <w:rtl/>
              </w:rPr>
              <w:t>מוהנד</w:t>
            </w:r>
            <w:proofErr w:type="spellEnd"/>
            <w:r>
              <w:rPr>
                <w:rFonts w:hint="cs"/>
                <w:rtl/>
              </w:rPr>
              <w:t xml:space="preserve"> נאסר; עו"ד עדי עמיתי</w:t>
            </w:r>
          </w:p>
        </w:tc>
      </w:tr>
      <w:tr w:rsidR="00073919" w:rsidTr="00587C9A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073919" w:rsidRDefault="00073919" w:rsidP="00587C9A">
            <w:pPr>
              <w:pStyle w:val="BodyRuller"/>
            </w:pPr>
            <w:r>
              <w:rPr>
                <w:rFonts w:hint="cs"/>
                <w:rtl/>
              </w:rPr>
              <w:t>בשם המשיבה 4: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</w:tcPr>
          <w:p w:rsidR="00073919" w:rsidRDefault="00073919" w:rsidP="00587C9A">
            <w:pPr>
              <w:pStyle w:val="BodyRuller"/>
              <w:rPr>
                <w:rtl/>
              </w:rPr>
            </w:pPr>
            <w:r>
              <w:rPr>
                <w:rtl/>
              </w:rPr>
              <w:t>עו"ד עופר שפירא</w:t>
            </w:r>
            <w:r>
              <w:rPr>
                <w:rFonts w:hint="cs"/>
                <w:rtl/>
              </w:rPr>
              <w:t xml:space="preserve">; עו"ד טל </w:t>
            </w:r>
            <w:proofErr w:type="spellStart"/>
            <w:r>
              <w:rPr>
                <w:rFonts w:hint="cs"/>
                <w:rtl/>
              </w:rPr>
              <w:t>פרג'ון</w:t>
            </w:r>
            <w:proofErr w:type="spellEnd"/>
            <w:r>
              <w:rPr>
                <w:rtl/>
              </w:rPr>
              <w:t xml:space="preserve"> </w:t>
            </w:r>
          </w:p>
        </w:tc>
      </w:tr>
      <w:tr w:rsidR="00073919" w:rsidTr="00587C9A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073919" w:rsidRDefault="00073919" w:rsidP="00587C9A">
            <w:pPr>
              <w:pStyle w:val="BodyRuller"/>
            </w:pPr>
            <w:r>
              <w:rPr>
                <w:rFonts w:hint="cs"/>
                <w:rtl/>
              </w:rPr>
              <w:t>בשם המשיבה 5: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</w:tcPr>
          <w:p w:rsidR="00073919" w:rsidRDefault="00073919" w:rsidP="00587C9A">
            <w:pPr>
              <w:pStyle w:val="BodyRuller"/>
              <w:rPr>
                <w:rtl/>
              </w:rPr>
            </w:pPr>
            <w:r>
              <w:rPr>
                <w:rtl/>
              </w:rPr>
              <w:t xml:space="preserve">עו"ד איל </w:t>
            </w:r>
            <w:proofErr w:type="spellStart"/>
            <w:r>
              <w:rPr>
                <w:rtl/>
              </w:rPr>
              <w:t>פלום</w:t>
            </w:r>
            <w:proofErr w:type="spellEnd"/>
          </w:p>
        </w:tc>
      </w:tr>
      <w:tr w:rsidR="00073919" w:rsidTr="00587C9A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073919" w:rsidRDefault="00073919" w:rsidP="00587C9A">
            <w:pPr>
              <w:pStyle w:val="BodyRuller"/>
            </w:pPr>
            <w:r>
              <w:rPr>
                <w:rFonts w:hint="cs"/>
                <w:rtl/>
              </w:rPr>
              <w:t>בשם המשיבה 6: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</w:tcPr>
          <w:p w:rsidR="00073919" w:rsidRDefault="00073919" w:rsidP="00587C9A">
            <w:pPr>
              <w:pStyle w:val="BodyRuller"/>
              <w:rPr>
                <w:rtl/>
              </w:rPr>
            </w:pPr>
            <w:r>
              <w:rPr>
                <w:rtl/>
              </w:rPr>
              <w:t>עו"ד רועי פדל</w:t>
            </w:r>
          </w:p>
        </w:tc>
      </w:tr>
      <w:tr w:rsidR="00073919" w:rsidTr="00587C9A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073919" w:rsidRDefault="00073919" w:rsidP="00587C9A">
            <w:pPr>
              <w:pStyle w:val="BodyRuller"/>
            </w:pPr>
            <w:r>
              <w:rPr>
                <w:rFonts w:hint="cs"/>
                <w:rtl/>
              </w:rPr>
              <w:t>בשם המשיב 7: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</w:tcPr>
          <w:p w:rsidR="00073919" w:rsidRDefault="00073919" w:rsidP="00587C9A">
            <w:pPr>
              <w:pStyle w:val="BodyRuller"/>
              <w:rPr>
                <w:rtl/>
              </w:rPr>
            </w:pPr>
            <w:r>
              <w:rPr>
                <w:rtl/>
              </w:rPr>
              <w:t>עו"ד זוהר יהלום</w:t>
            </w:r>
          </w:p>
        </w:tc>
      </w:tr>
      <w:tr w:rsidR="00073919" w:rsidTr="00587C9A"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</w:tcPr>
          <w:p w:rsidR="00073919" w:rsidRDefault="00073919" w:rsidP="00587C9A">
            <w:pPr>
              <w:pStyle w:val="BodyRuller"/>
              <w:rPr>
                <w:rtl/>
              </w:rPr>
            </w:pPr>
            <w:r>
              <w:rPr>
                <w:rFonts w:hint="cs"/>
                <w:rtl/>
              </w:rPr>
              <w:t>בשם המשיבה 8: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</w:tcPr>
          <w:p w:rsidR="00073919" w:rsidRDefault="00073919" w:rsidP="00587C9A">
            <w:pPr>
              <w:pStyle w:val="BodyRuller"/>
              <w:rPr>
                <w:rtl/>
              </w:rPr>
            </w:pPr>
            <w:r>
              <w:rPr>
                <w:rFonts w:hint="cs"/>
                <w:rtl/>
              </w:rPr>
              <w:t>עו"ד רונן ברק</w:t>
            </w:r>
          </w:p>
        </w:tc>
      </w:tr>
    </w:tbl>
    <w:p w:rsidR="00073919" w:rsidRDefault="00073919" w:rsidP="00073919">
      <w:pPr>
        <w:tabs>
          <w:tab w:val="left" w:pos="2552"/>
        </w:tabs>
        <w:rPr>
          <w:sz w:val="4"/>
          <w:szCs w:val="8"/>
          <w:rtl/>
        </w:rPr>
      </w:pPr>
    </w:p>
    <w:tbl>
      <w:tblPr>
        <w:bidiVisual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2"/>
        <w:gridCol w:w="5151"/>
      </w:tblGrid>
      <w:tr w:rsidR="00073919" w:rsidTr="00587C9A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073919" w:rsidRDefault="00073919" w:rsidP="00073919">
            <w:pPr>
              <w:pStyle w:val="BodyRuller"/>
            </w:pPr>
            <w:r>
              <w:rPr>
                <w:rtl/>
              </w:rPr>
              <w:t>בשם ה</w:t>
            </w:r>
            <w:r>
              <w:rPr>
                <w:rFonts w:hint="cs"/>
                <w:rtl/>
              </w:rPr>
              <w:t>מבקשת להצטרף 1</w:t>
            </w:r>
            <w:r>
              <w:rPr>
                <w:rtl/>
              </w:rPr>
              <w:t>: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</w:tcPr>
          <w:p w:rsidR="00073919" w:rsidRDefault="00073919" w:rsidP="00073919">
            <w:pPr>
              <w:pStyle w:val="BodyRuller"/>
            </w:pPr>
            <w:r w:rsidRPr="00AA53F6">
              <w:rPr>
                <w:rFonts w:hint="cs"/>
                <w:rtl/>
              </w:rPr>
              <w:t>עו"ד</w:t>
            </w:r>
            <w:r>
              <w:rPr>
                <w:rFonts w:hint="cs"/>
                <w:rtl/>
              </w:rPr>
              <w:t xml:space="preserve"> דן לרגמן; עו"ד אלרן שפירא בר-אור</w:t>
            </w:r>
          </w:p>
        </w:tc>
      </w:tr>
      <w:tr w:rsidR="00073919" w:rsidTr="00587C9A"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</w:tcPr>
          <w:p w:rsidR="00073919" w:rsidRDefault="00073919" w:rsidP="00073919">
            <w:pPr>
              <w:pStyle w:val="BodyRuller"/>
              <w:rPr>
                <w:rtl/>
              </w:rPr>
            </w:pPr>
            <w:r>
              <w:rPr>
                <w:rtl/>
              </w:rPr>
              <w:t>בשם ה</w:t>
            </w:r>
            <w:r>
              <w:rPr>
                <w:rFonts w:hint="cs"/>
                <w:rtl/>
              </w:rPr>
              <w:t>מבקשת להצטרף 2</w:t>
            </w:r>
            <w:r>
              <w:rPr>
                <w:rtl/>
              </w:rPr>
              <w:t>:</w:t>
            </w:r>
          </w:p>
        </w:tc>
        <w:tc>
          <w:tcPr>
            <w:tcW w:w="5151" w:type="dxa"/>
            <w:tcBorders>
              <w:top w:val="nil"/>
              <w:left w:val="nil"/>
              <w:bottom w:val="nil"/>
              <w:right w:val="nil"/>
            </w:tcBorders>
          </w:tcPr>
          <w:p w:rsidR="00073919" w:rsidRDefault="00073919" w:rsidP="00587C9A">
            <w:pPr>
              <w:pStyle w:val="BodyRuller"/>
              <w:rPr>
                <w:rtl/>
              </w:rPr>
            </w:pPr>
            <w:r w:rsidRPr="00AA53F6">
              <w:rPr>
                <w:rFonts w:hint="cs"/>
                <w:rtl/>
              </w:rPr>
              <w:t xml:space="preserve">עו"ד </w:t>
            </w:r>
            <w:r>
              <w:rPr>
                <w:rFonts w:hint="cs"/>
                <w:rtl/>
              </w:rPr>
              <w:t xml:space="preserve">עמוס בנצור; עו"ד לימור </w:t>
            </w:r>
            <w:proofErr w:type="spellStart"/>
            <w:r>
              <w:rPr>
                <w:rFonts w:hint="cs"/>
                <w:rtl/>
              </w:rPr>
              <w:t>טרסי</w:t>
            </w:r>
            <w:proofErr w:type="spellEnd"/>
            <w:r>
              <w:rPr>
                <w:rFonts w:hint="cs"/>
                <w:rtl/>
              </w:rPr>
              <w:t>-חן</w:t>
            </w:r>
          </w:p>
        </w:tc>
      </w:tr>
    </w:tbl>
    <w:p w:rsidR="00916FF8" w:rsidRDefault="00916FF8">
      <w:pPr>
        <w:tabs>
          <w:tab w:val="left" w:pos="2552"/>
        </w:tabs>
        <w:rPr>
          <w:rtl/>
        </w:rPr>
      </w:pPr>
    </w:p>
    <w:tbl>
      <w:tblPr>
        <w:bidiVisual/>
        <w:tblW w:w="8363" w:type="dxa"/>
        <w:tblLook w:val="0000" w:firstRow="0" w:lastRow="0" w:firstColumn="0" w:lastColumn="0" w:noHBand="0" w:noVBand="0"/>
      </w:tblPr>
      <w:tblGrid>
        <w:gridCol w:w="8363"/>
      </w:tblGrid>
      <w:tr w:rsidR="00036227" w:rsidTr="00D26814">
        <w:tc>
          <w:tcPr>
            <w:tcW w:w="8363" w:type="dxa"/>
          </w:tcPr>
          <w:p w:rsidR="00916FF8" w:rsidRDefault="007710C6">
            <w:pPr>
              <w:pStyle w:val="DocumentHead"/>
            </w:pPr>
            <w:bookmarkStart w:id="1" w:name="secretary"/>
            <w:bookmarkStart w:id="2" w:name="BeginProtocol"/>
            <w:bookmarkEnd w:id="1"/>
            <w:bookmarkEnd w:id="2"/>
            <w:r>
              <w:rPr>
                <w:rtl/>
              </w:rPr>
              <w:lastRenderedPageBreak/>
              <w:t>החלטה</w:t>
            </w:r>
          </w:p>
        </w:tc>
      </w:tr>
    </w:tbl>
    <w:p w:rsidR="0065522F" w:rsidRPr="00D26814" w:rsidRDefault="0065522F">
      <w:pPr>
        <w:pStyle w:val="BODYVERDICT"/>
        <w:rPr>
          <w:sz w:val="14"/>
          <w:szCs w:val="20"/>
        </w:rPr>
      </w:pPr>
    </w:p>
    <w:p w:rsidR="00916FF8" w:rsidRPr="00503A3E" w:rsidRDefault="007710C6">
      <w:pPr>
        <w:pStyle w:val="BODYVERDICT"/>
        <w:rPr>
          <w:rFonts w:cs="Miriam"/>
          <w:sz w:val="24"/>
          <w:szCs w:val="24"/>
          <w:u w:val="single"/>
          <w:rtl/>
        </w:rPr>
      </w:pPr>
      <w:bookmarkStart w:id="3" w:name="Writer_Name"/>
      <w:bookmarkEnd w:id="3"/>
      <w:r>
        <w:rPr>
          <w:rFonts w:cs="Miriam"/>
          <w:sz w:val="24"/>
          <w:szCs w:val="24"/>
          <w:u w:val="single"/>
          <w:rtl/>
        </w:rPr>
        <w:t>המשנה לנשיאה ח' מלצר:</w:t>
      </w:r>
    </w:p>
    <w:p w:rsidR="000B1478" w:rsidRPr="00D26814" w:rsidRDefault="000B1478" w:rsidP="00073919">
      <w:pPr>
        <w:pStyle w:val="Ruller4"/>
        <w:rPr>
          <w:rFonts w:ascii="Century" w:hAnsi="Century"/>
          <w:sz w:val="16"/>
          <w:szCs w:val="22"/>
          <w:rtl/>
        </w:rPr>
      </w:pPr>
      <w:bookmarkStart w:id="4" w:name="Start_Write"/>
      <w:bookmarkEnd w:id="4"/>
    </w:p>
    <w:p w:rsidR="00652789" w:rsidRDefault="00073919" w:rsidP="006A01D9">
      <w:pPr>
        <w:pStyle w:val="Ruller4"/>
        <w:numPr>
          <w:ilvl w:val="0"/>
          <w:numId w:val="12"/>
        </w:numPr>
        <w:rPr>
          <w:rFonts w:ascii="Century" w:hAnsi="Century"/>
        </w:rPr>
      </w:pPr>
      <w:r w:rsidRPr="006A01D9">
        <w:rPr>
          <w:rFonts w:ascii="Century" w:hAnsi="Century" w:hint="cs"/>
          <w:rtl/>
        </w:rPr>
        <w:t xml:space="preserve">בתאריך 04.03.2020 </w:t>
      </w:r>
      <w:r w:rsidR="009E1709" w:rsidRPr="006A01D9">
        <w:rPr>
          <w:rFonts w:ascii="Century" w:hAnsi="Century" w:hint="cs"/>
          <w:rtl/>
        </w:rPr>
        <w:t xml:space="preserve">נערך בפנינו דיון בהתנגדות לצו-על-תנאי </w:t>
      </w:r>
      <w:r w:rsidR="00682942" w:rsidRPr="006A01D9">
        <w:rPr>
          <w:rFonts w:ascii="Century" w:hAnsi="Century" w:hint="cs"/>
          <w:rtl/>
        </w:rPr>
        <w:t>וכן ב</w:t>
      </w:r>
      <w:r w:rsidRPr="006A01D9">
        <w:rPr>
          <w:rFonts w:ascii="Century" w:hAnsi="Century" w:hint="cs"/>
          <w:rtl/>
        </w:rPr>
        <w:t>צו הביניים</w:t>
      </w:r>
      <w:r w:rsidR="00682942" w:rsidRPr="006A01D9">
        <w:rPr>
          <w:rFonts w:ascii="Century" w:hAnsi="Century" w:hint="cs"/>
          <w:rtl/>
        </w:rPr>
        <w:t xml:space="preserve"> שהוצאו בעתירה. </w:t>
      </w:r>
    </w:p>
    <w:p w:rsidR="00652789" w:rsidRDefault="00652789" w:rsidP="00652789">
      <w:pPr>
        <w:pStyle w:val="Ruller4"/>
        <w:rPr>
          <w:rFonts w:ascii="Century" w:hAnsi="Century"/>
          <w:rtl/>
        </w:rPr>
      </w:pPr>
    </w:p>
    <w:p w:rsidR="006A01D9" w:rsidRPr="006A01D9" w:rsidRDefault="00682942" w:rsidP="00013FF9">
      <w:pPr>
        <w:pStyle w:val="Ruller4"/>
        <w:numPr>
          <w:ilvl w:val="0"/>
          <w:numId w:val="12"/>
        </w:numPr>
        <w:rPr>
          <w:rFonts w:ascii="Century" w:hAnsi="Century"/>
        </w:rPr>
      </w:pPr>
      <w:r w:rsidRPr="006A01D9">
        <w:rPr>
          <w:rFonts w:ascii="Century" w:hAnsi="Century" w:hint="cs"/>
          <w:rtl/>
        </w:rPr>
        <w:t xml:space="preserve">לאחר שמיעת טיעוני באי-כוח הצדדים </w:t>
      </w:r>
      <w:r w:rsidR="009E1709" w:rsidRPr="006A01D9">
        <w:rPr>
          <w:rFonts w:ascii="Century" w:hAnsi="Century" w:hint="cs"/>
          <w:rtl/>
        </w:rPr>
        <w:t>הגענו לכלל מסקנה כי לנוכח התארכות ההליכים המתנהלים בפני ועדת המחירים הבין משרדית המשותפת למשרדי האוצר והבריאות</w:t>
      </w:r>
      <w:r w:rsidR="006A01D9" w:rsidRPr="006A01D9">
        <w:rPr>
          <w:rFonts w:ascii="Century" w:hAnsi="Century" w:hint="cs"/>
          <w:rtl/>
        </w:rPr>
        <w:t xml:space="preserve"> הפועלת מכוח </w:t>
      </w:r>
      <w:r w:rsidR="006A01D9" w:rsidRPr="006A01D9">
        <w:rPr>
          <w:rFonts w:ascii="Century" w:hAnsi="Century" w:cs="Miriam"/>
          <w:b/>
          <w:spacing w:val="0"/>
          <w:szCs w:val="24"/>
          <w:rtl/>
        </w:rPr>
        <w:t xml:space="preserve">חוק </w:t>
      </w:r>
      <w:r w:rsidR="006A01D9">
        <w:rPr>
          <w:rFonts w:ascii="Century" w:hAnsi="Century" w:cs="Miriam" w:hint="cs"/>
          <w:b/>
          <w:spacing w:val="0"/>
          <w:szCs w:val="24"/>
          <w:rtl/>
        </w:rPr>
        <w:t>ה</w:t>
      </w:r>
      <w:r w:rsidR="006A01D9" w:rsidRPr="006A01D9">
        <w:rPr>
          <w:rFonts w:ascii="Century" w:hAnsi="Century" w:cs="Miriam"/>
          <w:b/>
          <w:spacing w:val="0"/>
          <w:szCs w:val="24"/>
          <w:rtl/>
        </w:rPr>
        <w:t xml:space="preserve">פיקוח על מחירי מצרכים ושירותים, </w:t>
      </w:r>
      <w:r w:rsidR="006A01D9">
        <w:rPr>
          <w:rFonts w:ascii="Century" w:hAnsi="Century" w:cs="Miriam" w:hint="cs"/>
          <w:b/>
          <w:spacing w:val="0"/>
          <w:szCs w:val="24"/>
          <w:rtl/>
        </w:rPr>
        <w:t>ה</w:t>
      </w:r>
      <w:r w:rsidR="006A01D9" w:rsidRPr="006A01D9">
        <w:rPr>
          <w:rFonts w:ascii="Century" w:hAnsi="Century" w:cs="Miriam"/>
          <w:b/>
          <w:spacing w:val="0"/>
          <w:szCs w:val="24"/>
          <w:rtl/>
        </w:rPr>
        <w:t>תשנ"ו</w:t>
      </w:r>
      <w:r w:rsidR="006A01D9" w:rsidRPr="006A01D9">
        <w:rPr>
          <w:rFonts w:ascii="Century" w:hAnsi="Century" w:cs="Miriam" w:hint="cs"/>
          <w:b/>
          <w:spacing w:val="0"/>
          <w:szCs w:val="24"/>
          <w:rtl/>
        </w:rPr>
        <w:t>-</w:t>
      </w:r>
      <w:r w:rsidR="006A01D9" w:rsidRPr="006A01D9">
        <w:rPr>
          <w:rFonts w:ascii="Century" w:hAnsi="Century" w:cs="Miriam"/>
          <w:b/>
          <w:spacing w:val="0"/>
          <w:szCs w:val="24"/>
          <w:rtl/>
        </w:rPr>
        <w:t>1996</w:t>
      </w:r>
      <w:r w:rsidR="006A01D9">
        <w:rPr>
          <w:rFonts w:ascii="Century" w:hAnsi="Century" w:hint="cs"/>
          <w:rtl/>
        </w:rPr>
        <w:t xml:space="preserve"> </w:t>
      </w:r>
      <w:r w:rsidR="009E1709" w:rsidRPr="006A01D9">
        <w:rPr>
          <w:rFonts w:ascii="Century" w:hAnsi="Century" w:hint="cs"/>
          <w:rtl/>
        </w:rPr>
        <w:t xml:space="preserve">(להלן: </w:t>
      </w:r>
      <w:r w:rsidR="009E1709" w:rsidRPr="006A01D9">
        <w:rPr>
          <w:rFonts w:ascii="Century" w:hAnsi="Century" w:cs="Miriam" w:hint="cs"/>
          <w:b/>
          <w:spacing w:val="0"/>
          <w:szCs w:val="24"/>
          <w:rtl/>
        </w:rPr>
        <w:t>ועדת המחירים</w:t>
      </w:r>
      <w:r w:rsidR="009E1709" w:rsidRPr="006A01D9">
        <w:rPr>
          <w:rFonts w:ascii="Century" w:hAnsi="Century" w:hint="cs"/>
          <w:rtl/>
        </w:rPr>
        <w:t>)</w:t>
      </w:r>
      <w:r w:rsidR="009E3762">
        <w:rPr>
          <w:rFonts w:ascii="Century" w:hAnsi="Century" w:hint="cs"/>
          <w:rtl/>
        </w:rPr>
        <w:t>,</w:t>
      </w:r>
      <w:r w:rsidR="009E1709" w:rsidRPr="006A01D9">
        <w:rPr>
          <w:rFonts w:ascii="Century" w:hAnsi="Century" w:hint="cs"/>
          <w:rtl/>
        </w:rPr>
        <w:t xml:space="preserve"> </w:t>
      </w:r>
      <w:r w:rsidR="00013FF9">
        <w:rPr>
          <w:rFonts w:ascii="Century" w:hAnsi="Century" w:hint="cs"/>
          <w:rtl/>
        </w:rPr>
        <w:t xml:space="preserve">אשר </w:t>
      </w:r>
      <w:r w:rsidR="006A01D9">
        <w:rPr>
          <w:rFonts w:ascii="Century" w:hAnsi="Century" w:hint="cs"/>
          <w:rtl/>
        </w:rPr>
        <w:t xml:space="preserve">דנה בנושאים הכרוכים </w:t>
      </w:r>
      <w:r w:rsidR="00013FF9">
        <w:rPr>
          <w:rFonts w:ascii="Century" w:hAnsi="Century" w:hint="cs"/>
          <w:rtl/>
        </w:rPr>
        <w:t>ב</w:t>
      </w:r>
      <w:r w:rsidR="006A01D9">
        <w:rPr>
          <w:rFonts w:ascii="Century" w:hAnsi="Century" w:hint="cs"/>
          <w:rtl/>
        </w:rPr>
        <w:t>עתירה</w:t>
      </w:r>
      <w:r w:rsidR="00013FF9">
        <w:rPr>
          <w:rFonts w:ascii="Century" w:hAnsi="Century" w:hint="cs"/>
          <w:rtl/>
        </w:rPr>
        <w:t xml:space="preserve"> ובצווים שהוצאו במסגרתה</w:t>
      </w:r>
      <w:r w:rsidR="00652789">
        <w:rPr>
          <w:rFonts w:ascii="Century" w:hAnsi="Century" w:hint="cs"/>
          <w:rtl/>
        </w:rPr>
        <w:t xml:space="preserve"> </w:t>
      </w:r>
      <w:r w:rsidR="00652789">
        <w:rPr>
          <w:rFonts w:ascii="Century" w:hAnsi="Century"/>
          <w:rtl/>
        </w:rPr>
        <w:t>–</w:t>
      </w:r>
      <w:r w:rsidR="00652789">
        <w:rPr>
          <w:rFonts w:ascii="Century" w:hAnsi="Century" w:hint="cs"/>
          <w:rtl/>
        </w:rPr>
        <w:t xml:space="preserve"> </w:t>
      </w:r>
      <w:r w:rsidRPr="006A01D9">
        <w:rPr>
          <w:rFonts w:ascii="Century" w:hAnsi="Century" w:hint="cs"/>
          <w:rtl/>
        </w:rPr>
        <w:t>יש להאריך, לעת הזו, את תוקפו של</w:t>
      </w:r>
      <w:r w:rsidR="00BC2526">
        <w:rPr>
          <w:rFonts w:ascii="Century" w:hAnsi="Century" w:hint="cs"/>
          <w:rtl/>
        </w:rPr>
        <w:t xml:space="preserve"> צו הביניים</w:t>
      </w:r>
      <w:r w:rsidR="009E3762">
        <w:rPr>
          <w:rFonts w:ascii="Century" w:hAnsi="Century" w:hint="cs"/>
          <w:rtl/>
        </w:rPr>
        <w:t>,</w:t>
      </w:r>
      <w:r w:rsidR="00BC2526">
        <w:rPr>
          <w:rFonts w:ascii="Century" w:hAnsi="Century" w:hint="cs"/>
          <w:rtl/>
        </w:rPr>
        <w:t xml:space="preserve"> כך ש</w:t>
      </w:r>
      <w:r w:rsidR="0020004B" w:rsidRPr="006A01D9">
        <w:rPr>
          <w:rFonts w:ascii="Century" w:hAnsi="Century" w:hint="cs"/>
          <w:rtl/>
        </w:rPr>
        <w:t>רישיונות</w:t>
      </w:r>
      <w:r w:rsidR="00BC2526">
        <w:rPr>
          <w:rFonts w:ascii="Century" w:hAnsi="Century" w:hint="cs"/>
          <w:rtl/>
        </w:rPr>
        <w:t xml:space="preserve"> השימוש בקנביס</w:t>
      </w:r>
      <w:r w:rsidR="00013FF9">
        <w:rPr>
          <w:rFonts w:ascii="Century" w:hAnsi="Century" w:hint="cs"/>
          <w:rtl/>
        </w:rPr>
        <w:t xml:space="preserve"> הרפואי</w:t>
      </w:r>
      <w:r w:rsidR="009E3762">
        <w:rPr>
          <w:rFonts w:ascii="Century" w:hAnsi="Century" w:hint="cs"/>
          <w:rtl/>
        </w:rPr>
        <w:t>,</w:t>
      </w:r>
      <w:r w:rsidR="0020004B" w:rsidRPr="006A01D9">
        <w:rPr>
          <w:rFonts w:ascii="Century" w:hAnsi="Century" w:hint="cs"/>
          <w:rtl/>
        </w:rPr>
        <w:t xml:space="preserve"> שתוקפם</w:t>
      </w:r>
      <w:r w:rsidR="00013FF9">
        <w:rPr>
          <w:rFonts w:ascii="Century" w:hAnsi="Century" w:hint="cs"/>
          <w:rtl/>
        </w:rPr>
        <w:t xml:space="preserve"> הוארך במסגרת צו הביניים</w:t>
      </w:r>
      <w:r w:rsidRPr="006A01D9">
        <w:rPr>
          <w:rFonts w:ascii="Century" w:hAnsi="Century" w:hint="cs"/>
          <w:rtl/>
        </w:rPr>
        <w:t xml:space="preserve"> יוסיפו לעמוד בתוקפם עד לתאריך 15.05.2020</w:t>
      </w:r>
      <w:r w:rsidR="00073919" w:rsidRPr="006A01D9">
        <w:rPr>
          <w:rFonts w:ascii="Century" w:hAnsi="Century" w:hint="cs"/>
          <w:rtl/>
        </w:rPr>
        <w:t>, או עד עשרה ימים לאחר החלט</w:t>
      </w:r>
      <w:r w:rsidRPr="006A01D9">
        <w:rPr>
          <w:rFonts w:ascii="Century" w:hAnsi="Century" w:hint="cs"/>
          <w:rtl/>
        </w:rPr>
        <w:t>ת</w:t>
      </w:r>
      <w:r w:rsidR="00073919" w:rsidRPr="006A01D9">
        <w:rPr>
          <w:rFonts w:ascii="Century" w:hAnsi="Century" w:hint="cs"/>
          <w:rtl/>
        </w:rPr>
        <w:t xml:space="preserve"> </w:t>
      </w:r>
      <w:r w:rsidR="00073919" w:rsidRPr="006A01D9">
        <w:rPr>
          <w:rFonts w:ascii="Century" w:hAnsi="Century" w:cs="Miriam" w:hint="cs"/>
          <w:b/>
          <w:spacing w:val="0"/>
          <w:szCs w:val="24"/>
          <w:rtl/>
        </w:rPr>
        <w:t>ועדת המחירים</w:t>
      </w:r>
      <w:r w:rsidR="00073919" w:rsidRPr="006A01D9">
        <w:rPr>
          <w:rFonts w:ascii="Century" w:hAnsi="Century" w:hint="cs"/>
          <w:b/>
          <w:bCs/>
          <w:rtl/>
        </w:rPr>
        <w:t xml:space="preserve"> </w:t>
      </w:r>
      <w:r w:rsidR="00073919" w:rsidRPr="006A01D9">
        <w:rPr>
          <w:rFonts w:ascii="Century" w:hAnsi="Century" w:hint="cs"/>
          <w:rtl/>
        </w:rPr>
        <w:t xml:space="preserve">בנושא שהועמד בפניה, לפי המוקדם </w:t>
      </w:r>
      <w:proofErr w:type="spellStart"/>
      <w:r w:rsidR="00073919" w:rsidRPr="006A01D9">
        <w:rPr>
          <w:rFonts w:ascii="Century" w:hAnsi="Century" w:hint="cs"/>
          <w:rtl/>
        </w:rPr>
        <w:t>מביניהם</w:t>
      </w:r>
      <w:proofErr w:type="spellEnd"/>
      <w:r w:rsidR="00073919" w:rsidRPr="006A01D9">
        <w:rPr>
          <w:rFonts w:ascii="Century" w:hAnsi="Century" w:hint="cs"/>
          <w:rtl/>
        </w:rPr>
        <w:t>, או עד להחלטה אחרת</w:t>
      </w:r>
      <w:r w:rsidR="009E3762">
        <w:rPr>
          <w:rFonts w:ascii="Century" w:hAnsi="Century" w:hint="cs"/>
          <w:rtl/>
        </w:rPr>
        <w:t xml:space="preserve"> של בית משפט זה</w:t>
      </w:r>
      <w:r w:rsidRPr="006A01D9">
        <w:rPr>
          <w:rFonts w:ascii="Century" w:hAnsi="Century" w:hint="cs"/>
          <w:rtl/>
        </w:rPr>
        <w:t>.</w:t>
      </w:r>
      <w:r w:rsidR="006A01D9">
        <w:rPr>
          <w:rFonts w:ascii="Century" w:hAnsi="Century" w:hint="cs"/>
          <w:rtl/>
        </w:rPr>
        <w:t xml:space="preserve"> אספקת הקנביס במהלך תקופה זו </w:t>
      </w:r>
      <w:r w:rsidR="00013FF9">
        <w:rPr>
          <w:rFonts w:ascii="Century" w:hAnsi="Century" w:hint="cs"/>
          <w:rtl/>
        </w:rPr>
        <w:t>לבעלי רישיונות השימוש בקנביס מההסדרה הישנה</w:t>
      </w:r>
      <w:r w:rsidR="009E3762">
        <w:rPr>
          <w:rFonts w:ascii="Century" w:hAnsi="Century" w:hint="cs"/>
          <w:rtl/>
        </w:rPr>
        <w:t xml:space="preserve"> (להלן: </w:t>
      </w:r>
      <w:r w:rsidR="009E3762" w:rsidRPr="009E3762">
        <w:rPr>
          <w:rFonts w:ascii="Century" w:hAnsi="Century" w:cs="Miriam" w:hint="cs"/>
          <w:b/>
          <w:spacing w:val="0"/>
          <w:szCs w:val="24"/>
          <w:rtl/>
        </w:rPr>
        <w:t>מחזיקי רישיונות השימוש</w:t>
      </w:r>
      <w:r w:rsidR="009E3762">
        <w:rPr>
          <w:rFonts w:ascii="Century" w:hAnsi="Century" w:hint="cs"/>
          <w:rtl/>
        </w:rPr>
        <w:t>)</w:t>
      </w:r>
      <w:r w:rsidR="00013FF9">
        <w:rPr>
          <w:rFonts w:ascii="Century" w:hAnsi="Century" w:hint="cs"/>
          <w:rtl/>
        </w:rPr>
        <w:t xml:space="preserve"> </w:t>
      </w:r>
      <w:r w:rsidR="00013FF9">
        <w:rPr>
          <w:rFonts w:ascii="Century" w:hAnsi="Century"/>
          <w:rtl/>
        </w:rPr>
        <w:t>–</w:t>
      </w:r>
      <w:r w:rsidR="00013FF9">
        <w:rPr>
          <w:rFonts w:ascii="Century" w:hAnsi="Century" w:hint="cs"/>
          <w:rtl/>
        </w:rPr>
        <w:t xml:space="preserve"> </w:t>
      </w:r>
      <w:r w:rsidR="006A01D9">
        <w:rPr>
          <w:rFonts w:ascii="Century" w:hAnsi="Century" w:hint="cs"/>
          <w:rtl/>
        </w:rPr>
        <w:t>תיעשה בתנאים ובמחירים שהיו נהוגים במסגרת ההסדרה הישנה, כמובהר בהחלט</w:t>
      </w:r>
      <w:r w:rsidR="00652789">
        <w:rPr>
          <w:rFonts w:ascii="Century" w:hAnsi="Century" w:hint="cs"/>
          <w:rtl/>
        </w:rPr>
        <w:t>ת ההרכב</w:t>
      </w:r>
      <w:r w:rsidR="006A01D9">
        <w:rPr>
          <w:rFonts w:ascii="Century" w:hAnsi="Century" w:hint="cs"/>
          <w:rtl/>
        </w:rPr>
        <w:t xml:space="preserve"> מתאריך 05.12.2019.</w:t>
      </w:r>
    </w:p>
    <w:p w:rsidR="00682942" w:rsidRPr="00D26814" w:rsidRDefault="00682942" w:rsidP="00682942">
      <w:pPr>
        <w:pStyle w:val="Ruller4"/>
        <w:rPr>
          <w:rFonts w:ascii="Century" w:hAnsi="Century"/>
          <w:sz w:val="12"/>
          <w:szCs w:val="18"/>
        </w:rPr>
      </w:pPr>
    </w:p>
    <w:p w:rsidR="006D46C0" w:rsidRDefault="0052215A" w:rsidP="00C45C11">
      <w:pPr>
        <w:pStyle w:val="Ruller4"/>
        <w:numPr>
          <w:ilvl w:val="0"/>
          <w:numId w:val="12"/>
        </w:numPr>
        <w:rPr>
          <w:rFonts w:ascii="Century" w:hAnsi="Century"/>
        </w:rPr>
      </w:pPr>
      <w:r>
        <w:rPr>
          <w:rFonts w:ascii="Century" w:hAnsi="Century" w:hint="cs"/>
          <w:rtl/>
        </w:rPr>
        <w:t>ביחס למחלוקות הפרשניות שעודן קיימות בנוגע להיקף תחולתו של צו הביניים ולטענות שהועלו באשר להפרות</w:t>
      </w:r>
      <w:r w:rsidR="00F04835">
        <w:rPr>
          <w:rFonts w:ascii="Century" w:hAnsi="Century" w:hint="cs"/>
          <w:rtl/>
        </w:rPr>
        <w:t>יו</w:t>
      </w:r>
      <w:r>
        <w:rPr>
          <w:rFonts w:ascii="Century" w:hAnsi="Century" w:hint="cs"/>
          <w:rtl/>
        </w:rPr>
        <w:t xml:space="preserve"> על-ידי חלק מן המשיבים, מובהר בזאת כי </w:t>
      </w:r>
      <w:r w:rsidR="00BC2526">
        <w:rPr>
          <w:rFonts w:ascii="Century" w:hAnsi="Century" w:hint="cs"/>
          <w:rtl/>
        </w:rPr>
        <w:t>החובה לספק קנביס רפואי ל</w:t>
      </w:r>
      <w:r w:rsidR="00BC2526" w:rsidRPr="00C45C11">
        <w:rPr>
          <w:rFonts w:ascii="Century" w:hAnsi="Century" w:cs="Miriam" w:hint="cs"/>
          <w:b/>
          <w:spacing w:val="0"/>
          <w:szCs w:val="24"/>
          <w:rtl/>
        </w:rPr>
        <w:t xml:space="preserve">מחזיקי </w:t>
      </w:r>
      <w:r w:rsidRPr="00C45C11">
        <w:rPr>
          <w:rFonts w:ascii="Century" w:hAnsi="Century" w:cs="Miriam" w:hint="cs"/>
          <w:b/>
          <w:spacing w:val="0"/>
          <w:szCs w:val="24"/>
          <w:rtl/>
        </w:rPr>
        <w:t>רישיונות</w:t>
      </w:r>
      <w:r w:rsidR="00BC2526" w:rsidRPr="00C45C11">
        <w:rPr>
          <w:rFonts w:ascii="Century" w:hAnsi="Century" w:cs="Miriam" w:hint="cs"/>
          <w:b/>
          <w:spacing w:val="0"/>
          <w:szCs w:val="24"/>
          <w:rtl/>
        </w:rPr>
        <w:t xml:space="preserve"> </w:t>
      </w:r>
      <w:r w:rsidR="00C45C11" w:rsidRPr="00C45C11">
        <w:rPr>
          <w:rFonts w:ascii="Century" w:hAnsi="Century" w:cs="Miriam" w:hint="cs"/>
          <w:b/>
          <w:spacing w:val="0"/>
          <w:szCs w:val="24"/>
          <w:rtl/>
        </w:rPr>
        <w:t>ה</w:t>
      </w:r>
      <w:r w:rsidR="00BC2526" w:rsidRPr="00C45C11">
        <w:rPr>
          <w:rFonts w:ascii="Century" w:hAnsi="Century" w:cs="Miriam" w:hint="cs"/>
          <w:b/>
          <w:spacing w:val="0"/>
          <w:szCs w:val="24"/>
          <w:rtl/>
        </w:rPr>
        <w:t>שימוש</w:t>
      </w:r>
      <w:r w:rsidR="009E3762">
        <w:rPr>
          <w:rFonts w:ascii="Century" w:hAnsi="Century" w:hint="cs"/>
          <w:rtl/>
        </w:rPr>
        <w:t>,</w:t>
      </w:r>
      <w:r>
        <w:rPr>
          <w:rFonts w:ascii="Century" w:hAnsi="Century" w:hint="cs"/>
          <w:rtl/>
        </w:rPr>
        <w:t xml:space="preserve"> שתוקפם הוארך מכוח צו הביניים, בתנאים ובמחירים שהיו נהוגים במסגרת ההסדרה הישנה, חלה על המשיבים </w:t>
      </w:r>
      <w:r w:rsidR="00BC2526">
        <w:rPr>
          <w:rFonts w:ascii="Century" w:hAnsi="Century" w:hint="cs"/>
          <w:rtl/>
        </w:rPr>
        <w:t xml:space="preserve">גם אם </w:t>
      </w:r>
      <w:r w:rsidR="00C94A64">
        <w:rPr>
          <w:rFonts w:ascii="Century" w:hAnsi="Century" w:hint="cs"/>
          <w:rtl/>
        </w:rPr>
        <w:t xml:space="preserve">כל החומרים מן התקופה שקדמה לתחילת ההסדרה החדשה אזלו </w:t>
      </w:r>
      <w:r w:rsidR="00BC2526">
        <w:rPr>
          <w:rFonts w:ascii="Century" w:hAnsi="Century" w:hint="cs"/>
          <w:rtl/>
        </w:rPr>
        <w:t>ממצאי החומר שברשותם</w:t>
      </w:r>
      <w:r w:rsidR="006D46C0">
        <w:rPr>
          <w:rFonts w:ascii="Century" w:hAnsi="Century" w:hint="cs"/>
          <w:rtl/>
        </w:rPr>
        <w:t xml:space="preserve">. </w:t>
      </w:r>
      <w:r w:rsidR="006D46C0" w:rsidRPr="006D46C0">
        <w:rPr>
          <w:rFonts w:ascii="Century" w:hAnsi="Century" w:hint="cs"/>
          <w:rtl/>
        </w:rPr>
        <w:t>לפיכך,</w:t>
      </w:r>
      <w:r w:rsidR="006D46C0">
        <w:rPr>
          <w:rFonts w:ascii="Century" w:hAnsi="Century" w:hint="cs"/>
          <w:rtl/>
        </w:rPr>
        <w:t xml:space="preserve"> מי מן המשיבים שהחומרים היחידים שנותרו בידיו הם חומרים</w:t>
      </w:r>
      <w:r w:rsidR="00C45C11">
        <w:rPr>
          <w:rFonts w:ascii="Century" w:hAnsi="Century" w:hint="cs"/>
          <w:rtl/>
        </w:rPr>
        <w:t>,</w:t>
      </w:r>
      <w:r w:rsidR="006D46C0">
        <w:rPr>
          <w:rFonts w:ascii="Century" w:hAnsi="Century" w:hint="cs"/>
          <w:rtl/>
        </w:rPr>
        <w:t xml:space="preserve"> אשר עברו את בדיקות האיכות הנדרשות במסגרת ההסדרה החדשה</w:t>
      </w:r>
      <w:r w:rsidR="00BC2526">
        <w:rPr>
          <w:rFonts w:ascii="Century" w:hAnsi="Century" w:hint="cs"/>
          <w:rtl/>
        </w:rPr>
        <w:t xml:space="preserve">, </w:t>
      </w:r>
      <w:r w:rsidR="00C45C11">
        <w:rPr>
          <w:rFonts w:ascii="Century" w:hAnsi="Century" w:hint="cs"/>
          <w:rtl/>
        </w:rPr>
        <w:t>נ</w:t>
      </w:r>
      <w:r w:rsidR="00BC2526">
        <w:rPr>
          <w:rFonts w:ascii="Century" w:hAnsi="Century" w:hint="cs"/>
          <w:rtl/>
        </w:rPr>
        <w:t>דרש לספק חומרים אלו ל</w:t>
      </w:r>
      <w:r w:rsidR="00BC2526" w:rsidRPr="00C45C11">
        <w:rPr>
          <w:rFonts w:ascii="Century" w:hAnsi="Century" w:cs="Miriam" w:hint="cs"/>
          <w:b/>
          <w:spacing w:val="0"/>
          <w:szCs w:val="24"/>
          <w:rtl/>
        </w:rPr>
        <w:t xml:space="preserve">מחזיקי </w:t>
      </w:r>
      <w:r w:rsidR="006D46C0" w:rsidRPr="00C45C11">
        <w:rPr>
          <w:rFonts w:ascii="Century" w:hAnsi="Century" w:cs="Miriam" w:hint="cs"/>
          <w:b/>
          <w:spacing w:val="0"/>
          <w:szCs w:val="24"/>
          <w:rtl/>
        </w:rPr>
        <w:t>רישיונות</w:t>
      </w:r>
      <w:r w:rsidR="00BC2526" w:rsidRPr="00C45C11">
        <w:rPr>
          <w:rFonts w:ascii="Century" w:hAnsi="Century" w:cs="Miriam" w:hint="cs"/>
          <w:b/>
          <w:spacing w:val="0"/>
          <w:szCs w:val="24"/>
          <w:rtl/>
        </w:rPr>
        <w:t xml:space="preserve"> השימוש</w:t>
      </w:r>
      <w:r w:rsidR="006D46C0">
        <w:rPr>
          <w:rFonts w:ascii="Century" w:hAnsi="Century" w:hint="cs"/>
          <w:rtl/>
        </w:rPr>
        <w:t xml:space="preserve"> שתוקפם הוארך מכוח צו הביניים</w:t>
      </w:r>
      <w:r w:rsidR="00BC2526">
        <w:rPr>
          <w:rFonts w:ascii="Century" w:hAnsi="Century" w:hint="cs"/>
          <w:rtl/>
        </w:rPr>
        <w:t>,</w:t>
      </w:r>
      <w:r w:rsidR="006D46C0">
        <w:rPr>
          <w:rFonts w:ascii="Century" w:hAnsi="Century" w:hint="cs"/>
          <w:rtl/>
        </w:rPr>
        <w:t xml:space="preserve"> בתנאים ובמחירים שהיו נהוגים במסגרת ההסדרה הישנה, וכל זאת עד למועד פקיעתו של צו הביניים.</w:t>
      </w:r>
    </w:p>
    <w:p w:rsidR="00BC2526" w:rsidRPr="00B437EA" w:rsidRDefault="00BC2526" w:rsidP="00B437EA">
      <w:pPr>
        <w:pStyle w:val="ae"/>
        <w:spacing w:line="360" w:lineRule="auto"/>
        <w:jc w:val="both"/>
        <w:rPr>
          <w:rFonts w:ascii="Century" w:hAnsi="Century" w:cs="FrankRuehl"/>
          <w:spacing w:val="10"/>
          <w:sz w:val="22"/>
          <w:szCs w:val="28"/>
          <w:rtl/>
        </w:rPr>
      </w:pPr>
    </w:p>
    <w:p w:rsidR="00BC2526" w:rsidRPr="006D46C0" w:rsidRDefault="00BC2526" w:rsidP="000E2D7D">
      <w:pPr>
        <w:pStyle w:val="Ruller4"/>
        <w:numPr>
          <w:ilvl w:val="0"/>
          <w:numId w:val="12"/>
        </w:numPr>
        <w:rPr>
          <w:rFonts w:ascii="Century" w:hAnsi="Century"/>
        </w:rPr>
      </w:pPr>
      <w:r>
        <w:rPr>
          <w:rFonts w:ascii="Century" w:hAnsi="Century" w:hint="cs"/>
          <w:rtl/>
        </w:rPr>
        <w:t xml:space="preserve">תשומת ליבם של </w:t>
      </w:r>
      <w:r w:rsidRPr="009E3762">
        <w:rPr>
          <w:rFonts w:ascii="Century" w:hAnsi="Century" w:cs="Miriam" w:hint="cs"/>
          <w:b/>
          <w:spacing w:val="0"/>
          <w:szCs w:val="24"/>
          <w:rtl/>
        </w:rPr>
        <w:t>מחזיקי רישיונות השימוש</w:t>
      </w:r>
      <w:r>
        <w:rPr>
          <w:rFonts w:ascii="Century" w:hAnsi="Century" w:hint="cs"/>
          <w:rtl/>
        </w:rPr>
        <w:t xml:space="preserve"> לכך שכל הארכה נוספת של </w:t>
      </w:r>
      <w:r w:rsidR="005A63A6">
        <w:rPr>
          <w:rFonts w:ascii="Century" w:hAnsi="Century" w:hint="cs"/>
          <w:rtl/>
        </w:rPr>
        <w:t xml:space="preserve">תקופת </w:t>
      </w:r>
      <w:r>
        <w:rPr>
          <w:rFonts w:ascii="Century" w:hAnsi="Century" w:hint="cs"/>
          <w:rtl/>
        </w:rPr>
        <w:t>תחולתו של צו הביניים</w:t>
      </w:r>
      <w:r w:rsidR="005A63A6">
        <w:rPr>
          <w:rFonts w:ascii="Century" w:hAnsi="Century" w:hint="cs"/>
          <w:rtl/>
        </w:rPr>
        <w:t xml:space="preserve"> מעבר לתאריך 15.05.2020</w:t>
      </w:r>
      <w:r>
        <w:rPr>
          <w:rFonts w:ascii="Century" w:hAnsi="Century" w:hint="cs"/>
          <w:rtl/>
        </w:rPr>
        <w:t>, ככל שתידרש כזאת, ת</w:t>
      </w:r>
      <w:r w:rsidR="005A63A6">
        <w:rPr>
          <w:rFonts w:ascii="Century" w:hAnsi="Century" w:hint="cs"/>
          <w:rtl/>
        </w:rPr>
        <w:t>ותנ</w:t>
      </w:r>
      <w:r w:rsidR="00B437EA">
        <w:rPr>
          <w:rFonts w:ascii="Century" w:hAnsi="Century" w:hint="cs"/>
          <w:rtl/>
        </w:rPr>
        <w:t>ה</w:t>
      </w:r>
      <w:r w:rsidR="005A63A6">
        <w:rPr>
          <w:rFonts w:ascii="Century" w:hAnsi="Century" w:hint="cs"/>
          <w:rtl/>
        </w:rPr>
        <w:t xml:space="preserve"> בביצוע מעקב רפואי על-ידי הרופא המטפל</w:t>
      </w:r>
      <w:r w:rsidR="009E3762">
        <w:rPr>
          <w:rFonts w:ascii="Century" w:hAnsi="Century" w:hint="cs"/>
          <w:rtl/>
        </w:rPr>
        <w:t>,</w:t>
      </w:r>
      <w:r w:rsidR="005A63A6">
        <w:rPr>
          <w:rFonts w:ascii="Century" w:hAnsi="Century" w:hint="cs"/>
          <w:rtl/>
        </w:rPr>
        <w:t xml:space="preserve"> שפרטיו נכללו ברישיון השימוש הקיים ברשותם</w:t>
      </w:r>
      <w:r w:rsidR="00C45C11">
        <w:rPr>
          <w:rFonts w:ascii="Century" w:hAnsi="Century" w:hint="cs"/>
          <w:rtl/>
        </w:rPr>
        <w:t xml:space="preserve"> ובקבלת המלצה ממנו</w:t>
      </w:r>
      <w:r w:rsidR="005A63A6">
        <w:rPr>
          <w:rFonts w:ascii="Century" w:hAnsi="Century" w:hint="cs"/>
          <w:rtl/>
        </w:rPr>
        <w:t xml:space="preserve">. </w:t>
      </w:r>
      <w:r w:rsidR="00B437EA">
        <w:rPr>
          <w:rFonts w:ascii="Century" w:hAnsi="Century" w:hint="cs"/>
          <w:rtl/>
        </w:rPr>
        <w:t xml:space="preserve">על </w:t>
      </w:r>
      <w:r w:rsidR="00B437EA" w:rsidRPr="009E3762">
        <w:rPr>
          <w:rFonts w:ascii="Century" w:hAnsi="Century" w:cs="Miriam" w:hint="cs"/>
          <w:b/>
          <w:spacing w:val="0"/>
          <w:szCs w:val="24"/>
          <w:rtl/>
        </w:rPr>
        <w:t>מחזיקי רישיונות השימוש</w:t>
      </w:r>
      <w:r w:rsidR="00B437EA">
        <w:rPr>
          <w:rFonts w:ascii="Century" w:hAnsi="Century" w:hint="cs"/>
          <w:rtl/>
        </w:rPr>
        <w:t xml:space="preserve"> יהיה </w:t>
      </w:r>
      <w:proofErr w:type="spellStart"/>
      <w:r w:rsidR="009E3762">
        <w:rPr>
          <w:rFonts w:ascii="Century" w:hAnsi="Century" w:hint="cs"/>
          <w:rtl/>
        </w:rPr>
        <w:t>איפוא</w:t>
      </w:r>
      <w:proofErr w:type="spellEnd"/>
      <w:r w:rsidR="009E3762">
        <w:rPr>
          <w:rFonts w:ascii="Century" w:hAnsi="Century" w:hint="cs"/>
          <w:rtl/>
        </w:rPr>
        <w:t xml:space="preserve"> </w:t>
      </w:r>
      <w:r w:rsidR="00B437EA">
        <w:rPr>
          <w:rFonts w:ascii="Century" w:hAnsi="Century" w:hint="cs"/>
          <w:rtl/>
        </w:rPr>
        <w:t>להמציא המלצה מהרופא המטפל בהתאם לסעיף 3.6</w:t>
      </w:r>
      <w:r w:rsidR="005A63A6">
        <w:rPr>
          <w:rFonts w:ascii="Century" w:hAnsi="Century" w:hint="cs"/>
          <w:rtl/>
        </w:rPr>
        <w:t xml:space="preserve"> </w:t>
      </w:r>
      <w:r w:rsidR="00B437EA">
        <w:rPr>
          <w:rFonts w:ascii="Century" w:hAnsi="Century" w:hint="cs"/>
          <w:rtl/>
        </w:rPr>
        <w:t>ל</w:t>
      </w:r>
      <w:r w:rsidR="005A63A6" w:rsidRPr="005A63A6">
        <w:rPr>
          <w:rFonts w:ascii="Century" w:hAnsi="Century" w:cs="Miriam" w:hint="cs"/>
          <w:b/>
          <w:spacing w:val="0"/>
          <w:szCs w:val="24"/>
          <w:rtl/>
        </w:rPr>
        <w:t>חוזר היחידה לקנביס רפואי, נוהל מס' 106 (תאריך עדכון: מאי 2019)</w:t>
      </w:r>
      <w:r w:rsidR="005A63A6">
        <w:rPr>
          <w:rFonts w:ascii="Century" w:hAnsi="Century" w:hint="cs"/>
          <w:rtl/>
        </w:rPr>
        <w:t xml:space="preserve"> </w:t>
      </w:r>
      <w:bookmarkStart w:id="5" w:name="_GoBack"/>
      <w:bookmarkEnd w:id="5"/>
      <w:r w:rsidR="00B437EA">
        <w:rPr>
          <w:rFonts w:ascii="Century" w:hAnsi="Century" w:hint="cs"/>
          <w:rtl/>
        </w:rPr>
        <w:t xml:space="preserve">כתנאי לחידוש רישיון השימוש, </w:t>
      </w:r>
      <w:r w:rsidR="009E3762">
        <w:rPr>
          <w:rFonts w:ascii="Century" w:hAnsi="Century" w:hint="cs"/>
          <w:rtl/>
        </w:rPr>
        <w:t xml:space="preserve">או להמשך תוקפו, </w:t>
      </w:r>
      <w:r w:rsidR="00B437EA">
        <w:rPr>
          <w:rFonts w:ascii="Century" w:hAnsi="Century" w:hint="cs"/>
          <w:rtl/>
        </w:rPr>
        <w:t xml:space="preserve">ככל שבעתיד </w:t>
      </w:r>
      <w:r w:rsidR="00B437EA">
        <w:rPr>
          <w:rFonts w:ascii="Century" w:hAnsi="Century" w:hint="cs"/>
          <w:rtl/>
        </w:rPr>
        <w:lastRenderedPageBreak/>
        <w:t>יוחלט כי</w:t>
      </w:r>
      <w:r w:rsidR="00013FF9">
        <w:rPr>
          <w:rFonts w:ascii="Century" w:hAnsi="Century" w:hint="cs"/>
          <w:rtl/>
        </w:rPr>
        <w:t xml:space="preserve"> </w:t>
      </w:r>
      <w:r w:rsidR="009E3762">
        <w:rPr>
          <w:rFonts w:ascii="Century" w:hAnsi="Century" w:hint="cs"/>
          <w:rtl/>
        </w:rPr>
        <w:t>הדבר</w:t>
      </w:r>
      <w:r w:rsidR="00B437EA">
        <w:rPr>
          <w:rFonts w:ascii="Century" w:hAnsi="Century" w:hint="cs"/>
          <w:rtl/>
        </w:rPr>
        <w:t xml:space="preserve"> נדרש. בהקשר זה, מומלץ למחזיקי רישיונות השימוש לדאוג ל</w:t>
      </w:r>
      <w:r w:rsidR="00C45C11">
        <w:rPr>
          <w:rFonts w:ascii="Century" w:hAnsi="Century" w:hint="cs"/>
          <w:rtl/>
        </w:rPr>
        <w:t>נסות ול</w:t>
      </w:r>
      <w:r w:rsidR="009E3762">
        <w:rPr>
          <w:rFonts w:ascii="Century" w:hAnsi="Century" w:hint="cs"/>
          <w:rtl/>
        </w:rPr>
        <w:t>השיג</w:t>
      </w:r>
      <w:r w:rsidR="00B437EA">
        <w:rPr>
          <w:rFonts w:ascii="Century" w:hAnsi="Century" w:hint="cs"/>
          <w:rtl/>
        </w:rPr>
        <w:t xml:space="preserve"> המלצה כנ"ל כבר </w:t>
      </w:r>
      <w:r w:rsidR="009E3762">
        <w:rPr>
          <w:rFonts w:ascii="Century" w:hAnsi="Century" w:hint="cs"/>
          <w:rtl/>
        </w:rPr>
        <w:t>בזמן הקרוב</w:t>
      </w:r>
      <w:r w:rsidR="00B437EA">
        <w:rPr>
          <w:rFonts w:ascii="Century" w:hAnsi="Century" w:hint="cs"/>
          <w:rtl/>
        </w:rPr>
        <w:t>, בבחינת 'יפה שעת אחת קודם'.</w:t>
      </w:r>
    </w:p>
    <w:p w:rsidR="006A01D9" w:rsidRPr="00C45C11" w:rsidRDefault="006A01D9" w:rsidP="006A01D9">
      <w:pPr>
        <w:rPr>
          <w:rFonts w:ascii="Century" w:hAnsi="Century" w:cs="FrankRuehl"/>
          <w:spacing w:val="10"/>
          <w:sz w:val="22"/>
          <w:szCs w:val="28"/>
          <w:rtl/>
        </w:rPr>
      </w:pPr>
    </w:p>
    <w:p w:rsidR="00C45C11" w:rsidRDefault="00682942" w:rsidP="00013FF9">
      <w:pPr>
        <w:pStyle w:val="Ruller4"/>
        <w:numPr>
          <w:ilvl w:val="0"/>
          <w:numId w:val="12"/>
        </w:numPr>
        <w:rPr>
          <w:rFonts w:ascii="Century" w:hAnsi="Century"/>
        </w:rPr>
      </w:pPr>
      <w:r>
        <w:rPr>
          <w:rFonts w:ascii="Century" w:hAnsi="Century" w:hint="cs"/>
          <w:rtl/>
        </w:rPr>
        <w:t xml:space="preserve">המשיבים המיוצגים על-ידי פרקליטות המדינה יגישו הודעה מעדכנת לבית המשפט בדבר אופן התקדמות ההליכים המתנהלים בפני </w:t>
      </w:r>
      <w:r w:rsidRPr="00682942">
        <w:rPr>
          <w:rFonts w:ascii="Century" w:hAnsi="Century" w:cs="Miriam" w:hint="cs"/>
          <w:b/>
          <w:spacing w:val="0"/>
          <w:szCs w:val="24"/>
          <w:rtl/>
        </w:rPr>
        <w:t>ועדת המחירים</w:t>
      </w:r>
      <w:r>
        <w:rPr>
          <w:rFonts w:ascii="Century" w:hAnsi="Century" w:hint="cs"/>
          <w:rtl/>
        </w:rPr>
        <w:t xml:space="preserve">, וזאת עד לתאריך 01.05.2020. </w:t>
      </w:r>
      <w:r w:rsidR="00A16ACC">
        <w:rPr>
          <w:rFonts w:ascii="Century" w:hAnsi="Century" w:hint="cs"/>
          <w:rtl/>
        </w:rPr>
        <w:t>המשיבים המיוצגים על-ידי פרקליטות המדינה</w:t>
      </w:r>
      <w:r w:rsidR="00A16ACC" w:rsidRPr="00A16ACC">
        <w:rPr>
          <w:rFonts w:ascii="Century" w:hAnsi="Century" w:hint="cs"/>
          <w:rtl/>
        </w:rPr>
        <w:t xml:space="preserve"> </w:t>
      </w:r>
      <w:r w:rsidR="00A16ACC">
        <w:rPr>
          <w:rFonts w:ascii="Century" w:hAnsi="Century" w:hint="cs"/>
          <w:rtl/>
        </w:rPr>
        <w:t>יוכלו, באותה ההזדמנות וע</w:t>
      </w:r>
      <w:r w:rsidR="00013FF9">
        <w:rPr>
          <w:rFonts w:ascii="Century" w:hAnsi="Century" w:hint="cs"/>
          <w:rtl/>
        </w:rPr>
        <w:t>ד</w:t>
      </w:r>
      <w:r w:rsidR="00A16ACC">
        <w:rPr>
          <w:rFonts w:ascii="Century" w:hAnsi="Century" w:hint="cs"/>
          <w:rtl/>
        </w:rPr>
        <w:t xml:space="preserve"> לאותו המועד, להגיש תגובה משלימה לצו-על-תנאי שהוצא בעתירה, לרבות ביחס ל</w:t>
      </w:r>
      <w:r w:rsidR="00013FF9">
        <w:rPr>
          <w:rFonts w:ascii="Century" w:hAnsi="Century" w:hint="cs"/>
          <w:rtl/>
        </w:rPr>
        <w:t>אותם ראשים</w:t>
      </w:r>
      <w:r w:rsidR="00A16ACC">
        <w:rPr>
          <w:rFonts w:ascii="Century" w:hAnsi="Century" w:hint="cs"/>
          <w:rtl/>
        </w:rPr>
        <w:t xml:space="preserve"> ממנו שלא זכו להתייחסות </w:t>
      </w:r>
      <w:proofErr w:type="spellStart"/>
      <w:r w:rsidR="00A16ACC">
        <w:rPr>
          <w:rFonts w:ascii="Century" w:hAnsi="Century" w:hint="cs"/>
          <w:rtl/>
        </w:rPr>
        <w:t>מצידם</w:t>
      </w:r>
      <w:proofErr w:type="spellEnd"/>
      <w:r w:rsidR="00A16ACC">
        <w:rPr>
          <w:rFonts w:ascii="Century" w:hAnsi="Century" w:hint="cs"/>
          <w:rtl/>
        </w:rPr>
        <w:t xml:space="preserve"> במסגרת תצהיר התשובה שהוגש. </w:t>
      </w:r>
    </w:p>
    <w:p w:rsidR="00A16ACC" w:rsidRDefault="00A16ACC" w:rsidP="00C45C11">
      <w:pPr>
        <w:pStyle w:val="Ruller4"/>
        <w:rPr>
          <w:rFonts w:ascii="Century" w:hAnsi="Century"/>
        </w:rPr>
      </w:pPr>
      <w:r w:rsidRPr="00A16ACC">
        <w:rPr>
          <w:rFonts w:ascii="Century" w:hAnsi="Century" w:hint="cs"/>
          <w:rtl/>
        </w:rPr>
        <w:t>שאר הצדדים יוכלו להגיב להודעת העדכון האמורה, תוך 15 ימים מעת הגשתה.</w:t>
      </w:r>
    </w:p>
    <w:p w:rsidR="00013FF9" w:rsidRPr="00C45C11" w:rsidRDefault="00013FF9" w:rsidP="00013FF9">
      <w:pPr>
        <w:pStyle w:val="ae"/>
        <w:rPr>
          <w:rFonts w:ascii="Century" w:hAnsi="Century"/>
          <w:rtl/>
        </w:rPr>
      </w:pPr>
    </w:p>
    <w:p w:rsidR="00013FF9" w:rsidRDefault="00013FF9" w:rsidP="00013FF9">
      <w:pPr>
        <w:pStyle w:val="Ruller4"/>
        <w:numPr>
          <w:ilvl w:val="0"/>
          <w:numId w:val="12"/>
        </w:numPr>
        <w:rPr>
          <w:rFonts w:ascii="Century" w:hAnsi="Century"/>
        </w:rPr>
      </w:pPr>
      <w:r>
        <w:rPr>
          <w:rFonts w:ascii="Century" w:hAnsi="Century" w:hint="cs"/>
          <w:rtl/>
        </w:rPr>
        <w:t xml:space="preserve">בהיאסף כל העדכונים הנ"ל </w:t>
      </w:r>
      <w:r>
        <w:rPr>
          <w:rFonts w:ascii="Century" w:hAnsi="Century"/>
          <w:rtl/>
        </w:rPr>
        <w:t>–</w:t>
      </w:r>
      <w:r>
        <w:rPr>
          <w:rFonts w:ascii="Century" w:hAnsi="Century" w:hint="cs"/>
          <w:rtl/>
        </w:rPr>
        <w:t xml:space="preserve"> נחליט בדבר דרך המשך הטיפול בעתירה.</w:t>
      </w:r>
    </w:p>
    <w:p w:rsidR="00A16ACC" w:rsidRPr="00013FF9" w:rsidRDefault="00A16ACC" w:rsidP="00A16ACC">
      <w:pPr>
        <w:pStyle w:val="ae"/>
        <w:rPr>
          <w:rFonts w:ascii="Century" w:hAnsi="Century" w:cs="FrankRuehl"/>
          <w:spacing w:val="10"/>
          <w:sz w:val="32"/>
          <w:szCs w:val="38"/>
          <w:rtl/>
        </w:rPr>
      </w:pPr>
    </w:p>
    <w:p w:rsidR="00073919" w:rsidRDefault="003D5C53" w:rsidP="00013FF9">
      <w:pPr>
        <w:pStyle w:val="Ruller4"/>
        <w:rPr>
          <w:rFonts w:ascii="Century" w:hAnsi="Century"/>
          <w:rtl/>
        </w:rPr>
      </w:pPr>
      <w:r>
        <w:rPr>
          <w:rFonts w:ascii="Century" w:hAnsi="Century"/>
          <w:rtl/>
        </w:rPr>
        <w:tab/>
      </w:r>
      <w:r>
        <w:rPr>
          <w:rFonts w:ascii="Century" w:hAnsi="Century" w:hint="eastAsia"/>
          <w:rtl/>
        </w:rPr>
        <w:t>ניתנה</w:t>
      </w:r>
      <w:r>
        <w:rPr>
          <w:rFonts w:ascii="Century" w:hAnsi="Century"/>
          <w:rtl/>
        </w:rPr>
        <w:t xml:space="preserve"> </w:t>
      </w:r>
      <w:r>
        <w:rPr>
          <w:rFonts w:ascii="Century" w:hAnsi="Century" w:hint="eastAsia"/>
          <w:rtl/>
        </w:rPr>
        <w:t>היום</w:t>
      </w:r>
      <w:r>
        <w:rPr>
          <w:rFonts w:ascii="Century" w:hAnsi="Century"/>
          <w:rtl/>
        </w:rPr>
        <w:t xml:space="preserve">, </w:t>
      </w:r>
      <w:r w:rsidR="00013FF9">
        <w:rPr>
          <w:rFonts w:ascii="Century" w:hAnsi="Century" w:hint="eastAsia"/>
          <w:rtl/>
        </w:rPr>
        <w:t>‏</w:t>
      </w:r>
      <w:r w:rsidR="00013FF9">
        <w:rPr>
          <w:rFonts w:ascii="Century" w:hAnsi="Century" w:hint="cs"/>
          <w:rtl/>
        </w:rPr>
        <w:t>י"ב</w:t>
      </w:r>
      <w:r>
        <w:rPr>
          <w:rFonts w:ascii="Century" w:hAnsi="Century"/>
          <w:rtl/>
        </w:rPr>
        <w:t xml:space="preserve"> </w:t>
      </w:r>
      <w:r>
        <w:rPr>
          <w:rFonts w:ascii="Century" w:hAnsi="Century" w:hint="eastAsia"/>
          <w:rtl/>
        </w:rPr>
        <w:t>באדר</w:t>
      </w:r>
      <w:r>
        <w:rPr>
          <w:rFonts w:ascii="Century" w:hAnsi="Century"/>
          <w:rtl/>
        </w:rPr>
        <w:t xml:space="preserve"> </w:t>
      </w:r>
      <w:proofErr w:type="spellStart"/>
      <w:r>
        <w:rPr>
          <w:rFonts w:ascii="Century" w:hAnsi="Century" w:hint="eastAsia"/>
          <w:rtl/>
        </w:rPr>
        <w:t>התש</w:t>
      </w:r>
      <w:r>
        <w:rPr>
          <w:rFonts w:ascii="Century" w:hAnsi="Century"/>
          <w:rtl/>
        </w:rPr>
        <w:t>"</w:t>
      </w:r>
      <w:r>
        <w:rPr>
          <w:rFonts w:ascii="Century" w:hAnsi="Century" w:hint="cs"/>
          <w:rtl/>
        </w:rPr>
        <w:t>ף</w:t>
      </w:r>
      <w:proofErr w:type="spellEnd"/>
      <w:r>
        <w:rPr>
          <w:rFonts w:ascii="Century" w:hAnsi="Century"/>
          <w:rtl/>
        </w:rPr>
        <w:t xml:space="preserve"> (</w:t>
      </w:r>
      <w:r>
        <w:rPr>
          <w:rFonts w:ascii="Century" w:hAnsi="Century" w:hint="eastAsia"/>
          <w:rtl/>
        </w:rPr>
        <w:t>‏</w:t>
      </w:r>
      <w:r w:rsidR="00013FF9">
        <w:rPr>
          <w:rFonts w:ascii="Century" w:hAnsi="Century" w:hint="cs"/>
          <w:rtl/>
        </w:rPr>
        <w:t>8</w:t>
      </w:r>
      <w:r>
        <w:rPr>
          <w:rFonts w:ascii="Century" w:hAnsi="Century"/>
          <w:rtl/>
        </w:rPr>
        <w:t>.3.2020).</w:t>
      </w:r>
    </w:p>
    <w:p w:rsidR="00016EF1" w:rsidRPr="00C30C9D" w:rsidRDefault="00016EF1" w:rsidP="00073919">
      <w:pPr>
        <w:pStyle w:val="Ruller4"/>
        <w:rPr>
          <w:rFonts w:ascii="Century" w:hAnsi="Century"/>
          <w:sz w:val="38"/>
          <w:szCs w:val="44"/>
          <w:rtl/>
        </w:rPr>
      </w:pPr>
    </w:p>
    <w:tbl>
      <w:tblPr>
        <w:bidiVisual/>
        <w:tblW w:w="8363" w:type="dxa"/>
        <w:tblLook w:val="01E0" w:firstRow="1" w:lastRow="1" w:firstColumn="1" w:lastColumn="1" w:noHBand="0" w:noVBand="0"/>
      </w:tblPr>
      <w:tblGrid>
        <w:gridCol w:w="2797"/>
        <w:gridCol w:w="2783"/>
        <w:gridCol w:w="2783"/>
      </w:tblGrid>
      <w:tr w:rsidR="001A0164" w:rsidTr="00D00B1D">
        <w:tc>
          <w:tcPr>
            <w:tcW w:w="2842" w:type="dxa"/>
            <w:shd w:val="clear" w:color="auto" w:fill="auto"/>
          </w:tcPr>
          <w:p w:rsidR="00016EF1" w:rsidRDefault="007710C6" w:rsidP="00A51FAE">
            <w:pPr>
              <w:pStyle w:val="Ruller4"/>
              <w:rPr>
                <w:rtl/>
              </w:rPr>
            </w:pPr>
            <w:r>
              <w:rPr>
                <w:rtl/>
              </w:rPr>
              <w:t>המשנה לנשיאה</w:t>
            </w:r>
          </w:p>
        </w:tc>
        <w:tc>
          <w:tcPr>
            <w:tcW w:w="2843" w:type="dxa"/>
            <w:shd w:val="clear" w:color="auto" w:fill="auto"/>
          </w:tcPr>
          <w:p w:rsidR="001A0164" w:rsidRDefault="007710C6" w:rsidP="00BA0B08">
            <w:pPr>
              <w:pStyle w:val="Ruller4"/>
              <w:jc w:val="center"/>
              <w:rPr>
                <w:rtl/>
              </w:rPr>
            </w:pPr>
            <w:r>
              <w:rPr>
                <w:rtl/>
              </w:rPr>
              <w:t>ש ו פ ט ת</w:t>
            </w:r>
          </w:p>
        </w:tc>
        <w:tc>
          <w:tcPr>
            <w:tcW w:w="2843" w:type="dxa"/>
            <w:shd w:val="clear" w:color="auto" w:fill="auto"/>
          </w:tcPr>
          <w:p w:rsidR="001A0164" w:rsidRDefault="007710C6" w:rsidP="00BA0B08">
            <w:pPr>
              <w:pStyle w:val="Ruller4"/>
              <w:jc w:val="center"/>
              <w:rPr>
                <w:rtl/>
              </w:rPr>
            </w:pPr>
            <w:r>
              <w:rPr>
                <w:rtl/>
              </w:rPr>
              <w:t>ש ו פ ט</w:t>
            </w:r>
          </w:p>
        </w:tc>
      </w:tr>
    </w:tbl>
    <w:p w:rsidR="00916FF8" w:rsidRDefault="00916FF8">
      <w:pPr>
        <w:rPr>
          <w:szCs w:val="16"/>
          <w:rtl/>
        </w:rPr>
      </w:pPr>
      <w:r>
        <w:rPr>
          <w:szCs w:val="16"/>
          <w:rtl/>
        </w:rPr>
        <w:t>_________________</w:t>
      </w:r>
      <w:r w:rsidR="00A12E0F">
        <w:rPr>
          <w:rFonts w:hint="cs"/>
          <w:szCs w:val="16"/>
          <w:rtl/>
        </w:rPr>
        <w:t>________</w:t>
      </w:r>
    </w:p>
    <w:p w:rsidR="00916FF8" w:rsidRDefault="00591983" w:rsidP="00B009CC">
      <w:pPr>
        <w:pStyle w:val="Ruller38"/>
        <w:rPr>
          <w:rtl/>
        </w:rPr>
      </w:pPr>
      <w:r>
        <w:rPr>
          <w:sz w:val="16"/>
        </w:rPr>
        <w:t xml:space="preserve"> </w:t>
      </w:r>
      <w:r w:rsidR="00A12E0F">
        <w:rPr>
          <w:sz w:val="16"/>
        </w:rPr>
        <w:t xml:space="preserve">  </w:t>
      </w:r>
      <w:r w:rsidR="007710C6">
        <w:rPr>
          <w:sz w:val="16"/>
        </w:rPr>
        <w:t xml:space="preserve">19023350_K41.docx   </w:t>
      </w:r>
      <w:r w:rsidR="007710C6">
        <w:rPr>
          <w:sz w:val="16"/>
          <w:rtl/>
        </w:rPr>
        <w:t>שב</w:t>
      </w:r>
    </w:p>
    <w:p w:rsidR="00591983" w:rsidRPr="0058440A" w:rsidRDefault="00591983" w:rsidP="0058440A">
      <w:pPr>
        <w:pStyle w:val="Ruller38"/>
        <w:rPr>
          <w:rtl/>
        </w:rPr>
      </w:pPr>
      <w:r>
        <w:rPr>
          <w:rtl/>
        </w:rPr>
        <w:t>מרכז מידע, טל'</w:t>
      </w:r>
      <w:r>
        <w:rPr>
          <w:rFonts w:hint="cs"/>
          <w:rtl/>
        </w:rPr>
        <w:t xml:space="preserve"> </w:t>
      </w:r>
      <w:r w:rsidR="00B63343">
        <w:rPr>
          <w:rFonts w:hint="cs"/>
          <w:rtl/>
        </w:rPr>
        <w:t>077</w:t>
      </w:r>
      <w:r>
        <w:rPr>
          <w:rFonts w:hint="cs"/>
          <w:rtl/>
        </w:rPr>
        <w:t>-</w:t>
      </w:r>
      <w:r w:rsidR="00B63343">
        <w:rPr>
          <w:rFonts w:hint="cs"/>
          <w:rtl/>
        </w:rPr>
        <w:t>270</w:t>
      </w:r>
      <w:r w:rsidR="00E21CA9">
        <w:rPr>
          <w:rFonts w:hint="cs"/>
          <w:rtl/>
        </w:rPr>
        <w:t>3</w:t>
      </w:r>
      <w:r w:rsidR="009B38DA">
        <w:rPr>
          <w:rFonts w:hint="cs"/>
          <w:rtl/>
        </w:rPr>
        <w:t>333</w:t>
      </w:r>
      <w:r w:rsidR="00866D0F">
        <w:rPr>
          <w:rFonts w:hint="cs"/>
          <w:rtl/>
        </w:rPr>
        <w:t>, 3852*</w:t>
      </w:r>
      <w:r>
        <w:rPr>
          <w:rFonts w:hint="cs"/>
          <w:rtl/>
        </w:rPr>
        <w:t xml:space="preserve"> ; אתר אינטרנט,  </w:t>
      </w:r>
      <w:hyperlink r:id="rId8" w:history="1">
        <w:r w:rsidR="0058440A" w:rsidRPr="00CB1590">
          <w:rPr>
            <w:rStyle w:val="Hyperlink"/>
            <w:sz w:val="16"/>
          </w:rPr>
          <w:t>http://supreme.court.gov.i</w:t>
        </w:r>
      </w:hyperlink>
      <w:r w:rsidR="0058440A" w:rsidRPr="00CB1590">
        <w:rPr>
          <w:sz w:val="16"/>
        </w:rPr>
        <w:t>l</w:t>
      </w:r>
    </w:p>
    <w:sectPr w:rsidR="00591983" w:rsidRPr="0058440A" w:rsidSect="005919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lowerLetter"/>
      </w:endnotePr>
      <w:pgSz w:w="11906" w:h="16838" w:code="9"/>
      <w:pgMar w:top="1134" w:right="1797" w:bottom="1440" w:left="1797" w:header="567" w:footer="397" w:gutter="0"/>
      <w:cols w:space="720"/>
      <w:titlePg/>
      <w:bidi/>
      <w:rtlGutter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3">
      <wne:acd wne:acdName="acd0"/>
    </wne:keymap>
    <wne:keymap wne:kcmPrimary="0434">
      <wne:acd wne:acdName="acd1"/>
    </wne:keymap>
    <wne:keymap wne:kcmPrimary="0435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rgValue="AgBSAHUAbABsAGUAcgAgADMA" wne:acdName="acd0" wne:fciIndexBasedOn="0065"/>
    <wne:acd wne:argValue="AgBSAHUAbABsAGUAcgA0AA==" wne:acdName="acd1" wne:fciIndexBasedOn="0065"/>
    <wne:acd wne:argValue="AgBSAHUAbABsAGUAcgA1AA=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512" w:rsidRDefault="007F7512">
      <w:r>
        <w:separator/>
      </w:r>
    </w:p>
  </w:endnote>
  <w:endnote w:type="continuationSeparator" w:id="0">
    <w:p w:rsidR="007F7512" w:rsidRDefault="007F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Arial TUR">
    <w:charset w:val="00"/>
    <w:family w:val="swiss"/>
    <w:pitch w:val="variable"/>
    <w:sig w:usb0="E0002EFF" w:usb1="C0007843" w:usb2="00000009" w:usb3="00000000" w:csb0="000001FF" w:csb1="00000000"/>
  </w:font>
  <w:font w:name="DavidFix">
    <w:charset w:val="B1"/>
    <w:family w:val="auto"/>
    <w:pitch w:val="variable"/>
    <w:sig w:usb0="00001801" w:usb1="0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102" w:rsidRDefault="00377102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BC0E82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377102" w:rsidRDefault="00377102">
    <w:pPr>
      <w:pStyle w:val="a3"/>
      <w:rPr>
        <w:rtl/>
      </w:rPr>
    </w:pPr>
  </w:p>
  <w:p w:rsidR="00377102" w:rsidRDefault="0037710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0C6" w:rsidRDefault="007710C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B4D" w:rsidRPr="00F959DB" w:rsidRDefault="00045B4D" w:rsidP="00914156">
    <w:pPr>
      <w:pStyle w:val="a3"/>
      <w:bidi w:val="0"/>
      <w:jc w:val="right"/>
      <w:rPr>
        <w:sz w:val="16"/>
        <w:szCs w:val="16"/>
      </w:rPr>
    </w:pPr>
    <w:bookmarkStart w:id="6" w:name="footer_line"/>
    <w:bookmarkEnd w:id="6"/>
  </w:p>
  <w:p w:rsidR="00045B4D" w:rsidRDefault="00045B4D">
    <w:pPr>
      <w:pStyle w:val="a3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512" w:rsidRDefault="007F7512">
      <w:r>
        <w:separator/>
      </w:r>
    </w:p>
  </w:footnote>
  <w:footnote w:type="continuationSeparator" w:id="0">
    <w:p w:rsidR="007F7512" w:rsidRDefault="007F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102" w:rsidRDefault="00377102">
    <w:pPr>
      <w:pStyle w:val="a5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BC0E82"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377102" w:rsidRDefault="00377102">
    <w:pPr>
      <w:pStyle w:val="a5"/>
      <w:rPr>
        <w:rtl/>
      </w:rPr>
    </w:pPr>
  </w:p>
  <w:p w:rsidR="00377102" w:rsidRDefault="0037710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102" w:rsidRDefault="00377102">
    <w:pPr>
      <w:pStyle w:val="a5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0E2D7D">
      <w:rPr>
        <w:rStyle w:val="a4"/>
        <w:noProof/>
        <w:rtl/>
      </w:rPr>
      <w:t>3</w:t>
    </w:r>
    <w:r>
      <w:rPr>
        <w:rStyle w:val="a4"/>
        <w:rtl/>
      </w:rPr>
      <w:fldChar w:fldCharType="end"/>
    </w:r>
  </w:p>
  <w:p w:rsidR="00377102" w:rsidRDefault="00377102">
    <w:pPr>
      <w:pStyle w:val="a5"/>
      <w:rPr>
        <w:rtl/>
      </w:rPr>
    </w:pPr>
  </w:p>
  <w:p w:rsidR="00377102" w:rsidRDefault="0037710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8363" w:type="dxa"/>
      <w:tblLook w:val="0000" w:firstRow="0" w:lastRow="0" w:firstColumn="0" w:lastColumn="0" w:noHBand="0" w:noVBand="0"/>
    </w:tblPr>
    <w:tblGrid>
      <w:gridCol w:w="8363"/>
    </w:tblGrid>
    <w:tr w:rsidR="00045B4D" w:rsidTr="00EC23AC">
      <w:trPr>
        <w:trHeight w:val="342"/>
      </w:trPr>
      <w:tc>
        <w:tcPr>
          <w:tcW w:w="9828" w:type="dxa"/>
        </w:tcPr>
        <w:p w:rsidR="00377102" w:rsidRPr="002F7BB6" w:rsidRDefault="00EE3810" w:rsidP="00045B4D">
          <w:pPr>
            <w:pStyle w:val="Casenameintextbody"/>
            <w:jc w:val="center"/>
            <w:rPr>
              <w:u w:val="none"/>
              <w:rtl/>
            </w:rPr>
          </w:pPr>
          <w:r w:rsidRPr="002F7BB6">
            <w:rPr>
              <w:noProof/>
              <w:sz w:val="16"/>
              <w:szCs w:val="18"/>
              <w:u w:val="none"/>
              <w:rtl/>
            </w:rPr>
            <w:drawing>
              <wp:inline distT="0" distB="0" distL="0" distR="0">
                <wp:extent cx="464820" cy="449580"/>
                <wp:effectExtent l="0" t="0" r="0" b="7620"/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482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5B4D" w:rsidRDefault="00045B4D" w:rsidP="00045B4D">
    <w:pPr>
      <w:pStyle w:val="a5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77A4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EB8EE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485F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3003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0465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CCE6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26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1A09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046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B800B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E68181B"/>
    <w:multiLevelType w:val="hybridMultilevel"/>
    <w:tmpl w:val="43045674"/>
    <w:lvl w:ilvl="0" w:tplc="805A6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867BAD"/>
    <w:multiLevelType w:val="hybridMultilevel"/>
    <w:tmpl w:val="F89AC3A6"/>
    <w:lvl w:ilvl="0" w:tplc="13C0048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3329BB"/>
    <w:multiLevelType w:val="hybridMultilevel"/>
    <w:tmpl w:val="09126250"/>
    <w:lvl w:ilvl="0" w:tplc="B40E33E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27"/>
    <w:rsid w:val="00013FF9"/>
    <w:rsid w:val="00016EF1"/>
    <w:rsid w:val="00032036"/>
    <w:rsid w:val="00036227"/>
    <w:rsid w:val="00044953"/>
    <w:rsid w:val="00045B4D"/>
    <w:rsid w:val="000725F5"/>
    <w:rsid w:val="00072AD2"/>
    <w:rsid w:val="00073919"/>
    <w:rsid w:val="000B1478"/>
    <w:rsid w:val="000C4690"/>
    <w:rsid w:val="000D25C4"/>
    <w:rsid w:val="000E2D7D"/>
    <w:rsid w:val="00134A67"/>
    <w:rsid w:val="001A0164"/>
    <w:rsid w:val="0020004B"/>
    <w:rsid w:val="00200D6B"/>
    <w:rsid w:val="00265F6E"/>
    <w:rsid w:val="002876BF"/>
    <w:rsid w:val="002A4A7A"/>
    <w:rsid w:val="002A4BF3"/>
    <w:rsid w:val="002F7BB6"/>
    <w:rsid w:val="003448B2"/>
    <w:rsid w:val="00361DB2"/>
    <w:rsid w:val="0037622E"/>
    <w:rsid w:val="00377102"/>
    <w:rsid w:val="00386B8F"/>
    <w:rsid w:val="0039709B"/>
    <w:rsid w:val="003D5C53"/>
    <w:rsid w:val="003D72DA"/>
    <w:rsid w:val="003F1F97"/>
    <w:rsid w:val="0041048F"/>
    <w:rsid w:val="00437D59"/>
    <w:rsid w:val="004610A4"/>
    <w:rsid w:val="004B29FF"/>
    <w:rsid w:val="004C4994"/>
    <w:rsid w:val="004C7868"/>
    <w:rsid w:val="00503A3E"/>
    <w:rsid w:val="0052215A"/>
    <w:rsid w:val="00527F02"/>
    <w:rsid w:val="005803E2"/>
    <w:rsid w:val="0058440A"/>
    <w:rsid w:val="00591983"/>
    <w:rsid w:val="005A2503"/>
    <w:rsid w:val="005A63A6"/>
    <w:rsid w:val="00624A42"/>
    <w:rsid w:val="00652789"/>
    <w:rsid w:val="0065522F"/>
    <w:rsid w:val="00682942"/>
    <w:rsid w:val="006A01D9"/>
    <w:rsid w:val="006A30F7"/>
    <w:rsid w:val="006C42AD"/>
    <w:rsid w:val="006D46C0"/>
    <w:rsid w:val="00724578"/>
    <w:rsid w:val="00725345"/>
    <w:rsid w:val="00741CC0"/>
    <w:rsid w:val="007710C6"/>
    <w:rsid w:val="007B512F"/>
    <w:rsid w:val="007F7512"/>
    <w:rsid w:val="00810894"/>
    <w:rsid w:val="008143AB"/>
    <w:rsid w:val="0083345F"/>
    <w:rsid w:val="00836667"/>
    <w:rsid w:val="00866D0F"/>
    <w:rsid w:val="008C2F11"/>
    <w:rsid w:val="008D78B9"/>
    <w:rsid w:val="008E3F85"/>
    <w:rsid w:val="009051E8"/>
    <w:rsid w:val="00914156"/>
    <w:rsid w:val="00916FF8"/>
    <w:rsid w:val="00922093"/>
    <w:rsid w:val="00930C85"/>
    <w:rsid w:val="009B38DA"/>
    <w:rsid w:val="009E1709"/>
    <w:rsid w:val="009E3762"/>
    <w:rsid w:val="009F2F53"/>
    <w:rsid w:val="009F4187"/>
    <w:rsid w:val="00A12E0F"/>
    <w:rsid w:val="00A16ACC"/>
    <w:rsid w:val="00A51FAE"/>
    <w:rsid w:val="00A80845"/>
    <w:rsid w:val="00AB69F7"/>
    <w:rsid w:val="00AD097B"/>
    <w:rsid w:val="00AD64B9"/>
    <w:rsid w:val="00AE022B"/>
    <w:rsid w:val="00B009CC"/>
    <w:rsid w:val="00B0782A"/>
    <w:rsid w:val="00B437EA"/>
    <w:rsid w:val="00B62B8C"/>
    <w:rsid w:val="00B63343"/>
    <w:rsid w:val="00B87FF7"/>
    <w:rsid w:val="00BA0B08"/>
    <w:rsid w:val="00BC0E82"/>
    <w:rsid w:val="00BC2526"/>
    <w:rsid w:val="00BD40F9"/>
    <w:rsid w:val="00C30C9D"/>
    <w:rsid w:val="00C41C86"/>
    <w:rsid w:val="00C45C11"/>
    <w:rsid w:val="00C63A6C"/>
    <w:rsid w:val="00C94A64"/>
    <w:rsid w:val="00CA13AF"/>
    <w:rsid w:val="00CA1444"/>
    <w:rsid w:val="00CB1590"/>
    <w:rsid w:val="00CB7600"/>
    <w:rsid w:val="00CC0E9D"/>
    <w:rsid w:val="00CC3639"/>
    <w:rsid w:val="00D00B1D"/>
    <w:rsid w:val="00D00CB7"/>
    <w:rsid w:val="00D25F16"/>
    <w:rsid w:val="00D26814"/>
    <w:rsid w:val="00E21CA9"/>
    <w:rsid w:val="00E31063"/>
    <w:rsid w:val="00E36FE9"/>
    <w:rsid w:val="00E73E98"/>
    <w:rsid w:val="00E75223"/>
    <w:rsid w:val="00E90D72"/>
    <w:rsid w:val="00E92421"/>
    <w:rsid w:val="00EA0BE1"/>
    <w:rsid w:val="00EC23AC"/>
    <w:rsid w:val="00EC2992"/>
    <w:rsid w:val="00ED46A4"/>
    <w:rsid w:val="00ED6FD9"/>
    <w:rsid w:val="00EE3810"/>
    <w:rsid w:val="00F04835"/>
    <w:rsid w:val="00F63C3B"/>
    <w:rsid w:val="00F9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AC3753"/>
  <w15:chartTrackingRefBased/>
  <w15:docId w15:val="{0414ADD7-8BF8-4D30-9277-688703F8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rFonts w:cs="David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uller3">
    <w:name w:val="Ruller 3"/>
    <w:basedOn w:val="a"/>
    <w:rsid w:val="00A51FAE"/>
    <w:pPr>
      <w:tabs>
        <w:tab w:val="left" w:pos="3210"/>
        <w:tab w:val="left" w:pos="6753"/>
      </w:tabs>
      <w:spacing w:line="360" w:lineRule="auto"/>
    </w:pPr>
    <w:rPr>
      <w:rFonts w:cs="FrankRuehl"/>
      <w:spacing w:val="10"/>
      <w:sz w:val="22"/>
      <w:szCs w:val="28"/>
    </w:rPr>
  </w:style>
  <w:style w:type="paragraph" w:customStyle="1" w:styleId="Pskdinhead">
    <w:name w:val="Pskdin head"/>
    <w:basedOn w:val="a"/>
    <w:pPr>
      <w:spacing w:line="360" w:lineRule="auto"/>
    </w:pPr>
    <w:rPr>
      <w:b/>
      <w:bCs/>
      <w:u w:val="single"/>
    </w:rPr>
  </w:style>
  <w:style w:type="paragraph" w:customStyle="1" w:styleId="FileNumber">
    <w:name w:val="File Number"/>
    <w:basedOn w:val="a"/>
    <w:pPr>
      <w:spacing w:line="360" w:lineRule="auto"/>
      <w:jc w:val="right"/>
    </w:pPr>
    <w:rPr>
      <w:bCs/>
    </w:rPr>
  </w:style>
  <w:style w:type="paragraph" w:customStyle="1" w:styleId="FirstpagestylePsakdin">
    <w:name w:val="First page style Psak din"/>
    <w:basedOn w:val="Ruller3"/>
    <w:pPr>
      <w:tabs>
        <w:tab w:val="clear" w:pos="3210"/>
        <w:tab w:val="left" w:pos="3209"/>
      </w:tabs>
    </w:pPr>
    <w:rPr>
      <w:bCs/>
    </w:rPr>
  </w:style>
  <w:style w:type="paragraph" w:customStyle="1" w:styleId="TyutaDate">
    <w:name w:val="Tyuta Date"/>
    <w:basedOn w:val="a"/>
    <w:pPr>
      <w:jc w:val="center"/>
    </w:pPr>
    <w:rPr>
      <w:b/>
      <w:bCs/>
      <w:i/>
      <w:iCs/>
      <w:sz w:val="28"/>
      <w:szCs w:val="28"/>
    </w:rPr>
  </w:style>
  <w:style w:type="paragraph" w:customStyle="1" w:styleId="DocumentHead">
    <w:name w:val="Document Head"/>
    <w:basedOn w:val="a"/>
    <w:pPr>
      <w:spacing w:line="360" w:lineRule="auto"/>
      <w:jc w:val="center"/>
    </w:pPr>
    <w:rPr>
      <w:bCs/>
      <w:spacing w:val="30"/>
      <w:szCs w:val="28"/>
      <w:u w:val="single"/>
    </w:rPr>
  </w:style>
  <w:style w:type="paragraph" w:customStyle="1" w:styleId="TfutzaList">
    <w:name w:val="Tfutza List"/>
    <w:basedOn w:val="a"/>
    <w:rPr>
      <w:i/>
      <w:iCs/>
    </w:rPr>
  </w:style>
  <w:style w:type="paragraph" w:customStyle="1" w:styleId="Ruller4">
    <w:name w:val="Ruller4"/>
    <w:basedOn w:val="a"/>
    <w:rsid w:val="00A51FAE"/>
    <w:pPr>
      <w:tabs>
        <w:tab w:val="left" w:pos="800"/>
      </w:tabs>
      <w:spacing w:line="360" w:lineRule="auto"/>
      <w:jc w:val="both"/>
    </w:pPr>
    <w:rPr>
      <w:rFonts w:ascii="Arial TUR" w:hAnsi="Arial TUR" w:cs="FrankRuehl"/>
      <w:spacing w:val="10"/>
      <w:sz w:val="22"/>
      <w:szCs w:val="28"/>
    </w:rPr>
  </w:style>
  <w:style w:type="paragraph" w:customStyle="1" w:styleId="Ruller5">
    <w:name w:val="Ruller5"/>
    <w:basedOn w:val="a"/>
    <w:rsid w:val="00A51FAE"/>
    <w:pPr>
      <w:ind w:left="1642" w:right="1282"/>
      <w:jc w:val="both"/>
    </w:pPr>
    <w:rPr>
      <w:rFonts w:ascii="Arial TUR" w:hAnsi="Arial TUR" w:cs="FrankRuehl"/>
      <w:spacing w:val="10"/>
      <w:sz w:val="22"/>
      <w:szCs w:val="28"/>
    </w:rPr>
  </w:style>
  <w:style w:type="paragraph" w:customStyle="1" w:styleId="Ruller6">
    <w:name w:val="Ruller6"/>
    <w:basedOn w:val="a"/>
    <w:rsid w:val="00A51FAE"/>
    <w:pPr>
      <w:tabs>
        <w:tab w:val="left" w:pos="794"/>
        <w:tab w:val="left" w:pos="2268"/>
        <w:tab w:val="left" w:pos="5783"/>
        <w:tab w:val="left" w:pos="7371"/>
      </w:tabs>
    </w:pPr>
    <w:rPr>
      <w:rFonts w:ascii="Arial TUR" w:hAnsi="Arial TUR" w:cs="DavidFix"/>
      <w:spacing w:val="10"/>
      <w:sz w:val="22"/>
      <w:szCs w:val="20"/>
    </w:rPr>
  </w:style>
  <w:style w:type="character" w:customStyle="1" w:styleId="Delete">
    <w:name w:val="Delete"/>
    <w:rPr>
      <w:strike/>
    </w:rPr>
  </w:style>
  <w:style w:type="paragraph" w:customStyle="1" w:styleId="WriterName">
    <w:name w:val="Writer Name"/>
    <w:basedOn w:val="Ruller4"/>
    <w:next w:val="Ruller4"/>
    <w:rPr>
      <w:rFonts w:cs="David"/>
      <w:b/>
      <w:bCs/>
      <w:u w:val="single"/>
    </w:rPr>
  </w:style>
  <w:style w:type="character" w:customStyle="1" w:styleId="Hand">
    <w:name w:val="Hand"/>
    <w:rPr>
      <w:rFonts w:cs="Guttman Yad"/>
    </w:rPr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customStyle="1" w:styleId="2">
    <w:name w:val="ñâðåï2"/>
    <w:basedOn w:val="a"/>
    <w:pPr>
      <w:overflowPunct/>
      <w:textAlignment w:val="auto"/>
    </w:pPr>
    <w:rPr>
      <w:rFonts w:cs="Times New Roman"/>
    </w:rPr>
  </w:style>
  <w:style w:type="paragraph" w:customStyle="1" w:styleId="Casenameintextbody">
    <w:name w:val="Case name in text body"/>
    <w:basedOn w:val="a"/>
    <w:pPr>
      <w:overflowPunct/>
      <w:jc w:val="right"/>
      <w:textAlignment w:val="auto"/>
    </w:pPr>
    <w:rPr>
      <w:rFonts w:cs="Times New Roman"/>
      <w:b/>
      <w:bCs/>
      <w:u w:val="single"/>
    </w:rPr>
  </w:style>
  <w:style w:type="paragraph" w:customStyle="1" w:styleId="precasestyle">
    <w:name w:val="pre_case style"/>
    <w:basedOn w:val="a"/>
    <w:pPr>
      <w:tabs>
        <w:tab w:val="left" w:pos="2552"/>
      </w:tabs>
      <w:overflowPunct/>
      <w:ind w:right="2549"/>
      <w:textAlignment w:val="auto"/>
    </w:pPr>
    <w:rPr>
      <w:rFonts w:cs="Times New Roman"/>
    </w:rPr>
  </w:style>
  <w:style w:type="paragraph" w:customStyle="1" w:styleId="BodyRuller">
    <w:name w:val="Body Ruller"/>
    <w:basedOn w:val="a"/>
    <w:rPr>
      <w:sz w:val="22"/>
      <w:szCs w:val="28"/>
    </w:rPr>
  </w:style>
  <w:style w:type="paragraph" w:customStyle="1" w:styleId="Ruller38">
    <w:name w:val="סגנון Ruller 3 + (מורכב) ‏8 נק"/>
    <w:basedOn w:val="BodyRuller"/>
    <w:rPr>
      <w:szCs w:val="16"/>
    </w:rPr>
  </w:style>
  <w:style w:type="character" w:customStyle="1" w:styleId="Ruller30">
    <w:name w:val="Ruller 3 תו"/>
    <w:rPr>
      <w:rFonts w:cs="FrankRuehl"/>
      <w:sz w:val="22"/>
      <w:szCs w:val="28"/>
      <w:lang w:val="en-US" w:eastAsia="en-US" w:bidi="he-IL"/>
    </w:rPr>
  </w:style>
  <w:style w:type="character" w:customStyle="1" w:styleId="BodyRuller0">
    <w:name w:val="Body Ruller תו"/>
    <w:rPr>
      <w:rFonts w:cs="David"/>
      <w:sz w:val="22"/>
      <w:szCs w:val="28"/>
      <w:lang w:val="en-US" w:eastAsia="en-US" w:bidi="he-IL"/>
    </w:rPr>
  </w:style>
  <w:style w:type="character" w:customStyle="1" w:styleId="Ruller380">
    <w:name w:val="סגנון Ruller 3 + (מורכב) ‏8 נק תו"/>
    <w:rPr>
      <w:rFonts w:cs="David"/>
      <w:sz w:val="22"/>
      <w:szCs w:val="16"/>
      <w:lang w:val="en-US" w:eastAsia="en-US" w:bidi="he-IL"/>
    </w:rPr>
  </w:style>
  <w:style w:type="paragraph" w:customStyle="1" w:styleId="FileNumber0">
    <w:name w:val="סגנון File Number + ימין"/>
    <w:basedOn w:val="FileNumber"/>
    <w:rsid w:val="004C7868"/>
    <w:pPr>
      <w:jc w:val="left"/>
    </w:pPr>
    <w:rPr>
      <w:szCs w:val="28"/>
    </w:rPr>
  </w:style>
  <w:style w:type="paragraph" w:customStyle="1" w:styleId="BODYVERDICT">
    <w:name w:val="BODY VERDICT"/>
    <w:basedOn w:val="a"/>
    <w:rsid w:val="00036227"/>
    <w:rPr>
      <w:rFonts w:cs="FrankRuehl"/>
      <w:spacing w:val="10"/>
      <w:sz w:val="22"/>
      <w:szCs w:val="28"/>
    </w:rPr>
  </w:style>
  <w:style w:type="character" w:styleId="Hyperlink">
    <w:name w:val="Hyperlink"/>
    <w:rsid w:val="003F1F97"/>
    <w:rPr>
      <w:color w:val="0000FF"/>
      <w:u w:val="single"/>
    </w:rPr>
  </w:style>
  <w:style w:type="table" w:styleId="a6">
    <w:name w:val="Table Grid"/>
    <w:basedOn w:val="a1"/>
    <w:rsid w:val="003F1F97"/>
    <w:pPr>
      <w:overflowPunct w:val="0"/>
      <w:autoSpaceDE w:val="0"/>
      <w:autoSpaceDN w:val="0"/>
      <w:bidi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a0"/>
    <w:rsid w:val="0058440A"/>
    <w:rPr>
      <w:color w:val="954F72" w:themeColor="followedHyperlink"/>
      <w:u w:val="single"/>
    </w:rPr>
  </w:style>
  <w:style w:type="character" w:styleId="a7">
    <w:name w:val="annotation reference"/>
    <w:basedOn w:val="a0"/>
    <w:rsid w:val="00D00B1D"/>
    <w:rPr>
      <w:sz w:val="16"/>
      <w:szCs w:val="16"/>
    </w:rPr>
  </w:style>
  <w:style w:type="paragraph" w:styleId="a8">
    <w:name w:val="annotation text"/>
    <w:basedOn w:val="a"/>
    <w:link w:val="a9"/>
    <w:rsid w:val="00D00B1D"/>
    <w:rPr>
      <w:szCs w:val="20"/>
    </w:rPr>
  </w:style>
  <w:style w:type="character" w:customStyle="1" w:styleId="a9">
    <w:name w:val="טקסט הערה תו"/>
    <w:basedOn w:val="a0"/>
    <w:link w:val="a8"/>
    <w:rsid w:val="00D00B1D"/>
    <w:rPr>
      <w:rFonts w:cs="David"/>
    </w:rPr>
  </w:style>
  <w:style w:type="paragraph" w:styleId="aa">
    <w:name w:val="annotation subject"/>
    <w:basedOn w:val="a8"/>
    <w:next w:val="a8"/>
    <w:link w:val="ab"/>
    <w:rsid w:val="00D00B1D"/>
    <w:rPr>
      <w:b/>
      <w:bCs/>
    </w:rPr>
  </w:style>
  <w:style w:type="character" w:customStyle="1" w:styleId="ab">
    <w:name w:val="נושא הערה תו"/>
    <w:basedOn w:val="a9"/>
    <w:link w:val="aa"/>
    <w:rsid w:val="00D00B1D"/>
    <w:rPr>
      <w:rFonts w:cs="David"/>
      <w:b/>
      <w:bCs/>
    </w:rPr>
  </w:style>
  <w:style w:type="paragraph" w:styleId="ac">
    <w:name w:val="Balloon Text"/>
    <w:basedOn w:val="a"/>
    <w:link w:val="ad"/>
    <w:rsid w:val="00D00B1D"/>
    <w:rPr>
      <w:rFonts w:ascii="Tahoma" w:hAnsi="Tahoma" w:cs="Tahoma"/>
      <w:sz w:val="18"/>
      <w:szCs w:val="18"/>
    </w:rPr>
  </w:style>
  <w:style w:type="character" w:customStyle="1" w:styleId="ad">
    <w:name w:val="טקסט בלונים תו"/>
    <w:basedOn w:val="a0"/>
    <w:link w:val="ac"/>
    <w:rsid w:val="00D00B1D"/>
    <w:rPr>
      <w:rFonts w:ascii="Tahoma" w:hAnsi="Tahoma" w:cs="Tahoma"/>
      <w:sz w:val="18"/>
      <w:szCs w:val="18"/>
    </w:rPr>
  </w:style>
  <w:style w:type="paragraph" w:styleId="ae">
    <w:name w:val="List Paragraph"/>
    <w:basedOn w:val="a"/>
    <w:uiPriority w:val="34"/>
    <w:qFormat/>
    <w:rsid w:val="00682942"/>
    <w:pPr>
      <w:ind w:left="720"/>
      <w:contextualSpacing/>
    </w:pPr>
  </w:style>
  <w:style w:type="paragraph" w:customStyle="1" w:styleId="big-header">
    <w:name w:val="big-header"/>
    <w:basedOn w:val="a"/>
    <w:rsid w:val="006A01D9"/>
    <w:pPr>
      <w:keepNext/>
      <w:keepLines/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</w:tabs>
      <w:suppressAutoHyphens/>
      <w:overflowPunct/>
      <w:adjustRightInd/>
      <w:spacing w:before="440" w:after="120"/>
      <w:ind w:left="2835"/>
      <w:jc w:val="center"/>
      <w:textAlignment w:val="auto"/>
    </w:pPr>
    <w:rPr>
      <w:rFonts w:cs="Times New Roman"/>
      <w:noProof/>
      <w:szCs w:val="32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preme.court.gov.i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623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החלטה בתיק בג"ץ  2335/19</vt:lpstr>
    </vt:vector>
  </TitlesOfParts>
  <Company/>
  <LinksUpToDate>false</LinksUpToDate>
  <CharactersWithSpaces>3839</CharactersWithSpaces>
  <SharedDoc>false</SharedDoc>
  <HLinks>
    <vt:vector size="6" baseType="variant">
      <vt:variant>
        <vt:i4>1966158</vt:i4>
      </vt:variant>
      <vt:variant>
        <vt:i4>12</vt:i4>
      </vt:variant>
      <vt:variant>
        <vt:i4>0</vt:i4>
      </vt:variant>
      <vt:variant>
        <vt:i4>5</vt:i4>
      </vt:variant>
      <vt:variant>
        <vt:lpwstr>http://www.court.gov.il/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/>
  <cp:lastPrinted>2020-03-08T13:07:22Z</cp:lastPrinted>
  <dcterms:created xsi:type="dcterms:W3CDTF">2020-03-08T13:07:22Z</dcterms:created>
  <dcterms:modified xsi:type="dcterms:W3CDTF">2020-03-08T13:07:22Z</dcterms:modified>
</cp:coreProperties>
</file>