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6FF8" w:rsidRPr="00377102" w:rsidRDefault="00916FF8">
      <w:pPr>
        <w:jc w:val="right"/>
        <w:rPr>
          <w:rFonts w:cs="Miriam" w:hint="cs"/>
          <w:b/>
          <w:bCs/>
          <w:sz w:val="16"/>
          <w:szCs w:val="16"/>
          <w:u w:val="single"/>
        </w:rPr>
      </w:pPr>
    </w:p>
    <w:p w:rsidR="00916FF8" w:rsidRPr="00377102" w:rsidRDefault="00916FF8">
      <w:pPr>
        <w:jc w:val="right"/>
        <w:rPr>
          <w:rFonts w:cs="Miriam"/>
          <w:b/>
          <w:bCs/>
          <w:sz w:val="16"/>
          <w:szCs w:val="16"/>
          <w:u w:val="single"/>
        </w:rPr>
      </w:pPr>
    </w:p>
    <w:tbl>
      <w:tblPr>
        <w:bidiVisual/>
        <w:tblW w:w="8363" w:type="dxa"/>
        <w:tblInd w:w="9" w:type="dxa"/>
        <w:tblLook w:val="0000" w:firstRow="0" w:lastRow="0" w:firstColumn="0" w:lastColumn="0" w:noHBand="0" w:noVBand="0"/>
      </w:tblPr>
      <w:tblGrid>
        <w:gridCol w:w="8363"/>
      </w:tblGrid>
      <w:tr w:rsidR="00036227" w:rsidTr="0039709B">
        <w:tc>
          <w:tcPr>
            <w:tcW w:w="7848" w:type="dxa"/>
          </w:tcPr>
          <w:p w:rsidR="00916FF8" w:rsidRPr="00624A42" w:rsidRDefault="00181DE7" w:rsidP="004C7868">
            <w:pPr>
              <w:pStyle w:val="FileNumber0"/>
              <w:rPr>
                <w:sz w:val="28"/>
                <w:u w:val="single"/>
                <w:rtl/>
              </w:rPr>
            </w:pPr>
            <w:r>
              <w:rPr>
                <w:u w:val="single"/>
                <w:rtl/>
              </w:rPr>
              <w:t>בבית המשפט העליון</w:t>
            </w:r>
          </w:p>
        </w:tc>
      </w:tr>
    </w:tbl>
    <w:p w:rsidR="00916FF8" w:rsidRDefault="00916FF8">
      <w:pPr>
        <w:jc w:val="right"/>
        <w:rPr>
          <w:rFonts w:cs="Miriam"/>
          <w:b/>
          <w:bCs/>
          <w:u w:val="single"/>
        </w:rPr>
      </w:pPr>
    </w:p>
    <w:tbl>
      <w:tblPr>
        <w:bidiVisual/>
        <w:tblW w:w="8363" w:type="dxa"/>
        <w:tblLook w:val="0000" w:firstRow="0" w:lastRow="0" w:firstColumn="0" w:lastColumn="0" w:noHBand="0" w:noVBand="0"/>
      </w:tblPr>
      <w:tblGrid>
        <w:gridCol w:w="8363"/>
      </w:tblGrid>
      <w:tr w:rsidR="00036227" w:rsidTr="0039709B">
        <w:trPr>
          <w:trHeight w:val="342"/>
        </w:trPr>
        <w:tc>
          <w:tcPr>
            <w:tcW w:w="9828" w:type="dxa"/>
          </w:tcPr>
          <w:p w:rsidR="00916FF8" w:rsidRPr="00810894" w:rsidRDefault="00181DE7">
            <w:pPr>
              <w:pStyle w:val="FileNumber"/>
              <w:rPr>
                <w:sz w:val="28"/>
                <w:szCs w:val="28"/>
              </w:rPr>
            </w:pPr>
            <w:bookmarkStart w:id="0" w:name="casename_body"/>
            <w:r>
              <w:rPr>
                <w:sz w:val="28"/>
                <w:szCs w:val="28"/>
                <w:rtl/>
              </w:rPr>
              <w:t>רע"א  2454/19</w:t>
            </w:r>
          </w:p>
        </w:tc>
      </w:tr>
      <w:bookmarkEnd w:id="0"/>
    </w:tbl>
    <w:p w:rsidR="00916FF8" w:rsidRDefault="00916FF8">
      <w:pPr>
        <w:jc w:val="right"/>
        <w:rPr>
          <w:rFonts w:cs="Miriam"/>
          <w:b/>
          <w:bCs/>
          <w:u w:val="single"/>
        </w:rPr>
      </w:pPr>
    </w:p>
    <w:tbl>
      <w:tblPr>
        <w:bidiVisual/>
        <w:tblW w:w="8364" w:type="dxa"/>
        <w:tblLayout w:type="fixed"/>
        <w:tblLook w:val="0000" w:firstRow="0" w:lastRow="0" w:firstColumn="0" w:lastColumn="0" w:noHBand="0" w:noVBand="0"/>
      </w:tblPr>
      <w:tblGrid>
        <w:gridCol w:w="3210"/>
        <w:gridCol w:w="5154"/>
      </w:tblGrid>
      <w:tr w:rsidR="00036227" w:rsidTr="00EC23AC">
        <w:trPr>
          <w:trHeight w:val="287"/>
        </w:trPr>
        <w:tc>
          <w:tcPr>
            <w:tcW w:w="3261" w:type="dxa"/>
          </w:tcPr>
          <w:p w:rsidR="00036227" w:rsidRDefault="00CB7600">
            <w:pPr>
              <w:pStyle w:val="BodyRuller"/>
              <w:rPr>
                <w:rFonts w:cs="Miriam"/>
                <w:b/>
                <w:bCs/>
                <w:u w:val="single"/>
              </w:rPr>
            </w:pPr>
            <w:r>
              <w:rPr>
                <w:rFonts w:hint="cs"/>
                <w:rtl/>
              </w:rPr>
              <w:t>ל</w:t>
            </w:r>
            <w:r w:rsidR="00036227">
              <w:rPr>
                <w:rtl/>
              </w:rPr>
              <w:t>פני:</w:t>
            </w:r>
            <w:r w:rsidR="00036227">
              <w:rPr>
                <w:rtl/>
              </w:rPr>
              <w:tab/>
            </w:r>
          </w:p>
        </w:tc>
        <w:tc>
          <w:tcPr>
            <w:tcW w:w="5239" w:type="dxa"/>
          </w:tcPr>
          <w:p w:rsidR="00036227" w:rsidRDefault="00181DE7">
            <w:pPr>
              <w:pStyle w:val="BodyRuller"/>
            </w:pPr>
            <w:r>
              <w:rPr>
                <w:rtl/>
              </w:rPr>
              <w:t>כבוד השופט נ' סולברג</w:t>
            </w:r>
          </w:p>
        </w:tc>
      </w:tr>
    </w:tbl>
    <w:p w:rsidR="00916FF8" w:rsidRDefault="00916FF8" w:rsidP="006504BE">
      <w:pPr>
        <w:pStyle w:val="Ruller3"/>
        <w:rPr>
          <w:rFonts w:cs="Miriam"/>
          <w:b/>
          <w:bCs/>
          <w:u w:val="single"/>
          <w:rtl/>
        </w:rPr>
      </w:pPr>
    </w:p>
    <w:tbl>
      <w:tblPr>
        <w:bidiVisual/>
        <w:tblW w:w="8364" w:type="dxa"/>
        <w:tblInd w:w="136" w:type="dxa"/>
        <w:tblLayout w:type="fixed"/>
        <w:tblLook w:val="04A0" w:firstRow="1" w:lastRow="0" w:firstColumn="1" w:lastColumn="0" w:noHBand="0" w:noVBand="1"/>
      </w:tblPr>
      <w:tblGrid>
        <w:gridCol w:w="3261"/>
        <w:gridCol w:w="5103"/>
      </w:tblGrid>
      <w:tr w:rsidR="00432BF1" w:rsidTr="00432BF1">
        <w:trPr>
          <w:trHeight w:val="287"/>
        </w:trPr>
        <w:tc>
          <w:tcPr>
            <w:tcW w:w="3261" w:type="dxa"/>
            <w:hideMark/>
          </w:tcPr>
          <w:p w:rsidR="00432BF1" w:rsidRDefault="00432BF1">
            <w:pPr>
              <w:pStyle w:val="BodyRuller"/>
              <w:rPr>
                <w:rFonts w:ascii="David" w:hAnsi="David"/>
              </w:rPr>
            </w:pPr>
            <w:r>
              <w:rPr>
                <w:rFonts w:ascii="David" w:hAnsi="David" w:hint="cs"/>
                <w:rtl/>
              </w:rPr>
              <w:t>המבקשת:</w:t>
            </w:r>
          </w:p>
        </w:tc>
        <w:tc>
          <w:tcPr>
            <w:tcW w:w="5103" w:type="dxa"/>
            <w:hideMark/>
          </w:tcPr>
          <w:p w:rsidR="00432BF1" w:rsidRDefault="00432BF1">
            <w:pPr>
              <w:pStyle w:val="BodyRuller"/>
            </w:pPr>
            <w:proofErr w:type="spellStart"/>
            <w:r>
              <w:rPr>
                <w:rFonts w:hint="cs"/>
                <w:rtl/>
              </w:rPr>
              <w:t>ברודקום</w:t>
            </w:r>
            <w:proofErr w:type="spellEnd"/>
            <w:r>
              <w:rPr>
                <w:rFonts w:hint="cs"/>
                <w:rtl/>
              </w:rPr>
              <w:t xml:space="preserve"> </w:t>
            </w:r>
            <w:proofErr w:type="spellStart"/>
            <w:r>
              <w:rPr>
                <w:rFonts w:hint="cs"/>
                <w:rtl/>
              </w:rPr>
              <w:t>ברודבנד</w:t>
            </w:r>
            <w:proofErr w:type="spellEnd"/>
            <w:r>
              <w:rPr>
                <w:rFonts w:hint="cs"/>
                <w:rtl/>
              </w:rPr>
              <w:t xml:space="preserve"> </w:t>
            </w:r>
            <w:proofErr w:type="spellStart"/>
            <w:r>
              <w:rPr>
                <w:rFonts w:hint="cs"/>
                <w:rtl/>
              </w:rPr>
              <w:t>אקסס</w:t>
            </w:r>
            <w:proofErr w:type="spellEnd"/>
            <w:r>
              <w:rPr>
                <w:rFonts w:hint="cs"/>
                <w:rtl/>
              </w:rPr>
              <w:t xml:space="preserve"> בע"מ</w:t>
            </w:r>
          </w:p>
        </w:tc>
      </w:tr>
    </w:tbl>
    <w:p w:rsidR="00432BF1" w:rsidRDefault="00432BF1" w:rsidP="006504BE">
      <w:pPr>
        <w:pStyle w:val="Ruller3"/>
      </w:pPr>
    </w:p>
    <w:tbl>
      <w:tblPr>
        <w:bidiVisual/>
        <w:tblW w:w="8363" w:type="dxa"/>
        <w:tblLook w:val="04A0" w:firstRow="1" w:lastRow="0" w:firstColumn="1" w:lastColumn="0" w:noHBand="0" w:noVBand="1"/>
      </w:tblPr>
      <w:tblGrid>
        <w:gridCol w:w="3222"/>
        <w:gridCol w:w="5141"/>
      </w:tblGrid>
      <w:tr w:rsidR="00432BF1" w:rsidTr="00432BF1">
        <w:tc>
          <w:tcPr>
            <w:tcW w:w="3284" w:type="dxa"/>
          </w:tcPr>
          <w:p w:rsidR="00432BF1" w:rsidRDefault="00432BF1">
            <w:pPr>
              <w:pStyle w:val="BodyRuller"/>
            </w:pPr>
          </w:p>
        </w:tc>
        <w:tc>
          <w:tcPr>
            <w:tcW w:w="5238" w:type="dxa"/>
            <w:hideMark/>
          </w:tcPr>
          <w:p w:rsidR="00432BF1" w:rsidRDefault="00432BF1">
            <w:pPr>
              <w:pStyle w:val="BodyRuller"/>
            </w:pPr>
            <w:r>
              <w:rPr>
                <w:rFonts w:hint="cs"/>
                <w:rtl/>
              </w:rPr>
              <w:t>נ</w:t>
            </w:r>
            <w:r>
              <w:t xml:space="preserve">  </w:t>
            </w:r>
            <w:r>
              <w:rPr>
                <w:rFonts w:hint="cs"/>
                <w:rtl/>
              </w:rPr>
              <w:t>ג</w:t>
            </w:r>
            <w:r>
              <w:t xml:space="preserve">  </w:t>
            </w:r>
            <w:r>
              <w:rPr>
                <w:rFonts w:hint="cs"/>
                <w:rtl/>
              </w:rPr>
              <w:t>ד</w:t>
            </w:r>
          </w:p>
        </w:tc>
      </w:tr>
    </w:tbl>
    <w:p w:rsidR="00432BF1" w:rsidRDefault="00432BF1" w:rsidP="006504BE">
      <w:pPr>
        <w:pStyle w:val="Ruller3"/>
      </w:pPr>
    </w:p>
    <w:tbl>
      <w:tblPr>
        <w:bidiVisual/>
        <w:tblW w:w="8364" w:type="dxa"/>
        <w:tblInd w:w="136" w:type="dxa"/>
        <w:tblLayout w:type="fixed"/>
        <w:tblLook w:val="04A0" w:firstRow="1" w:lastRow="0" w:firstColumn="1" w:lastColumn="0" w:noHBand="0" w:noVBand="1"/>
      </w:tblPr>
      <w:tblGrid>
        <w:gridCol w:w="3261"/>
        <w:gridCol w:w="5103"/>
      </w:tblGrid>
      <w:tr w:rsidR="00432BF1" w:rsidTr="00432BF1">
        <w:trPr>
          <w:trHeight w:val="287"/>
        </w:trPr>
        <w:tc>
          <w:tcPr>
            <w:tcW w:w="3261" w:type="dxa"/>
            <w:hideMark/>
          </w:tcPr>
          <w:p w:rsidR="00432BF1" w:rsidRDefault="00432BF1">
            <w:pPr>
              <w:pStyle w:val="BodyRuller"/>
              <w:rPr>
                <w:rFonts w:ascii="David" w:hAnsi="David"/>
                <w:rtl/>
              </w:rPr>
            </w:pPr>
            <w:r>
              <w:rPr>
                <w:rFonts w:ascii="David" w:hAnsi="David" w:hint="cs"/>
                <w:rtl/>
              </w:rPr>
              <w:t>המשיב:</w:t>
            </w:r>
          </w:p>
        </w:tc>
        <w:tc>
          <w:tcPr>
            <w:tcW w:w="5103" w:type="dxa"/>
            <w:hideMark/>
          </w:tcPr>
          <w:p w:rsidR="00432BF1" w:rsidRDefault="00432BF1">
            <w:pPr>
              <w:pStyle w:val="BodyRuller"/>
            </w:pPr>
            <w:r>
              <w:rPr>
                <w:rFonts w:hint="cs"/>
                <w:rtl/>
              </w:rPr>
              <w:t>פקיד שומה גוש דן</w:t>
            </w:r>
          </w:p>
        </w:tc>
      </w:tr>
    </w:tbl>
    <w:p w:rsidR="00432BF1" w:rsidRDefault="00432BF1" w:rsidP="006504BE">
      <w:pPr>
        <w:pStyle w:val="Ruller3"/>
      </w:pPr>
    </w:p>
    <w:tbl>
      <w:tblPr>
        <w:bidiVisual/>
        <w:tblW w:w="0" w:type="auto"/>
        <w:tblInd w:w="3209" w:type="dxa"/>
        <w:tblLook w:val="04A0" w:firstRow="1" w:lastRow="0" w:firstColumn="1" w:lastColumn="0" w:noHBand="0" w:noVBand="1"/>
      </w:tblPr>
      <w:tblGrid>
        <w:gridCol w:w="5103"/>
      </w:tblGrid>
      <w:tr w:rsidR="00432BF1" w:rsidTr="00432BF1">
        <w:tc>
          <w:tcPr>
            <w:tcW w:w="5103" w:type="dxa"/>
            <w:hideMark/>
          </w:tcPr>
          <w:p w:rsidR="00432BF1" w:rsidRDefault="00432BF1">
            <w:pPr>
              <w:pStyle w:val="BodyRuller"/>
              <w:jc w:val="both"/>
              <w:rPr>
                <w:sz w:val="24"/>
                <w:szCs w:val="24"/>
              </w:rPr>
            </w:pPr>
            <w:r>
              <w:rPr>
                <w:rFonts w:hint="cs"/>
                <w:sz w:val="24"/>
                <w:szCs w:val="24"/>
                <w:rtl/>
              </w:rPr>
              <w:t xml:space="preserve">בקשת רשות ערעור על החלטת בית המשפט המחוזי בתל אביב-יפו מיום 20.2.2019 בע"מ 17419-02-18 שניתנה על ידי כבוד השופטת </w:t>
            </w:r>
            <w:r>
              <w:rPr>
                <w:rFonts w:ascii="Century" w:hAnsi="Century" w:cs="Miriam" w:hint="cs"/>
                <w:b/>
                <w:sz w:val="20"/>
                <w:szCs w:val="22"/>
                <w:rtl/>
              </w:rPr>
              <w:t>י' סרוסי</w:t>
            </w:r>
            <w:r>
              <w:rPr>
                <w:rFonts w:hint="cs"/>
                <w:szCs w:val="22"/>
                <w:rtl/>
              </w:rPr>
              <w:t xml:space="preserve"> </w:t>
            </w:r>
          </w:p>
        </w:tc>
      </w:tr>
    </w:tbl>
    <w:p w:rsidR="00432BF1" w:rsidRDefault="00432BF1" w:rsidP="006504BE">
      <w:pPr>
        <w:pStyle w:val="Ruller3"/>
      </w:pPr>
    </w:p>
    <w:tbl>
      <w:tblPr>
        <w:bidiVisual/>
        <w:tblW w:w="8363" w:type="dxa"/>
        <w:tblLook w:val="04A0" w:firstRow="1" w:lastRow="0" w:firstColumn="1" w:lastColumn="0" w:noHBand="0" w:noVBand="1"/>
      </w:tblPr>
      <w:tblGrid>
        <w:gridCol w:w="3233"/>
        <w:gridCol w:w="5130"/>
      </w:tblGrid>
      <w:tr w:rsidR="00432BF1" w:rsidTr="00432BF1">
        <w:tc>
          <w:tcPr>
            <w:tcW w:w="3284" w:type="dxa"/>
            <w:hideMark/>
          </w:tcPr>
          <w:p w:rsidR="00432BF1" w:rsidRDefault="00432BF1">
            <w:pPr>
              <w:pStyle w:val="BodyRuller"/>
              <w:rPr>
                <w:rtl/>
              </w:rPr>
            </w:pPr>
            <w:r>
              <w:rPr>
                <w:rFonts w:hint="cs"/>
                <w:rtl/>
              </w:rPr>
              <w:t>בשם המבקשת:</w:t>
            </w:r>
          </w:p>
        </w:tc>
        <w:tc>
          <w:tcPr>
            <w:tcW w:w="5238" w:type="dxa"/>
            <w:hideMark/>
          </w:tcPr>
          <w:p w:rsidR="00432BF1" w:rsidRDefault="00432BF1">
            <w:pPr>
              <w:pStyle w:val="BodyRuller"/>
            </w:pPr>
            <w:r>
              <w:rPr>
                <w:rFonts w:hint="cs"/>
                <w:rtl/>
              </w:rPr>
              <w:t xml:space="preserve">עו"ד דניאל </w:t>
            </w:r>
            <w:proofErr w:type="spellStart"/>
            <w:r>
              <w:rPr>
                <w:rFonts w:hint="cs"/>
                <w:rtl/>
              </w:rPr>
              <w:t>פסרמן</w:t>
            </w:r>
            <w:proofErr w:type="spellEnd"/>
            <w:r>
              <w:rPr>
                <w:rFonts w:hint="cs"/>
                <w:rtl/>
              </w:rPr>
              <w:t xml:space="preserve">; עו"ד שלמה אביעד </w:t>
            </w:r>
            <w:proofErr w:type="spellStart"/>
            <w:r>
              <w:rPr>
                <w:rFonts w:hint="cs"/>
                <w:rtl/>
              </w:rPr>
              <w:t>זידר</w:t>
            </w:r>
            <w:proofErr w:type="spellEnd"/>
            <w:r>
              <w:rPr>
                <w:rFonts w:hint="cs"/>
                <w:rtl/>
              </w:rPr>
              <w:t>; עו"ד עדי חיה רבן; עו"ד שירין גבאי מצגר</w:t>
            </w:r>
          </w:p>
        </w:tc>
      </w:tr>
    </w:tbl>
    <w:p w:rsidR="00916FF8" w:rsidRDefault="00916FF8" w:rsidP="006504BE">
      <w:pPr>
        <w:pStyle w:val="Ruller3"/>
        <w:rPr>
          <w:rtl/>
        </w:rPr>
      </w:pPr>
    </w:p>
    <w:tbl>
      <w:tblPr>
        <w:bidiVisual/>
        <w:tblW w:w="8363" w:type="dxa"/>
        <w:tblLook w:val="0000" w:firstRow="0" w:lastRow="0" w:firstColumn="0" w:lastColumn="0" w:noHBand="0" w:noVBand="0"/>
      </w:tblPr>
      <w:tblGrid>
        <w:gridCol w:w="3231"/>
        <w:gridCol w:w="5132"/>
      </w:tblGrid>
      <w:tr w:rsidR="00432BF1" w:rsidTr="0039709B">
        <w:tc>
          <w:tcPr>
            <w:tcW w:w="3284" w:type="dxa"/>
          </w:tcPr>
          <w:p w:rsidR="00432BF1" w:rsidRDefault="00432BF1">
            <w:pPr>
              <w:pStyle w:val="BodyRuller"/>
            </w:pPr>
            <w:r>
              <w:rPr>
                <w:rFonts w:hint="cs"/>
                <w:rtl/>
              </w:rPr>
              <w:t>בשם המשיב:</w:t>
            </w:r>
          </w:p>
        </w:tc>
        <w:tc>
          <w:tcPr>
            <w:tcW w:w="5238" w:type="dxa"/>
          </w:tcPr>
          <w:p w:rsidR="00432BF1" w:rsidRDefault="00432BF1">
            <w:pPr>
              <w:pStyle w:val="BodyRuller"/>
            </w:pPr>
            <w:r>
              <w:rPr>
                <w:rFonts w:hint="cs"/>
                <w:rtl/>
              </w:rPr>
              <w:t>עו"ד טליה נעים</w:t>
            </w:r>
          </w:p>
        </w:tc>
      </w:tr>
    </w:tbl>
    <w:p w:rsidR="00432BF1" w:rsidRPr="00432BF1" w:rsidRDefault="00432BF1">
      <w:pPr>
        <w:pStyle w:val="Ruller3"/>
      </w:pPr>
    </w:p>
    <w:tbl>
      <w:tblPr>
        <w:bidiVisual/>
        <w:tblW w:w="8363" w:type="dxa"/>
        <w:tblLook w:val="0000" w:firstRow="0" w:lastRow="0" w:firstColumn="0" w:lastColumn="0" w:noHBand="0" w:noVBand="0"/>
      </w:tblPr>
      <w:tblGrid>
        <w:gridCol w:w="8363"/>
      </w:tblGrid>
      <w:tr w:rsidR="00036227" w:rsidTr="00432BF1">
        <w:tc>
          <w:tcPr>
            <w:tcW w:w="8363" w:type="dxa"/>
          </w:tcPr>
          <w:p w:rsidR="00916FF8" w:rsidRDefault="00181DE7">
            <w:pPr>
              <w:pStyle w:val="DocumentHead"/>
            </w:pPr>
            <w:bookmarkStart w:id="1" w:name="secretary"/>
            <w:bookmarkStart w:id="2" w:name="BeginProtocol"/>
            <w:bookmarkEnd w:id="1"/>
            <w:bookmarkEnd w:id="2"/>
            <w:r>
              <w:rPr>
                <w:rtl/>
              </w:rPr>
              <w:t>החלטה</w:t>
            </w:r>
          </w:p>
        </w:tc>
      </w:tr>
    </w:tbl>
    <w:p w:rsidR="0065522F" w:rsidRDefault="0065522F">
      <w:pPr>
        <w:pStyle w:val="BODYVERDICT"/>
      </w:pPr>
    </w:p>
    <w:p w:rsidR="00C005B4" w:rsidRDefault="00C005B4" w:rsidP="00377154">
      <w:pPr>
        <w:tabs>
          <w:tab w:val="left" w:pos="800"/>
        </w:tabs>
        <w:spacing w:line="360" w:lineRule="auto"/>
        <w:contextualSpacing/>
        <w:jc w:val="both"/>
        <w:rPr>
          <w:rFonts w:ascii="Century" w:hAnsi="Century" w:cs="FrankRuehl"/>
          <w:spacing w:val="10"/>
          <w:szCs w:val="28"/>
          <w:rtl/>
        </w:rPr>
      </w:pPr>
      <w:bookmarkStart w:id="3" w:name="Writer_Name"/>
      <w:bookmarkStart w:id="4" w:name="Start_Write"/>
      <w:bookmarkEnd w:id="3"/>
      <w:bookmarkEnd w:id="4"/>
      <w:r w:rsidRPr="0038765F">
        <w:rPr>
          <w:rFonts w:ascii="Century" w:hAnsi="Century" w:cs="FrankRuehl" w:hint="cs"/>
          <w:spacing w:val="10"/>
          <w:szCs w:val="28"/>
          <w:rtl/>
        </w:rPr>
        <w:t xml:space="preserve">1. </w:t>
      </w:r>
      <w:r w:rsidRPr="0038765F">
        <w:rPr>
          <w:rFonts w:ascii="Century" w:hAnsi="Century" w:cs="FrankRuehl"/>
          <w:spacing w:val="10"/>
          <w:szCs w:val="28"/>
          <w:rtl/>
        </w:rPr>
        <w:tab/>
      </w:r>
      <w:r w:rsidRPr="0038765F">
        <w:rPr>
          <w:rFonts w:ascii="Century" w:hAnsi="Century" w:cs="FrankRuehl" w:hint="cs"/>
          <w:spacing w:val="10"/>
          <w:szCs w:val="28"/>
          <w:rtl/>
        </w:rPr>
        <w:t xml:space="preserve">בקשת רשות ערעור על החלטת בית המשפט המחוזי </w:t>
      </w:r>
      <w:r>
        <w:rPr>
          <w:rFonts w:ascii="Century" w:hAnsi="Century" w:cs="FrankRuehl" w:hint="cs"/>
          <w:spacing w:val="10"/>
          <w:szCs w:val="28"/>
          <w:rtl/>
        </w:rPr>
        <w:t>בתל אביב-יפו</w:t>
      </w:r>
      <w:r w:rsidRPr="0038765F">
        <w:rPr>
          <w:rFonts w:ascii="Century" w:hAnsi="Century" w:cs="FrankRuehl" w:hint="cs"/>
          <w:spacing w:val="10"/>
          <w:szCs w:val="28"/>
          <w:rtl/>
        </w:rPr>
        <w:t xml:space="preserve"> מיום </w:t>
      </w:r>
      <w:r>
        <w:rPr>
          <w:rFonts w:ascii="Century" w:hAnsi="Century" w:cs="FrankRuehl" w:hint="cs"/>
          <w:spacing w:val="10"/>
          <w:szCs w:val="28"/>
          <w:rtl/>
        </w:rPr>
        <w:t>20.2</w:t>
      </w:r>
      <w:r w:rsidRPr="0038765F">
        <w:rPr>
          <w:rFonts w:ascii="Century" w:hAnsi="Century" w:cs="FrankRuehl" w:hint="cs"/>
          <w:spacing w:val="10"/>
          <w:szCs w:val="28"/>
          <w:rtl/>
        </w:rPr>
        <w:t xml:space="preserve">.2019 </w:t>
      </w:r>
      <w:r>
        <w:rPr>
          <w:rFonts w:ascii="Century" w:hAnsi="Century" w:cs="FrankRuehl" w:hint="cs"/>
          <w:spacing w:val="10"/>
          <w:szCs w:val="28"/>
          <w:rtl/>
        </w:rPr>
        <w:t>בע"מ 17419-02-18</w:t>
      </w:r>
      <w:r w:rsidRPr="0038765F">
        <w:rPr>
          <w:rFonts w:ascii="Century" w:hAnsi="Century" w:cs="FrankRuehl" w:hint="cs"/>
          <w:spacing w:val="10"/>
          <w:szCs w:val="28"/>
          <w:rtl/>
        </w:rPr>
        <w:t xml:space="preserve"> (השופט</w:t>
      </w:r>
      <w:r>
        <w:rPr>
          <w:rFonts w:ascii="Century" w:hAnsi="Century" w:cs="FrankRuehl" w:hint="cs"/>
          <w:spacing w:val="10"/>
          <w:szCs w:val="28"/>
          <w:rtl/>
        </w:rPr>
        <w:t>ת</w:t>
      </w:r>
      <w:r w:rsidRPr="0038765F">
        <w:rPr>
          <w:rFonts w:ascii="Century" w:hAnsi="Century" w:cs="FrankRuehl" w:hint="cs"/>
          <w:spacing w:val="10"/>
          <w:szCs w:val="28"/>
          <w:rtl/>
        </w:rPr>
        <w:t xml:space="preserve"> </w:t>
      </w:r>
      <w:r>
        <w:rPr>
          <w:rFonts w:ascii="Century" w:hAnsi="Century" w:cs="Miriam" w:hint="cs"/>
          <w:b/>
          <w:rtl/>
        </w:rPr>
        <w:t>י' סרוסי</w:t>
      </w:r>
      <w:r w:rsidRPr="0038765F">
        <w:rPr>
          <w:rFonts w:ascii="Century" w:hAnsi="Century" w:cs="FrankRuehl" w:hint="cs"/>
          <w:spacing w:val="10"/>
          <w:szCs w:val="28"/>
          <w:rtl/>
        </w:rPr>
        <w:t xml:space="preserve">), בגדרה </w:t>
      </w:r>
      <w:r>
        <w:rPr>
          <w:rFonts w:ascii="Century" w:hAnsi="Century" w:cs="FrankRuehl" w:hint="cs"/>
          <w:spacing w:val="10"/>
          <w:szCs w:val="28"/>
          <w:rtl/>
        </w:rPr>
        <w:t xml:space="preserve">נדחתה בקשת המבקשת </w:t>
      </w:r>
      <w:r w:rsidRPr="00C005B4">
        <w:rPr>
          <w:rFonts w:ascii="Century" w:hAnsi="Century" w:cs="Miriam" w:hint="cs"/>
          <w:b/>
          <w:sz w:val="22"/>
          <w:rtl/>
        </w:rPr>
        <w:t>"להשתת נטל ההוכחה ונטל הבאת הראיות</w:t>
      </w:r>
      <w:r w:rsidR="00377154">
        <w:rPr>
          <w:rFonts w:ascii="Century" w:hAnsi="Century" w:cs="Miriam" w:hint="cs"/>
          <w:b/>
          <w:sz w:val="22"/>
          <w:rtl/>
        </w:rPr>
        <w:t xml:space="preserve"> </w:t>
      </w:r>
      <w:r w:rsidRPr="00C005B4">
        <w:rPr>
          <w:rFonts w:ascii="Century" w:hAnsi="Century" w:cs="Miriam" w:hint="cs"/>
          <w:b/>
          <w:sz w:val="22"/>
          <w:rtl/>
        </w:rPr>
        <w:t>ב</w:t>
      </w:r>
      <w:bookmarkStart w:id="5" w:name="_GoBack"/>
      <w:bookmarkEnd w:id="5"/>
      <w:r w:rsidRPr="00C005B4">
        <w:rPr>
          <w:rFonts w:ascii="Century" w:hAnsi="Century" w:cs="Miriam" w:hint="cs"/>
          <w:b/>
          <w:sz w:val="22"/>
          <w:rtl/>
        </w:rPr>
        <w:t>הליך על המשיב"</w:t>
      </w:r>
      <w:r>
        <w:rPr>
          <w:rFonts w:ascii="Century" w:hAnsi="Century" w:cs="FrankRuehl" w:hint="cs"/>
          <w:spacing w:val="10"/>
          <w:szCs w:val="28"/>
          <w:rtl/>
        </w:rPr>
        <w:t>.</w:t>
      </w:r>
    </w:p>
    <w:p w:rsidR="00C005B4" w:rsidRDefault="00C005B4" w:rsidP="00C005B4">
      <w:pPr>
        <w:tabs>
          <w:tab w:val="left" w:pos="800"/>
        </w:tabs>
        <w:spacing w:line="360" w:lineRule="auto"/>
        <w:contextualSpacing/>
        <w:jc w:val="both"/>
        <w:rPr>
          <w:rFonts w:ascii="Century" w:hAnsi="Century" w:cs="FrankRuehl"/>
          <w:spacing w:val="10"/>
          <w:szCs w:val="28"/>
          <w:rtl/>
        </w:rPr>
      </w:pPr>
    </w:p>
    <w:p w:rsidR="00C005B4" w:rsidRDefault="00C005B4" w:rsidP="00C005B4">
      <w:pPr>
        <w:tabs>
          <w:tab w:val="left" w:pos="800"/>
        </w:tabs>
        <w:spacing w:line="360" w:lineRule="auto"/>
        <w:contextualSpacing/>
        <w:jc w:val="both"/>
        <w:rPr>
          <w:rFonts w:ascii="Century" w:hAnsi="Century" w:cs="FrankRuehl"/>
          <w:spacing w:val="10"/>
          <w:szCs w:val="28"/>
          <w:rtl/>
        </w:rPr>
      </w:pPr>
      <w:r>
        <w:rPr>
          <w:rFonts w:ascii="Century" w:hAnsi="Century" w:cs="Miriam" w:hint="cs"/>
          <w:b/>
          <w:rtl/>
        </w:rPr>
        <w:t>רקע והחלטת בית המשפט המחוזי</w:t>
      </w:r>
    </w:p>
    <w:p w:rsidR="00C005B4" w:rsidRDefault="00C005B4" w:rsidP="002C05BC">
      <w:pPr>
        <w:tabs>
          <w:tab w:val="left" w:pos="800"/>
        </w:tabs>
        <w:spacing w:line="360" w:lineRule="auto"/>
        <w:contextualSpacing/>
        <w:jc w:val="both"/>
        <w:rPr>
          <w:rFonts w:ascii="Century" w:hAnsi="Century" w:cs="FrankRuehl"/>
          <w:spacing w:val="10"/>
          <w:szCs w:val="28"/>
          <w:rtl/>
        </w:rPr>
      </w:pPr>
      <w:r>
        <w:rPr>
          <w:rFonts w:ascii="Century" w:hAnsi="Century" w:cs="FrankRuehl" w:hint="cs"/>
          <w:spacing w:val="10"/>
          <w:szCs w:val="28"/>
          <w:rtl/>
        </w:rPr>
        <w:t>2.</w:t>
      </w:r>
      <w:r>
        <w:rPr>
          <w:rFonts w:ascii="Century" w:hAnsi="Century" w:cs="FrankRuehl" w:hint="cs"/>
          <w:spacing w:val="10"/>
          <w:szCs w:val="28"/>
          <w:rtl/>
        </w:rPr>
        <w:tab/>
        <w:t>המבקשת היא חבר</w:t>
      </w:r>
      <w:r w:rsidR="002C05BC">
        <w:rPr>
          <w:rFonts w:ascii="Century" w:hAnsi="Century" w:cs="FrankRuehl" w:hint="cs"/>
          <w:spacing w:val="10"/>
          <w:szCs w:val="28"/>
          <w:rtl/>
        </w:rPr>
        <w:t>ה ישראלית, שהתאגדה בשנת 2000, וכ</w:t>
      </w:r>
      <w:r>
        <w:rPr>
          <w:rFonts w:ascii="Century" w:hAnsi="Century" w:cs="FrankRuehl" w:hint="cs"/>
          <w:spacing w:val="10"/>
          <w:szCs w:val="28"/>
          <w:rtl/>
        </w:rPr>
        <w:t xml:space="preserve">ל מניותיה הוחזקו על-ידי חברה אמריקאית בשם </w:t>
      </w:r>
      <w:proofErr w:type="spellStart"/>
      <w:r w:rsidRPr="002C05BC">
        <w:rPr>
          <w:rFonts w:ascii="Century" w:hAnsi="Century" w:cs="FrankRuehl"/>
          <w:spacing w:val="10"/>
          <w:sz w:val="22"/>
          <w:szCs w:val="30"/>
        </w:rPr>
        <w:t>Broadlight</w:t>
      </w:r>
      <w:proofErr w:type="spellEnd"/>
      <w:r>
        <w:rPr>
          <w:rFonts w:ascii="Century" w:hAnsi="Century" w:cs="FrankRuehl"/>
          <w:spacing w:val="10"/>
          <w:szCs w:val="28"/>
        </w:rPr>
        <w:t xml:space="preserve"> </w:t>
      </w:r>
      <w:r w:rsidRPr="002C05BC">
        <w:rPr>
          <w:rFonts w:ascii="Century" w:hAnsi="Century" w:cs="FrankRuehl"/>
          <w:spacing w:val="10"/>
          <w:sz w:val="22"/>
          <w:szCs w:val="30"/>
        </w:rPr>
        <w:t>Inc</w:t>
      </w:r>
      <w:r w:rsidR="002C05BC">
        <w:rPr>
          <w:rFonts w:ascii="Century" w:hAnsi="Century" w:cs="FrankRuehl"/>
          <w:spacing w:val="10"/>
          <w:sz w:val="22"/>
          <w:szCs w:val="30"/>
        </w:rPr>
        <w:t>.</w:t>
      </w:r>
      <w:r>
        <w:rPr>
          <w:rFonts w:ascii="Century" w:hAnsi="Century" w:cs="FrankRuehl" w:hint="cs"/>
          <w:spacing w:val="10"/>
          <w:szCs w:val="28"/>
          <w:rtl/>
        </w:rPr>
        <w:t xml:space="preserve"> </w:t>
      </w:r>
      <w:r>
        <w:rPr>
          <w:rFonts w:ascii="Century" w:hAnsi="Century" w:cs="FrankRuehl"/>
          <w:spacing w:val="10"/>
          <w:szCs w:val="28"/>
          <w:rtl/>
        </w:rPr>
        <w:t>(</w:t>
      </w:r>
      <w:r>
        <w:rPr>
          <w:rFonts w:ascii="Century" w:hAnsi="Century" w:cs="FrankRuehl" w:hint="eastAsia"/>
          <w:spacing w:val="10"/>
          <w:szCs w:val="28"/>
          <w:rtl/>
        </w:rPr>
        <w:t>להלן</w:t>
      </w:r>
      <w:r>
        <w:rPr>
          <w:rFonts w:ascii="Century" w:hAnsi="Century" w:cs="FrankRuehl"/>
          <w:spacing w:val="10"/>
          <w:szCs w:val="28"/>
          <w:rtl/>
        </w:rPr>
        <w:t xml:space="preserve">: </w:t>
      </w:r>
      <w:r>
        <w:rPr>
          <w:rFonts w:ascii="Century" w:hAnsi="Century" w:cs="Miriam" w:hint="cs"/>
          <w:b/>
          <w:rtl/>
        </w:rPr>
        <w:t>חברת האם</w:t>
      </w:r>
      <w:r>
        <w:rPr>
          <w:rFonts w:ascii="Century" w:hAnsi="Century" w:cs="FrankRuehl" w:hint="cs"/>
          <w:spacing w:val="10"/>
          <w:szCs w:val="28"/>
          <w:rtl/>
        </w:rPr>
        <w:t xml:space="preserve">). בשנת 2012, נרכשו </w:t>
      </w:r>
      <w:r w:rsidR="002C05BC">
        <w:rPr>
          <w:rFonts w:ascii="Century" w:hAnsi="Century" w:cs="FrankRuehl" w:hint="cs"/>
          <w:spacing w:val="10"/>
          <w:szCs w:val="28"/>
          <w:rtl/>
        </w:rPr>
        <w:t>כ</w:t>
      </w:r>
      <w:r>
        <w:rPr>
          <w:rFonts w:ascii="Century" w:hAnsi="Century" w:cs="FrankRuehl" w:hint="cs"/>
          <w:spacing w:val="10"/>
          <w:szCs w:val="28"/>
          <w:rtl/>
        </w:rPr>
        <w:t xml:space="preserve">ל מניותיה של חברת האם על-ידי חברה אמריקאית אחרת, </w:t>
      </w:r>
      <w:r w:rsidRPr="002C05BC">
        <w:rPr>
          <w:rFonts w:ascii="Century" w:hAnsi="Century" w:cs="FrankRuehl"/>
          <w:spacing w:val="10"/>
          <w:sz w:val="22"/>
          <w:szCs w:val="30"/>
        </w:rPr>
        <w:t>Broadcom</w:t>
      </w:r>
      <w:r>
        <w:rPr>
          <w:rFonts w:ascii="Century" w:hAnsi="Century" w:cs="FrankRuehl"/>
          <w:spacing w:val="10"/>
          <w:szCs w:val="28"/>
        </w:rPr>
        <w:t xml:space="preserve"> </w:t>
      </w:r>
      <w:r w:rsidRPr="002C05BC">
        <w:rPr>
          <w:rFonts w:ascii="Century" w:hAnsi="Century" w:cs="FrankRuehl"/>
          <w:spacing w:val="10"/>
          <w:sz w:val="22"/>
          <w:szCs w:val="30"/>
        </w:rPr>
        <w:t>Corporation</w:t>
      </w:r>
      <w:r>
        <w:rPr>
          <w:rFonts w:ascii="Century" w:hAnsi="Century" w:cs="FrankRuehl" w:hint="cs"/>
          <w:spacing w:val="10"/>
          <w:szCs w:val="28"/>
          <w:rtl/>
        </w:rPr>
        <w:t xml:space="preserve"> </w:t>
      </w:r>
      <w:r>
        <w:rPr>
          <w:rFonts w:ascii="Century" w:hAnsi="Century" w:cs="FrankRuehl"/>
          <w:spacing w:val="10"/>
          <w:szCs w:val="28"/>
          <w:rtl/>
        </w:rPr>
        <w:t>(</w:t>
      </w:r>
      <w:r>
        <w:rPr>
          <w:rFonts w:ascii="Century" w:hAnsi="Century" w:cs="FrankRuehl" w:hint="eastAsia"/>
          <w:spacing w:val="10"/>
          <w:szCs w:val="28"/>
          <w:rtl/>
        </w:rPr>
        <w:t>להלן</w:t>
      </w:r>
      <w:r>
        <w:rPr>
          <w:rFonts w:ascii="Century" w:hAnsi="Century" w:cs="FrankRuehl"/>
          <w:spacing w:val="10"/>
          <w:szCs w:val="28"/>
          <w:rtl/>
        </w:rPr>
        <w:t xml:space="preserve">: </w:t>
      </w:r>
      <w:proofErr w:type="spellStart"/>
      <w:r>
        <w:rPr>
          <w:rFonts w:ascii="Century" w:hAnsi="Century" w:cs="Miriam" w:hint="cs"/>
          <w:b/>
          <w:rtl/>
        </w:rPr>
        <w:t>ברודקום</w:t>
      </w:r>
      <w:proofErr w:type="spellEnd"/>
      <w:r>
        <w:rPr>
          <w:rFonts w:ascii="Century" w:hAnsi="Century" w:cs="FrankRuehl" w:hint="cs"/>
          <w:spacing w:val="10"/>
          <w:szCs w:val="28"/>
          <w:rtl/>
        </w:rPr>
        <w:t xml:space="preserve">), בתמורה לסכום של כ-200 מיליון דולר ארה"ב. כשלושה חודשים לאחר מכן, מכרה המבקשת את זכויותיה בקניינה הרוחני לחברה הרשומה באיי קיימן, מקבוצת </w:t>
      </w:r>
      <w:proofErr w:type="spellStart"/>
      <w:r>
        <w:rPr>
          <w:rFonts w:ascii="Century" w:hAnsi="Century" w:cs="FrankRuehl" w:hint="cs"/>
          <w:spacing w:val="10"/>
          <w:szCs w:val="28"/>
          <w:rtl/>
        </w:rPr>
        <w:t>ברודקום</w:t>
      </w:r>
      <w:proofErr w:type="spellEnd"/>
      <w:r>
        <w:rPr>
          <w:rFonts w:ascii="Century" w:hAnsi="Century" w:cs="FrankRuehl" w:hint="cs"/>
          <w:spacing w:val="10"/>
          <w:szCs w:val="28"/>
          <w:rtl/>
        </w:rPr>
        <w:t xml:space="preserve">, בתמורה לסכום של כ-59.5 מיליון דולר ארה"ב; במקביל, נחתמו שני הסכמים נוספים בין המבקשת, לבין </w:t>
      </w:r>
      <w:proofErr w:type="spellStart"/>
      <w:r>
        <w:rPr>
          <w:rFonts w:ascii="Century" w:hAnsi="Century" w:cs="FrankRuehl" w:hint="cs"/>
          <w:spacing w:val="10"/>
          <w:szCs w:val="28"/>
          <w:rtl/>
        </w:rPr>
        <w:t>ברודקום</w:t>
      </w:r>
      <w:proofErr w:type="spellEnd"/>
      <w:r>
        <w:rPr>
          <w:rFonts w:ascii="Century" w:hAnsi="Century" w:cs="FrankRuehl" w:hint="cs"/>
          <w:spacing w:val="10"/>
          <w:szCs w:val="28"/>
          <w:rtl/>
        </w:rPr>
        <w:t xml:space="preserve"> וחברה נוספת מקבוצת </w:t>
      </w:r>
      <w:proofErr w:type="spellStart"/>
      <w:r>
        <w:rPr>
          <w:rFonts w:ascii="Century" w:hAnsi="Century" w:cs="FrankRuehl" w:hint="cs"/>
          <w:spacing w:val="10"/>
          <w:szCs w:val="28"/>
          <w:rtl/>
        </w:rPr>
        <w:t>ברודקום</w:t>
      </w:r>
      <w:proofErr w:type="spellEnd"/>
      <w:r>
        <w:rPr>
          <w:rFonts w:ascii="Century" w:hAnsi="Century" w:cs="FrankRuehl" w:hint="cs"/>
          <w:spacing w:val="10"/>
          <w:szCs w:val="28"/>
          <w:rtl/>
        </w:rPr>
        <w:t xml:space="preserve">, שלפיהם </w:t>
      </w:r>
      <w:r w:rsidR="002C05BC">
        <w:rPr>
          <w:rFonts w:ascii="Century" w:hAnsi="Century" w:cs="FrankRuehl" w:hint="cs"/>
          <w:spacing w:val="10"/>
          <w:szCs w:val="28"/>
          <w:rtl/>
        </w:rPr>
        <w:lastRenderedPageBreak/>
        <w:t xml:space="preserve">תספק להן </w:t>
      </w:r>
      <w:r>
        <w:rPr>
          <w:rFonts w:ascii="Century" w:hAnsi="Century" w:cs="FrankRuehl" w:hint="cs"/>
          <w:spacing w:val="10"/>
          <w:szCs w:val="28"/>
          <w:rtl/>
        </w:rPr>
        <w:t>המבקשת שירותי מחקר ופיתוח, שיווק ותמיכה טכנית בתמורה לכיסוי עלויותיה בתוספת מרווח רווח מוסכם.</w:t>
      </w:r>
    </w:p>
    <w:p w:rsidR="00C005B4" w:rsidRDefault="00C005B4" w:rsidP="00C005B4">
      <w:pPr>
        <w:tabs>
          <w:tab w:val="left" w:pos="800"/>
        </w:tabs>
        <w:spacing w:line="360" w:lineRule="auto"/>
        <w:contextualSpacing/>
        <w:jc w:val="both"/>
        <w:rPr>
          <w:rFonts w:ascii="Century" w:hAnsi="Century" w:cs="FrankRuehl"/>
          <w:spacing w:val="10"/>
          <w:szCs w:val="28"/>
          <w:rtl/>
        </w:rPr>
      </w:pPr>
    </w:p>
    <w:p w:rsidR="00C005B4" w:rsidRDefault="00C005B4" w:rsidP="00C005B4">
      <w:pPr>
        <w:tabs>
          <w:tab w:val="left" w:pos="800"/>
        </w:tabs>
        <w:spacing w:line="360" w:lineRule="auto"/>
        <w:contextualSpacing/>
        <w:jc w:val="both"/>
        <w:rPr>
          <w:rFonts w:ascii="Century" w:hAnsi="Century" w:cs="FrankRuehl"/>
          <w:spacing w:val="10"/>
          <w:szCs w:val="28"/>
          <w:rtl/>
        </w:rPr>
      </w:pPr>
      <w:r>
        <w:rPr>
          <w:rFonts w:ascii="Century" w:hAnsi="Century" w:cs="FrankRuehl" w:hint="cs"/>
          <w:spacing w:val="10"/>
          <w:szCs w:val="28"/>
          <w:rtl/>
        </w:rPr>
        <w:t>3.</w:t>
      </w:r>
      <w:r>
        <w:rPr>
          <w:rFonts w:ascii="Century" w:hAnsi="Century" w:cs="FrankRuehl" w:hint="cs"/>
          <w:spacing w:val="10"/>
          <w:szCs w:val="28"/>
          <w:rtl/>
        </w:rPr>
        <w:tab/>
        <w:t xml:space="preserve">ביום 10.1.2017 מסר המשיב למבקשת את פירוט נימוקיו לשומה בצו שהוציא ביחס להכנסותיה לשנת המס 2012. בנימוקיו קבע המשיב, כי העסקה שבין המבקשת לבין </w:t>
      </w:r>
      <w:proofErr w:type="spellStart"/>
      <w:r>
        <w:rPr>
          <w:rFonts w:ascii="Century" w:hAnsi="Century" w:cs="FrankRuehl" w:hint="cs"/>
          <w:spacing w:val="10"/>
          <w:szCs w:val="28"/>
          <w:rtl/>
        </w:rPr>
        <w:t>ברודקום</w:t>
      </w:r>
      <w:proofErr w:type="spellEnd"/>
      <w:r>
        <w:rPr>
          <w:rFonts w:ascii="Century" w:hAnsi="Century" w:cs="FrankRuehl" w:hint="cs"/>
          <w:spacing w:val="10"/>
          <w:szCs w:val="28"/>
          <w:rtl/>
        </w:rPr>
        <w:t xml:space="preserve"> דווחה שלא בשווי שוק, ובתמורה שונה מזו </w:t>
      </w:r>
      <w:proofErr w:type="spellStart"/>
      <w:r>
        <w:rPr>
          <w:rFonts w:ascii="Century" w:hAnsi="Century" w:cs="FrankRuehl" w:hint="cs"/>
          <w:spacing w:val="10"/>
          <w:szCs w:val="28"/>
          <w:rtl/>
        </w:rPr>
        <w:t>שהיתה</w:t>
      </w:r>
      <w:proofErr w:type="spellEnd"/>
      <w:r>
        <w:rPr>
          <w:rFonts w:ascii="Century" w:hAnsi="Century" w:cs="FrankRuehl" w:hint="cs"/>
          <w:spacing w:val="10"/>
          <w:szCs w:val="28"/>
          <w:rtl/>
        </w:rPr>
        <w:t xml:space="preserve"> נקבעת בין צדדים שאין ביניהם יחסים מיוחדים. נקבע, כי במסגרת העסקה, לא נמכרו רק זכויותיה של המבקשת בקניינה הרוחני </w:t>
      </w:r>
      <w:r>
        <w:rPr>
          <w:rFonts w:ascii="Century" w:hAnsi="Century" w:cs="FrankRuehl"/>
          <w:spacing w:val="10"/>
          <w:szCs w:val="28"/>
          <w:rtl/>
        </w:rPr>
        <w:t>–</w:t>
      </w:r>
      <w:r>
        <w:rPr>
          <w:rFonts w:ascii="Century" w:hAnsi="Century" w:cs="FrankRuehl" w:hint="cs"/>
          <w:spacing w:val="10"/>
          <w:szCs w:val="28"/>
          <w:rtl/>
        </w:rPr>
        <w:t xml:space="preserve"> שעל מכירתן ועל שוויין לא חלק המשיב </w:t>
      </w:r>
      <w:r>
        <w:rPr>
          <w:rFonts w:ascii="Century" w:hAnsi="Century" w:cs="FrankRuehl"/>
          <w:spacing w:val="10"/>
          <w:szCs w:val="28"/>
          <w:rtl/>
        </w:rPr>
        <w:t>–</w:t>
      </w:r>
      <w:r>
        <w:rPr>
          <w:rFonts w:ascii="Century" w:hAnsi="Century" w:cs="FrankRuehl" w:hint="cs"/>
          <w:spacing w:val="10"/>
          <w:szCs w:val="28"/>
          <w:rtl/>
        </w:rPr>
        <w:t xml:space="preserve"> אלא נמכרו גם מרבית הפונקציות, הנכסים והסיכונים (</w:t>
      </w:r>
      <w:r w:rsidRPr="002C05BC">
        <w:rPr>
          <w:rFonts w:ascii="Century" w:hAnsi="Century" w:cs="FrankRuehl"/>
          <w:spacing w:val="10"/>
          <w:sz w:val="22"/>
          <w:szCs w:val="30"/>
        </w:rPr>
        <w:t>Functions</w:t>
      </w:r>
      <w:r>
        <w:rPr>
          <w:rFonts w:ascii="Century" w:hAnsi="Century" w:cs="FrankRuehl"/>
          <w:spacing w:val="10"/>
          <w:szCs w:val="28"/>
        </w:rPr>
        <w:t xml:space="preserve">, </w:t>
      </w:r>
      <w:r w:rsidRPr="002C05BC">
        <w:rPr>
          <w:rFonts w:ascii="Century" w:hAnsi="Century" w:cs="FrankRuehl"/>
          <w:spacing w:val="10"/>
          <w:sz w:val="22"/>
          <w:szCs w:val="30"/>
        </w:rPr>
        <w:t>Assets</w:t>
      </w:r>
      <w:r>
        <w:rPr>
          <w:rFonts w:ascii="Century" w:hAnsi="Century" w:cs="FrankRuehl"/>
          <w:spacing w:val="10"/>
          <w:szCs w:val="28"/>
        </w:rPr>
        <w:t xml:space="preserve"> </w:t>
      </w:r>
      <w:r w:rsidRPr="002C05BC">
        <w:rPr>
          <w:rFonts w:ascii="Century" w:hAnsi="Century" w:cs="FrankRuehl"/>
          <w:spacing w:val="10"/>
          <w:sz w:val="22"/>
          <w:szCs w:val="30"/>
        </w:rPr>
        <w:t>and</w:t>
      </w:r>
      <w:r>
        <w:rPr>
          <w:rFonts w:ascii="Century" w:hAnsi="Century" w:cs="FrankRuehl"/>
          <w:spacing w:val="10"/>
          <w:szCs w:val="28"/>
        </w:rPr>
        <w:t xml:space="preserve"> </w:t>
      </w:r>
      <w:r w:rsidRPr="002C05BC">
        <w:rPr>
          <w:rFonts w:ascii="Century" w:hAnsi="Century" w:cs="FrankRuehl"/>
          <w:spacing w:val="10"/>
          <w:sz w:val="22"/>
          <w:szCs w:val="30"/>
        </w:rPr>
        <w:t>Risks</w:t>
      </w:r>
      <w:r>
        <w:rPr>
          <w:rFonts w:ascii="Century" w:hAnsi="Century" w:cs="FrankRuehl" w:hint="cs"/>
          <w:spacing w:val="10"/>
          <w:szCs w:val="28"/>
          <w:rtl/>
        </w:rPr>
        <w:t xml:space="preserve">, ובקיצור </w:t>
      </w:r>
      <w:r>
        <w:rPr>
          <w:rFonts w:ascii="Century" w:hAnsi="Century" w:cs="FrankRuehl"/>
          <w:spacing w:val="10"/>
          <w:szCs w:val="28"/>
          <w:rtl/>
        </w:rPr>
        <w:t>–</w:t>
      </w:r>
      <w:r>
        <w:rPr>
          <w:rFonts w:ascii="Century" w:hAnsi="Century" w:cs="FrankRuehl" w:hint="cs"/>
          <w:spacing w:val="10"/>
          <w:szCs w:val="28"/>
          <w:rtl/>
        </w:rPr>
        <w:t xml:space="preserve"> </w:t>
      </w:r>
      <w:r>
        <w:rPr>
          <w:rFonts w:ascii="Century" w:hAnsi="Century" w:cs="FrankRuehl" w:hint="cs"/>
          <w:spacing w:val="10"/>
          <w:szCs w:val="28"/>
        </w:rPr>
        <w:t>FAR</w:t>
      </w:r>
      <w:r>
        <w:rPr>
          <w:rFonts w:ascii="Century" w:hAnsi="Century" w:cs="FrankRuehl" w:hint="cs"/>
          <w:spacing w:val="10"/>
          <w:szCs w:val="28"/>
          <w:rtl/>
        </w:rPr>
        <w:t>) שהיו בידי המבקשת עובר לעסקה. שווי הנכסים שנמכרו (הקניין הרוחני יחד עם ה-</w:t>
      </w:r>
      <w:r>
        <w:rPr>
          <w:rFonts w:ascii="Century" w:hAnsi="Century" w:cs="FrankRuehl" w:hint="cs"/>
          <w:spacing w:val="10"/>
          <w:szCs w:val="28"/>
        </w:rPr>
        <w:t>FAR</w:t>
      </w:r>
      <w:r>
        <w:rPr>
          <w:rFonts w:ascii="Century" w:hAnsi="Century" w:cs="FrankRuehl" w:hint="cs"/>
          <w:spacing w:val="10"/>
          <w:szCs w:val="28"/>
          <w:rtl/>
        </w:rPr>
        <w:t xml:space="preserve">) הוערך בסך של כ-168.5 מיליון דולר ארה"ב, שהיוו ביום המכירה כ-659,677,500 </w:t>
      </w:r>
      <w:r>
        <w:rPr>
          <w:rFonts w:ascii="Century" w:hAnsi="Century" w:cs="FrankRuehl" w:hint="eastAsia"/>
          <w:spacing w:val="10"/>
          <w:szCs w:val="28"/>
          <w:rtl/>
        </w:rPr>
        <w:t>₪</w:t>
      </w:r>
      <w:r>
        <w:rPr>
          <w:rFonts w:ascii="Century" w:hAnsi="Century" w:cs="FrankRuehl" w:hint="cs"/>
          <w:spacing w:val="10"/>
          <w:szCs w:val="28"/>
          <w:rtl/>
        </w:rPr>
        <w:t xml:space="preserve">, ולאחר ביצוע התאמה בגין מרכיב המס, הוערך </w:t>
      </w:r>
      <w:proofErr w:type="spellStart"/>
      <w:r>
        <w:rPr>
          <w:rFonts w:ascii="Century" w:hAnsi="Century" w:cs="FrankRuehl" w:hint="cs"/>
          <w:spacing w:val="10"/>
          <w:szCs w:val="28"/>
          <w:rtl/>
        </w:rPr>
        <w:t>שוויים</w:t>
      </w:r>
      <w:proofErr w:type="spellEnd"/>
      <w:r>
        <w:rPr>
          <w:rFonts w:ascii="Century" w:hAnsi="Century" w:cs="FrankRuehl" w:hint="cs"/>
          <w:spacing w:val="10"/>
          <w:szCs w:val="28"/>
          <w:rtl/>
        </w:rPr>
        <w:t xml:space="preserve"> בסכום של 879,570,000 </w:t>
      </w:r>
      <w:r>
        <w:rPr>
          <w:rFonts w:ascii="Century" w:hAnsi="Century" w:cs="FrankRuehl" w:hint="eastAsia"/>
          <w:spacing w:val="10"/>
          <w:szCs w:val="28"/>
          <w:rtl/>
        </w:rPr>
        <w:t>₪</w:t>
      </w:r>
      <w:r>
        <w:rPr>
          <w:rFonts w:ascii="Century" w:hAnsi="Century" w:cs="FrankRuehl" w:hint="cs"/>
          <w:spacing w:val="10"/>
          <w:szCs w:val="28"/>
          <w:rtl/>
        </w:rPr>
        <w:t>.</w:t>
      </w:r>
      <w:r w:rsidR="002C05BC">
        <w:rPr>
          <w:rFonts w:ascii="Century" w:hAnsi="Century" w:cs="FrankRuehl" w:hint="cs"/>
          <w:spacing w:val="10"/>
          <w:szCs w:val="28"/>
          <w:rtl/>
        </w:rPr>
        <w:t xml:space="preserve"> בנוסף נקבע, כי יש לראות את ה</w:t>
      </w:r>
      <w:r>
        <w:rPr>
          <w:rFonts w:ascii="Century" w:hAnsi="Century" w:cs="FrankRuehl" w:hint="cs"/>
          <w:spacing w:val="10"/>
          <w:szCs w:val="28"/>
          <w:rtl/>
        </w:rPr>
        <w:t xml:space="preserve">הפרש האמור בין הסכום שהועבר בעת המכירה בפועל, לבין </w:t>
      </w:r>
      <w:proofErr w:type="spellStart"/>
      <w:r>
        <w:rPr>
          <w:rFonts w:ascii="Century" w:hAnsi="Century" w:cs="FrankRuehl" w:hint="cs"/>
          <w:spacing w:val="10"/>
          <w:szCs w:val="28"/>
          <w:rtl/>
        </w:rPr>
        <w:t>שוויים</w:t>
      </w:r>
      <w:proofErr w:type="spellEnd"/>
      <w:r>
        <w:rPr>
          <w:rFonts w:ascii="Century" w:hAnsi="Century" w:cs="FrankRuehl" w:hint="cs"/>
          <w:spacing w:val="10"/>
          <w:szCs w:val="28"/>
          <w:rtl/>
        </w:rPr>
        <w:t xml:space="preserve"> המוערך של הנכסים שנמכרו, כהלוואה שנתנה המבקשת שלא בתנאי שוק </w:t>
      </w:r>
      <w:r>
        <w:rPr>
          <w:rFonts w:ascii="Century" w:hAnsi="Century" w:cs="FrankRuehl"/>
          <w:spacing w:val="10"/>
          <w:szCs w:val="28"/>
          <w:rtl/>
        </w:rPr>
        <w:t>–</w:t>
      </w:r>
      <w:r>
        <w:rPr>
          <w:rFonts w:ascii="Century" w:hAnsi="Century" w:cs="FrankRuehl" w:hint="cs"/>
          <w:spacing w:val="10"/>
          <w:szCs w:val="28"/>
          <w:rtl/>
        </w:rPr>
        <w:t xml:space="preserve"> ולפיכך לזקוף לחובתה גם הכנסות מריבית בסכום של 1,735,117 </w:t>
      </w:r>
      <w:r>
        <w:rPr>
          <w:rFonts w:ascii="Century" w:hAnsi="Century" w:cs="FrankRuehl" w:hint="eastAsia"/>
          <w:spacing w:val="10"/>
          <w:szCs w:val="28"/>
          <w:rtl/>
        </w:rPr>
        <w:t>₪</w:t>
      </w:r>
      <w:r>
        <w:rPr>
          <w:rFonts w:ascii="Century" w:hAnsi="Century" w:cs="FrankRuehl" w:hint="cs"/>
          <w:spacing w:val="10"/>
          <w:szCs w:val="28"/>
          <w:rtl/>
        </w:rPr>
        <w:t xml:space="preserve">. </w:t>
      </w:r>
    </w:p>
    <w:p w:rsidR="00C005B4" w:rsidRDefault="00C005B4" w:rsidP="00C005B4">
      <w:pPr>
        <w:tabs>
          <w:tab w:val="left" w:pos="800"/>
        </w:tabs>
        <w:spacing w:line="360" w:lineRule="auto"/>
        <w:contextualSpacing/>
        <w:jc w:val="both"/>
        <w:rPr>
          <w:rFonts w:ascii="Century" w:hAnsi="Century" w:cs="FrankRuehl"/>
          <w:spacing w:val="10"/>
          <w:szCs w:val="28"/>
          <w:rtl/>
        </w:rPr>
      </w:pPr>
    </w:p>
    <w:p w:rsidR="00C005B4" w:rsidRPr="00EA7922" w:rsidRDefault="00C005B4" w:rsidP="002C05BC">
      <w:pPr>
        <w:tabs>
          <w:tab w:val="left" w:pos="800"/>
        </w:tabs>
        <w:spacing w:line="360" w:lineRule="auto"/>
        <w:contextualSpacing/>
        <w:jc w:val="both"/>
        <w:rPr>
          <w:rFonts w:ascii="Century" w:hAnsi="Century" w:cs="FrankRuehl"/>
          <w:spacing w:val="10"/>
          <w:szCs w:val="28"/>
          <w:rtl/>
        </w:rPr>
      </w:pPr>
      <w:r>
        <w:rPr>
          <w:rFonts w:ascii="Century" w:hAnsi="Century" w:cs="FrankRuehl" w:hint="cs"/>
          <w:spacing w:val="10"/>
          <w:szCs w:val="28"/>
          <w:rtl/>
        </w:rPr>
        <w:t>4.</w:t>
      </w:r>
      <w:r>
        <w:rPr>
          <w:rFonts w:ascii="Century" w:hAnsi="Century" w:cs="FrankRuehl" w:hint="cs"/>
          <w:spacing w:val="10"/>
          <w:szCs w:val="28"/>
          <w:rtl/>
        </w:rPr>
        <w:tab/>
        <w:t xml:space="preserve">על שומה זו ערערה המבקשת, ובגדרי הליך הערעור הגישה 'בקשה להשתת נטל ההוכחה ונטל הבאת הראיות' על המשיב; לחלופין, ביקשה מבית המשפט להורות כי המשיב יפתח בהבאת </w:t>
      </w:r>
      <w:r w:rsidR="002C05BC">
        <w:rPr>
          <w:rFonts w:ascii="Century" w:hAnsi="Century" w:cs="FrankRuehl" w:hint="cs"/>
          <w:spacing w:val="10"/>
          <w:szCs w:val="28"/>
          <w:rtl/>
        </w:rPr>
        <w:t>ה</w:t>
      </w:r>
      <w:r>
        <w:rPr>
          <w:rFonts w:ascii="Century" w:hAnsi="Century" w:cs="FrankRuehl" w:hint="cs"/>
          <w:spacing w:val="10"/>
          <w:szCs w:val="28"/>
          <w:rtl/>
        </w:rPr>
        <w:t xml:space="preserve">ראיות </w:t>
      </w:r>
      <w:proofErr w:type="spellStart"/>
      <w:r>
        <w:rPr>
          <w:rFonts w:ascii="Century" w:hAnsi="Century" w:cs="FrankRuehl" w:hint="cs"/>
          <w:spacing w:val="10"/>
          <w:szCs w:val="28"/>
          <w:rtl/>
        </w:rPr>
        <w:t>ו</w:t>
      </w:r>
      <w:r w:rsidR="002C05BC">
        <w:rPr>
          <w:rFonts w:ascii="Century" w:hAnsi="Century" w:cs="FrankRuehl" w:hint="cs"/>
          <w:spacing w:val="10"/>
          <w:szCs w:val="28"/>
          <w:rtl/>
        </w:rPr>
        <w:t>בהעדת</w:t>
      </w:r>
      <w:proofErr w:type="spellEnd"/>
      <w:r w:rsidR="002C05BC">
        <w:rPr>
          <w:rFonts w:ascii="Century" w:hAnsi="Century" w:cs="FrankRuehl" w:hint="cs"/>
          <w:spacing w:val="10"/>
          <w:szCs w:val="28"/>
          <w:rtl/>
        </w:rPr>
        <w:t xml:space="preserve"> </w:t>
      </w:r>
      <w:r>
        <w:rPr>
          <w:rFonts w:ascii="Century" w:hAnsi="Century" w:cs="FrankRuehl" w:hint="cs"/>
          <w:spacing w:val="10"/>
          <w:szCs w:val="28"/>
          <w:rtl/>
        </w:rPr>
        <w:t xml:space="preserve">העדים מטעמו, תוך הכרעה בזהות הצד הנושא בנטל השכנוע בתום ההליך. ארבעה נימוקים עמדו בבסיס בקשתה זו: </w:t>
      </w:r>
      <w:r>
        <w:rPr>
          <w:rFonts w:ascii="Century" w:hAnsi="Century" w:cs="Miriam" w:hint="cs"/>
          <w:b/>
          <w:rtl/>
        </w:rPr>
        <w:t>ראשון</w:t>
      </w:r>
      <w:r>
        <w:rPr>
          <w:rFonts w:ascii="Century" w:hAnsi="Century" w:cs="FrankRuehl" w:hint="cs"/>
          <w:spacing w:val="10"/>
          <w:szCs w:val="28"/>
          <w:rtl/>
        </w:rPr>
        <w:t xml:space="preserve">, טענת המבקשת כי היפוך הנטל נדרש לפי סעיף 85א לפקודת מס הכנסה [נוסח חדש] </w:t>
      </w:r>
      <w:r>
        <w:rPr>
          <w:rFonts w:ascii="Century" w:hAnsi="Century" w:cs="FrankRuehl"/>
          <w:spacing w:val="10"/>
          <w:szCs w:val="28"/>
          <w:rtl/>
        </w:rPr>
        <w:t>(</w:t>
      </w:r>
      <w:r>
        <w:rPr>
          <w:rFonts w:ascii="Century" w:hAnsi="Century" w:cs="FrankRuehl" w:hint="eastAsia"/>
          <w:spacing w:val="10"/>
          <w:szCs w:val="28"/>
          <w:rtl/>
        </w:rPr>
        <w:t>להלן</w:t>
      </w:r>
      <w:r>
        <w:rPr>
          <w:rFonts w:ascii="Century" w:hAnsi="Century" w:cs="FrankRuehl"/>
          <w:spacing w:val="10"/>
          <w:szCs w:val="28"/>
          <w:rtl/>
        </w:rPr>
        <w:t xml:space="preserve">: </w:t>
      </w:r>
      <w:r>
        <w:rPr>
          <w:rFonts w:ascii="Century" w:hAnsi="Century" w:cs="Miriam" w:hint="cs"/>
          <w:b/>
          <w:rtl/>
        </w:rPr>
        <w:t>הפקודה</w:t>
      </w:r>
      <w:r>
        <w:rPr>
          <w:rFonts w:ascii="Century" w:hAnsi="Century" w:cs="FrankRuehl" w:hint="cs"/>
          <w:spacing w:val="10"/>
          <w:szCs w:val="28"/>
          <w:rtl/>
        </w:rPr>
        <w:t xml:space="preserve">); </w:t>
      </w:r>
      <w:r>
        <w:rPr>
          <w:rFonts w:ascii="Century" w:hAnsi="Century" w:cs="Miriam" w:hint="cs"/>
          <w:b/>
          <w:rtl/>
        </w:rPr>
        <w:t>שני</w:t>
      </w:r>
      <w:r>
        <w:rPr>
          <w:rFonts w:ascii="Century" w:hAnsi="Century" w:cs="FrankRuehl" w:hint="cs"/>
          <w:spacing w:val="10"/>
          <w:szCs w:val="28"/>
          <w:rtl/>
        </w:rPr>
        <w:t xml:space="preserve">, הטענה כי שומת המשיב מבוססת על 'סיווג מחדש' של העסקה, שביצע המשיב מכוח סמכותו לפי סעיף 86 לפקודה; </w:t>
      </w:r>
      <w:r>
        <w:rPr>
          <w:rFonts w:ascii="Century" w:hAnsi="Century" w:cs="Miriam" w:hint="cs"/>
          <w:b/>
          <w:rtl/>
        </w:rPr>
        <w:t>שלישי</w:t>
      </w:r>
      <w:r>
        <w:rPr>
          <w:rFonts w:ascii="Century" w:hAnsi="Century" w:cs="FrankRuehl" w:hint="cs"/>
          <w:spacing w:val="10"/>
          <w:szCs w:val="28"/>
          <w:rtl/>
        </w:rPr>
        <w:t xml:space="preserve">, משום שהיפוך הנטל ראוי לשיטת המבקשת גם אם בשומה לא בוצע 'סיווג מחדש' של עסקה מלאכותית, אלא 'סיווג שונה'; </w:t>
      </w:r>
      <w:r>
        <w:rPr>
          <w:rFonts w:ascii="Century" w:hAnsi="Century" w:cs="Miriam" w:hint="cs"/>
          <w:b/>
          <w:rtl/>
        </w:rPr>
        <w:t>רביעי</w:t>
      </w:r>
      <w:r>
        <w:rPr>
          <w:rFonts w:ascii="Century" w:hAnsi="Century" w:cs="FrankRuehl" w:hint="cs"/>
          <w:spacing w:val="10"/>
          <w:szCs w:val="28"/>
          <w:rtl/>
        </w:rPr>
        <w:t>, מחמת הלקוניות הנטענת של השומה.</w:t>
      </w:r>
    </w:p>
    <w:p w:rsidR="00C005B4" w:rsidRPr="0032701D" w:rsidRDefault="00C005B4" w:rsidP="00C005B4">
      <w:pPr>
        <w:tabs>
          <w:tab w:val="left" w:pos="800"/>
        </w:tabs>
        <w:spacing w:line="360" w:lineRule="auto"/>
        <w:contextualSpacing/>
        <w:jc w:val="both"/>
        <w:rPr>
          <w:rFonts w:ascii="Century" w:hAnsi="Century" w:cs="FrankRuehl"/>
          <w:spacing w:val="10"/>
          <w:szCs w:val="28"/>
          <w:rtl/>
        </w:rPr>
      </w:pPr>
    </w:p>
    <w:p w:rsidR="00C005B4" w:rsidRDefault="00C005B4" w:rsidP="00C005B4">
      <w:pPr>
        <w:tabs>
          <w:tab w:val="left" w:pos="800"/>
        </w:tabs>
        <w:spacing w:line="360" w:lineRule="auto"/>
        <w:contextualSpacing/>
        <w:jc w:val="both"/>
        <w:rPr>
          <w:rFonts w:ascii="Century" w:hAnsi="Century" w:cs="FrankRuehl"/>
          <w:spacing w:val="10"/>
          <w:szCs w:val="28"/>
          <w:rtl/>
        </w:rPr>
      </w:pPr>
      <w:r>
        <w:rPr>
          <w:rFonts w:ascii="Century" w:hAnsi="Century" w:cs="FrankRuehl" w:hint="cs"/>
          <w:spacing w:val="10"/>
          <w:szCs w:val="28"/>
          <w:rtl/>
        </w:rPr>
        <w:t>5.</w:t>
      </w:r>
      <w:r>
        <w:rPr>
          <w:rFonts w:ascii="Century" w:hAnsi="Century" w:cs="FrankRuehl" w:hint="cs"/>
          <w:spacing w:val="10"/>
          <w:szCs w:val="28"/>
          <w:rtl/>
        </w:rPr>
        <w:tab/>
        <w:t xml:space="preserve">בהחלטה מיום 20.2.2019, דחה בית המשפט המחוזי את הבקשה על כל נימוקיה. עיקרה של ההחלטה הוקדש לשאלת ההבחנה בין 'סיווג שונה' של עסקה, לבין טענת עסקה מלאכותית ('סיווג מחדש'), שגוררת עמה גם את הטלת נטל ההוכחה לפתחו של פקיד השומה. לעניין זה קבע בית המשפט, כי שומתו של המשיב איננה מבוססת על סמכותו לסווג מחדש עסקה מלאכותית, לפי סעיף 86 לפקודה. סמכות זו מכוונת למצבים שבהם מקבל פקיד השומה את העסקה כפי שהוצגה לפניו, אך מבקש להתייחס אליה בצורה אחרת לצורך השומה בלבד (דהיינו, לבצע 'סיווג מחדש' לצרכי מס). לעומת זאת, בנדון </w:t>
      </w:r>
      <w:proofErr w:type="spellStart"/>
      <w:r>
        <w:rPr>
          <w:rFonts w:ascii="Century" w:hAnsi="Century" w:cs="FrankRuehl" w:hint="cs"/>
          <w:spacing w:val="10"/>
          <w:szCs w:val="28"/>
          <w:rtl/>
        </w:rPr>
        <w:t>דידן</w:t>
      </w:r>
      <w:proofErr w:type="spellEnd"/>
      <w:r>
        <w:rPr>
          <w:rFonts w:ascii="Century" w:hAnsi="Century" w:cs="FrankRuehl" w:hint="cs"/>
          <w:spacing w:val="10"/>
          <w:szCs w:val="28"/>
          <w:rtl/>
        </w:rPr>
        <w:t xml:space="preserve"> נקבע, כי פקיד השומה </w:t>
      </w:r>
      <w:r w:rsidRPr="0007438F">
        <w:rPr>
          <w:rFonts w:ascii="Century" w:hAnsi="Century" w:cs="Miriam" w:hint="cs"/>
          <w:b/>
          <w:rtl/>
        </w:rPr>
        <w:t xml:space="preserve">"אינו מקבל את המצג העובדתי של המערערת בדוחותיה </w:t>
      </w:r>
      <w:r w:rsidRPr="0007438F">
        <w:rPr>
          <w:rFonts w:ascii="Century" w:hAnsi="Century" w:cs="Miriam" w:hint="cs"/>
          <w:b/>
          <w:rtl/>
        </w:rPr>
        <w:lastRenderedPageBreak/>
        <w:t>לפיו היא מכרה רק את הקניין הרוחני שלה</w:t>
      </w:r>
      <w:r w:rsidRPr="0007438F">
        <w:rPr>
          <w:rFonts w:ascii="Century" w:hAnsi="Century" w:cs="FrankRuehl" w:hint="cs"/>
          <w:spacing w:val="10"/>
          <w:szCs w:val="28"/>
          <w:rtl/>
        </w:rPr>
        <w:t xml:space="preserve"> </w:t>
      </w:r>
      <w:r w:rsidRPr="0007438F">
        <w:rPr>
          <w:rFonts w:ascii="Century" w:hAnsi="Century" w:cs="Miriam" w:hint="cs"/>
          <w:b/>
          <w:rtl/>
        </w:rPr>
        <w:t>[...] ולמעשה טוען כי 'בעולם המעשה', דהיינו, במציאות החיה, התרחשה עסקה אחרת שונה בהיקפה ובתוכנה מזו שהוצגה על ידי המערערת"</w:t>
      </w:r>
      <w:r>
        <w:rPr>
          <w:rFonts w:ascii="Century" w:hAnsi="Century" w:cs="FrankRuehl" w:hint="cs"/>
          <w:spacing w:val="10"/>
          <w:szCs w:val="28"/>
          <w:rtl/>
        </w:rPr>
        <w:t xml:space="preserve">, שעליה נמנעה המבקשת מלדווח לצרכי מס (פסקה 26 להחלטה מיום 20.2.2019); </w:t>
      </w:r>
      <w:r w:rsidRPr="0007438F">
        <w:rPr>
          <w:rFonts w:ascii="Century" w:hAnsi="Century" w:cs="Miriam" w:hint="cs"/>
          <w:b/>
          <w:rtl/>
        </w:rPr>
        <w:t xml:space="preserve">"לטענת המשיב, המהות הכלכלית </w:t>
      </w:r>
      <w:proofErr w:type="spellStart"/>
      <w:r w:rsidRPr="0007438F">
        <w:rPr>
          <w:rFonts w:ascii="Century" w:hAnsi="Century" w:cs="Miriam" w:hint="cs"/>
          <w:b/>
          <w:rtl/>
        </w:rPr>
        <w:t>האמיתית</w:t>
      </w:r>
      <w:proofErr w:type="spellEnd"/>
      <w:r w:rsidRPr="0007438F">
        <w:rPr>
          <w:rFonts w:ascii="Century" w:hAnsi="Century" w:cs="Miriam" w:hint="cs"/>
          <w:b/>
          <w:rtl/>
        </w:rPr>
        <w:t xml:space="preserve"> של העסקה, כפי שבאה לידי ביטוי בעולם המעשה, היא עסקה למכירת </w:t>
      </w:r>
      <w:r w:rsidRPr="006504BE">
        <w:rPr>
          <w:rFonts w:ascii="Century" w:hAnsi="Century" w:cs="Miriam"/>
          <w:b/>
        </w:rPr>
        <w:t>FAR</w:t>
      </w:r>
      <w:r w:rsidRPr="0007438F">
        <w:rPr>
          <w:rFonts w:ascii="Century" w:hAnsi="Century" w:cs="Miriam" w:hint="cs"/>
          <w:b/>
          <w:rtl/>
        </w:rPr>
        <w:t xml:space="preserve"> ולכן צודק המשיב כי מדובר בסיווג שונה של העסקה, ולא יותר מכך</w:t>
      </w:r>
      <w:r>
        <w:rPr>
          <w:rFonts w:ascii="Century" w:hAnsi="Century" w:cs="Miriam" w:hint="cs"/>
          <w:b/>
          <w:rtl/>
        </w:rPr>
        <w:t>. לו היה המשיב מקבל את המצג העובדתי של המערערת [...] אז ורק אז לא היה מנוס מהידרשות לכלים המיוחדים והשיוריים שמעניק סעיף 86 לפקודה</w:t>
      </w:r>
      <w:r w:rsidRPr="0007438F">
        <w:rPr>
          <w:rFonts w:ascii="Century" w:hAnsi="Century" w:cs="Miriam" w:hint="cs"/>
          <w:b/>
          <w:rtl/>
        </w:rPr>
        <w:t>"</w:t>
      </w:r>
      <w:r>
        <w:rPr>
          <w:rFonts w:ascii="Century" w:hAnsi="Century" w:cs="Miriam" w:hint="cs"/>
          <w:b/>
          <w:rtl/>
        </w:rPr>
        <w:t xml:space="preserve"> </w:t>
      </w:r>
      <w:r>
        <w:rPr>
          <w:rFonts w:ascii="Century" w:hAnsi="Century" w:cs="FrankRuehl" w:hint="cs"/>
          <w:spacing w:val="10"/>
          <w:szCs w:val="28"/>
          <w:rtl/>
        </w:rPr>
        <w:t>(</w:t>
      </w:r>
      <w:r>
        <w:rPr>
          <w:rFonts w:ascii="Century" w:hAnsi="Century" w:cs="Miriam" w:hint="cs"/>
          <w:b/>
          <w:rtl/>
        </w:rPr>
        <w:t>שם</w:t>
      </w:r>
      <w:r>
        <w:rPr>
          <w:rFonts w:ascii="Century" w:hAnsi="Century" w:cs="FrankRuehl" w:hint="cs"/>
          <w:spacing w:val="10"/>
          <w:szCs w:val="28"/>
          <w:rtl/>
        </w:rPr>
        <w:t xml:space="preserve">, פסקאות 28-27). </w:t>
      </w:r>
    </w:p>
    <w:p w:rsidR="00C005B4" w:rsidRDefault="00C005B4" w:rsidP="00C005B4">
      <w:pPr>
        <w:tabs>
          <w:tab w:val="left" w:pos="800"/>
        </w:tabs>
        <w:spacing w:line="360" w:lineRule="auto"/>
        <w:contextualSpacing/>
        <w:jc w:val="both"/>
        <w:rPr>
          <w:rFonts w:ascii="Century" w:hAnsi="Century" w:cs="FrankRuehl"/>
          <w:spacing w:val="10"/>
          <w:szCs w:val="28"/>
          <w:rtl/>
        </w:rPr>
      </w:pPr>
    </w:p>
    <w:p w:rsidR="00C005B4" w:rsidRDefault="00C005B4" w:rsidP="00C005B4">
      <w:pPr>
        <w:tabs>
          <w:tab w:val="left" w:pos="800"/>
        </w:tabs>
        <w:spacing w:line="360" w:lineRule="auto"/>
        <w:contextualSpacing/>
        <w:jc w:val="both"/>
        <w:rPr>
          <w:rFonts w:ascii="Century" w:hAnsi="Century" w:cs="FrankRuehl"/>
          <w:spacing w:val="10"/>
          <w:szCs w:val="28"/>
          <w:rtl/>
        </w:rPr>
      </w:pPr>
      <w:r>
        <w:rPr>
          <w:rFonts w:ascii="Century" w:hAnsi="Century" w:cs="FrankRuehl" w:hint="cs"/>
          <w:spacing w:val="10"/>
          <w:szCs w:val="28"/>
          <w:rtl/>
        </w:rPr>
        <w:t>6.</w:t>
      </w:r>
      <w:r>
        <w:rPr>
          <w:rFonts w:ascii="Century" w:hAnsi="Century" w:cs="FrankRuehl" w:hint="cs"/>
          <w:spacing w:val="10"/>
          <w:szCs w:val="28"/>
          <w:rtl/>
        </w:rPr>
        <w:tab/>
        <w:t>נדחו גם טענות המבקשת, שלפיהן אילו ביצע המשיב 'סיווג שונה' של העסקה, היה עליו להתייחס לדין הכללי הרלבנטי, הוא לשיטת המבקשת דין מדינת קליפורניה, ולהראות מדוע מוצדק לפיו לשנות את סיווגה של העסקה. הטענות נדחו לגופן, תחת הנחה לטובת המבקשת כי ברי</w:t>
      </w:r>
      <w:r w:rsidR="00DB66AE">
        <w:rPr>
          <w:rFonts w:ascii="Century" w:hAnsi="Century" w:cs="FrankRuehl" w:hint="cs"/>
          <w:spacing w:val="10"/>
          <w:szCs w:val="28"/>
          <w:rtl/>
        </w:rPr>
        <w:t>רת הדין היא אכן כפי שנטען על-יד</w:t>
      </w:r>
      <w:r>
        <w:rPr>
          <w:rFonts w:ascii="Century" w:hAnsi="Century" w:cs="FrankRuehl" w:hint="cs"/>
          <w:spacing w:val="10"/>
          <w:szCs w:val="28"/>
          <w:rtl/>
        </w:rPr>
        <w:t>ה; בית המשפט נדרש לתמצית חוות-דעת מומחה לדין הזר מטעם המבקשת, וקבע כי לא השתכנע בטענתה כי הדין במדינת קליפורניה, לגופו, לא מאפשר לשנות את סיווג העסקה. טענותיה של המבקשת להיפוך הנטל מכוח סעיף 85א לפקודה נדחו אף הן, מן הטעם שהמשיב לא חלק על הנתונים שהציגה המבקשת לפניו, כנדרש לשם היפוך נטל בגדרי סעיף זה, אלא סבר כי הם אינם מייצגים את מלוא היקף העסקה. לבסוף, נדחו הטענות להיפוך הנטל בשל לקוניות של השומה, מן הטעם שהמבקשת קיבלה מענה לפנייתה בעניין גילוי מסמכים, וכי השומה מפורטת די הצורך כדי לאפשר לה להתמודד עמה כדבעי מבלי שיקופחו זכויותיה, גם אילו תפתח בהבאת ראיותיה.</w:t>
      </w:r>
    </w:p>
    <w:p w:rsidR="00C005B4" w:rsidRDefault="00C005B4" w:rsidP="00C005B4">
      <w:pPr>
        <w:tabs>
          <w:tab w:val="left" w:pos="800"/>
        </w:tabs>
        <w:spacing w:line="360" w:lineRule="auto"/>
        <w:contextualSpacing/>
        <w:jc w:val="both"/>
        <w:rPr>
          <w:rFonts w:ascii="Century" w:hAnsi="Century" w:cs="FrankRuehl"/>
          <w:spacing w:val="10"/>
          <w:szCs w:val="28"/>
          <w:rtl/>
        </w:rPr>
      </w:pPr>
    </w:p>
    <w:p w:rsidR="00C005B4" w:rsidRDefault="00C005B4" w:rsidP="00C005B4">
      <w:pPr>
        <w:tabs>
          <w:tab w:val="left" w:pos="800"/>
        </w:tabs>
        <w:spacing w:line="360" w:lineRule="auto"/>
        <w:contextualSpacing/>
        <w:jc w:val="both"/>
        <w:rPr>
          <w:rFonts w:ascii="Century" w:hAnsi="Century" w:cs="FrankRuehl"/>
          <w:spacing w:val="10"/>
          <w:szCs w:val="28"/>
          <w:rtl/>
        </w:rPr>
      </w:pPr>
      <w:r>
        <w:rPr>
          <w:rFonts w:ascii="Century" w:hAnsi="Century" w:cs="FrankRuehl"/>
          <w:spacing w:val="10"/>
          <w:szCs w:val="28"/>
          <w:rtl/>
        </w:rPr>
        <w:tab/>
      </w:r>
      <w:r>
        <w:rPr>
          <w:rFonts w:ascii="Century" w:hAnsi="Century" w:cs="FrankRuehl" w:hint="cs"/>
          <w:spacing w:val="10"/>
          <w:szCs w:val="28"/>
          <w:rtl/>
        </w:rPr>
        <w:t>מכאן בקשת רשות הערעור שלפנַי.</w:t>
      </w:r>
    </w:p>
    <w:p w:rsidR="00C005B4" w:rsidRDefault="00C005B4" w:rsidP="00C005B4">
      <w:pPr>
        <w:tabs>
          <w:tab w:val="left" w:pos="800"/>
        </w:tabs>
        <w:spacing w:line="360" w:lineRule="auto"/>
        <w:contextualSpacing/>
        <w:jc w:val="both"/>
        <w:rPr>
          <w:rFonts w:ascii="Century" w:hAnsi="Century" w:cs="FrankRuehl"/>
          <w:spacing w:val="10"/>
          <w:szCs w:val="28"/>
          <w:rtl/>
        </w:rPr>
      </w:pPr>
    </w:p>
    <w:p w:rsidR="00C005B4" w:rsidRPr="005A704D" w:rsidRDefault="00C005B4" w:rsidP="00C005B4">
      <w:pPr>
        <w:tabs>
          <w:tab w:val="left" w:pos="800"/>
        </w:tabs>
        <w:spacing w:line="360" w:lineRule="auto"/>
        <w:contextualSpacing/>
        <w:jc w:val="both"/>
        <w:rPr>
          <w:rFonts w:ascii="Century" w:hAnsi="Century" w:cs="Miriam"/>
          <w:b/>
          <w:rtl/>
        </w:rPr>
      </w:pPr>
      <w:r>
        <w:rPr>
          <w:rFonts w:ascii="Century" w:hAnsi="Century" w:cs="Miriam" w:hint="cs"/>
          <w:b/>
          <w:rtl/>
        </w:rPr>
        <w:t>טענות הצדדים</w:t>
      </w:r>
    </w:p>
    <w:p w:rsidR="00C005B4" w:rsidRDefault="00DB66AE" w:rsidP="00C005B4">
      <w:pPr>
        <w:tabs>
          <w:tab w:val="left" w:pos="800"/>
        </w:tabs>
        <w:spacing w:line="360" w:lineRule="auto"/>
        <w:contextualSpacing/>
        <w:jc w:val="both"/>
        <w:rPr>
          <w:rFonts w:ascii="Century" w:hAnsi="Century" w:cs="FrankRuehl"/>
          <w:spacing w:val="10"/>
          <w:szCs w:val="28"/>
          <w:rtl/>
        </w:rPr>
      </w:pPr>
      <w:r>
        <w:rPr>
          <w:rFonts w:ascii="Century" w:hAnsi="Century" w:cs="FrankRuehl" w:hint="cs"/>
          <w:spacing w:val="10"/>
          <w:szCs w:val="28"/>
          <w:rtl/>
        </w:rPr>
        <w:t>7</w:t>
      </w:r>
      <w:r w:rsidR="00C005B4">
        <w:rPr>
          <w:rFonts w:ascii="Century" w:hAnsi="Century" w:cs="FrankRuehl" w:hint="cs"/>
          <w:spacing w:val="10"/>
          <w:szCs w:val="28"/>
          <w:rtl/>
        </w:rPr>
        <w:t>.</w:t>
      </w:r>
      <w:r w:rsidR="00C005B4">
        <w:rPr>
          <w:rFonts w:ascii="Century" w:hAnsi="Century" w:cs="FrankRuehl" w:hint="cs"/>
          <w:spacing w:val="10"/>
          <w:szCs w:val="28"/>
          <w:rtl/>
        </w:rPr>
        <w:tab/>
        <w:t>בבקשתה טוענת המבקשת, כי בית המשפט המחוזי לא י</w:t>
      </w:r>
      <w:r w:rsidR="00575ECA">
        <w:rPr>
          <w:rFonts w:ascii="Century" w:hAnsi="Century" w:cs="FrankRuehl" w:hint="cs"/>
          <w:spacing w:val="10"/>
          <w:szCs w:val="28"/>
          <w:rtl/>
        </w:rPr>
        <w:t>ִ</w:t>
      </w:r>
      <w:r w:rsidR="00C005B4">
        <w:rPr>
          <w:rFonts w:ascii="Century" w:hAnsi="Century" w:cs="FrankRuehl" w:hint="cs"/>
          <w:spacing w:val="10"/>
          <w:szCs w:val="28"/>
          <w:rtl/>
        </w:rPr>
        <w:t>ש</w:t>
      </w:r>
      <w:r w:rsidR="00F0726F">
        <w:rPr>
          <w:rFonts w:ascii="Century" w:hAnsi="Century" w:cs="FrankRuehl" w:hint="cs"/>
          <w:spacing w:val="10"/>
          <w:szCs w:val="28"/>
          <w:rtl/>
        </w:rPr>
        <w:t>ׂ</w:t>
      </w:r>
      <w:r w:rsidR="00C005B4">
        <w:rPr>
          <w:rFonts w:ascii="Century" w:hAnsi="Century" w:cs="FrankRuehl" w:hint="cs"/>
          <w:spacing w:val="10"/>
          <w:szCs w:val="28"/>
          <w:rtl/>
        </w:rPr>
        <w:t xml:space="preserve">ם כראוי את אמות המידה להבחנה בין 'סיווג שונה' לבין 'סיווג מחדש', ושגה בהסתמכו על </w:t>
      </w:r>
      <w:r w:rsidR="00C005B4" w:rsidRPr="00B66706">
        <w:rPr>
          <w:rFonts w:ascii="Century" w:hAnsi="Century" w:cs="Miriam" w:hint="cs"/>
          <w:b/>
          <w:rtl/>
        </w:rPr>
        <w:t>"הנמקות שונות, זרות להלכות הידועות בהקשרים אלה, ובתוך כך התעלם מכך שהמשיב אינו מצביע על סיווג שונה מכוח הדין הכללי הרלוונטי"</w:t>
      </w:r>
      <w:r w:rsidR="00C005B4">
        <w:rPr>
          <w:rFonts w:ascii="Century" w:hAnsi="Century" w:cs="FrankRuehl" w:hint="cs"/>
          <w:spacing w:val="10"/>
          <w:szCs w:val="28"/>
          <w:rtl/>
        </w:rPr>
        <w:t xml:space="preserve">. בהמשך לכך נטען, כי בית המשפט שגה בקבעו כי השומה נוקטת במסלול 'סיווג שונה', חרף העובדה שהמשיב לא הראה מדוע, לפי הדין הכללי הרלבנטי </w:t>
      </w:r>
      <w:r w:rsidR="00C005B4">
        <w:rPr>
          <w:rFonts w:ascii="Century" w:hAnsi="Century" w:cs="FrankRuehl"/>
          <w:spacing w:val="10"/>
          <w:szCs w:val="28"/>
          <w:rtl/>
        </w:rPr>
        <w:t>–</w:t>
      </w:r>
      <w:r w:rsidR="00C005B4">
        <w:rPr>
          <w:rFonts w:ascii="Century" w:hAnsi="Century" w:cs="FrankRuehl" w:hint="cs"/>
          <w:spacing w:val="10"/>
          <w:szCs w:val="28"/>
          <w:rtl/>
        </w:rPr>
        <w:t xml:space="preserve"> הוא לשיטתה דין מדינת קליפורניה </w:t>
      </w:r>
      <w:r w:rsidR="00C005B4">
        <w:rPr>
          <w:rFonts w:ascii="Century" w:hAnsi="Century" w:cs="FrankRuehl"/>
          <w:spacing w:val="10"/>
          <w:szCs w:val="28"/>
          <w:rtl/>
        </w:rPr>
        <w:t>–</w:t>
      </w:r>
      <w:r w:rsidR="00C005B4">
        <w:rPr>
          <w:rFonts w:ascii="Century" w:hAnsi="Century" w:cs="FrankRuehl" w:hint="cs"/>
          <w:spacing w:val="10"/>
          <w:szCs w:val="28"/>
          <w:rtl/>
        </w:rPr>
        <w:t xml:space="preserve"> יש לבצע את השינוי, דבר המעיד לשיטתה על ביצוע 'סיווג מחדש'. בהקשר זה נטען, כי לפי דיני מדינת קליפורניה, לא ניתן לבצע סיווג שונה של העסקה כפי שביצע המשיב, בין היתר משום שדיני מדינת קליפורניה לא מכירים במושג ה-</w:t>
      </w:r>
      <w:r w:rsidR="00C005B4">
        <w:rPr>
          <w:rFonts w:ascii="Century" w:hAnsi="Century" w:cs="FrankRuehl" w:hint="cs"/>
          <w:spacing w:val="10"/>
          <w:szCs w:val="28"/>
        </w:rPr>
        <w:t>FAR</w:t>
      </w:r>
      <w:r w:rsidR="00C005B4">
        <w:rPr>
          <w:rFonts w:ascii="Century" w:hAnsi="Century" w:cs="FrankRuehl" w:hint="cs"/>
          <w:spacing w:val="10"/>
          <w:szCs w:val="28"/>
          <w:rtl/>
        </w:rPr>
        <w:t xml:space="preserve">. עוד נטען, כי ככל שסבר בית המשפט, כי בוצע 'סיווג שונה', היה עליו </w:t>
      </w:r>
      <w:r w:rsidR="00C005B4" w:rsidRPr="00C050DE">
        <w:rPr>
          <w:rFonts w:ascii="Century" w:hAnsi="Century" w:cs="Miriam" w:hint="cs"/>
          <w:b/>
          <w:rtl/>
        </w:rPr>
        <w:t>"לצלול ראשו ורובו לדיני מדינת קליפורניה"</w:t>
      </w:r>
      <w:r w:rsidR="00C005B4">
        <w:rPr>
          <w:rFonts w:ascii="Century" w:hAnsi="Century" w:cs="FrankRuehl" w:hint="cs"/>
          <w:spacing w:val="10"/>
          <w:szCs w:val="28"/>
          <w:rtl/>
        </w:rPr>
        <w:t xml:space="preserve">, כדי להכריע בשאלת </w:t>
      </w:r>
      <w:r w:rsidR="00C005B4">
        <w:rPr>
          <w:rFonts w:ascii="Century" w:hAnsi="Century" w:cs="FrankRuehl" w:hint="cs"/>
          <w:spacing w:val="10"/>
          <w:szCs w:val="28"/>
          <w:rtl/>
        </w:rPr>
        <w:lastRenderedPageBreak/>
        <w:t>הצידוק לשינוי הסיווג. כטענה חלופית, חזרה המבקשת גם על טענתה כי גם אם עסקינן בשומת 'סיווג שונה', עדיין ראוי להטיל את נטל ההוכחה על המשיב.</w:t>
      </w:r>
    </w:p>
    <w:p w:rsidR="00C005B4" w:rsidRDefault="00C005B4" w:rsidP="00C005B4">
      <w:pPr>
        <w:tabs>
          <w:tab w:val="left" w:pos="800"/>
        </w:tabs>
        <w:spacing w:line="360" w:lineRule="auto"/>
        <w:contextualSpacing/>
        <w:jc w:val="both"/>
        <w:rPr>
          <w:rFonts w:ascii="Century" w:hAnsi="Century" w:cs="FrankRuehl"/>
          <w:spacing w:val="10"/>
          <w:szCs w:val="28"/>
          <w:rtl/>
        </w:rPr>
      </w:pPr>
    </w:p>
    <w:p w:rsidR="00C005B4" w:rsidRDefault="00DB66AE" w:rsidP="00C005B4">
      <w:pPr>
        <w:tabs>
          <w:tab w:val="left" w:pos="800"/>
        </w:tabs>
        <w:spacing w:line="360" w:lineRule="auto"/>
        <w:contextualSpacing/>
        <w:jc w:val="both"/>
        <w:rPr>
          <w:rFonts w:ascii="Century" w:hAnsi="Century" w:cs="FrankRuehl"/>
          <w:spacing w:val="10"/>
          <w:szCs w:val="28"/>
          <w:rtl/>
        </w:rPr>
      </w:pPr>
      <w:r>
        <w:rPr>
          <w:rFonts w:ascii="Century" w:hAnsi="Century" w:cs="FrankRuehl" w:hint="cs"/>
          <w:spacing w:val="10"/>
          <w:szCs w:val="28"/>
          <w:rtl/>
        </w:rPr>
        <w:t>8</w:t>
      </w:r>
      <w:r w:rsidR="00C005B4">
        <w:rPr>
          <w:rFonts w:ascii="Century" w:hAnsi="Century" w:cs="FrankRuehl" w:hint="cs"/>
          <w:spacing w:val="10"/>
          <w:szCs w:val="28"/>
          <w:rtl/>
        </w:rPr>
        <w:t>.</w:t>
      </w:r>
      <w:r w:rsidR="00C005B4">
        <w:rPr>
          <w:rFonts w:ascii="Century" w:hAnsi="Century" w:cs="FrankRuehl" w:hint="cs"/>
          <w:spacing w:val="10"/>
          <w:szCs w:val="28"/>
          <w:rtl/>
        </w:rPr>
        <w:tab/>
        <w:t xml:space="preserve">על בסיס האמור נטען, כי שגיאותיו של בית המשפט המחוזי עתידות להשליך </w:t>
      </w:r>
      <w:r w:rsidR="00F0726F">
        <w:rPr>
          <w:rFonts w:ascii="Century" w:hAnsi="Century" w:cs="FrankRuehl" w:hint="cs"/>
          <w:spacing w:val="10"/>
          <w:szCs w:val="28"/>
          <w:rtl/>
        </w:rPr>
        <w:t xml:space="preserve">על ניהול ההליך עצמו, ומתן רשות </w:t>
      </w:r>
      <w:r w:rsidR="00C005B4">
        <w:rPr>
          <w:rFonts w:ascii="Century" w:hAnsi="Century" w:cs="FrankRuehl" w:hint="cs"/>
          <w:spacing w:val="10"/>
          <w:szCs w:val="28"/>
          <w:rtl/>
        </w:rPr>
        <w:t xml:space="preserve">ערעור כבר בשלב זה ימנע ניהול שגוי ובלתי יעיל של ההליך העיקרי </w:t>
      </w:r>
      <w:r w:rsidR="00C005B4">
        <w:rPr>
          <w:rFonts w:ascii="Century" w:hAnsi="Century" w:cs="FrankRuehl"/>
          <w:spacing w:val="10"/>
          <w:szCs w:val="28"/>
          <w:rtl/>
        </w:rPr>
        <w:t>–</w:t>
      </w:r>
      <w:r w:rsidR="00C005B4">
        <w:rPr>
          <w:rFonts w:ascii="Century" w:hAnsi="Century" w:cs="FrankRuehl" w:hint="cs"/>
          <w:spacing w:val="10"/>
          <w:szCs w:val="28"/>
          <w:rtl/>
        </w:rPr>
        <w:t xml:space="preserve"> שכן כל אחד </w:t>
      </w:r>
      <w:proofErr w:type="spellStart"/>
      <w:r w:rsidR="00C005B4">
        <w:rPr>
          <w:rFonts w:ascii="Century" w:hAnsi="Century" w:cs="FrankRuehl" w:hint="cs"/>
          <w:spacing w:val="10"/>
          <w:szCs w:val="28"/>
          <w:rtl/>
        </w:rPr>
        <w:t>מה'מסלולים</w:t>
      </w:r>
      <w:proofErr w:type="spellEnd"/>
      <w:r w:rsidR="00C005B4">
        <w:rPr>
          <w:rFonts w:ascii="Century" w:hAnsi="Century" w:cs="FrankRuehl" w:hint="cs"/>
          <w:spacing w:val="10"/>
          <w:szCs w:val="28"/>
          <w:rtl/>
        </w:rPr>
        <w:t xml:space="preserve">' מחייב הידרשות לטענות שונות </w:t>
      </w:r>
      <w:r w:rsidR="00C005B4">
        <w:rPr>
          <w:rFonts w:ascii="Century" w:hAnsi="Century" w:cs="FrankRuehl"/>
          <w:spacing w:val="10"/>
          <w:szCs w:val="28"/>
          <w:rtl/>
        </w:rPr>
        <w:t>–</w:t>
      </w:r>
      <w:r w:rsidR="00C005B4">
        <w:rPr>
          <w:rFonts w:ascii="Century" w:hAnsi="Century" w:cs="FrankRuehl" w:hint="cs"/>
          <w:spacing w:val="10"/>
          <w:szCs w:val="28"/>
          <w:rtl/>
        </w:rPr>
        <w:t xml:space="preserve"> בירור הדין הכללי מזה, או בירור טענות הנוגעות למלאכותיות העסקה מזה.</w:t>
      </w:r>
    </w:p>
    <w:p w:rsidR="00C005B4" w:rsidRDefault="00C005B4" w:rsidP="00C005B4">
      <w:pPr>
        <w:tabs>
          <w:tab w:val="left" w:pos="800"/>
        </w:tabs>
        <w:spacing w:line="360" w:lineRule="auto"/>
        <w:contextualSpacing/>
        <w:jc w:val="both"/>
        <w:rPr>
          <w:rFonts w:ascii="Century" w:hAnsi="Century" w:cs="FrankRuehl"/>
          <w:spacing w:val="10"/>
          <w:szCs w:val="28"/>
          <w:rtl/>
        </w:rPr>
      </w:pPr>
    </w:p>
    <w:p w:rsidR="00C005B4" w:rsidRDefault="00DB66AE" w:rsidP="00F0726F">
      <w:pPr>
        <w:tabs>
          <w:tab w:val="left" w:pos="800"/>
        </w:tabs>
        <w:spacing w:line="360" w:lineRule="auto"/>
        <w:contextualSpacing/>
        <w:jc w:val="both"/>
        <w:rPr>
          <w:rFonts w:ascii="Century" w:hAnsi="Century" w:cs="FrankRuehl"/>
          <w:spacing w:val="10"/>
          <w:szCs w:val="28"/>
          <w:rtl/>
        </w:rPr>
      </w:pPr>
      <w:r>
        <w:rPr>
          <w:rFonts w:ascii="Century" w:hAnsi="Century" w:cs="FrankRuehl" w:hint="cs"/>
          <w:spacing w:val="10"/>
          <w:szCs w:val="28"/>
          <w:rtl/>
        </w:rPr>
        <w:t>9</w:t>
      </w:r>
      <w:r w:rsidR="00C005B4">
        <w:rPr>
          <w:rFonts w:ascii="Century" w:hAnsi="Century" w:cs="FrankRuehl" w:hint="cs"/>
          <w:spacing w:val="10"/>
          <w:szCs w:val="28"/>
          <w:rtl/>
        </w:rPr>
        <w:t>.</w:t>
      </w:r>
      <w:r w:rsidR="00C005B4">
        <w:rPr>
          <w:rFonts w:ascii="Century" w:hAnsi="Century" w:cs="FrankRuehl" w:hint="cs"/>
          <w:spacing w:val="10"/>
          <w:szCs w:val="28"/>
          <w:rtl/>
        </w:rPr>
        <w:tab/>
        <w:t xml:space="preserve">בתשובתו טען המשיב, כי דין הבקשה להידחות על הסף, משום שהיא באה בגדרי סעיף 1(6) לצו בתי המשפט (סוגי החלטות שלא תינתן בהן רשות ערעור), התשס"ט-2009 </w:t>
      </w:r>
      <w:r w:rsidR="00C005B4">
        <w:rPr>
          <w:rFonts w:ascii="Century" w:hAnsi="Century" w:cs="FrankRuehl"/>
          <w:spacing w:val="10"/>
          <w:szCs w:val="28"/>
          <w:rtl/>
        </w:rPr>
        <w:t>(</w:t>
      </w:r>
      <w:r w:rsidR="00C005B4">
        <w:rPr>
          <w:rFonts w:ascii="Century" w:hAnsi="Century" w:cs="FrankRuehl" w:hint="eastAsia"/>
          <w:spacing w:val="10"/>
          <w:szCs w:val="28"/>
          <w:rtl/>
        </w:rPr>
        <w:t>להלן</w:t>
      </w:r>
      <w:r w:rsidR="00C005B4">
        <w:rPr>
          <w:rFonts w:ascii="Century" w:hAnsi="Century" w:cs="FrankRuehl"/>
          <w:spacing w:val="10"/>
          <w:szCs w:val="28"/>
          <w:rtl/>
        </w:rPr>
        <w:t xml:space="preserve">: </w:t>
      </w:r>
      <w:r w:rsidR="00C005B4">
        <w:rPr>
          <w:rFonts w:ascii="Century" w:hAnsi="Century" w:cs="Miriam" w:hint="cs"/>
          <w:b/>
          <w:rtl/>
        </w:rPr>
        <w:t>הצו</w:t>
      </w:r>
      <w:r w:rsidR="00C005B4">
        <w:rPr>
          <w:rFonts w:ascii="Century" w:hAnsi="Century" w:cs="FrankRuehl" w:hint="cs"/>
          <w:spacing w:val="10"/>
          <w:szCs w:val="28"/>
          <w:rtl/>
        </w:rPr>
        <w:t xml:space="preserve">). לשיטתו, ממילא השאלה בדבר העברת נטל השכנוע יכולה להיות מוכרעת רק בסופו של ההליך, ולפיכך עניינה של ההחלטה הוא בנטל הבאת הראיות וסדר הבאתן. עוד סבור המשיב, כי הבקשה איננה עומדת באמות המידה למתן רשות ערעור לפי סעיף 41(ב) לחוק בתי המשפט [נוסח משולב], התשמ"ד-1984 </w:t>
      </w:r>
      <w:r w:rsidR="00C005B4">
        <w:rPr>
          <w:rFonts w:ascii="Century" w:hAnsi="Century" w:cs="FrankRuehl"/>
          <w:spacing w:val="10"/>
          <w:szCs w:val="28"/>
          <w:rtl/>
        </w:rPr>
        <w:t>(</w:t>
      </w:r>
      <w:r w:rsidR="00C005B4">
        <w:rPr>
          <w:rFonts w:ascii="Century" w:hAnsi="Century" w:cs="FrankRuehl" w:hint="eastAsia"/>
          <w:spacing w:val="10"/>
          <w:szCs w:val="28"/>
          <w:rtl/>
        </w:rPr>
        <w:t>להלן</w:t>
      </w:r>
      <w:r w:rsidR="00C005B4">
        <w:rPr>
          <w:rFonts w:ascii="Century" w:hAnsi="Century" w:cs="FrankRuehl"/>
          <w:spacing w:val="10"/>
          <w:szCs w:val="28"/>
          <w:rtl/>
        </w:rPr>
        <w:t xml:space="preserve">: </w:t>
      </w:r>
      <w:r w:rsidR="00C005B4">
        <w:rPr>
          <w:rFonts w:ascii="Century" w:hAnsi="Century" w:cs="Miriam" w:hint="cs"/>
          <w:b/>
          <w:rtl/>
        </w:rPr>
        <w:t>החוק</w:t>
      </w:r>
      <w:r w:rsidR="00C005B4">
        <w:rPr>
          <w:rFonts w:ascii="Century" w:hAnsi="Century" w:cs="FrankRuehl" w:hint="cs"/>
          <w:spacing w:val="10"/>
          <w:szCs w:val="28"/>
          <w:rtl/>
        </w:rPr>
        <w:t xml:space="preserve">). נטען, כי עסקינן בהחלטה דיונית מובהקת, בעניין נטל הבאת הראיות וסדר הבאתן, שההתערבות בה מצומצמת ושמורה למקרים חריגים, אשר הנדון </w:t>
      </w:r>
      <w:proofErr w:type="spellStart"/>
      <w:r w:rsidR="00C005B4">
        <w:rPr>
          <w:rFonts w:ascii="Century" w:hAnsi="Century" w:cs="FrankRuehl" w:hint="cs"/>
          <w:spacing w:val="10"/>
          <w:szCs w:val="28"/>
          <w:rtl/>
        </w:rPr>
        <w:t>דידן</w:t>
      </w:r>
      <w:proofErr w:type="spellEnd"/>
      <w:r w:rsidR="00C005B4">
        <w:rPr>
          <w:rFonts w:ascii="Century" w:hAnsi="Century" w:cs="FrankRuehl" w:hint="cs"/>
          <w:spacing w:val="10"/>
          <w:szCs w:val="28"/>
          <w:rtl/>
        </w:rPr>
        <w:t xml:space="preserve"> איננו נמנה עליהם. אשר לפוטנציאל לניהול שגוי של ההליך, נטען כי היקף הפגיעה האפשרית במבקשת מצומצם, והדבר נלמד לשיטת המשיב מקרבתו של נושא הבקשה </w:t>
      </w:r>
      <w:r w:rsidR="00C005B4">
        <w:rPr>
          <w:rFonts w:ascii="Century" w:hAnsi="Century" w:cs="FrankRuehl"/>
          <w:spacing w:val="10"/>
          <w:szCs w:val="28"/>
          <w:rtl/>
        </w:rPr>
        <w:t>–</w:t>
      </w:r>
      <w:r w:rsidR="00C005B4">
        <w:rPr>
          <w:rFonts w:ascii="Century" w:hAnsi="Century" w:cs="FrankRuehl" w:hint="cs"/>
          <w:spacing w:val="10"/>
          <w:szCs w:val="28"/>
          <w:rtl/>
        </w:rPr>
        <w:t xml:space="preserve"> היפוך נטל וסדר הבאת הראיות </w:t>
      </w:r>
      <w:r w:rsidR="00C005B4">
        <w:rPr>
          <w:rFonts w:ascii="Century" w:hAnsi="Century" w:cs="FrankRuehl"/>
          <w:spacing w:val="10"/>
          <w:szCs w:val="28"/>
          <w:rtl/>
        </w:rPr>
        <w:t>–</w:t>
      </w:r>
      <w:r w:rsidR="00C005B4">
        <w:rPr>
          <w:rFonts w:ascii="Century" w:hAnsi="Century" w:cs="FrankRuehl" w:hint="cs"/>
          <w:spacing w:val="10"/>
          <w:szCs w:val="28"/>
          <w:rtl/>
        </w:rPr>
        <w:t xml:space="preserve"> לנושאים המנויים בצו; מכך שההחלטה איננה מונעת מהמבקשת להציג את גרסתה העובדתית, אלא רק משנה את סדרי הבאת הראיות; ומן העובדה כי ההחלטה למעשה משמרת את ברירת המחדל המושרשת, שלפיה נטל ההוכחה בערעורי מס מוטל על הנישום. הודגש, כי אמנם יתכן שלא ניתן יהיה לרפא פגמים שיתגלו בהחלטה דנן בגדרי ערעור על פסק הדין הסופי </w:t>
      </w:r>
      <w:r w:rsidR="00C005B4">
        <w:rPr>
          <w:rFonts w:ascii="Century" w:hAnsi="Century" w:cs="FrankRuehl"/>
          <w:spacing w:val="10"/>
          <w:szCs w:val="28"/>
          <w:rtl/>
        </w:rPr>
        <w:t>–</w:t>
      </w:r>
      <w:r w:rsidR="00C005B4">
        <w:rPr>
          <w:rFonts w:ascii="Century" w:hAnsi="Century" w:cs="FrankRuehl" w:hint="cs"/>
          <w:spacing w:val="10"/>
          <w:szCs w:val="28"/>
          <w:rtl/>
        </w:rPr>
        <w:t xml:space="preserve"> אך נוכח </w:t>
      </w:r>
      <w:proofErr w:type="spellStart"/>
      <w:r w:rsidR="00C005B4">
        <w:rPr>
          <w:rFonts w:ascii="Century" w:hAnsi="Century" w:cs="FrankRuehl" w:hint="cs"/>
          <w:spacing w:val="10"/>
          <w:szCs w:val="28"/>
          <w:rtl/>
        </w:rPr>
        <w:t>אופיה</w:t>
      </w:r>
      <w:proofErr w:type="spellEnd"/>
      <w:r w:rsidR="00C005B4">
        <w:rPr>
          <w:rFonts w:ascii="Century" w:hAnsi="Century" w:cs="FrankRuehl" w:hint="cs"/>
          <w:spacing w:val="10"/>
          <w:szCs w:val="28"/>
          <w:rtl/>
        </w:rPr>
        <w:t xml:space="preserve"> הטכני ופוטנציאל הפגיעה הנמוך במבקשת, אין </w:t>
      </w:r>
      <w:r w:rsidR="00F0726F">
        <w:rPr>
          <w:rFonts w:ascii="Century" w:hAnsi="Century" w:cs="FrankRuehl" w:hint="cs"/>
          <w:spacing w:val="10"/>
          <w:szCs w:val="28"/>
          <w:rtl/>
        </w:rPr>
        <w:t>ה</w:t>
      </w:r>
      <w:r w:rsidR="00C005B4">
        <w:rPr>
          <w:rFonts w:ascii="Century" w:hAnsi="Century" w:cs="FrankRuehl" w:hint="cs"/>
          <w:spacing w:val="10"/>
          <w:szCs w:val="28"/>
          <w:rtl/>
        </w:rPr>
        <w:t>צדק</w:t>
      </w:r>
      <w:r w:rsidR="00F0726F">
        <w:rPr>
          <w:rFonts w:ascii="Century" w:hAnsi="Century" w:cs="FrankRuehl" w:hint="cs"/>
          <w:spacing w:val="10"/>
          <w:szCs w:val="28"/>
          <w:rtl/>
        </w:rPr>
        <w:t>ה</w:t>
      </w:r>
      <w:r w:rsidR="00C005B4">
        <w:rPr>
          <w:rFonts w:ascii="Century" w:hAnsi="Century" w:cs="FrankRuehl" w:hint="cs"/>
          <w:spacing w:val="10"/>
          <w:szCs w:val="28"/>
          <w:rtl/>
        </w:rPr>
        <w:t xml:space="preserve"> להיעתר לבקשה. בפרט הודגש, כי ממילא אם תתהפך ההחלטה בערעור, ויקַבע כי השומה התבססה על 'סיווג מחדש' </w:t>
      </w:r>
      <w:r w:rsidR="00C005B4">
        <w:rPr>
          <w:rFonts w:ascii="Century" w:hAnsi="Century" w:cs="FrankRuehl"/>
          <w:spacing w:val="10"/>
          <w:szCs w:val="28"/>
          <w:rtl/>
        </w:rPr>
        <w:t>–</w:t>
      </w:r>
      <w:r w:rsidR="00C005B4">
        <w:rPr>
          <w:rFonts w:ascii="Century" w:hAnsi="Century" w:cs="FrankRuehl" w:hint="cs"/>
          <w:spacing w:val="10"/>
          <w:szCs w:val="28"/>
          <w:rtl/>
        </w:rPr>
        <w:t xml:space="preserve"> יוטלו </w:t>
      </w:r>
      <w:proofErr w:type="spellStart"/>
      <w:r w:rsidR="00C005B4">
        <w:rPr>
          <w:rFonts w:ascii="Century" w:hAnsi="Century" w:cs="FrankRuehl" w:hint="cs"/>
          <w:spacing w:val="10"/>
          <w:szCs w:val="28"/>
          <w:rtl/>
        </w:rPr>
        <w:t>הנטלים</w:t>
      </w:r>
      <w:proofErr w:type="spellEnd"/>
      <w:r w:rsidR="00C005B4">
        <w:rPr>
          <w:rFonts w:ascii="Century" w:hAnsi="Century" w:cs="FrankRuehl" w:hint="cs"/>
          <w:spacing w:val="10"/>
          <w:szCs w:val="28"/>
          <w:rtl/>
        </w:rPr>
        <w:t xml:space="preserve"> לפתחו של המשיב, והוא למעשה זה שנושא בסיכון בכל הנוגע לניהול שגוי של ההליך.</w:t>
      </w:r>
    </w:p>
    <w:p w:rsidR="00C005B4" w:rsidRDefault="00C005B4" w:rsidP="00C005B4">
      <w:pPr>
        <w:tabs>
          <w:tab w:val="left" w:pos="800"/>
        </w:tabs>
        <w:spacing w:line="360" w:lineRule="auto"/>
        <w:contextualSpacing/>
        <w:jc w:val="both"/>
        <w:rPr>
          <w:rFonts w:ascii="Century" w:hAnsi="Century" w:cs="FrankRuehl"/>
          <w:spacing w:val="10"/>
          <w:szCs w:val="28"/>
          <w:rtl/>
        </w:rPr>
      </w:pPr>
    </w:p>
    <w:p w:rsidR="00C005B4" w:rsidRDefault="00DB66AE" w:rsidP="00C005B4">
      <w:pPr>
        <w:tabs>
          <w:tab w:val="left" w:pos="800"/>
        </w:tabs>
        <w:spacing w:line="360" w:lineRule="auto"/>
        <w:contextualSpacing/>
        <w:jc w:val="both"/>
        <w:rPr>
          <w:rFonts w:ascii="Century" w:hAnsi="Century" w:cs="FrankRuehl"/>
          <w:spacing w:val="10"/>
          <w:szCs w:val="28"/>
          <w:rtl/>
        </w:rPr>
      </w:pPr>
      <w:r>
        <w:rPr>
          <w:rFonts w:ascii="Century" w:hAnsi="Century" w:cs="FrankRuehl" w:hint="cs"/>
          <w:spacing w:val="10"/>
          <w:szCs w:val="28"/>
          <w:rtl/>
        </w:rPr>
        <w:t>10</w:t>
      </w:r>
      <w:r w:rsidR="00C005B4">
        <w:rPr>
          <w:rFonts w:ascii="Century" w:hAnsi="Century" w:cs="FrankRuehl" w:hint="cs"/>
          <w:spacing w:val="10"/>
          <w:szCs w:val="28"/>
          <w:rtl/>
        </w:rPr>
        <w:t>.</w:t>
      </w:r>
      <w:r w:rsidR="00C005B4">
        <w:rPr>
          <w:rFonts w:ascii="Century" w:hAnsi="Century" w:cs="FrankRuehl" w:hint="cs"/>
          <w:spacing w:val="10"/>
          <w:szCs w:val="28"/>
          <w:rtl/>
        </w:rPr>
        <w:tab/>
        <w:t xml:space="preserve">המשיב סבור כי ההחלטה מוצדקת גם לגופה. נטען, כי בית המשפט המחוזי הלך בתלם הלכות מושרשות בדיני המיסים, לפיהן מיסוי עסקה נעשה לפי מהותה הכלכלית. הודגש, כי בביצוע 'סיווג שונה', בוחן פקיד השומה 'מה אירע באמת', קרי, האם המציאות העובדתית תואמת את המצג שהציג הנישום מבחינה עובדתית ומשפטית. לעומת זאת, 'סיווג מחדש' מבוצע כסמכות שיורית, שניתנת להפעלה רק מקום שבו פקיד השומה מקבל את העסקה כפי שהוצגה על-ידי הנישום, </w:t>
      </w:r>
      <w:r w:rsidR="00C005B4" w:rsidRPr="00F35A38">
        <w:rPr>
          <w:rFonts w:ascii="Century" w:hAnsi="Century" w:cs="Miriam" w:hint="cs"/>
          <w:b/>
          <w:rtl/>
        </w:rPr>
        <w:t>"ואין הוא חולק כי כך אירע בעולם המעשה, אלא לעמדתו מדובר בתכנון מס שאינו לגיטימי"</w:t>
      </w:r>
      <w:r w:rsidR="00C005B4">
        <w:rPr>
          <w:rFonts w:ascii="Century" w:hAnsi="Century" w:cs="FrankRuehl" w:hint="cs"/>
          <w:spacing w:val="10"/>
          <w:szCs w:val="28"/>
          <w:rtl/>
        </w:rPr>
        <w:t xml:space="preserve"> (סעיף 58 לתשובת המשיב). </w:t>
      </w:r>
      <w:r w:rsidR="00C005B4">
        <w:rPr>
          <w:rFonts w:ascii="Century" w:hAnsi="Century" w:cs="FrankRuehl" w:hint="cs"/>
          <w:spacing w:val="10"/>
          <w:szCs w:val="28"/>
          <w:rtl/>
        </w:rPr>
        <w:lastRenderedPageBreak/>
        <w:t xml:space="preserve">לפיכך, בנדון </w:t>
      </w:r>
      <w:proofErr w:type="spellStart"/>
      <w:r w:rsidR="00C005B4">
        <w:rPr>
          <w:rFonts w:ascii="Century" w:hAnsi="Century" w:cs="FrankRuehl" w:hint="cs"/>
          <w:spacing w:val="10"/>
          <w:szCs w:val="28"/>
          <w:rtl/>
        </w:rPr>
        <w:t>דידן</w:t>
      </w:r>
      <w:proofErr w:type="spellEnd"/>
      <w:r w:rsidR="00C005B4">
        <w:rPr>
          <w:rFonts w:ascii="Century" w:hAnsi="Century" w:cs="FrankRuehl" w:hint="cs"/>
          <w:spacing w:val="10"/>
          <w:szCs w:val="28"/>
          <w:rtl/>
        </w:rPr>
        <w:t xml:space="preserve"> מדובר ב'סיווג שונה', שכן טענותיו של פקיד השומה הופנו כלפי הנעשה בפועל, והתאמת המצג שהוצג לפניו לעובדות בעולם המעשה (להבדיל משינוי תוצאותיה של מערכת עובדתית נתונה במישור המס בלבד, אז יהא מדובר ב'סיווג מחדש'). הודגש, כי המשיב קיבל את דיווחה של המבקשת ביחס למכירת קניינה הרוחני, אך סבר כי בפועל נמכרה גם פעילותה, במסגרת מכירה שלא דווחה. אשר לטענה הנוספת שלפיה יש להפוך את </w:t>
      </w:r>
      <w:proofErr w:type="spellStart"/>
      <w:r w:rsidR="00C005B4">
        <w:rPr>
          <w:rFonts w:ascii="Century" w:hAnsi="Century" w:cs="FrankRuehl" w:hint="cs"/>
          <w:spacing w:val="10"/>
          <w:szCs w:val="28"/>
          <w:rtl/>
        </w:rPr>
        <w:t>הנטלים</w:t>
      </w:r>
      <w:proofErr w:type="spellEnd"/>
      <w:r w:rsidR="00C005B4">
        <w:rPr>
          <w:rFonts w:ascii="Century" w:hAnsi="Century" w:cs="FrankRuehl" w:hint="cs"/>
          <w:spacing w:val="10"/>
          <w:szCs w:val="28"/>
          <w:rtl/>
        </w:rPr>
        <w:t xml:space="preserve"> גם ככל שעסקינן ב'סיווג שונ</w:t>
      </w:r>
      <w:r w:rsidR="00F0726F">
        <w:rPr>
          <w:rFonts w:ascii="Century" w:hAnsi="Century" w:cs="FrankRuehl" w:hint="cs"/>
          <w:spacing w:val="10"/>
          <w:szCs w:val="28"/>
          <w:rtl/>
        </w:rPr>
        <w:t xml:space="preserve">ה', נטען כי המבקשת מצויה בעמדה </w:t>
      </w:r>
      <w:r w:rsidR="00C005B4">
        <w:rPr>
          <w:rFonts w:ascii="Century" w:hAnsi="Century" w:cs="FrankRuehl" w:hint="cs"/>
          <w:spacing w:val="10"/>
          <w:szCs w:val="28"/>
          <w:rtl/>
        </w:rPr>
        <w:t xml:space="preserve">טובה יותר כדי להוכיח את טענותיה </w:t>
      </w:r>
      <w:r w:rsidR="00C005B4">
        <w:rPr>
          <w:rFonts w:ascii="Century" w:hAnsi="Century" w:cs="FrankRuehl"/>
          <w:spacing w:val="10"/>
          <w:szCs w:val="28"/>
          <w:rtl/>
        </w:rPr>
        <w:t>–</w:t>
      </w:r>
      <w:r w:rsidR="00C005B4">
        <w:rPr>
          <w:rFonts w:ascii="Century" w:hAnsi="Century" w:cs="FrankRuehl" w:hint="cs"/>
          <w:spacing w:val="10"/>
          <w:szCs w:val="28"/>
          <w:rtl/>
        </w:rPr>
        <w:t xml:space="preserve"> המידע בדבר פעילותה העסקית לפני העסקה ולאחריה מצוי ב</w:t>
      </w:r>
      <w:r w:rsidR="00F0726F">
        <w:rPr>
          <w:rFonts w:ascii="Century" w:hAnsi="Century" w:cs="FrankRuehl" w:hint="cs"/>
          <w:spacing w:val="10"/>
          <w:szCs w:val="28"/>
          <w:rtl/>
        </w:rPr>
        <w:t>ידיה, וכל שהיא נדרשת להוכיח הוא</w:t>
      </w:r>
      <w:r w:rsidR="00C005B4">
        <w:rPr>
          <w:rFonts w:ascii="Century" w:hAnsi="Century" w:cs="FrankRuehl" w:hint="cs"/>
          <w:spacing w:val="10"/>
          <w:szCs w:val="28"/>
          <w:rtl/>
        </w:rPr>
        <w:t xml:space="preserve"> כי הפונקציות שנטען שנמכרו (ה-</w:t>
      </w:r>
      <w:r w:rsidR="00C005B4">
        <w:rPr>
          <w:rFonts w:ascii="Century" w:hAnsi="Century" w:cs="FrankRuehl" w:hint="cs"/>
          <w:spacing w:val="10"/>
          <w:szCs w:val="28"/>
        </w:rPr>
        <w:t>FAR</w:t>
      </w:r>
      <w:r w:rsidR="00C005B4">
        <w:rPr>
          <w:rFonts w:ascii="Century" w:hAnsi="Century" w:cs="FrankRuehl" w:hint="cs"/>
          <w:spacing w:val="10"/>
          <w:szCs w:val="28"/>
          <w:rtl/>
        </w:rPr>
        <w:t>), ממשיכות להתבצע תחת קורת גגה לאחר המכירה.</w:t>
      </w:r>
    </w:p>
    <w:p w:rsidR="00C005B4" w:rsidRDefault="00C005B4" w:rsidP="00C005B4">
      <w:pPr>
        <w:tabs>
          <w:tab w:val="left" w:pos="800"/>
        </w:tabs>
        <w:spacing w:line="360" w:lineRule="auto"/>
        <w:contextualSpacing/>
        <w:jc w:val="both"/>
        <w:rPr>
          <w:rFonts w:ascii="Century" w:hAnsi="Century" w:cs="FrankRuehl"/>
          <w:spacing w:val="10"/>
          <w:szCs w:val="28"/>
          <w:rtl/>
        </w:rPr>
      </w:pPr>
    </w:p>
    <w:p w:rsidR="00C005B4" w:rsidRPr="00A97B8A" w:rsidRDefault="00C005B4" w:rsidP="00DB66AE">
      <w:pPr>
        <w:tabs>
          <w:tab w:val="left" w:pos="800"/>
        </w:tabs>
        <w:spacing w:line="360" w:lineRule="auto"/>
        <w:contextualSpacing/>
        <w:jc w:val="both"/>
        <w:rPr>
          <w:rFonts w:ascii="Century" w:hAnsi="Century" w:cs="FrankRuehl"/>
          <w:spacing w:val="10"/>
          <w:szCs w:val="28"/>
          <w:rtl/>
        </w:rPr>
      </w:pPr>
      <w:r>
        <w:rPr>
          <w:rFonts w:ascii="Century" w:hAnsi="Century" w:cs="FrankRuehl" w:hint="cs"/>
          <w:spacing w:val="10"/>
          <w:szCs w:val="28"/>
          <w:rtl/>
        </w:rPr>
        <w:t>1</w:t>
      </w:r>
      <w:r w:rsidR="00DB66AE">
        <w:rPr>
          <w:rFonts w:ascii="Century" w:hAnsi="Century" w:cs="FrankRuehl" w:hint="cs"/>
          <w:spacing w:val="10"/>
          <w:szCs w:val="28"/>
          <w:rtl/>
        </w:rPr>
        <w:t>1</w:t>
      </w:r>
      <w:r>
        <w:rPr>
          <w:rFonts w:ascii="Century" w:hAnsi="Century" w:cs="FrankRuehl" w:hint="cs"/>
          <w:spacing w:val="10"/>
          <w:szCs w:val="28"/>
          <w:rtl/>
        </w:rPr>
        <w:t>.</w:t>
      </w:r>
      <w:r>
        <w:rPr>
          <w:rFonts w:ascii="Century" w:hAnsi="Century" w:cs="FrankRuehl" w:hint="cs"/>
          <w:spacing w:val="10"/>
          <w:szCs w:val="28"/>
          <w:rtl/>
        </w:rPr>
        <w:tab/>
        <w:t xml:space="preserve">בתגובתה לתשובת המשיב מדגישה המבקשת, כי עיקר הבקשה איננו בסדר הבאת הראיות, כי אם </w:t>
      </w:r>
      <w:proofErr w:type="spellStart"/>
      <w:r>
        <w:rPr>
          <w:rFonts w:ascii="Century" w:hAnsi="Century" w:cs="FrankRuehl" w:hint="cs"/>
          <w:spacing w:val="10"/>
          <w:szCs w:val="28"/>
          <w:rtl/>
        </w:rPr>
        <w:t>באופיה</w:t>
      </w:r>
      <w:proofErr w:type="spellEnd"/>
      <w:r>
        <w:rPr>
          <w:rFonts w:ascii="Century" w:hAnsi="Century" w:cs="FrankRuehl" w:hint="cs"/>
          <w:spacing w:val="10"/>
          <w:szCs w:val="28"/>
          <w:rtl/>
        </w:rPr>
        <w:t xml:space="preserve"> של השומה </w:t>
      </w:r>
      <w:r>
        <w:rPr>
          <w:rFonts w:ascii="Century" w:hAnsi="Century" w:cs="FrankRuehl"/>
          <w:spacing w:val="10"/>
          <w:szCs w:val="28"/>
          <w:rtl/>
        </w:rPr>
        <w:t>–</w:t>
      </w:r>
      <w:r>
        <w:rPr>
          <w:rFonts w:ascii="Century" w:hAnsi="Century" w:cs="FrankRuehl" w:hint="cs"/>
          <w:spacing w:val="10"/>
          <w:szCs w:val="28"/>
          <w:rtl/>
        </w:rPr>
        <w:t xml:space="preserve"> וכי הכרעה </w:t>
      </w:r>
      <w:proofErr w:type="spellStart"/>
      <w:r>
        <w:rPr>
          <w:rFonts w:ascii="Century" w:hAnsi="Century" w:cs="FrankRuehl" w:hint="cs"/>
          <w:spacing w:val="10"/>
          <w:szCs w:val="28"/>
          <w:rtl/>
        </w:rPr>
        <w:t>באופיה</w:t>
      </w:r>
      <w:proofErr w:type="spellEnd"/>
      <w:r>
        <w:rPr>
          <w:rFonts w:ascii="Century" w:hAnsi="Century" w:cs="FrankRuehl" w:hint="cs"/>
          <w:spacing w:val="10"/>
          <w:szCs w:val="28"/>
          <w:rtl/>
        </w:rPr>
        <w:t xml:space="preserve"> של השומה לכאן או לכאן משליכה על מלוא הליך הבירור שנדרש בגדרי הערעור. נטען, כי אמנם ה'טריגר' לדיון </w:t>
      </w:r>
      <w:proofErr w:type="spellStart"/>
      <w:r>
        <w:rPr>
          <w:rFonts w:ascii="Century" w:hAnsi="Century" w:cs="FrankRuehl" w:hint="cs"/>
          <w:spacing w:val="10"/>
          <w:szCs w:val="28"/>
          <w:rtl/>
        </w:rPr>
        <w:t>באופיה</w:t>
      </w:r>
      <w:proofErr w:type="spellEnd"/>
      <w:r>
        <w:rPr>
          <w:rFonts w:ascii="Century" w:hAnsi="Century" w:cs="FrankRuehl" w:hint="cs"/>
          <w:spacing w:val="10"/>
          <w:szCs w:val="28"/>
          <w:rtl/>
        </w:rPr>
        <w:t xml:space="preserve"> של השומה היה דיוני </w:t>
      </w:r>
      <w:r>
        <w:rPr>
          <w:rFonts w:ascii="Century" w:hAnsi="Century" w:cs="FrankRuehl"/>
          <w:spacing w:val="10"/>
          <w:szCs w:val="28"/>
          <w:rtl/>
        </w:rPr>
        <w:t>–</w:t>
      </w:r>
      <w:r>
        <w:rPr>
          <w:rFonts w:ascii="Century" w:hAnsi="Century" w:cs="FrankRuehl" w:hint="cs"/>
          <w:spacing w:val="10"/>
          <w:szCs w:val="28"/>
          <w:rtl/>
        </w:rPr>
        <w:t xml:space="preserve"> שאלת נטלי ההוכחה </w:t>
      </w:r>
      <w:r>
        <w:rPr>
          <w:rFonts w:ascii="Century" w:hAnsi="Century" w:cs="FrankRuehl"/>
          <w:spacing w:val="10"/>
          <w:szCs w:val="28"/>
          <w:rtl/>
        </w:rPr>
        <w:t>–</w:t>
      </w:r>
      <w:r>
        <w:rPr>
          <w:rFonts w:ascii="Century" w:hAnsi="Century" w:cs="FrankRuehl" w:hint="cs"/>
          <w:spacing w:val="10"/>
          <w:szCs w:val="28"/>
          <w:rtl/>
        </w:rPr>
        <w:t xml:space="preserve"> אך ההחלטה עסקה בעיקרה ב</w:t>
      </w:r>
      <w:r w:rsidRPr="00A97B8A">
        <w:rPr>
          <w:rFonts w:ascii="Century" w:hAnsi="Century" w:cs="Miriam" w:hint="cs"/>
          <w:b/>
          <w:rtl/>
        </w:rPr>
        <w:t xml:space="preserve">"סמכות שמכוחה הופקה השומה והנתיב המשפטי בו יתקדם ערעור המס כולו, ובכך עוסקת גם </w:t>
      </w:r>
      <w:proofErr w:type="spellStart"/>
      <w:r w:rsidRPr="00A97B8A">
        <w:rPr>
          <w:rFonts w:ascii="Century" w:hAnsi="Century" w:cs="Miriam" w:hint="cs"/>
          <w:b/>
          <w:rtl/>
        </w:rPr>
        <w:t>הבר"ע</w:t>
      </w:r>
      <w:proofErr w:type="spellEnd"/>
      <w:r w:rsidRPr="00A97B8A">
        <w:rPr>
          <w:rFonts w:ascii="Century" w:hAnsi="Century" w:cs="Miriam" w:hint="cs"/>
          <w:b/>
          <w:rtl/>
        </w:rPr>
        <w:t>"</w:t>
      </w:r>
      <w:r>
        <w:rPr>
          <w:rFonts w:ascii="Century" w:hAnsi="Century" w:cs="FrankRuehl" w:hint="cs"/>
          <w:spacing w:val="10"/>
          <w:szCs w:val="28"/>
          <w:rtl/>
        </w:rPr>
        <w:t xml:space="preserve"> (סעיף 3 לתגובת המבקשת). אשר לתחולת סעיף 1(6) לצו נטען, כי מקום שההחלטה מושא הבקשה עוסקת בנטלי ההוכחה </w:t>
      </w:r>
      <w:r>
        <w:rPr>
          <w:rFonts w:ascii="Century" w:hAnsi="Century" w:cs="FrankRuehl"/>
          <w:spacing w:val="10"/>
          <w:szCs w:val="28"/>
          <w:rtl/>
        </w:rPr>
        <w:t>–</w:t>
      </w:r>
      <w:r>
        <w:rPr>
          <w:rFonts w:ascii="Century" w:hAnsi="Century" w:cs="FrankRuehl" w:hint="cs"/>
          <w:spacing w:val="10"/>
          <w:szCs w:val="28"/>
          <w:rtl/>
        </w:rPr>
        <w:t xml:space="preserve"> נטל הבאת הראיות וגם נטל השכנוע, אין מדובר בקביעה הנוגעת לסדר הבאת הראיות גרידא. המבקשת חזרה על שאר טענותיה, שלפיהן ההכרעה בבקשה הכרחית לשם ניהולו הנכון של ההליך. המשיב הגיש גם הוא תגובה נוספת, בה חזר והדגיש, כי הבקשה במהותה היא דיונית, ועניינה היפוך </w:t>
      </w:r>
      <w:proofErr w:type="spellStart"/>
      <w:r>
        <w:rPr>
          <w:rFonts w:ascii="Century" w:hAnsi="Century" w:cs="FrankRuehl" w:hint="cs"/>
          <w:spacing w:val="10"/>
          <w:szCs w:val="28"/>
          <w:rtl/>
        </w:rPr>
        <w:t>נטלים</w:t>
      </w:r>
      <w:proofErr w:type="spellEnd"/>
      <w:r>
        <w:rPr>
          <w:rFonts w:ascii="Century" w:hAnsi="Century" w:cs="FrankRuehl" w:hint="cs"/>
          <w:spacing w:val="10"/>
          <w:szCs w:val="28"/>
          <w:rtl/>
        </w:rPr>
        <w:t xml:space="preserve"> בפתח ההליך </w:t>
      </w:r>
      <w:r>
        <w:rPr>
          <w:rFonts w:ascii="Century" w:hAnsi="Century" w:cs="FrankRuehl"/>
          <w:spacing w:val="10"/>
          <w:szCs w:val="28"/>
          <w:rtl/>
        </w:rPr>
        <w:t>–</w:t>
      </w:r>
      <w:r>
        <w:rPr>
          <w:rFonts w:ascii="Century" w:hAnsi="Century" w:cs="FrankRuehl" w:hint="cs"/>
          <w:spacing w:val="10"/>
          <w:szCs w:val="28"/>
          <w:rtl/>
        </w:rPr>
        <w:t xml:space="preserve"> על אף שלצורך הכרעה בבקשה, נדרש בית המשפט לדון בסוגיות מהותיות של אופי השומה. עוד הודגש, כי מקומן הנכון של טענות באשר לפרשנותן של סמכויות 'סיווג שונה' לעומת 'סיווג מחדש', ו'עשיית סדר' בפסיקת הערכאות הדיוניות, הוא בגדרי הערעור על פסק הדין הסופי. לבסוף נטען, כי המבקשת לא הצביעה על נזק או עיוות דין שעשוי להיגרם עקב הותרת ההחלטה, ועמה ברירת המחדל באשר לנטלי ההוכחה, על כנה.</w:t>
      </w:r>
    </w:p>
    <w:p w:rsidR="00C005B4" w:rsidRDefault="00C005B4" w:rsidP="00C005B4">
      <w:pPr>
        <w:tabs>
          <w:tab w:val="left" w:pos="800"/>
        </w:tabs>
        <w:spacing w:line="360" w:lineRule="auto"/>
        <w:contextualSpacing/>
        <w:jc w:val="both"/>
        <w:rPr>
          <w:rFonts w:ascii="Century" w:hAnsi="Century" w:cs="FrankRuehl"/>
          <w:spacing w:val="10"/>
          <w:szCs w:val="28"/>
          <w:rtl/>
        </w:rPr>
      </w:pPr>
    </w:p>
    <w:p w:rsidR="00C005B4" w:rsidRDefault="00C005B4" w:rsidP="00C005B4">
      <w:pPr>
        <w:tabs>
          <w:tab w:val="left" w:pos="800"/>
        </w:tabs>
        <w:spacing w:line="360" w:lineRule="auto"/>
        <w:contextualSpacing/>
        <w:jc w:val="both"/>
        <w:rPr>
          <w:rFonts w:ascii="Century" w:hAnsi="Century" w:cs="FrankRuehl"/>
          <w:spacing w:val="10"/>
          <w:szCs w:val="28"/>
          <w:rtl/>
        </w:rPr>
      </w:pPr>
      <w:r>
        <w:rPr>
          <w:rFonts w:ascii="Century" w:hAnsi="Century" w:cs="Miriam" w:hint="cs"/>
          <w:b/>
          <w:rtl/>
        </w:rPr>
        <w:t>דיון והכרעה</w:t>
      </w:r>
    </w:p>
    <w:p w:rsidR="00C005B4" w:rsidRDefault="00C005B4" w:rsidP="00DB66AE">
      <w:pPr>
        <w:tabs>
          <w:tab w:val="left" w:pos="800"/>
        </w:tabs>
        <w:spacing w:line="360" w:lineRule="auto"/>
        <w:contextualSpacing/>
        <w:jc w:val="both"/>
        <w:rPr>
          <w:rFonts w:ascii="Century" w:hAnsi="Century" w:cs="FrankRuehl"/>
          <w:spacing w:val="10"/>
          <w:szCs w:val="28"/>
          <w:rtl/>
        </w:rPr>
      </w:pPr>
      <w:r>
        <w:rPr>
          <w:rFonts w:ascii="Century" w:hAnsi="Century" w:cs="FrankRuehl" w:hint="cs"/>
          <w:spacing w:val="10"/>
          <w:szCs w:val="28"/>
          <w:rtl/>
        </w:rPr>
        <w:t>1</w:t>
      </w:r>
      <w:r w:rsidR="00DB66AE">
        <w:rPr>
          <w:rFonts w:ascii="Century" w:hAnsi="Century" w:cs="FrankRuehl" w:hint="cs"/>
          <w:spacing w:val="10"/>
          <w:szCs w:val="28"/>
          <w:rtl/>
        </w:rPr>
        <w:t>2</w:t>
      </w:r>
      <w:r>
        <w:rPr>
          <w:rFonts w:ascii="Century" w:hAnsi="Century" w:cs="FrankRuehl" w:hint="cs"/>
          <w:spacing w:val="10"/>
          <w:szCs w:val="28"/>
          <w:rtl/>
        </w:rPr>
        <w:t>.</w:t>
      </w:r>
      <w:r>
        <w:rPr>
          <w:rFonts w:ascii="Century" w:hAnsi="Century" w:cs="FrankRuehl"/>
          <w:spacing w:val="10"/>
          <w:szCs w:val="28"/>
          <w:rtl/>
        </w:rPr>
        <w:tab/>
      </w:r>
      <w:r>
        <w:rPr>
          <w:rFonts w:ascii="Century" w:hAnsi="Century" w:cs="FrankRuehl" w:hint="cs"/>
          <w:spacing w:val="10"/>
          <w:szCs w:val="28"/>
          <w:rtl/>
        </w:rPr>
        <w:t>לאחר שנדרשתי לטענות הצדדים מזה ומזה, ולהחלטה של בית המשפט המחוזי, באתי לכלל מסקנה כי דין הבקשה להידחות. כפי שיפורט, אין בהותרת ההחלטה על כנה משום יצירת פו</w:t>
      </w:r>
      <w:r w:rsidR="00F0726F">
        <w:rPr>
          <w:rFonts w:ascii="Century" w:hAnsi="Century" w:cs="FrankRuehl" w:hint="cs"/>
          <w:spacing w:val="10"/>
          <w:szCs w:val="28"/>
          <w:rtl/>
        </w:rPr>
        <w:t>טנציאל לניהול ההליך באופן מיותר</w:t>
      </w:r>
      <w:r>
        <w:rPr>
          <w:rFonts w:ascii="Century" w:hAnsi="Century" w:cs="FrankRuehl" w:hint="cs"/>
          <w:spacing w:val="10"/>
          <w:szCs w:val="28"/>
          <w:rtl/>
        </w:rPr>
        <w:t xml:space="preserve"> או נזק שמצדיק התערבות. בנוסף, הליך מקדמי זה אינו המקום המתאים להידרש לחלק הארי של הטענות שבהן יש להכריע לשיטת המבקשת, אשר אם נדון בהן, יתייתר במידה רבה הדיון בערעור המס עצמו.</w:t>
      </w:r>
    </w:p>
    <w:p w:rsidR="00C005B4" w:rsidRDefault="00C005B4" w:rsidP="00C005B4">
      <w:pPr>
        <w:tabs>
          <w:tab w:val="left" w:pos="800"/>
        </w:tabs>
        <w:spacing w:line="360" w:lineRule="auto"/>
        <w:contextualSpacing/>
        <w:jc w:val="both"/>
        <w:rPr>
          <w:rFonts w:ascii="Century" w:hAnsi="Century" w:cs="FrankRuehl"/>
          <w:spacing w:val="10"/>
          <w:szCs w:val="28"/>
          <w:rtl/>
        </w:rPr>
      </w:pPr>
    </w:p>
    <w:p w:rsidR="00C005B4" w:rsidRPr="00E413D8" w:rsidRDefault="00C005B4" w:rsidP="006504BE">
      <w:pPr>
        <w:tabs>
          <w:tab w:val="left" w:pos="800"/>
        </w:tabs>
        <w:spacing w:line="360" w:lineRule="auto"/>
        <w:contextualSpacing/>
        <w:jc w:val="both"/>
        <w:rPr>
          <w:rFonts w:ascii="Century" w:hAnsi="Century" w:cs="FrankRuehl"/>
          <w:spacing w:val="10"/>
          <w:szCs w:val="28"/>
          <w:rtl/>
        </w:rPr>
      </w:pPr>
      <w:r>
        <w:rPr>
          <w:rFonts w:ascii="Century" w:hAnsi="Century" w:cs="FrankRuehl" w:hint="cs"/>
          <w:spacing w:val="10"/>
          <w:szCs w:val="28"/>
          <w:rtl/>
        </w:rPr>
        <w:lastRenderedPageBreak/>
        <w:t>1</w:t>
      </w:r>
      <w:r w:rsidR="00DB66AE">
        <w:rPr>
          <w:rFonts w:ascii="Century" w:hAnsi="Century" w:cs="FrankRuehl" w:hint="cs"/>
          <w:spacing w:val="10"/>
          <w:szCs w:val="28"/>
          <w:rtl/>
        </w:rPr>
        <w:t>3</w:t>
      </w:r>
      <w:r>
        <w:rPr>
          <w:rFonts w:ascii="Century" w:hAnsi="Century" w:cs="FrankRuehl" w:hint="cs"/>
          <w:spacing w:val="10"/>
          <w:szCs w:val="28"/>
          <w:rtl/>
        </w:rPr>
        <w:t>.</w:t>
      </w:r>
      <w:r>
        <w:rPr>
          <w:rFonts w:ascii="Century" w:hAnsi="Century" w:cs="FrankRuehl" w:hint="cs"/>
          <w:spacing w:val="10"/>
          <w:szCs w:val="28"/>
          <w:rtl/>
        </w:rPr>
        <w:tab/>
        <w:t>ראשית חכמה, תמצית התשתית הנורמטיבית הצריכה להבנת הדברים. מושכלת יסוד בדיני המס</w:t>
      </w:r>
      <w:r w:rsidRPr="00405A4E">
        <w:rPr>
          <w:rFonts w:ascii="Century" w:hAnsi="Century" w:cs="FrankRuehl" w:hint="cs"/>
          <w:spacing w:val="10"/>
          <w:szCs w:val="28"/>
          <w:rtl/>
        </w:rPr>
        <w:t xml:space="preserve"> </w:t>
      </w:r>
      <w:r>
        <w:rPr>
          <w:rFonts w:ascii="Century" w:hAnsi="Century" w:cs="FrankRuehl" w:hint="cs"/>
          <w:spacing w:val="10"/>
          <w:szCs w:val="28"/>
          <w:rtl/>
        </w:rPr>
        <w:t>היא, כי מיסויה של עסקה הולך אחר מהותה הכלכ</w:t>
      </w:r>
      <w:r w:rsidR="00F0726F">
        <w:rPr>
          <w:rFonts w:ascii="Century" w:hAnsi="Century" w:cs="FrankRuehl" w:hint="cs"/>
          <w:spacing w:val="10"/>
          <w:szCs w:val="28"/>
          <w:rtl/>
        </w:rPr>
        <w:t>לית, אף אם הצדדים לעסקה הכתירוה</w:t>
      </w:r>
      <w:r>
        <w:rPr>
          <w:rFonts w:ascii="Century" w:hAnsi="Century" w:cs="FrankRuehl" w:hint="cs"/>
          <w:spacing w:val="10"/>
          <w:szCs w:val="28"/>
          <w:rtl/>
        </w:rPr>
        <w:t xml:space="preserve"> אחרת או ערכו אותה במתכונת שונה (ראו, בין היתר, ע"א 5025/03 </w:t>
      </w:r>
      <w:r>
        <w:rPr>
          <w:rFonts w:ascii="Century" w:hAnsi="Century" w:cs="Miriam" w:hint="cs"/>
          <w:b/>
          <w:rtl/>
        </w:rPr>
        <w:t xml:space="preserve">מנהל מיסוי מקרקעין </w:t>
      </w:r>
      <w:proofErr w:type="spellStart"/>
      <w:r>
        <w:rPr>
          <w:rFonts w:ascii="Century" w:hAnsi="Century" w:cs="Miriam" w:hint="cs"/>
          <w:b/>
          <w:rtl/>
        </w:rPr>
        <w:t>איזור</w:t>
      </w:r>
      <w:proofErr w:type="spellEnd"/>
      <w:r>
        <w:rPr>
          <w:rFonts w:ascii="Century" w:hAnsi="Century" w:cs="Miriam" w:hint="cs"/>
          <w:b/>
          <w:rtl/>
        </w:rPr>
        <w:t xml:space="preserve"> תל אביב נ' אורלי חברה </w:t>
      </w:r>
      <w:proofErr w:type="spellStart"/>
      <w:r>
        <w:rPr>
          <w:rFonts w:ascii="Century" w:hAnsi="Century" w:cs="Miriam" w:hint="cs"/>
          <w:b/>
          <w:rtl/>
        </w:rPr>
        <w:t>לבנין</w:t>
      </w:r>
      <w:proofErr w:type="spellEnd"/>
      <w:r>
        <w:rPr>
          <w:rFonts w:ascii="Century" w:hAnsi="Century" w:cs="Miriam" w:hint="cs"/>
          <w:b/>
          <w:rtl/>
        </w:rPr>
        <w:t xml:space="preserve"> ופיתוח בע"מ</w:t>
      </w:r>
      <w:r>
        <w:rPr>
          <w:rFonts w:ascii="Century" w:hAnsi="Century" w:cs="FrankRuehl" w:hint="cs"/>
          <w:spacing w:val="10"/>
          <w:szCs w:val="28"/>
          <w:rtl/>
        </w:rPr>
        <w:t xml:space="preserve"> (16.8.2006); ע"א 750/16 </w:t>
      </w:r>
      <w:r>
        <w:rPr>
          <w:rFonts w:ascii="Century" w:hAnsi="Century" w:cs="Miriam" w:hint="cs"/>
          <w:b/>
          <w:rtl/>
        </w:rPr>
        <w:t xml:space="preserve">בן ציון </w:t>
      </w:r>
      <w:proofErr w:type="spellStart"/>
      <w:r>
        <w:rPr>
          <w:rFonts w:ascii="Century" w:hAnsi="Century" w:cs="Miriam" w:hint="cs"/>
          <w:b/>
          <w:rtl/>
        </w:rPr>
        <w:t>סעדטמנד</w:t>
      </w:r>
      <w:proofErr w:type="spellEnd"/>
      <w:r>
        <w:rPr>
          <w:rFonts w:ascii="Century" w:hAnsi="Century" w:cs="Miriam" w:hint="cs"/>
          <w:b/>
          <w:rtl/>
        </w:rPr>
        <w:t xml:space="preserve"> נ' פקיד שומה רחובות</w:t>
      </w:r>
      <w:r>
        <w:rPr>
          <w:rFonts w:ascii="Century" w:hAnsi="Century" w:cs="FrankRuehl" w:hint="cs"/>
          <w:spacing w:val="10"/>
          <w:szCs w:val="28"/>
          <w:rtl/>
        </w:rPr>
        <w:t xml:space="preserve"> (28.2.2019) </w:t>
      </w:r>
      <w:r>
        <w:rPr>
          <w:rFonts w:ascii="Century" w:hAnsi="Century" w:cs="FrankRuehl"/>
          <w:spacing w:val="10"/>
          <w:szCs w:val="28"/>
          <w:rtl/>
        </w:rPr>
        <w:t>(</w:t>
      </w:r>
      <w:r>
        <w:rPr>
          <w:rFonts w:ascii="Century" w:hAnsi="Century" w:cs="FrankRuehl" w:hint="cs"/>
          <w:spacing w:val="10"/>
          <w:szCs w:val="28"/>
          <w:rtl/>
        </w:rPr>
        <w:t>להלן</w:t>
      </w:r>
      <w:r>
        <w:rPr>
          <w:rFonts w:ascii="Century" w:hAnsi="Century" w:cs="FrankRuehl"/>
          <w:spacing w:val="10"/>
          <w:szCs w:val="28"/>
          <w:rtl/>
        </w:rPr>
        <w:t xml:space="preserve">: </w:t>
      </w:r>
      <w:r>
        <w:rPr>
          <w:rFonts w:ascii="Century" w:hAnsi="Century" w:cs="Miriam" w:hint="cs"/>
          <w:b/>
          <w:rtl/>
        </w:rPr>
        <w:t>עניין בן ציון</w:t>
      </w:r>
      <w:r>
        <w:rPr>
          <w:rFonts w:ascii="Century" w:hAnsi="Century" w:cs="FrankRuehl" w:hint="cs"/>
          <w:spacing w:val="10"/>
          <w:szCs w:val="28"/>
          <w:rtl/>
        </w:rPr>
        <w:t xml:space="preserve">)). בבוא פקיד השומה לעמוד על מהות כלכלית זו, פתוחות לפניו מספר דרכים; כפי שיובהר, הדרכים אינן 'חלופיות', ויש למצות את האחת בטרם הידרשות לרעותה. </w:t>
      </w:r>
      <w:r w:rsidRPr="009872DC">
        <w:rPr>
          <w:rFonts w:ascii="Century" w:hAnsi="Century" w:cs="Miriam" w:hint="cs"/>
          <w:b/>
          <w:rtl/>
        </w:rPr>
        <w:t>דרך</w:t>
      </w:r>
      <w:r w:rsidRPr="009872DC">
        <w:rPr>
          <w:rFonts w:ascii="Century" w:hAnsi="Century" w:cs="FrankRuehl" w:hint="cs"/>
          <w:spacing w:val="10"/>
          <w:szCs w:val="28"/>
          <w:rtl/>
        </w:rPr>
        <w:t xml:space="preserve"> </w:t>
      </w:r>
      <w:r w:rsidRPr="00B83DCD">
        <w:rPr>
          <w:rFonts w:ascii="Century" w:hAnsi="Century" w:cs="Miriam" w:hint="cs"/>
          <w:b/>
          <w:rtl/>
        </w:rPr>
        <w:t>ראשונה</w:t>
      </w:r>
      <w:r>
        <w:rPr>
          <w:rFonts w:ascii="Century" w:hAnsi="Century" w:cs="FrankRuehl" w:hint="cs"/>
          <w:spacing w:val="10"/>
          <w:szCs w:val="28"/>
          <w:rtl/>
        </w:rPr>
        <w:t xml:space="preserve"> עוברת ב'מסלול' הדין הכללי. בגדרו, יבחן פקיד השומה האם לאור הוראות הדינים מלבר דיני המס, כגון דיני התאגידים או החוזים, יש לבצע 'סיווג שונה', דהיינו לסווג את העסקה באופן שונה מכפי שהציגו הצדדים (ע"א 3415/97 </w:t>
      </w:r>
      <w:r>
        <w:rPr>
          <w:rFonts w:ascii="Century" w:hAnsi="Century" w:cs="Miriam" w:hint="cs"/>
          <w:b/>
          <w:rtl/>
        </w:rPr>
        <w:t xml:space="preserve">פקיד שומה למפעלים גדולים נ' יואב רובינשטיין ושות' חברה </w:t>
      </w:r>
      <w:proofErr w:type="spellStart"/>
      <w:r>
        <w:rPr>
          <w:rFonts w:ascii="Century" w:hAnsi="Century" w:cs="Miriam" w:hint="cs"/>
          <w:b/>
          <w:rtl/>
        </w:rPr>
        <w:t>לבנין</w:t>
      </w:r>
      <w:proofErr w:type="spellEnd"/>
      <w:r>
        <w:rPr>
          <w:rFonts w:ascii="Century" w:hAnsi="Century" w:cs="Miriam" w:hint="cs"/>
          <w:b/>
          <w:rtl/>
        </w:rPr>
        <w:t xml:space="preserve"> פיתוח ומימון בע"מ</w:t>
      </w:r>
      <w:r>
        <w:rPr>
          <w:rFonts w:ascii="Century" w:hAnsi="Century" w:cs="FrankRuehl" w:hint="cs"/>
          <w:spacing w:val="10"/>
          <w:szCs w:val="28"/>
          <w:rtl/>
        </w:rPr>
        <w:t xml:space="preserve">, פ"ד </w:t>
      </w:r>
      <w:proofErr w:type="spellStart"/>
      <w:r>
        <w:rPr>
          <w:rFonts w:ascii="Century" w:hAnsi="Century" w:cs="FrankRuehl" w:hint="cs"/>
          <w:spacing w:val="10"/>
          <w:szCs w:val="28"/>
          <w:rtl/>
        </w:rPr>
        <w:t>נז</w:t>
      </w:r>
      <w:proofErr w:type="spellEnd"/>
      <w:r>
        <w:rPr>
          <w:rFonts w:ascii="Century" w:hAnsi="Century" w:cs="FrankRuehl" w:hint="cs"/>
          <w:spacing w:val="10"/>
          <w:szCs w:val="28"/>
          <w:rtl/>
        </w:rPr>
        <w:t xml:space="preserve">(5) 915, 923-922 (2003); ע"א 4374/05 </w:t>
      </w:r>
      <w:r>
        <w:rPr>
          <w:rFonts w:ascii="Century" w:hAnsi="Century" w:cs="Miriam" w:hint="cs"/>
          <w:b/>
          <w:rtl/>
        </w:rPr>
        <w:t xml:space="preserve">ראובני נ' פקיד שומה תל אביב 4 </w:t>
      </w:r>
      <w:r>
        <w:rPr>
          <w:rFonts w:ascii="Century" w:hAnsi="Century" w:cs="FrankRuehl" w:hint="cs"/>
          <w:spacing w:val="10"/>
          <w:szCs w:val="28"/>
          <w:rtl/>
        </w:rPr>
        <w:t xml:space="preserve">(19.9.2007) </w:t>
      </w:r>
      <w:r>
        <w:rPr>
          <w:rFonts w:ascii="Century" w:hAnsi="Century" w:cs="FrankRuehl"/>
          <w:spacing w:val="10"/>
          <w:szCs w:val="28"/>
          <w:rtl/>
        </w:rPr>
        <w:t>(</w:t>
      </w:r>
      <w:r>
        <w:rPr>
          <w:rFonts w:ascii="Century" w:hAnsi="Century" w:cs="FrankRuehl" w:hint="cs"/>
          <w:spacing w:val="10"/>
          <w:szCs w:val="28"/>
          <w:rtl/>
        </w:rPr>
        <w:t>להלן</w:t>
      </w:r>
      <w:r>
        <w:rPr>
          <w:rFonts w:ascii="Century" w:hAnsi="Century" w:cs="FrankRuehl"/>
          <w:spacing w:val="10"/>
          <w:szCs w:val="28"/>
          <w:rtl/>
        </w:rPr>
        <w:t xml:space="preserve">: </w:t>
      </w:r>
      <w:r>
        <w:rPr>
          <w:rFonts w:ascii="Century" w:hAnsi="Century" w:cs="Miriam" w:hint="cs"/>
          <w:b/>
          <w:rtl/>
        </w:rPr>
        <w:t>עניין ראובני</w:t>
      </w:r>
      <w:r>
        <w:rPr>
          <w:rFonts w:ascii="Century" w:hAnsi="Century" w:cs="FrankRuehl" w:hint="cs"/>
          <w:spacing w:val="10"/>
          <w:szCs w:val="28"/>
          <w:rtl/>
        </w:rPr>
        <w:t xml:space="preserve">)); בתוך כך, ניתן שיֵעשה שימוש גם בהוראות דיני המס, אשר לעתים מגדירות פעולות ומעשים, לצרכי מיסוי, בשונה מההגדרות הנהוגות בדין מעשה יום ביומו (למשל, הגדרתה של עסקת מתנה כמכירה לצרכי מס, כדוגמתה של השופטת </w:t>
      </w:r>
      <w:r>
        <w:rPr>
          <w:rFonts w:ascii="Century" w:hAnsi="Century" w:cs="Miriam" w:hint="cs"/>
          <w:b/>
          <w:rtl/>
        </w:rPr>
        <w:t>ע' ברון</w:t>
      </w:r>
      <w:r>
        <w:rPr>
          <w:rFonts w:ascii="Century" w:hAnsi="Century" w:cs="FrankRuehl" w:hint="cs"/>
          <w:spacing w:val="10"/>
          <w:szCs w:val="28"/>
          <w:rtl/>
        </w:rPr>
        <w:t xml:space="preserve"> בעניין </w:t>
      </w:r>
      <w:r>
        <w:rPr>
          <w:rFonts w:ascii="Century" w:hAnsi="Century" w:cs="Miriam" w:hint="cs"/>
          <w:b/>
          <w:rtl/>
        </w:rPr>
        <w:t>בן ציון</w:t>
      </w:r>
      <w:r>
        <w:rPr>
          <w:rFonts w:ascii="Century" w:hAnsi="Century" w:cs="FrankRuehl" w:hint="cs"/>
          <w:spacing w:val="10"/>
          <w:szCs w:val="28"/>
          <w:rtl/>
        </w:rPr>
        <w:t xml:space="preserve">; ראו גם דוד </w:t>
      </w:r>
      <w:proofErr w:type="spellStart"/>
      <w:r>
        <w:rPr>
          <w:rFonts w:ascii="Century" w:hAnsi="Century" w:cs="FrankRuehl" w:hint="cs"/>
          <w:spacing w:val="10"/>
          <w:szCs w:val="28"/>
          <w:rtl/>
        </w:rPr>
        <w:t>גליקסברג</w:t>
      </w:r>
      <w:proofErr w:type="spellEnd"/>
      <w:r>
        <w:rPr>
          <w:rFonts w:ascii="Century" w:hAnsi="Century" w:cs="FrankRuehl" w:hint="cs"/>
          <w:spacing w:val="10"/>
          <w:szCs w:val="28"/>
          <w:rtl/>
        </w:rPr>
        <w:t xml:space="preserve"> </w:t>
      </w:r>
      <w:r>
        <w:rPr>
          <w:rFonts w:ascii="Century" w:hAnsi="Century" w:cs="Miriam" w:hint="cs"/>
          <w:b/>
          <w:rtl/>
        </w:rPr>
        <w:t xml:space="preserve">גבולות תכנון המס </w:t>
      </w:r>
      <w:r w:rsidRPr="00F40C80">
        <w:rPr>
          <w:rFonts w:ascii="Century" w:hAnsi="Century" w:cs="FrankRuehl"/>
          <w:spacing w:val="10"/>
          <w:szCs w:val="28"/>
          <w:rtl/>
        </w:rPr>
        <w:t>–</w:t>
      </w:r>
      <w:r>
        <w:rPr>
          <w:rFonts w:ascii="Century" w:hAnsi="Century" w:cs="Miriam" w:hint="cs"/>
          <w:b/>
          <w:rtl/>
        </w:rPr>
        <w:t xml:space="preserve"> סיווג מחדש של עסקאות לצורך מס</w:t>
      </w:r>
      <w:r>
        <w:rPr>
          <w:rFonts w:ascii="Century" w:hAnsi="Century" w:cs="FrankRuehl" w:hint="cs"/>
          <w:spacing w:val="10"/>
          <w:szCs w:val="28"/>
          <w:rtl/>
        </w:rPr>
        <w:t xml:space="preserve"> 17-9 (1990) </w:t>
      </w:r>
      <w:r>
        <w:rPr>
          <w:rFonts w:ascii="Century" w:hAnsi="Century" w:cs="FrankRuehl"/>
          <w:spacing w:val="10"/>
          <w:szCs w:val="28"/>
          <w:rtl/>
        </w:rPr>
        <w:t>(</w:t>
      </w:r>
      <w:r>
        <w:rPr>
          <w:rFonts w:ascii="Century" w:hAnsi="Century" w:cs="FrankRuehl" w:hint="cs"/>
          <w:spacing w:val="10"/>
          <w:szCs w:val="28"/>
          <w:rtl/>
        </w:rPr>
        <w:t>להלן</w:t>
      </w:r>
      <w:r>
        <w:rPr>
          <w:rFonts w:ascii="Century" w:hAnsi="Century" w:cs="FrankRuehl"/>
          <w:spacing w:val="10"/>
          <w:szCs w:val="28"/>
          <w:rtl/>
        </w:rPr>
        <w:t xml:space="preserve">: </w:t>
      </w:r>
      <w:proofErr w:type="spellStart"/>
      <w:r>
        <w:rPr>
          <w:rFonts w:ascii="Century" w:hAnsi="Century" w:cs="Miriam" w:hint="cs"/>
          <w:b/>
          <w:rtl/>
        </w:rPr>
        <w:t>גליקסברג</w:t>
      </w:r>
      <w:proofErr w:type="spellEnd"/>
      <w:r>
        <w:rPr>
          <w:rFonts w:ascii="Century" w:hAnsi="Century" w:cs="FrankRuehl" w:hint="cs"/>
          <w:spacing w:val="10"/>
          <w:szCs w:val="28"/>
          <w:rtl/>
        </w:rPr>
        <w:t xml:space="preserve">)). </w:t>
      </w:r>
      <w:r>
        <w:rPr>
          <w:rFonts w:ascii="Century" w:hAnsi="Century" w:cs="Miriam" w:hint="cs"/>
          <w:b/>
          <w:rtl/>
        </w:rPr>
        <w:t>ה</w:t>
      </w:r>
      <w:r w:rsidRPr="009872DC">
        <w:rPr>
          <w:rFonts w:ascii="Century" w:hAnsi="Century" w:cs="Miriam" w:hint="cs"/>
          <w:b/>
          <w:rtl/>
        </w:rPr>
        <w:t>דרך</w:t>
      </w:r>
      <w:r w:rsidRPr="009872DC">
        <w:rPr>
          <w:rFonts w:ascii="Century" w:hAnsi="Century" w:cs="FrankRuehl" w:hint="cs"/>
          <w:spacing w:val="10"/>
          <w:szCs w:val="28"/>
          <w:rtl/>
        </w:rPr>
        <w:t xml:space="preserve"> </w:t>
      </w:r>
      <w:proofErr w:type="spellStart"/>
      <w:r>
        <w:rPr>
          <w:rFonts w:ascii="Century" w:hAnsi="Century" w:cs="Miriam" w:hint="cs"/>
          <w:b/>
          <w:rtl/>
        </w:rPr>
        <w:t>ה</w:t>
      </w:r>
      <w:r w:rsidRPr="00B83DCD">
        <w:rPr>
          <w:rFonts w:ascii="Century" w:hAnsi="Century" w:cs="Miriam" w:hint="cs"/>
          <w:b/>
          <w:rtl/>
        </w:rPr>
        <w:t>שניה</w:t>
      </w:r>
      <w:proofErr w:type="spellEnd"/>
      <w:r w:rsidRPr="00B83DCD">
        <w:rPr>
          <w:rFonts w:ascii="Century" w:hAnsi="Century" w:cs="FrankRuehl" w:hint="cs"/>
          <w:spacing w:val="10"/>
          <w:szCs w:val="28"/>
          <w:rtl/>
        </w:rPr>
        <w:t xml:space="preserve"> </w:t>
      </w:r>
      <w:r>
        <w:rPr>
          <w:rFonts w:ascii="Century" w:hAnsi="Century" w:cs="FrankRuehl" w:hint="cs"/>
          <w:spacing w:val="10"/>
          <w:szCs w:val="28"/>
          <w:rtl/>
        </w:rPr>
        <w:t>עניינה 'סיווג מחדש' של עסקה. מקורה</w:t>
      </w:r>
      <w:r w:rsidR="006504BE">
        <w:rPr>
          <w:rFonts w:ascii="Century" w:hAnsi="Century" w:cs="FrankRuehl" w:hint="cs"/>
          <w:spacing w:val="10"/>
          <w:szCs w:val="28"/>
          <w:rtl/>
        </w:rPr>
        <w:t xml:space="preserve"> בנורמה האנטי-תכנונית המצויה</w:t>
      </w:r>
      <w:r>
        <w:rPr>
          <w:rFonts w:ascii="Century" w:hAnsi="Century" w:cs="FrankRuehl" w:hint="cs"/>
          <w:spacing w:val="10"/>
          <w:szCs w:val="28"/>
          <w:rtl/>
        </w:rPr>
        <w:t xml:space="preserve"> בין היתר בסעיף 86 לפקודה, שבתנאים מסוימים מתירה לפקיד השומה </w:t>
      </w:r>
      <w:r>
        <w:rPr>
          <w:rFonts w:ascii="Century" w:hAnsi="Century" w:cs="Miriam" w:hint="cs"/>
          <w:b/>
          <w:rtl/>
        </w:rPr>
        <w:t>להתעלם</w:t>
      </w:r>
      <w:r>
        <w:rPr>
          <w:rFonts w:ascii="Century" w:hAnsi="Century" w:cs="FrankRuehl" w:hint="cs"/>
          <w:spacing w:val="10"/>
          <w:szCs w:val="28"/>
          <w:rtl/>
        </w:rPr>
        <w:t xml:space="preserve"> מרכיביה של עסקה, ו'לסווגה מחדש' לצורך הטלת מס. פקיד השומה רשאי לעשות כן, אם מצא כי אין טעם מסחרי יסודי לביצוע העסקה כפי שנעשתה. מקום שבו פקיד השומה עושה שימוש בסמכותו זו, הנטל להוכיח את תנאי הפעלת הסמכות </w:t>
      </w:r>
      <w:r>
        <w:rPr>
          <w:rFonts w:ascii="Century" w:hAnsi="Century" w:cs="FrankRuehl"/>
          <w:spacing w:val="10"/>
          <w:szCs w:val="28"/>
          <w:rtl/>
        </w:rPr>
        <w:t>–</w:t>
      </w:r>
      <w:r w:rsidR="006504BE">
        <w:rPr>
          <w:rFonts w:ascii="Century" w:hAnsi="Century" w:cs="FrankRuehl" w:hint="cs"/>
          <w:spacing w:val="10"/>
          <w:szCs w:val="28"/>
          <w:rtl/>
        </w:rPr>
        <w:t xml:space="preserve"> </w:t>
      </w:r>
      <w:r>
        <w:rPr>
          <w:rFonts w:ascii="Century" w:hAnsi="Century" w:cs="FrankRuehl" w:hint="cs"/>
          <w:spacing w:val="10"/>
          <w:szCs w:val="28"/>
          <w:rtl/>
        </w:rPr>
        <w:t xml:space="preserve">יוטל לפתחו (ע"א 102/59 </w:t>
      </w:r>
      <w:r>
        <w:rPr>
          <w:rFonts w:ascii="Century" w:hAnsi="Century" w:cs="Miriam" w:hint="cs"/>
          <w:b/>
          <w:rtl/>
        </w:rPr>
        <w:t>פקיד השומה, ירושלים נ' "</w:t>
      </w:r>
      <w:proofErr w:type="spellStart"/>
      <w:r>
        <w:rPr>
          <w:rFonts w:ascii="Century" w:hAnsi="Century" w:cs="Miriam" w:hint="cs"/>
          <w:b/>
          <w:rtl/>
        </w:rPr>
        <w:t>איסמר</w:t>
      </w:r>
      <w:proofErr w:type="spellEnd"/>
      <w:r>
        <w:rPr>
          <w:rFonts w:ascii="Century" w:hAnsi="Century" w:cs="Miriam" w:hint="cs"/>
          <w:b/>
          <w:rtl/>
        </w:rPr>
        <w:t>" חברה למסחר ולהשקעות בע"מ</w:t>
      </w:r>
      <w:r>
        <w:rPr>
          <w:rFonts w:ascii="Century" w:hAnsi="Century" w:cs="FrankRuehl" w:hint="cs"/>
          <w:spacing w:val="10"/>
          <w:szCs w:val="28"/>
          <w:rtl/>
        </w:rPr>
        <w:t xml:space="preserve">, פ"ד יד 2165 (1960) </w:t>
      </w:r>
      <w:r>
        <w:rPr>
          <w:rFonts w:ascii="Century" w:hAnsi="Century" w:cs="FrankRuehl"/>
          <w:spacing w:val="10"/>
          <w:szCs w:val="28"/>
          <w:rtl/>
        </w:rPr>
        <w:t>(</w:t>
      </w:r>
      <w:r>
        <w:rPr>
          <w:rFonts w:ascii="Century" w:hAnsi="Century" w:cs="FrankRuehl" w:hint="cs"/>
          <w:spacing w:val="10"/>
          <w:szCs w:val="28"/>
          <w:rtl/>
        </w:rPr>
        <w:t>להלן</w:t>
      </w:r>
      <w:r>
        <w:rPr>
          <w:rFonts w:ascii="Century" w:hAnsi="Century" w:cs="FrankRuehl"/>
          <w:spacing w:val="10"/>
          <w:szCs w:val="28"/>
          <w:rtl/>
        </w:rPr>
        <w:t xml:space="preserve">: </w:t>
      </w:r>
      <w:r>
        <w:rPr>
          <w:rFonts w:ascii="Century" w:hAnsi="Century" w:cs="Miriam" w:hint="cs"/>
          <w:b/>
          <w:rtl/>
        </w:rPr>
        <w:t xml:space="preserve">עניין </w:t>
      </w:r>
      <w:proofErr w:type="spellStart"/>
      <w:r>
        <w:rPr>
          <w:rFonts w:ascii="Century" w:hAnsi="Century" w:cs="Miriam" w:hint="cs"/>
          <w:b/>
          <w:rtl/>
        </w:rPr>
        <w:t>איסמר</w:t>
      </w:r>
      <w:proofErr w:type="spellEnd"/>
      <w:r>
        <w:rPr>
          <w:rFonts w:ascii="Century" w:hAnsi="Century" w:cs="FrankRuehl" w:hint="cs"/>
          <w:spacing w:val="10"/>
          <w:szCs w:val="28"/>
          <w:rtl/>
        </w:rPr>
        <w:t xml:space="preserve">); ע"א 10666/03 </w:t>
      </w:r>
      <w:proofErr w:type="spellStart"/>
      <w:r>
        <w:rPr>
          <w:rFonts w:ascii="Century" w:hAnsi="Century" w:cs="Miriam" w:hint="cs"/>
          <w:b/>
          <w:rtl/>
        </w:rPr>
        <w:t>שיטרית</w:t>
      </w:r>
      <w:proofErr w:type="spellEnd"/>
      <w:r>
        <w:rPr>
          <w:rFonts w:ascii="Century" w:hAnsi="Century" w:cs="Miriam" w:hint="cs"/>
          <w:b/>
          <w:rtl/>
        </w:rPr>
        <w:t xml:space="preserve"> נ' פקיד שומה תל אביב יפו 4</w:t>
      </w:r>
      <w:r>
        <w:rPr>
          <w:rFonts w:ascii="Century" w:hAnsi="Century" w:cs="FrankRuehl" w:hint="cs"/>
          <w:spacing w:val="10"/>
          <w:szCs w:val="28"/>
          <w:rtl/>
        </w:rPr>
        <w:t>, פסקה 18 (30.1.2006)).</w:t>
      </w:r>
    </w:p>
    <w:p w:rsidR="00C005B4" w:rsidRDefault="00C005B4" w:rsidP="00C005B4">
      <w:pPr>
        <w:tabs>
          <w:tab w:val="left" w:pos="800"/>
        </w:tabs>
        <w:spacing w:line="360" w:lineRule="auto"/>
        <w:contextualSpacing/>
        <w:jc w:val="both"/>
        <w:rPr>
          <w:rFonts w:ascii="Century" w:hAnsi="Century" w:cs="FrankRuehl"/>
          <w:spacing w:val="10"/>
          <w:szCs w:val="28"/>
          <w:rtl/>
        </w:rPr>
      </w:pPr>
    </w:p>
    <w:p w:rsidR="00C005B4" w:rsidRDefault="00C005B4" w:rsidP="00DB66AE">
      <w:pPr>
        <w:tabs>
          <w:tab w:val="left" w:pos="800"/>
        </w:tabs>
        <w:spacing w:line="360" w:lineRule="auto"/>
        <w:contextualSpacing/>
        <w:jc w:val="both"/>
        <w:rPr>
          <w:rFonts w:ascii="Century" w:hAnsi="Century" w:cs="FrankRuehl"/>
          <w:spacing w:val="10"/>
          <w:szCs w:val="28"/>
          <w:rtl/>
        </w:rPr>
      </w:pPr>
      <w:r>
        <w:rPr>
          <w:rFonts w:ascii="Century" w:hAnsi="Century" w:cs="FrankRuehl" w:hint="cs"/>
          <w:spacing w:val="10"/>
          <w:szCs w:val="28"/>
          <w:rtl/>
        </w:rPr>
        <w:t>1</w:t>
      </w:r>
      <w:r w:rsidR="00DB66AE">
        <w:rPr>
          <w:rFonts w:ascii="Century" w:hAnsi="Century" w:cs="FrankRuehl" w:hint="cs"/>
          <w:spacing w:val="10"/>
          <w:szCs w:val="28"/>
          <w:rtl/>
        </w:rPr>
        <w:t>4</w:t>
      </w:r>
      <w:r>
        <w:rPr>
          <w:rFonts w:ascii="Century" w:hAnsi="Century" w:cs="FrankRuehl" w:hint="cs"/>
          <w:spacing w:val="10"/>
          <w:szCs w:val="28"/>
          <w:rtl/>
        </w:rPr>
        <w:t>.</w:t>
      </w:r>
      <w:r>
        <w:rPr>
          <w:rFonts w:ascii="Century" w:hAnsi="Century" w:cs="FrankRuehl" w:hint="cs"/>
          <w:spacing w:val="10"/>
          <w:szCs w:val="28"/>
          <w:rtl/>
        </w:rPr>
        <w:tab/>
        <w:t>כאמור, שני מסלולים אלו אינם חלופיים; על פקיד השומה למצות את מסלול ה'סיווג השונה' בטרם יידרש לאפשרות של 'סיווג מחדש'. על חשיבותו של סדר הפניה אל ה'מסלולים' עמד בית משפט זה לא אחת:</w:t>
      </w:r>
    </w:p>
    <w:p w:rsidR="00C005B4" w:rsidRDefault="00C005B4" w:rsidP="00C005B4">
      <w:pPr>
        <w:tabs>
          <w:tab w:val="left" w:pos="800"/>
        </w:tabs>
        <w:spacing w:line="360" w:lineRule="auto"/>
        <w:contextualSpacing/>
        <w:jc w:val="both"/>
        <w:rPr>
          <w:rFonts w:ascii="Century" w:hAnsi="Century" w:cs="FrankRuehl"/>
          <w:spacing w:val="10"/>
          <w:szCs w:val="28"/>
          <w:rtl/>
        </w:rPr>
      </w:pPr>
      <w:r>
        <w:rPr>
          <w:rFonts w:ascii="Century" w:hAnsi="Century" w:cs="FrankRuehl" w:hint="cs"/>
          <w:spacing w:val="10"/>
          <w:szCs w:val="28"/>
          <w:rtl/>
        </w:rPr>
        <w:t xml:space="preserve"> </w:t>
      </w:r>
    </w:p>
    <w:p w:rsidR="00C005B4" w:rsidRDefault="00C005B4" w:rsidP="00C005B4">
      <w:pPr>
        <w:tabs>
          <w:tab w:val="left" w:pos="800"/>
        </w:tabs>
        <w:spacing w:line="360" w:lineRule="auto"/>
        <w:ind w:left="1440" w:right="1134"/>
        <w:contextualSpacing/>
        <w:jc w:val="both"/>
        <w:rPr>
          <w:rFonts w:ascii="Century" w:hAnsi="Century" w:cs="FrankRuehl"/>
          <w:spacing w:val="10"/>
          <w:szCs w:val="28"/>
          <w:rtl/>
        </w:rPr>
      </w:pPr>
      <w:r w:rsidRPr="005C07AB">
        <w:rPr>
          <w:rFonts w:ascii="Century" w:hAnsi="Century" w:cs="Miriam" w:hint="cs"/>
          <w:b/>
          <w:rtl/>
        </w:rPr>
        <w:t>"יש להבחין בין טענות בדבר סיווג העסקה לבין הטענה בדבר היותה של עסקה</w:t>
      </w:r>
      <w:r>
        <w:rPr>
          <w:rFonts w:ascii="Century" w:hAnsi="Century" w:cs="Miriam" w:hint="cs"/>
          <w:b/>
          <w:rtl/>
        </w:rPr>
        <w:t xml:space="preserve"> </w:t>
      </w:r>
      <w:r w:rsidRPr="00D412E1">
        <w:rPr>
          <w:rFonts w:ascii="Century" w:hAnsi="Century" w:cs="FrankRuehl"/>
          <w:spacing w:val="10"/>
          <w:szCs w:val="28"/>
          <w:rtl/>
        </w:rPr>
        <w:t>–</w:t>
      </w:r>
      <w:r>
        <w:rPr>
          <w:rFonts w:ascii="Century" w:hAnsi="Century" w:cs="Miriam" w:hint="cs"/>
          <w:b/>
          <w:rtl/>
        </w:rPr>
        <w:t xml:space="preserve"> </w:t>
      </w:r>
      <w:r w:rsidRPr="005C07AB">
        <w:rPr>
          <w:rFonts w:ascii="Century" w:hAnsi="Century" w:cs="Miriam" w:hint="cs"/>
          <w:b/>
          <w:rtl/>
        </w:rPr>
        <w:t>מלאכותית. בשלב ראשון עלינו לקבוע, כקביעה עובדתית, אם הכינוי בו כינו הצדדים את העסקה נשוא המחלוקת עם פקיד-השומה ראוי הוא; ברי, כי</w:t>
      </w:r>
      <w:r>
        <w:rPr>
          <w:rFonts w:ascii="Century" w:hAnsi="Century" w:cs="Miriam" w:hint="cs"/>
          <w:b/>
          <w:rtl/>
        </w:rPr>
        <w:t xml:space="preserve"> </w:t>
      </w:r>
      <w:r w:rsidRPr="005C07AB">
        <w:rPr>
          <w:rFonts w:ascii="Century" w:hAnsi="Century" w:cs="Miriam" w:hint="cs"/>
          <w:b/>
          <w:rtl/>
        </w:rPr>
        <w:t xml:space="preserve">המציאות העובדתית המתגבשת ממכלול הראיות היא הקובעת, בסופו של </w:t>
      </w:r>
      <w:r w:rsidRPr="005C07AB">
        <w:rPr>
          <w:rFonts w:ascii="Century" w:hAnsi="Century" w:cs="Miriam" w:hint="cs"/>
          <w:b/>
          <w:rtl/>
        </w:rPr>
        <w:lastRenderedPageBreak/>
        <w:t xml:space="preserve">דבר, את סיווגה של העסקה, ולא הלבוש שניתן לה בהסכם שנעשה בין הצדדים [...]. אם בית המשפט מגיע לכלל דעה כי העסקה שנערכה בין הצדדים שונה היא מן הכינוי החיצוני שהעניקו לה, הרי שהיא </w:t>
      </w:r>
      <w:proofErr w:type="spellStart"/>
      <w:r w:rsidRPr="005C07AB">
        <w:rPr>
          <w:rFonts w:ascii="Century" w:hAnsi="Century" w:cs="Miriam" w:hint="cs"/>
          <w:b/>
          <w:rtl/>
        </w:rPr>
        <w:t>תמוסה</w:t>
      </w:r>
      <w:proofErr w:type="spellEnd"/>
      <w:r w:rsidRPr="005C07AB">
        <w:rPr>
          <w:rFonts w:ascii="Century" w:hAnsi="Century" w:cs="Miriam" w:hint="cs"/>
          <w:b/>
          <w:rtl/>
        </w:rPr>
        <w:t xml:space="preserve"> לפי המציאות העובדתית והמשפטית ש</w:t>
      </w:r>
      <w:r>
        <w:rPr>
          <w:rFonts w:ascii="Century" w:hAnsi="Century" w:cs="Miriam" w:hint="cs"/>
          <w:b/>
          <w:rtl/>
        </w:rPr>
        <w:t>לה. בשלב ראשוני זה, המכונה שלב '</w:t>
      </w:r>
      <w:r w:rsidRPr="005C07AB">
        <w:rPr>
          <w:rFonts w:ascii="Century" w:hAnsi="Century" w:cs="Miriam" w:hint="cs"/>
          <w:b/>
          <w:rtl/>
        </w:rPr>
        <w:t>הסיווג השונה</w:t>
      </w:r>
      <w:r>
        <w:rPr>
          <w:rFonts w:ascii="Century" w:hAnsi="Century" w:cs="Miriam" w:hint="cs"/>
          <w:b/>
          <w:rtl/>
        </w:rPr>
        <w:t>'</w:t>
      </w:r>
      <w:r w:rsidRPr="005C07AB">
        <w:rPr>
          <w:rFonts w:ascii="Century" w:hAnsi="Century" w:cs="Miriam" w:hint="cs"/>
          <w:b/>
          <w:rtl/>
        </w:rPr>
        <w:t>, אין אנו נזקקים לבחינת מלאכותיותה של עסקה ולהוראת סעיף 86 לפקודה"</w:t>
      </w:r>
      <w:r>
        <w:rPr>
          <w:rFonts w:hint="cs"/>
          <w:rtl/>
        </w:rPr>
        <w:t xml:space="preserve"> </w:t>
      </w:r>
      <w:r w:rsidRPr="005C07AB">
        <w:rPr>
          <w:rFonts w:ascii="Century" w:hAnsi="Century" w:cs="FrankRuehl" w:hint="cs"/>
          <w:spacing w:val="10"/>
          <w:szCs w:val="28"/>
          <w:rtl/>
        </w:rPr>
        <w:t xml:space="preserve">(ע"א 7493/98 </w:t>
      </w:r>
      <w:r w:rsidRPr="005C07AB">
        <w:rPr>
          <w:rFonts w:ascii="Century" w:hAnsi="Century" w:cs="Miriam" w:hint="cs"/>
          <w:b/>
          <w:rtl/>
        </w:rPr>
        <w:t xml:space="preserve">שרון נ' פקיד שומה </w:t>
      </w:r>
      <w:r w:rsidRPr="00D412E1">
        <w:rPr>
          <w:rFonts w:ascii="Century" w:hAnsi="Century" w:cs="FrankRuehl"/>
          <w:spacing w:val="10"/>
          <w:szCs w:val="28"/>
          <w:rtl/>
        </w:rPr>
        <w:t>–</w:t>
      </w:r>
      <w:r w:rsidRPr="005C07AB">
        <w:rPr>
          <w:rFonts w:ascii="Century" w:hAnsi="Century" w:cs="FrankRuehl" w:hint="cs"/>
          <w:spacing w:val="10"/>
          <w:szCs w:val="28"/>
          <w:rtl/>
        </w:rPr>
        <w:t xml:space="preserve"> </w:t>
      </w:r>
      <w:r w:rsidRPr="005C07AB">
        <w:rPr>
          <w:rFonts w:ascii="Century" w:hAnsi="Century" w:cs="Miriam" w:hint="cs"/>
          <w:b/>
          <w:rtl/>
        </w:rPr>
        <w:t>יחידה ארצית לשומה</w:t>
      </w:r>
      <w:r w:rsidRPr="005C07AB">
        <w:rPr>
          <w:rFonts w:ascii="Century" w:hAnsi="Century" w:cs="FrankRuehl" w:hint="cs"/>
          <w:spacing w:val="10"/>
          <w:szCs w:val="28"/>
          <w:rtl/>
        </w:rPr>
        <w:t>, פסקה 17 (15.12.2003)).</w:t>
      </w:r>
    </w:p>
    <w:p w:rsidR="00C005B4" w:rsidRDefault="00C005B4" w:rsidP="00C005B4">
      <w:pPr>
        <w:tabs>
          <w:tab w:val="left" w:pos="800"/>
        </w:tabs>
        <w:spacing w:line="360" w:lineRule="auto"/>
        <w:contextualSpacing/>
        <w:jc w:val="both"/>
        <w:rPr>
          <w:rFonts w:ascii="Century" w:hAnsi="Century" w:cs="FrankRuehl"/>
          <w:spacing w:val="10"/>
          <w:szCs w:val="28"/>
          <w:rtl/>
        </w:rPr>
      </w:pPr>
    </w:p>
    <w:p w:rsidR="00C005B4" w:rsidRDefault="00C005B4" w:rsidP="006504BE">
      <w:pPr>
        <w:tabs>
          <w:tab w:val="left" w:pos="800"/>
        </w:tabs>
        <w:spacing w:line="360" w:lineRule="auto"/>
        <w:contextualSpacing/>
        <w:jc w:val="both"/>
        <w:rPr>
          <w:rFonts w:ascii="Century" w:hAnsi="Century" w:cs="FrankRuehl"/>
          <w:spacing w:val="10"/>
          <w:szCs w:val="28"/>
          <w:rtl/>
        </w:rPr>
      </w:pPr>
      <w:r>
        <w:rPr>
          <w:rFonts w:ascii="Century" w:hAnsi="Century" w:cs="FrankRuehl"/>
          <w:spacing w:val="10"/>
          <w:szCs w:val="28"/>
          <w:rtl/>
        </w:rPr>
        <w:tab/>
      </w:r>
      <w:r>
        <w:rPr>
          <w:rFonts w:ascii="Century" w:hAnsi="Century" w:cs="FrankRuehl" w:hint="cs"/>
          <w:spacing w:val="10"/>
          <w:szCs w:val="28"/>
          <w:rtl/>
        </w:rPr>
        <w:t>צא ולמד, תחילה נבחן אם ראוי לסווג את העסקה באופן שונה, לפי העובדות הרלבנטיות והתאמתן להוראות הדין הכללי; רק אם נמצא, כי העסקה שנערכה, קרי</w:t>
      </w:r>
      <w:r w:rsidR="006504BE">
        <w:rPr>
          <w:rFonts w:ascii="Century" w:hAnsi="Century" w:cs="FrankRuehl" w:hint="cs"/>
          <w:spacing w:val="10"/>
          <w:szCs w:val="28"/>
          <w:rtl/>
        </w:rPr>
        <w:t xml:space="preserve"> </w:t>
      </w:r>
      <w:r w:rsidR="006504BE">
        <w:rPr>
          <w:rFonts w:ascii="Century" w:hAnsi="Century" w:cs="FrankRuehl"/>
          <w:spacing w:val="10"/>
          <w:szCs w:val="28"/>
          <w:rtl/>
        </w:rPr>
        <w:t>–</w:t>
      </w:r>
      <w:r w:rsidR="006504BE">
        <w:rPr>
          <w:rFonts w:ascii="Century" w:hAnsi="Century" w:cs="FrankRuehl" w:hint="cs"/>
          <w:spacing w:val="10"/>
          <w:szCs w:val="28"/>
          <w:rtl/>
        </w:rPr>
        <w:t xml:space="preserve"> </w:t>
      </w:r>
      <w:r>
        <w:rPr>
          <w:rFonts w:ascii="Century" w:hAnsi="Century" w:cs="FrankRuehl" w:hint="cs"/>
          <w:spacing w:val="10"/>
          <w:szCs w:val="28"/>
          <w:rtl/>
        </w:rPr>
        <w:t xml:space="preserve">המכלול העובדתי, תואמת את אופן הצגתה על-ידי הצדדים לפי הוראות הדין הכללי, ניתן לפנות ל'סיווג מחדש': </w:t>
      </w:r>
      <w:r w:rsidRPr="005C07AB">
        <w:rPr>
          <w:rFonts w:ascii="Century" w:hAnsi="Century" w:cs="Miriam" w:hint="cs"/>
          <w:b/>
          <w:rtl/>
        </w:rPr>
        <w:t>"רק אם לפי העובדות הרלבנטיות לא ניתן לסווג את העסקה באופן שונה מכפי שסיווגה הנישום, מותר לרשויות המס לטעון כי מדובר בעסקה מלאכותית"</w:t>
      </w:r>
      <w:r>
        <w:rPr>
          <w:rFonts w:ascii="Century" w:hAnsi="Century" w:cs="Miriam" w:hint="cs"/>
          <w:b/>
          <w:rtl/>
        </w:rPr>
        <w:t xml:space="preserve"> </w:t>
      </w:r>
      <w:r w:rsidRPr="005C07AB">
        <w:rPr>
          <w:rFonts w:ascii="Century" w:hAnsi="Century" w:cs="FrankRuehl" w:hint="cs"/>
          <w:spacing w:val="10"/>
          <w:szCs w:val="28"/>
          <w:rtl/>
        </w:rPr>
        <w:t>(</w:t>
      </w:r>
      <w:r>
        <w:rPr>
          <w:rFonts w:ascii="Century" w:hAnsi="Century" w:cs="Miriam" w:hint="cs"/>
          <w:b/>
          <w:rtl/>
        </w:rPr>
        <w:t>שם</w:t>
      </w:r>
      <w:r>
        <w:rPr>
          <w:rFonts w:ascii="Century" w:hAnsi="Century" w:cs="FrankRuehl" w:hint="cs"/>
          <w:spacing w:val="10"/>
          <w:szCs w:val="28"/>
          <w:rtl/>
        </w:rPr>
        <w:t xml:space="preserve">; ראו גם: עניין </w:t>
      </w:r>
      <w:r>
        <w:rPr>
          <w:rFonts w:ascii="Century" w:hAnsi="Century" w:cs="Miriam" w:hint="cs"/>
          <w:b/>
          <w:rtl/>
        </w:rPr>
        <w:t>ראובני</w:t>
      </w:r>
      <w:r>
        <w:rPr>
          <w:rFonts w:ascii="Century" w:hAnsi="Century" w:cs="FrankRuehl" w:hint="cs"/>
          <w:spacing w:val="10"/>
          <w:szCs w:val="28"/>
          <w:rtl/>
        </w:rPr>
        <w:t xml:space="preserve">, פסקה ח; עניין </w:t>
      </w:r>
      <w:r>
        <w:rPr>
          <w:rFonts w:ascii="Century" w:hAnsi="Century" w:cs="Miriam" w:hint="cs"/>
          <w:b/>
          <w:rtl/>
        </w:rPr>
        <w:t>בן ציון</w:t>
      </w:r>
      <w:r>
        <w:rPr>
          <w:rFonts w:ascii="Century" w:hAnsi="Century" w:cs="FrankRuehl" w:hint="cs"/>
          <w:spacing w:val="10"/>
          <w:szCs w:val="28"/>
          <w:rtl/>
        </w:rPr>
        <w:t xml:space="preserve">, פסקה 6; </w:t>
      </w:r>
      <w:proofErr w:type="spellStart"/>
      <w:r>
        <w:rPr>
          <w:rFonts w:ascii="Century" w:hAnsi="Century" w:cs="Miriam" w:hint="cs"/>
          <w:b/>
          <w:rtl/>
        </w:rPr>
        <w:t>גליקסברג</w:t>
      </w:r>
      <w:proofErr w:type="spellEnd"/>
      <w:r>
        <w:rPr>
          <w:rFonts w:ascii="Century" w:hAnsi="Century" w:cs="FrankRuehl" w:hint="cs"/>
          <w:spacing w:val="10"/>
          <w:szCs w:val="28"/>
          <w:rtl/>
        </w:rPr>
        <w:t xml:space="preserve">, בעמוד 19). לשון אחר, הסמכות האנטי-תכנונית שבסעיף 86 לפקודה היא שיורית. </w:t>
      </w:r>
    </w:p>
    <w:p w:rsidR="00C005B4" w:rsidRDefault="00C005B4" w:rsidP="00C005B4">
      <w:pPr>
        <w:tabs>
          <w:tab w:val="left" w:pos="800"/>
        </w:tabs>
        <w:spacing w:line="360" w:lineRule="auto"/>
        <w:contextualSpacing/>
        <w:jc w:val="both"/>
        <w:rPr>
          <w:rFonts w:ascii="Century" w:hAnsi="Century" w:cs="FrankRuehl"/>
          <w:spacing w:val="10"/>
          <w:szCs w:val="28"/>
          <w:rtl/>
        </w:rPr>
      </w:pPr>
    </w:p>
    <w:p w:rsidR="00C005B4" w:rsidRDefault="00C005B4" w:rsidP="00DB66AE">
      <w:pPr>
        <w:tabs>
          <w:tab w:val="left" w:pos="800"/>
        </w:tabs>
        <w:spacing w:line="360" w:lineRule="auto"/>
        <w:contextualSpacing/>
        <w:jc w:val="both"/>
        <w:rPr>
          <w:rFonts w:ascii="Century" w:hAnsi="Century" w:cs="FrankRuehl"/>
          <w:spacing w:val="10"/>
          <w:szCs w:val="28"/>
          <w:rtl/>
        </w:rPr>
      </w:pPr>
      <w:r>
        <w:rPr>
          <w:rFonts w:ascii="Century" w:hAnsi="Century" w:cs="FrankRuehl" w:hint="cs"/>
          <w:spacing w:val="10"/>
          <w:szCs w:val="28"/>
          <w:rtl/>
        </w:rPr>
        <w:t>1</w:t>
      </w:r>
      <w:r w:rsidR="00DB66AE">
        <w:rPr>
          <w:rFonts w:ascii="Century" w:hAnsi="Century" w:cs="FrankRuehl" w:hint="cs"/>
          <w:spacing w:val="10"/>
          <w:szCs w:val="28"/>
          <w:rtl/>
        </w:rPr>
        <w:t>5</w:t>
      </w:r>
      <w:r>
        <w:rPr>
          <w:rFonts w:ascii="Century" w:hAnsi="Century" w:cs="FrankRuehl" w:hint="cs"/>
          <w:spacing w:val="10"/>
          <w:szCs w:val="28"/>
          <w:rtl/>
        </w:rPr>
        <w:t>.</w:t>
      </w:r>
      <w:r>
        <w:rPr>
          <w:rFonts w:ascii="Century" w:hAnsi="Century" w:cs="FrankRuehl" w:hint="cs"/>
          <w:spacing w:val="10"/>
          <w:szCs w:val="28"/>
          <w:rtl/>
        </w:rPr>
        <w:tab/>
        <w:t xml:space="preserve">לשיטת המבקשת, המשיב ביצע, דה-פקטו, 'סיווג מחדש' של העסקה. היא הסתמכה לעניין זה על דברים שנאמרו בעניין </w:t>
      </w:r>
      <w:r>
        <w:rPr>
          <w:rFonts w:ascii="Century" w:hAnsi="Century" w:cs="Miriam" w:hint="cs"/>
          <w:b/>
          <w:rtl/>
        </w:rPr>
        <w:t>בן ציון</w:t>
      </w:r>
      <w:r>
        <w:rPr>
          <w:rFonts w:ascii="Century" w:hAnsi="Century" w:cs="FrankRuehl" w:hint="cs"/>
          <w:spacing w:val="10"/>
          <w:szCs w:val="28"/>
          <w:rtl/>
        </w:rPr>
        <w:t xml:space="preserve"> שלפיהם </w:t>
      </w:r>
      <w:r w:rsidRPr="00593EE4">
        <w:rPr>
          <w:rFonts w:ascii="Century" w:hAnsi="Century" w:cs="Miriam" w:hint="cs"/>
          <w:b/>
          <w:rtl/>
        </w:rPr>
        <w:t xml:space="preserve">"מסלול 'הדין הכללי' אינו רלוונטי, וזאת בהינתן העובדה שהפעולה שתוארה על ידי הנישום </w:t>
      </w:r>
      <w:r>
        <w:rPr>
          <w:rFonts w:ascii="Century" w:hAnsi="Century" w:cs="Miriam" w:hint="cs"/>
          <w:b/>
          <w:rtl/>
        </w:rPr>
        <w:t>[...]</w:t>
      </w:r>
      <w:r w:rsidRPr="00593EE4">
        <w:rPr>
          <w:rFonts w:ascii="Century" w:hAnsi="Century" w:cs="Miriam" w:hint="cs"/>
          <w:b/>
          <w:rtl/>
        </w:rPr>
        <w:t xml:space="preserve"> היא אכן הפעולה שבוצעה</w:t>
      </w:r>
      <w:r>
        <w:rPr>
          <w:rFonts w:ascii="Century" w:hAnsi="Century" w:cs="Miriam" w:hint="cs"/>
          <w:b/>
          <w:rtl/>
        </w:rPr>
        <w:t xml:space="preserve"> </w:t>
      </w:r>
      <w:r w:rsidRPr="009872DC">
        <w:rPr>
          <w:rFonts w:ascii="Century" w:hAnsi="Century" w:cs="FrankRuehl"/>
          <w:spacing w:val="10"/>
          <w:szCs w:val="28"/>
          <w:rtl/>
        </w:rPr>
        <w:t>–</w:t>
      </w:r>
      <w:r>
        <w:rPr>
          <w:rFonts w:ascii="Century" w:hAnsi="Century" w:cs="Miriam" w:hint="cs"/>
          <w:b/>
          <w:rtl/>
        </w:rPr>
        <w:t xml:space="preserve"> ואין על כך חולק</w:t>
      </w:r>
      <w:r w:rsidRPr="00593EE4">
        <w:rPr>
          <w:rFonts w:ascii="Century" w:hAnsi="Century" w:cs="Miriam" w:hint="cs"/>
          <w:b/>
          <w:rtl/>
        </w:rPr>
        <w:t>"</w:t>
      </w:r>
      <w:r>
        <w:rPr>
          <w:rFonts w:ascii="Century" w:hAnsi="Century" w:cs="FrankRuehl" w:hint="cs"/>
          <w:spacing w:val="10"/>
          <w:szCs w:val="28"/>
          <w:rtl/>
        </w:rPr>
        <w:t xml:space="preserve"> (</w:t>
      </w:r>
      <w:r>
        <w:rPr>
          <w:rFonts w:ascii="Century" w:hAnsi="Century" w:cs="Miriam" w:hint="cs"/>
          <w:b/>
          <w:rtl/>
        </w:rPr>
        <w:t>שם</w:t>
      </w:r>
      <w:r>
        <w:rPr>
          <w:rFonts w:ascii="Century" w:hAnsi="Century" w:cs="FrankRuehl" w:hint="cs"/>
          <w:spacing w:val="10"/>
          <w:szCs w:val="28"/>
          <w:rtl/>
        </w:rPr>
        <w:t xml:space="preserve">, פסקה 12). אלא שלא כך הם פני הדברים, וזהו לב העניין; על התאמה זו </w:t>
      </w:r>
      <w:r>
        <w:rPr>
          <w:rFonts w:ascii="Century" w:hAnsi="Century" w:cs="FrankRuehl"/>
          <w:spacing w:val="10"/>
          <w:szCs w:val="28"/>
          <w:rtl/>
        </w:rPr>
        <w:t>–</w:t>
      </w:r>
      <w:r>
        <w:rPr>
          <w:rFonts w:ascii="Century" w:hAnsi="Century" w:cs="FrankRuehl" w:hint="cs"/>
          <w:spacing w:val="10"/>
          <w:szCs w:val="28"/>
          <w:rtl/>
        </w:rPr>
        <w:t xml:space="preserve"> בין המצג המתואר בהסכם המכר, לבין מה שנעשה בפועל </w:t>
      </w:r>
      <w:r>
        <w:rPr>
          <w:rFonts w:ascii="Century" w:hAnsi="Century" w:cs="FrankRuehl"/>
          <w:spacing w:val="10"/>
          <w:szCs w:val="28"/>
          <w:rtl/>
        </w:rPr>
        <w:t>–</w:t>
      </w:r>
      <w:r>
        <w:rPr>
          <w:rFonts w:ascii="Century" w:hAnsi="Century" w:cs="FrankRuehl" w:hint="cs"/>
          <w:spacing w:val="10"/>
          <w:szCs w:val="28"/>
          <w:rtl/>
        </w:rPr>
        <w:t xml:space="preserve"> חולק המשיב. לדידו, לא נמכר 'רק' קניין רוחני, אלא בוצעה עסקה רחבה יותר באופן משמעותי, שנחבאת מאחורי מצג של הסכם צר ורזה ממנה. דומה שהבחנה זו היא יסוד הקושי שבו נתקלו הצדדים בנסותם לעמוד על טיב השומה דנן.</w:t>
      </w:r>
    </w:p>
    <w:p w:rsidR="00C005B4" w:rsidRDefault="00C005B4" w:rsidP="00C005B4">
      <w:pPr>
        <w:tabs>
          <w:tab w:val="left" w:pos="800"/>
        </w:tabs>
        <w:spacing w:line="360" w:lineRule="auto"/>
        <w:contextualSpacing/>
        <w:jc w:val="both"/>
        <w:rPr>
          <w:rFonts w:ascii="Century" w:hAnsi="Century" w:cs="FrankRuehl"/>
          <w:spacing w:val="10"/>
          <w:szCs w:val="28"/>
          <w:rtl/>
        </w:rPr>
      </w:pPr>
    </w:p>
    <w:p w:rsidR="00C005B4" w:rsidRDefault="00C005B4" w:rsidP="00DB66AE">
      <w:pPr>
        <w:tabs>
          <w:tab w:val="left" w:pos="800"/>
        </w:tabs>
        <w:spacing w:line="360" w:lineRule="auto"/>
        <w:contextualSpacing/>
        <w:jc w:val="both"/>
        <w:rPr>
          <w:rFonts w:ascii="Century" w:hAnsi="Century" w:cs="FrankRuehl"/>
          <w:spacing w:val="10"/>
          <w:szCs w:val="28"/>
          <w:rtl/>
        </w:rPr>
      </w:pPr>
      <w:r>
        <w:rPr>
          <w:rFonts w:ascii="Century" w:hAnsi="Century" w:cs="FrankRuehl" w:hint="cs"/>
          <w:spacing w:val="10"/>
          <w:szCs w:val="28"/>
          <w:rtl/>
        </w:rPr>
        <w:t>1</w:t>
      </w:r>
      <w:r w:rsidR="00DB66AE">
        <w:rPr>
          <w:rFonts w:ascii="Century" w:hAnsi="Century" w:cs="FrankRuehl" w:hint="cs"/>
          <w:spacing w:val="10"/>
          <w:szCs w:val="28"/>
          <w:rtl/>
        </w:rPr>
        <w:t>6</w:t>
      </w:r>
      <w:r>
        <w:rPr>
          <w:rFonts w:ascii="Century" w:hAnsi="Century" w:cs="FrankRuehl" w:hint="cs"/>
          <w:spacing w:val="10"/>
          <w:szCs w:val="28"/>
          <w:rtl/>
        </w:rPr>
        <w:t>.</w:t>
      </w:r>
      <w:r>
        <w:rPr>
          <w:rFonts w:ascii="Century" w:hAnsi="Century" w:cs="FrankRuehl" w:hint="cs"/>
          <w:spacing w:val="10"/>
          <w:szCs w:val="28"/>
          <w:rtl/>
        </w:rPr>
        <w:tab/>
        <w:t xml:space="preserve">להמחשת הקושי ניתן להסתייע בסוגיה הדומה לענייננו, היא מיסויה של 'עסקה בדויה' </w:t>
      </w:r>
      <w:r>
        <w:rPr>
          <w:rFonts w:ascii="Century" w:hAnsi="Century" w:cs="FrankRuehl"/>
          <w:spacing w:val="10"/>
          <w:szCs w:val="28"/>
          <w:rtl/>
        </w:rPr>
        <w:t>–</w:t>
      </w:r>
      <w:r>
        <w:rPr>
          <w:rFonts w:ascii="Century" w:hAnsi="Century" w:cs="FrankRuehl" w:hint="cs"/>
          <w:spacing w:val="10"/>
          <w:szCs w:val="28"/>
          <w:rtl/>
        </w:rPr>
        <w:t xml:space="preserve"> חלופה נוספת הנזכרת בסעיף 86 לפקודה. העסקה הבדויה היא מקבילתו בעולם המס של החוזה למראית עין; </w:t>
      </w:r>
      <w:proofErr w:type="spellStart"/>
      <w:r>
        <w:rPr>
          <w:rFonts w:ascii="Century" w:hAnsi="Century" w:cs="FrankRuehl" w:hint="cs"/>
          <w:spacing w:val="10"/>
          <w:szCs w:val="28"/>
          <w:rtl/>
        </w:rPr>
        <w:t>בגדריה</w:t>
      </w:r>
      <w:proofErr w:type="spellEnd"/>
      <w:r>
        <w:rPr>
          <w:rFonts w:ascii="Century" w:hAnsi="Century" w:cs="FrankRuehl" w:hint="cs"/>
          <w:spacing w:val="10"/>
          <w:szCs w:val="28"/>
          <w:rtl/>
        </w:rPr>
        <w:t xml:space="preserve">, </w:t>
      </w:r>
      <w:r w:rsidRPr="00714762">
        <w:rPr>
          <w:rFonts w:ascii="Century" w:hAnsi="Century" w:cs="Miriam" w:hint="cs"/>
          <w:b/>
          <w:rtl/>
        </w:rPr>
        <w:t>"אין הצדדים מעוניינים בקיומו של החוזה כפי שהוא משתקף כלפי חוץ"</w:t>
      </w:r>
      <w:r>
        <w:rPr>
          <w:rFonts w:ascii="Century" w:hAnsi="Century" w:cs="FrankRuehl" w:hint="cs"/>
          <w:spacing w:val="10"/>
          <w:szCs w:val="28"/>
          <w:rtl/>
        </w:rPr>
        <w:t xml:space="preserve"> (ע"א 4015/95 </w:t>
      </w:r>
      <w:r>
        <w:rPr>
          <w:rFonts w:ascii="Century" w:hAnsi="Century" w:cs="Miriam" w:hint="cs"/>
          <w:b/>
          <w:rtl/>
        </w:rPr>
        <w:t>פקיד שומה ירושלים נ' ברזני</w:t>
      </w:r>
      <w:r>
        <w:rPr>
          <w:rFonts w:ascii="Century" w:hAnsi="Century" w:cs="FrankRuehl" w:hint="cs"/>
          <w:spacing w:val="10"/>
          <w:szCs w:val="28"/>
          <w:rtl/>
        </w:rPr>
        <w:t xml:space="preserve">, פ"ד נב(2) 269, 276 (1998) </w:t>
      </w:r>
      <w:r>
        <w:rPr>
          <w:rFonts w:ascii="Century" w:hAnsi="Century" w:cs="FrankRuehl"/>
          <w:spacing w:val="10"/>
          <w:szCs w:val="28"/>
          <w:rtl/>
        </w:rPr>
        <w:t>(</w:t>
      </w:r>
      <w:r>
        <w:rPr>
          <w:rFonts w:ascii="Century" w:hAnsi="Century" w:cs="FrankRuehl" w:hint="cs"/>
          <w:spacing w:val="10"/>
          <w:szCs w:val="28"/>
          <w:rtl/>
        </w:rPr>
        <w:t>להלן</w:t>
      </w:r>
      <w:r>
        <w:rPr>
          <w:rFonts w:ascii="Century" w:hAnsi="Century" w:cs="FrankRuehl"/>
          <w:spacing w:val="10"/>
          <w:szCs w:val="28"/>
          <w:rtl/>
        </w:rPr>
        <w:t xml:space="preserve">: </w:t>
      </w:r>
      <w:r>
        <w:rPr>
          <w:rFonts w:ascii="Century" w:hAnsi="Century" w:cs="Miriam" w:hint="cs"/>
          <w:b/>
          <w:rtl/>
        </w:rPr>
        <w:t>עניין ברזני</w:t>
      </w:r>
      <w:r>
        <w:rPr>
          <w:rFonts w:ascii="Century" w:hAnsi="Century" w:cs="FrankRuehl" w:hint="cs"/>
          <w:spacing w:val="10"/>
          <w:szCs w:val="28"/>
          <w:rtl/>
        </w:rPr>
        <w:t xml:space="preserve">); ראו גם עניין </w:t>
      </w:r>
      <w:proofErr w:type="spellStart"/>
      <w:r>
        <w:rPr>
          <w:rFonts w:ascii="Century" w:hAnsi="Century" w:cs="Miriam" w:hint="cs"/>
          <w:b/>
          <w:rtl/>
        </w:rPr>
        <w:t>איסמר</w:t>
      </w:r>
      <w:proofErr w:type="spellEnd"/>
      <w:r>
        <w:rPr>
          <w:rFonts w:ascii="Century" w:hAnsi="Century" w:cs="FrankRuehl" w:hint="cs"/>
          <w:spacing w:val="10"/>
          <w:szCs w:val="28"/>
          <w:rtl/>
        </w:rPr>
        <w:t xml:space="preserve">). הגדרת עסקה </w:t>
      </w:r>
      <w:r w:rsidRPr="00107D66">
        <w:rPr>
          <w:rFonts w:ascii="Century" w:hAnsi="Century" w:cs="FrankRuehl" w:hint="cs"/>
          <w:spacing w:val="10"/>
          <w:szCs w:val="28"/>
          <w:rtl/>
        </w:rPr>
        <w:t>כבדויה היא שאלה עובדתית הטעונה הוכחה</w:t>
      </w:r>
      <w:r>
        <w:rPr>
          <w:rFonts w:ascii="Century" w:hAnsi="Century" w:cs="FrankRuehl" w:hint="cs"/>
          <w:spacing w:val="10"/>
          <w:szCs w:val="28"/>
          <w:rtl/>
        </w:rPr>
        <w:t>;</w:t>
      </w:r>
      <w:r w:rsidRPr="00107D66">
        <w:rPr>
          <w:rFonts w:ascii="Century" w:hAnsi="Century" w:cs="FrankRuehl" w:hint="cs"/>
          <w:spacing w:val="10"/>
          <w:szCs w:val="28"/>
          <w:rtl/>
        </w:rPr>
        <w:t xml:space="preserve"> מ</w:t>
      </w:r>
      <w:r w:rsidRPr="00714762">
        <w:rPr>
          <w:rFonts w:ascii="Century" w:hAnsi="Century" w:cs="FrankRuehl" w:hint="cs"/>
          <w:spacing w:val="10"/>
          <w:szCs w:val="28"/>
          <w:rtl/>
        </w:rPr>
        <w:t>שעה שהוכח כדבר הזה,</w:t>
      </w:r>
      <w:r>
        <w:rPr>
          <w:rFonts w:ascii="Century" w:hAnsi="Century" w:cs="FrankRuehl" w:hint="cs"/>
          <w:spacing w:val="10"/>
          <w:szCs w:val="28"/>
          <w:rtl/>
        </w:rPr>
        <w:t xml:space="preserve"> העסקה בטלה מחמת היותה חוזה למראית עין, מכוח הדין הכללי (דיני החוזים) </w:t>
      </w:r>
      <w:r>
        <w:rPr>
          <w:rFonts w:ascii="Century" w:hAnsi="Century" w:cs="FrankRuehl"/>
          <w:spacing w:val="10"/>
          <w:szCs w:val="28"/>
          <w:rtl/>
        </w:rPr>
        <w:t>–</w:t>
      </w:r>
      <w:r>
        <w:rPr>
          <w:rFonts w:ascii="Century" w:hAnsi="Century" w:cs="FrankRuehl" w:hint="cs"/>
          <w:spacing w:val="10"/>
          <w:szCs w:val="28"/>
          <w:rtl/>
        </w:rPr>
        <w:t xml:space="preserve"> ויוצא, כי יש 'להתעלם' ממנה מבלי להידרש לסעיף 86 לפקודה:</w:t>
      </w:r>
      <w:r>
        <w:rPr>
          <w:rFonts w:ascii="Century" w:hAnsi="Century" w:cs="Miriam" w:hint="cs"/>
          <w:b/>
          <w:rtl/>
        </w:rPr>
        <w:t xml:space="preserve"> </w:t>
      </w:r>
      <w:r w:rsidRPr="00107D66">
        <w:rPr>
          <w:rFonts w:ascii="Century" w:hAnsi="Century" w:cs="Miriam" w:hint="cs"/>
          <w:b/>
          <w:rtl/>
        </w:rPr>
        <w:t xml:space="preserve">"מקום שמבירור עובדות המס </w:t>
      </w:r>
      <w:proofErr w:type="spellStart"/>
      <w:r w:rsidRPr="00107D66">
        <w:rPr>
          <w:rFonts w:ascii="Century" w:hAnsi="Century" w:cs="Miriam" w:hint="cs"/>
          <w:b/>
          <w:rtl/>
        </w:rPr>
        <w:t>האמיתיות</w:t>
      </w:r>
      <w:proofErr w:type="spellEnd"/>
      <w:r w:rsidRPr="00107D66">
        <w:rPr>
          <w:rFonts w:ascii="Century" w:hAnsi="Century" w:cs="Miriam" w:hint="cs"/>
          <w:b/>
          <w:rtl/>
        </w:rPr>
        <w:t xml:space="preserve"> עולה כי העסקה שהוצגה היא פיקציה, הרי שהיא בטלה על-פי המשפט האזרחי עצמו [...] לפיכך, אין בעצם </w:t>
      </w:r>
      <w:r w:rsidRPr="00107D66">
        <w:rPr>
          <w:rFonts w:ascii="Century" w:hAnsi="Century" w:cs="Miriam" w:hint="cs"/>
          <w:b/>
          <w:rtl/>
        </w:rPr>
        <w:lastRenderedPageBreak/>
        <w:t>צורך להפעיל את סעיפי ההתעלמות</w:t>
      </w:r>
      <w:r>
        <w:rPr>
          <w:rFonts w:ascii="Century" w:hAnsi="Century" w:cs="Miriam" w:hint="cs"/>
          <w:b/>
          <w:rtl/>
        </w:rPr>
        <w:t xml:space="preserve"> </w:t>
      </w:r>
      <w:r w:rsidRPr="006913E7">
        <w:rPr>
          <w:rFonts w:ascii="Century" w:hAnsi="Century" w:cs="FrankRuehl" w:hint="cs"/>
          <w:spacing w:val="10"/>
          <w:szCs w:val="28"/>
          <w:rtl/>
        </w:rPr>
        <w:t xml:space="preserve">[סעיף 86 לפקודה </w:t>
      </w:r>
      <w:r w:rsidRPr="006913E7">
        <w:rPr>
          <w:rFonts w:ascii="Century" w:hAnsi="Century" w:cs="FrankRuehl"/>
          <w:spacing w:val="10"/>
          <w:szCs w:val="28"/>
          <w:rtl/>
        </w:rPr>
        <w:t>–</w:t>
      </w:r>
      <w:r w:rsidRPr="006913E7">
        <w:rPr>
          <w:rFonts w:ascii="Century" w:hAnsi="Century" w:cs="FrankRuehl" w:hint="cs"/>
          <w:spacing w:val="10"/>
          <w:szCs w:val="28"/>
          <w:rtl/>
        </w:rPr>
        <w:t xml:space="preserve"> נ' ס']</w:t>
      </w:r>
      <w:r w:rsidRPr="00107D66">
        <w:rPr>
          <w:rFonts w:ascii="Century" w:hAnsi="Century" w:cs="Miriam" w:hint="cs"/>
          <w:b/>
          <w:rtl/>
        </w:rPr>
        <w:t xml:space="preserve"> במקרה כזה"</w:t>
      </w:r>
      <w:r>
        <w:rPr>
          <w:rFonts w:ascii="Century" w:hAnsi="Century" w:cs="Miriam" w:hint="cs"/>
          <w:b/>
          <w:rtl/>
        </w:rPr>
        <w:t xml:space="preserve"> </w:t>
      </w:r>
      <w:r>
        <w:rPr>
          <w:rFonts w:ascii="Century" w:hAnsi="Century" w:cs="FrankRuehl" w:hint="cs"/>
          <w:spacing w:val="10"/>
          <w:szCs w:val="28"/>
          <w:rtl/>
        </w:rPr>
        <w:t xml:space="preserve">(אהרן יורן "'סיווג שונה' של עסקה לצורך מס ומיקומה הנכון של 'העסקה המלאכותית'" </w:t>
      </w:r>
      <w:r>
        <w:rPr>
          <w:rFonts w:ascii="Century" w:hAnsi="Century" w:cs="Miriam" w:hint="cs"/>
          <w:b/>
          <w:rtl/>
        </w:rPr>
        <w:t>משפטים</w:t>
      </w:r>
      <w:r>
        <w:rPr>
          <w:rFonts w:ascii="Century" w:hAnsi="Century" w:cs="FrankRuehl" w:hint="cs"/>
          <w:spacing w:val="10"/>
          <w:szCs w:val="28"/>
          <w:rtl/>
        </w:rPr>
        <w:t xml:space="preserve"> כ 43, 48 (1990); עניין </w:t>
      </w:r>
      <w:r>
        <w:rPr>
          <w:rFonts w:ascii="Century" w:hAnsi="Century" w:cs="Miriam" w:hint="cs"/>
          <w:b/>
          <w:rtl/>
        </w:rPr>
        <w:t>ברזני</w:t>
      </w:r>
      <w:r>
        <w:rPr>
          <w:rFonts w:ascii="Century" w:hAnsi="Century" w:cs="FrankRuehl" w:hint="cs"/>
          <w:spacing w:val="10"/>
          <w:szCs w:val="28"/>
          <w:rtl/>
        </w:rPr>
        <w:t xml:space="preserve">, בעמוד 277). </w:t>
      </w:r>
    </w:p>
    <w:p w:rsidR="00C005B4" w:rsidRDefault="00C005B4" w:rsidP="00C005B4">
      <w:pPr>
        <w:tabs>
          <w:tab w:val="left" w:pos="800"/>
        </w:tabs>
        <w:spacing w:line="360" w:lineRule="auto"/>
        <w:contextualSpacing/>
        <w:jc w:val="both"/>
        <w:rPr>
          <w:rFonts w:ascii="Century" w:hAnsi="Century" w:cs="FrankRuehl"/>
          <w:spacing w:val="10"/>
          <w:szCs w:val="28"/>
          <w:rtl/>
        </w:rPr>
      </w:pPr>
    </w:p>
    <w:p w:rsidR="00C005B4" w:rsidRDefault="00C005B4" w:rsidP="00DB66AE">
      <w:pPr>
        <w:tabs>
          <w:tab w:val="left" w:pos="800"/>
        </w:tabs>
        <w:spacing w:line="360" w:lineRule="auto"/>
        <w:contextualSpacing/>
        <w:jc w:val="both"/>
        <w:rPr>
          <w:rFonts w:ascii="Century" w:hAnsi="Century" w:cs="FrankRuehl"/>
          <w:spacing w:val="10"/>
          <w:szCs w:val="28"/>
          <w:rtl/>
        </w:rPr>
      </w:pPr>
      <w:r>
        <w:rPr>
          <w:rFonts w:ascii="Century" w:hAnsi="Century" w:cs="FrankRuehl" w:hint="cs"/>
          <w:spacing w:val="10"/>
          <w:szCs w:val="28"/>
          <w:rtl/>
        </w:rPr>
        <w:t>1</w:t>
      </w:r>
      <w:r w:rsidR="00DB66AE">
        <w:rPr>
          <w:rFonts w:ascii="Century" w:hAnsi="Century" w:cs="FrankRuehl" w:hint="cs"/>
          <w:spacing w:val="10"/>
          <w:szCs w:val="28"/>
          <w:rtl/>
        </w:rPr>
        <w:t>7</w:t>
      </w:r>
      <w:r>
        <w:rPr>
          <w:rFonts w:ascii="Century" w:hAnsi="Century" w:cs="FrankRuehl" w:hint="cs"/>
          <w:spacing w:val="10"/>
          <w:szCs w:val="28"/>
          <w:rtl/>
        </w:rPr>
        <w:t>.</w:t>
      </w:r>
      <w:r>
        <w:rPr>
          <w:rFonts w:ascii="Century" w:hAnsi="Century" w:cs="FrankRuehl" w:hint="cs"/>
          <w:spacing w:val="10"/>
          <w:szCs w:val="28"/>
          <w:rtl/>
        </w:rPr>
        <w:tab/>
        <w:t xml:space="preserve">יובהר: לא נטען לפנַי כי עסקינן בעסקה בדויה, ולא אביע בכך עמדה. הדברים הובאו כדי להמחיש את ה'מיקום הגיאומטרי' של עמדת המשיב בשומה, שלפיה המצג שבחוזה איננו משקף את מצב הדברים בפועל (ומכאן הדמיון לעסקה בדויה), ולהבדיל, איננו משקף 'עסקה מלאכותית'. לוז השומה הוא למעשה בעמדת המשיב כי </w:t>
      </w:r>
      <w:r>
        <w:rPr>
          <w:rFonts w:ascii="Century" w:hAnsi="Century" w:cs="Miriam" w:hint="cs"/>
          <w:b/>
          <w:rtl/>
        </w:rPr>
        <w:t>ניתן</w:t>
      </w:r>
      <w:r>
        <w:rPr>
          <w:rFonts w:ascii="Century" w:hAnsi="Century" w:cs="FrankRuehl" w:hint="cs"/>
          <w:spacing w:val="10"/>
          <w:szCs w:val="28"/>
          <w:rtl/>
        </w:rPr>
        <w:t xml:space="preserve"> לסווג את העסקה באופן שונה, על בסיס עובדות המס הרלבנטיות </w:t>
      </w:r>
      <w:r>
        <w:rPr>
          <w:rFonts w:ascii="Century" w:hAnsi="Century" w:cs="FrankRuehl"/>
          <w:spacing w:val="10"/>
          <w:szCs w:val="28"/>
          <w:rtl/>
        </w:rPr>
        <w:t>–</w:t>
      </w:r>
      <w:r>
        <w:rPr>
          <w:rFonts w:ascii="Century" w:hAnsi="Century" w:cs="FrankRuehl" w:hint="cs"/>
          <w:spacing w:val="10"/>
          <w:szCs w:val="28"/>
          <w:rtl/>
        </w:rPr>
        <w:t xml:space="preserve"> קרי, על בסיס עמדתו, שלפיה פונקציות מסוימות יצאו בפועל מתחת קורת</w:t>
      </w:r>
      <w:r w:rsidR="006504BE">
        <w:rPr>
          <w:rFonts w:ascii="Century" w:hAnsi="Century" w:cs="FrankRuehl" w:hint="cs"/>
          <w:spacing w:val="10"/>
          <w:szCs w:val="28"/>
          <w:rtl/>
        </w:rPr>
        <w:t xml:space="preserve"> גגה של המבקשת. פקיד השומה נעצר</w:t>
      </w:r>
      <w:r>
        <w:rPr>
          <w:rFonts w:ascii="Century" w:hAnsi="Century" w:cs="FrankRuehl" w:hint="cs"/>
          <w:spacing w:val="10"/>
          <w:szCs w:val="28"/>
          <w:rtl/>
        </w:rPr>
        <w:t xml:space="preserve"> אפוא בטרם התעורר הצורך להשתמש בסמכותו השיורית לביצוע 'סיווג מחדש'; הוא 'נמצא' בשלב הראשון של הניתוח </w:t>
      </w:r>
      <w:r>
        <w:rPr>
          <w:rFonts w:ascii="Century" w:hAnsi="Century" w:cs="FrankRuehl"/>
          <w:spacing w:val="10"/>
          <w:szCs w:val="28"/>
          <w:rtl/>
        </w:rPr>
        <w:t>–</w:t>
      </w:r>
      <w:r>
        <w:rPr>
          <w:rFonts w:ascii="Century" w:hAnsi="Century" w:cs="FrankRuehl" w:hint="cs"/>
          <w:spacing w:val="10"/>
          <w:szCs w:val="28"/>
          <w:rtl/>
        </w:rPr>
        <w:t xml:space="preserve"> בחינת העסקה במשקפי הדין הכללי (ובענייננו, דיני החוזים).</w:t>
      </w:r>
    </w:p>
    <w:p w:rsidR="00C005B4" w:rsidRDefault="00C005B4" w:rsidP="00C005B4">
      <w:pPr>
        <w:tabs>
          <w:tab w:val="left" w:pos="800"/>
        </w:tabs>
        <w:spacing w:line="360" w:lineRule="auto"/>
        <w:contextualSpacing/>
        <w:jc w:val="both"/>
        <w:rPr>
          <w:rFonts w:ascii="Century" w:hAnsi="Century" w:cs="FrankRuehl"/>
          <w:spacing w:val="10"/>
          <w:szCs w:val="28"/>
          <w:rtl/>
        </w:rPr>
      </w:pPr>
    </w:p>
    <w:p w:rsidR="00C005B4" w:rsidRDefault="00C005B4" w:rsidP="00DB66AE">
      <w:pPr>
        <w:tabs>
          <w:tab w:val="left" w:pos="800"/>
        </w:tabs>
        <w:spacing w:line="360" w:lineRule="auto"/>
        <w:contextualSpacing/>
        <w:jc w:val="both"/>
        <w:rPr>
          <w:rFonts w:ascii="Century" w:hAnsi="Century" w:cs="FrankRuehl"/>
          <w:spacing w:val="10"/>
          <w:szCs w:val="28"/>
          <w:rtl/>
        </w:rPr>
      </w:pPr>
      <w:r>
        <w:rPr>
          <w:rFonts w:ascii="Century" w:hAnsi="Century" w:cs="FrankRuehl" w:hint="cs"/>
          <w:spacing w:val="10"/>
          <w:szCs w:val="28"/>
          <w:rtl/>
        </w:rPr>
        <w:t>1</w:t>
      </w:r>
      <w:r w:rsidR="00DB66AE">
        <w:rPr>
          <w:rFonts w:ascii="Century" w:hAnsi="Century" w:cs="FrankRuehl" w:hint="cs"/>
          <w:spacing w:val="10"/>
          <w:szCs w:val="28"/>
          <w:rtl/>
        </w:rPr>
        <w:t>8</w:t>
      </w:r>
      <w:r>
        <w:rPr>
          <w:rFonts w:ascii="Century" w:hAnsi="Century" w:cs="FrankRuehl" w:hint="cs"/>
          <w:spacing w:val="10"/>
          <w:szCs w:val="28"/>
          <w:rtl/>
        </w:rPr>
        <w:t>.</w:t>
      </w:r>
      <w:r>
        <w:rPr>
          <w:rFonts w:ascii="Century" w:hAnsi="Century" w:cs="FrankRuehl" w:hint="cs"/>
          <w:spacing w:val="10"/>
          <w:szCs w:val="28"/>
          <w:rtl/>
        </w:rPr>
        <w:tab/>
        <w:t>חלק ניכר מטענות המבקשת נוגע לעניין זה; היא מלינה על אי-</w:t>
      </w:r>
      <w:proofErr w:type="spellStart"/>
      <w:r>
        <w:rPr>
          <w:rFonts w:ascii="Century" w:hAnsi="Century" w:cs="FrankRuehl" w:hint="cs"/>
          <w:spacing w:val="10"/>
          <w:szCs w:val="28"/>
          <w:rtl/>
        </w:rPr>
        <w:t>הידרשותו</w:t>
      </w:r>
      <w:proofErr w:type="spellEnd"/>
      <w:r>
        <w:rPr>
          <w:rFonts w:ascii="Century" w:hAnsi="Century" w:cs="FrankRuehl" w:hint="cs"/>
          <w:spacing w:val="10"/>
          <w:szCs w:val="28"/>
          <w:rtl/>
        </w:rPr>
        <w:t xml:space="preserve"> של המשיב לדין הכללי הרלבנטי לשיטתה </w:t>
      </w:r>
      <w:r>
        <w:rPr>
          <w:rFonts w:ascii="Century" w:hAnsi="Century" w:cs="FrankRuehl"/>
          <w:spacing w:val="10"/>
          <w:szCs w:val="28"/>
          <w:rtl/>
        </w:rPr>
        <w:t>–</w:t>
      </w:r>
      <w:r>
        <w:rPr>
          <w:rFonts w:ascii="Century" w:hAnsi="Century" w:cs="FrankRuehl" w:hint="cs"/>
          <w:spacing w:val="10"/>
          <w:szCs w:val="28"/>
          <w:rtl/>
        </w:rPr>
        <w:t xml:space="preserve"> וגוזרת מכך כי השומה איננה מבוססת על 'סיווג שונה'. לדידה, היה על בית המשפט </w:t>
      </w:r>
      <w:r w:rsidRPr="00454C1A">
        <w:rPr>
          <w:rFonts w:ascii="Century" w:hAnsi="Century" w:cs="Miriam" w:hint="cs"/>
          <w:b/>
          <w:rtl/>
        </w:rPr>
        <w:t>"לצלול ראשו ורובו"</w:t>
      </w:r>
      <w:r>
        <w:rPr>
          <w:rFonts w:ascii="Century" w:hAnsi="Century" w:cs="FrankRuehl" w:hint="cs"/>
          <w:spacing w:val="10"/>
          <w:szCs w:val="28"/>
          <w:rtl/>
        </w:rPr>
        <w:t xml:space="preserve"> לדיני מדינת קליפורניה בגדרי הבקשה המקדמית, וזאת לשם בחינת </w:t>
      </w:r>
      <w:proofErr w:type="spellStart"/>
      <w:r>
        <w:rPr>
          <w:rFonts w:ascii="Century" w:hAnsi="Century" w:cs="FrankRuehl" w:hint="cs"/>
          <w:spacing w:val="10"/>
          <w:szCs w:val="28"/>
          <w:rtl/>
        </w:rPr>
        <w:t>אופיה</w:t>
      </w:r>
      <w:proofErr w:type="spellEnd"/>
      <w:r>
        <w:rPr>
          <w:rFonts w:ascii="Century" w:hAnsi="Century" w:cs="FrankRuehl" w:hint="cs"/>
          <w:spacing w:val="10"/>
          <w:szCs w:val="28"/>
          <w:rtl/>
        </w:rPr>
        <w:t xml:space="preserve"> של שומת המשיב (פסקה 30 לבקשה). בהקשר זה יש להבחין בין שתי שאלות, שנקשרו זו בזו בטיעוני המבקשת: </w:t>
      </w:r>
      <w:r w:rsidRPr="00454C1A">
        <w:rPr>
          <w:rFonts w:ascii="Century" w:hAnsi="Century" w:cs="Miriam" w:hint="cs"/>
          <w:b/>
          <w:rtl/>
        </w:rPr>
        <w:t>האחת</w:t>
      </w:r>
      <w:r>
        <w:rPr>
          <w:rFonts w:ascii="Century" w:hAnsi="Century" w:cs="FrankRuehl" w:hint="cs"/>
          <w:spacing w:val="10"/>
          <w:szCs w:val="28"/>
          <w:rtl/>
        </w:rPr>
        <w:t xml:space="preserve">, </w:t>
      </w:r>
      <w:r w:rsidRPr="00454C1A">
        <w:rPr>
          <w:rFonts w:ascii="Century" w:hAnsi="Century" w:cs="FrankRuehl" w:hint="cs"/>
          <w:spacing w:val="10"/>
          <w:szCs w:val="28"/>
          <w:rtl/>
        </w:rPr>
        <w:t xml:space="preserve">מהו </w:t>
      </w:r>
      <w:proofErr w:type="spellStart"/>
      <w:r w:rsidRPr="00454C1A">
        <w:rPr>
          <w:rFonts w:ascii="Century" w:hAnsi="Century" w:cs="FrankRuehl" w:hint="cs"/>
          <w:spacing w:val="10"/>
          <w:szCs w:val="28"/>
          <w:rtl/>
        </w:rPr>
        <w:t>אופיה</w:t>
      </w:r>
      <w:proofErr w:type="spellEnd"/>
      <w:r w:rsidRPr="00454C1A">
        <w:rPr>
          <w:rFonts w:ascii="Century" w:hAnsi="Century" w:cs="FrankRuehl" w:hint="cs"/>
          <w:spacing w:val="10"/>
          <w:szCs w:val="28"/>
          <w:rtl/>
        </w:rPr>
        <w:t xml:space="preserve"> הנורמטיבי של שומת המשיב; </w:t>
      </w:r>
      <w:proofErr w:type="spellStart"/>
      <w:r w:rsidRPr="00454C1A">
        <w:rPr>
          <w:rFonts w:ascii="Century" w:hAnsi="Century" w:cs="Miriam" w:hint="cs"/>
          <w:b/>
          <w:rtl/>
        </w:rPr>
        <w:t>השניה</w:t>
      </w:r>
      <w:proofErr w:type="spellEnd"/>
      <w:r>
        <w:rPr>
          <w:rFonts w:ascii="Century" w:hAnsi="Century" w:cs="FrankRuehl" w:hint="cs"/>
          <w:spacing w:val="10"/>
          <w:szCs w:val="28"/>
          <w:rtl/>
        </w:rPr>
        <w:t xml:space="preserve">, ככל שעסקינן בשומת 'סיווג שונה' </w:t>
      </w:r>
      <w:r>
        <w:rPr>
          <w:rFonts w:ascii="Century" w:hAnsi="Century" w:cs="FrankRuehl"/>
          <w:spacing w:val="10"/>
          <w:szCs w:val="28"/>
          <w:rtl/>
        </w:rPr>
        <w:t>–</w:t>
      </w:r>
      <w:r>
        <w:rPr>
          <w:rFonts w:ascii="Century" w:hAnsi="Century" w:cs="FrankRuehl" w:hint="cs"/>
          <w:spacing w:val="10"/>
          <w:szCs w:val="28"/>
          <w:rtl/>
        </w:rPr>
        <w:t xml:space="preserve"> האם שינוי סיווגה של העסקה </w:t>
      </w:r>
      <w:r w:rsidRPr="003B2FC1">
        <w:rPr>
          <w:rFonts w:ascii="Century" w:hAnsi="Century" w:cs="Miriam" w:hint="cs"/>
          <w:b/>
          <w:rtl/>
        </w:rPr>
        <w:t>מוצדק</w:t>
      </w:r>
      <w:r w:rsidRPr="003B2FC1">
        <w:rPr>
          <w:rFonts w:ascii="Century" w:hAnsi="Century" w:cs="FrankRuehl" w:hint="cs"/>
          <w:spacing w:val="10"/>
          <w:szCs w:val="28"/>
          <w:rtl/>
        </w:rPr>
        <w:t xml:space="preserve"> </w:t>
      </w:r>
      <w:r>
        <w:rPr>
          <w:rFonts w:ascii="Century" w:hAnsi="Century" w:cs="FrankRuehl" w:hint="cs"/>
          <w:spacing w:val="10"/>
          <w:szCs w:val="28"/>
          <w:rtl/>
        </w:rPr>
        <w:t xml:space="preserve">על בסיס הדין הכללי הרלבנטי. השאלה הראשונה היא מוקד בקשת היפוך </w:t>
      </w:r>
      <w:proofErr w:type="spellStart"/>
      <w:r>
        <w:rPr>
          <w:rFonts w:ascii="Century" w:hAnsi="Century" w:cs="FrankRuehl" w:hint="cs"/>
          <w:spacing w:val="10"/>
          <w:szCs w:val="28"/>
          <w:rtl/>
        </w:rPr>
        <w:t>הנטלים</w:t>
      </w:r>
      <w:proofErr w:type="spellEnd"/>
      <w:r>
        <w:rPr>
          <w:rFonts w:ascii="Century" w:hAnsi="Century" w:cs="FrankRuehl" w:hint="cs"/>
          <w:spacing w:val="10"/>
          <w:szCs w:val="28"/>
          <w:rtl/>
        </w:rPr>
        <w:t xml:space="preserve">; השאלה </w:t>
      </w:r>
      <w:proofErr w:type="spellStart"/>
      <w:r>
        <w:rPr>
          <w:rFonts w:ascii="Century" w:hAnsi="Century" w:cs="FrankRuehl" w:hint="cs"/>
          <w:spacing w:val="10"/>
          <w:szCs w:val="28"/>
          <w:rtl/>
        </w:rPr>
        <w:t>השניה</w:t>
      </w:r>
      <w:proofErr w:type="spellEnd"/>
      <w:r>
        <w:rPr>
          <w:rFonts w:ascii="Century" w:hAnsi="Century" w:cs="FrankRuehl" w:hint="cs"/>
          <w:spacing w:val="10"/>
          <w:szCs w:val="28"/>
          <w:rtl/>
        </w:rPr>
        <w:t xml:space="preserve"> היא מושא הערעור גופו. השאלות הן נפרדות: לשם בחינת השאלה הראשונה, אין צורך לעמוד על ברירת הדין ועל תוכנם של דיני מדינת קליפורניה, כלומר </w:t>
      </w:r>
      <w:r>
        <w:rPr>
          <w:rFonts w:ascii="Century" w:hAnsi="Century" w:cs="FrankRuehl"/>
          <w:spacing w:val="10"/>
          <w:szCs w:val="28"/>
          <w:rtl/>
        </w:rPr>
        <w:t>–</w:t>
      </w:r>
      <w:r>
        <w:rPr>
          <w:rFonts w:ascii="Century" w:hAnsi="Century" w:cs="FrankRuehl" w:hint="cs"/>
          <w:spacing w:val="10"/>
          <w:szCs w:val="28"/>
          <w:rtl/>
        </w:rPr>
        <w:t xml:space="preserve"> על מידת ההצדקה, לפי הדין הכללי, לשינוי הסיווג גופו. עניין זה צריך להתברר בהליך העיקרי, ולא בגדרי בקשה מקדמית להיפוך </w:t>
      </w:r>
      <w:proofErr w:type="spellStart"/>
      <w:r>
        <w:rPr>
          <w:rFonts w:ascii="Century" w:hAnsi="Century" w:cs="FrankRuehl" w:hint="cs"/>
          <w:spacing w:val="10"/>
          <w:szCs w:val="28"/>
          <w:rtl/>
        </w:rPr>
        <w:t>נטלים</w:t>
      </w:r>
      <w:proofErr w:type="spellEnd"/>
      <w:r>
        <w:rPr>
          <w:rFonts w:ascii="Century" w:hAnsi="Century" w:cs="FrankRuehl" w:hint="cs"/>
          <w:spacing w:val="10"/>
          <w:szCs w:val="28"/>
          <w:rtl/>
        </w:rPr>
        <w:t xml:space="preserve">, עוד בטרם החלה שמיעת ההוכחות (כך למשל, גם המומחה לדין הזר מטעם המבקשת, טרם סיים לכתוב את חוות דעתו, והוגשה תמציתה בלבד). עולה מהאמור, שגם במישור טענות זה אין פגם בהחלטה אשר עשוי להוביל את ההליך להתנהל בדרך שגויה. </w:t>
      </w:r>
    </w:p>
    <w:p w:rsidR="00C005B4" w:rsidRDefault="00C005B4" w:rsidP="00C005B4">
      <w:pPr>
        <w:tabs>
          <w:tab w:val="left" w:pos="800"/>
        </w:tabs>
        <w:spacing w:line="360" w:lineRule="auto"/>
        <w:contextualSpacing/>
        <w:jc w:val="both"/>
        <w:rPr>
          <w:rFonts w:ascii="Century" w:hAnsi="Century" w:cs="FrankRuehl"/>
          <w:spacing w:val="10"/>
          <w:szCs w:val="28"/>
          <w:rtl/>
        </w:rPr>
      </w:pPr>
    </w:p>
    <w:p w:rsidR="00C005B4" w:rsidRPr="008358A4" w:rsidRDefault="00C005B4" w:rsidP="006504BE">
      <w:pPr>
        <w:tabs>
          <w:tab w:val="left" w:pos="800"/>
        </w:tabs>
        <w:spacing w:line="360" w:lineRule="auto"/>
        <w:contextualSpacing/>
        <w:jc w:val="both"/>
        <w:rPr>
          <w:rFonts w:ascii="Century" w:hAnsi="Century" w:cs="FrankRuehl"/>
          <w:spacing w:val="10"/>
          <w:szCs w:val="28"/>
          <w:rtl/>
        </w:rPr>
      </w:pPr>
      <w:r>
        <w:rPr>
          <w:rFonts w:ascii="Century" w:hAnsi="Century" w:cs="FrankRuehl" w:hint="cs"/>
          <w:spacing w:val="10"/>
          <w:szCs w:val="28"/>
          <w:rtl/>
        </w:rPr>
        <w:t>1</w:t>
      </w:r>
      <w:r w:rsidR="00DB66AE">
        <w:rPr>
          <w:rFonts w:ascii="Century" w:hAnsi="Century" w:cs="FrankRuehl" w:hint="cs"/>
          <w:spacing w:val="10"/>
          <w:szCs w:val="28"/>
          <w:rtl/>
        </w:rPr>
        <w:t>9</w:t>
      </w:r>
      <w:r w:rsidRPr="008878AB">
        <w:rPr>
          <w:rFonts w:ascii="Century" w:hAnsi="Century" w:cs="FrankRuehl" w:hint="cs"/>
          <w:spacing w:val="10"/>
          <w:szCs w:val="28"/>
          <w:rtl/>
        </w:rPr>
        <w:t>.</w:t>
      </w:r>
      <w:r w:rsidRPr="008878AB">
        <w:rPr>
          <w:rFonts w:ascii="Century" w:hAnsi="Century" w:cs="FrankRuehl"/>
          <w:spacing w:val="10"/>
          <w:szCs w:val="28"/>
          <w:rtl/>
        </w:rPr>
        <w:tab/>
      </w:r>
      <w:r>
        <w:rPr>
          <w:rFonts w:ascii="Century" w:hAnsi="Century" w:cs="FrankRuehl" w:hint="cs"/>
          <w:spacing w:val="10"/>
          <w:szCs w:val="28"/>
          <w:rtl/>
        </w:rPr>
        <w:t>בהתחשב באמור,</w:t>
      </w:r>
      <w:r w:rsidRPr="008878AB">
        <w:rPr>
          <w:rFonts w:ascii="Century" w:hAnsi="Century" w:cs="FrankRuehl" w:hint="cs"/>
          <w:spacing w:val="10"/>
          <w:szCs w:val="28"/>
          <w:rtl/>
        </w:rPr>
        <w:t xml:space="preserve"> לא שוכנעתי כי הפער בין הבירור שיידרש</w:t>
      </w:r>
      <w:r>
        <w:rPr>
          <w:rFonts w:ascii="Century" w:hAnsi="Century" w:cs="FrankRuehl" w:hint="cs"/>
          <w:spacing w:val="10"/>
          <w:szCs w:val="28"/>
          <w:rtl/>
        </w:rPr>
        <w:t xml:space="preserve"> בהליך העיקרי</w:t>
      </w:r>
      <w:r w:rsidRPr="008878AB">
        <w:rPr>
          <w:rFonts w:ascii="Century" w:hAnsi="Century" w:cs="FrankRuehl" w:hint="cs"/>
          <w:spacing w:val="10"/>
          <w:szCs w:val="28"/>
          <w:rtl/>
        </w:rPr>
        <w:t xml:space="preserve"> נוכח סיווג השומה </w:t>
      </w:r>
      <w:proofErr w:type="spellStart"/>
      <w:r w:rsidRPr="008878AB">
        <w:rPr>
          <w:rFonts w:ascii="Century" w:hAnsi="Century" w:cs="FrankRuehl" w:hint="cs"/>
          <w:spacing w:val="10"/>
          <w:szCs w:val="28"/>
          <w:rtl/>
        </w:rPr>
        <w:t>ככזו</w:t>
      </w:r>
      <w:proofErr w:type="spellEnd"/>
      <w:r w:rsidRPr="008878AB">
        <w:rPr>
          <w:rFonts w:ascii="Century" w:hAnsi="Century" w:cs="FrankRuehl" w:hint="cs"/>
          <w:spacing w:val="10"/>
          <w:szCs w:val="28"/>
          <w:rtl/>
        </w:rPr>
        <w:t xml:space="preserve"> </w:t>
      </w:r>
      <w:r>
        <w:rPr>
          <w:rFonts w:ascii="Century" w:hAnsi="Century" w:cs="FrankRuehl" w:hint="cs"/>
          <w:spacing w:val="10"/>
          <w:szCs w:val="28"/>
          <w:rtl/>
        </w:rPr>
        <w:t>של</w:t>
      </w:r>
      <w:r w:rsidRPr="008878AB">
        <w:rPr>
          <w:rFonts w:ascii="Century" w:hAnsi="Century" w:cs="FrankRuehl" w:hint="cs"/>
          <w:spacing w:val="10"/>
          <w:szCs w:val="28"/>
          <w:rtl/>
        </w:rPr>
        <w:t xml:space="preserve"> 'סיווג שונה', לבין זה שהיה נדרש לו היה מדובר ב'סיווג מחדש', הוא ניכר כפי טענת המבקשת</w:t>
      </w:r>
      <w:r>
        <w:rPr>
          <w:rFonts w:ascii="Century" w:hAnsi="Century" w:cs="FrankRuehl" w:hint="cs"/>
          <w:spacing w:val="10"/>
          <w:szCs w:val="28"/>
          <w:rtl/>
        </w:rPr>
        <w:t xml:space="preserve">. </w:t>
      </w:r>
      <w:r w:rsidRPr="008878AB">
        <w:rPr>
          <w:rFonts w:ascii="Century" w:hAnsi="Century" w:cs="FrankRuehl" w:hint="cs"/>
          <w:spacing w:val="10"/>
          <w:szCs w:val="28"/>
          <w:rtl/>
        </w:rPr>
        <w:t>ערעור המס עצמו נסוב</w:t>
      </w:r>
      <w:r>
        <w:rPr>
          <w:rFonts w:ascii="Century" w:hAnsi="Century" w:cs="FrankRuehl" w:hint="cs"/>
          <w:spacing w:val="10"/>
          <w:szCs w:val="28"/>
          <w:rtl/>
        </w:rPr>
        <w:t>,</w:t>
      </w:r>
      <w:r w:rsidRPr="008878AB">
        <w:rPr>
          <w:rFonts w:ascii="Century" w:hAnsi="Century" w:cs="FrankRuehl" w:hint="cs"/>
          <w:spacing w:val="10"/>
          <w:szCs w:val="28"/>
          <w:rtl/>
        </w:rPr>
        <w:t xml:space="preserve"> בעיקרו</w:t>
      </w:r>
      <w:r>
        <w:rPr>
          <w:rFonts w:ascii="Century" w:hAnsi="Century" w:cs="FrankRuehl" w:hint="cs"/>
          <w:spacing w:val="10"/>
          <w:szCs w:val="28"/>
          <w:rtl/>
        </w:rPr>
        <w:t>,</w:t>
      </w:r>
      <w:r w:rsidRPr="008878AB">
        <w:rPr>
          <w:rFonts w:ascii="Century" w:hAnsi="Century" w:cs="FrankRuehl" w:hint="cs"/>
          <w:spacing w:val="10"/>
          <w:szCs w:val="28"/>
          <w:rtl/>
        </w:rPr>
        <w:t xml:space="preserve"> סביב השאלה העובדתית של מכירת הנכסים שזכו ל'שם הקוד' </w:t>
      </w:r>
      <w:r w:rsidRPr="006504BE">
        <w:rPr>
          <w:rFonts w:ascii="Century" w:hAnsi="Century" w:cs="Miriam" w:hint="cs"/>
          <w:b/>
          <w:sz w:val="18"/>
          <w:szCs w:val="22"/>
        </w:rPr>
        <w:t>FAR</w:t>
      </w:r>
      <w:r>
        <w:rPr>
          <w:rFonts w:ascii="Century" w:hAnsi="Century" w:cs="FrankRuehl" w:hint="cs"/>
          <w:spacing w:val="10"/>
          <w:szCs w:val="28"/>
          <w:rtl/>
        </w:rPr>
        <w:t>; שאלה זו ממילא תהא טעונה הוכחה, תסווג השומה ככל שתסווג:</w:t>
      </w:r>
      <w:r w:rsidRPr="008878AB">
        <w:rPr>
          <w:rFonts w:ascii="Century" w:hAnsi="Century" w:cs="FrankRuehl" w:hint="cs"/>
          <w:spacing w:val="10"/>
          <w:szCs w:val="28"/>
          <w:rtl/>
        </w:rPr>
        <w:t xml:space="preserve"> </w:t>
      </w:r>
      <w:r>
        <w:rPr>
          <w:rFonts w:ascii="Century" w:hAnsi="Century" w:cs="FrankRuehl" w:hint="cs"/>
          <w:spacing w:val="10"/>
          <w:szCs w:val="28"/>
          <w:rtl/>
        </w:rPr>
        <w:t>אם ב</w:t>
      </w:r>
      <w:r w:rsidRPr="008878AB">
        <w:rPr>
          <w:rFonts w:ascii="Century" w:hAnsi="Century" w:cs="FrankRuehl" w:hint="cs"/>
          <w:spacing w:val="10"/>
          <w:szCs w:val="28"/>
          <w:rtl/>
        </w:rPr>
        <w:t>שומת 'סיווג שונה'</w:t>
      </w:r>
      <w:r w:rsidR="006504BE" w:rsidRPr="006504BE">
        <w:rPr>
          <w:rFonts w:ascii="Century" w:hAnsi="Century" w:cs="FrankRuehl" w:hint="cs"/>
          <w:spacing w:val="10"/>
          <w:szCs w:val="28"/>
          <w:rtl/>
        </w:rPr>
        <w:t xml:space="preserve"> </w:t>
      </w:r>
      <w:r w:rsidR="006504BE">
        <w:rPr>
          <w:rFonts w:ascii="Century" w:hAnsi="Century" w:cs="FrankRuehl" w:hint="cs"/>
          <w:spacing w:val="10"/>
          <w:szCs w:val="28"/>
          <w:rtl/>
        </w:rPr>
        <w:t>עסקינן</w:t>
      </w:r>
      <w:r w:rsidRPr="008878AB">
        <w:rPr>
          <w:rFonts w:ascii="Century" w:hAnsi="Century" w:cs="FrankRuehl" w:hint="cs"/>
          <w:spacing w:val="10"/>
          <w:szCs w:val="28"/>
          <w:rtl/>
        </w:rPr>
        <w:t xml:space="preserve">, תידרש המבקשת להראות כי </w:t>
      </w:r>
      <w:r w:rsidRPr="008878AB">
        <w:rPr>
          <w:rFonts w:ascii="Century" w:hAnsi="Century" w:cs="FrankRuehl" w:hint="cs"/>
          <w:spacing w:val="10"/>
          <w:szCs w:val="28"/>
          <w:rtl/>
        </w:rPr>
        <w:lastRenderedPageBreak/>
        <w:t xml:space="preserve">החוזה שהוצג משקף </w:t>
      </w:r>
      <w:r>
        <w:rPr>
          <w:rFonts w:ascii="Century" w:hAnsi="Century" w:cs="FrankRuehl" w:hint="cs"/>
          <w:spacing w:val="10"/>
          <w:szCs w:val="28"/>
          <w:rtl/>
        </w:rPr>
        <w:t>נאמנה את כל ש</w:t>
      </w:r>
      <w:r w:rsidRPr="008878AB">
        <w:rPr>
          <w:rFonts w:ascii="Century" w:hAnsi="Century" w:cs="FrankRuehl" w:hint="cs"/>
          <w:spacing w:val="10"/>
          <w:szCs w:val="28"/>
          <w:rtl/>
        </w:rPr>
        <w:t xml:space="preserve">נעשה בפועל ואיננו למראית עין, קרי </w:t>
      </w:r>
      <w:r w:rsidRPr="008878AB">
        <w:rPr>
          <w:rFonts w:ascii="Century" w:hAnsi="Century" w:cs="FrankRuehl"/>
          <w:spacing w:val="10"/>
          <w:szCs w:val="28"/>
          <w:rtl/>
        </w:rPr>
        <w:t>–</w:t>
      </w:r>
      <w:r w:rsidRPr="008878AB">
        <w:rPr>
          <w:rFonts w:ascii="Century" w:hAnsi="Century" w:cs="FrankRuehl" w:hint="cs"/>
          <w:spacing w:val="10"/>
          <w:szCs w:val="28"/>
          <w:rtl/>
        </w:rPr>
        <w:t xml:space="preserve"> </w:t>
      </w:r>
      <w:r w:rsidRPr="00DD512B">
        <w:rPr>
          <w:rFonts w:ascii="Century" w:hAnsi="Century" w:cs="Miriam" w:hint="cs"/>
          <w:b/>
          <w:rtl/>
        </w:rPr>
        <w:t>כי פונקציות ה-</w:t>
      </w:r>
      <w:r w:rsidRPr="006504BE">
        <w:rPr>
          <w:rFonts w:ascii="Century" w:hAnsi="Century" w:cs="Miriam" w:hint="cs"/>
          <w:bCs/>
        </w:rPr>
        <w:t>FAR</w:t>
      </w:r>
      <w:r w:rsidRPr="00DD512B">
        <w:rPr>
          <w:rFonts w:ascii="Century" w:hAnsi="Century" w:cs="Miriam" w:hint="cs"/>
          <w:b/>
          <w:rtl/>
        </w:rPr>
        <w:t xml:space="preserve"> עודן </w:t>
      </w:r>
      <w:r>
        <w:rPr>
          <w:rFonts w:ascii="Century" w:hAnsi="Century" w:cs="Miriam" w:hint="cs"/>
          <w:b/>
          <w:rtl/>
        </w:rPr>
        <w:t>נמצאות</w:t>
      </w:r>
      <w:r w:rsidRPr="00DD512B">
        <w:rPr>
          <w:rFonts w:ascii="Century" w:hAnsi="Century" w:cs="Miriam" w:hint="cs"/>
          <w:b/>
          <w:rtl/>
        </w:rPr>
        <w:t xml:space="preserve"> תחת קורת גגהּ</w:t>
      </w:r>
      <w:r w:rsidRPr="008878AB">
        <w:rPr>
          <w:rFonts w:ascii="Century" w:hAnsi="Century" w:cs="FrankRuehl" w:hint="cs"/>
          <w:spacing w:val="10"/>
          <w:szCs w:val="28"/>
          <w:rtl/>
        </w:rPr>
        <w:t xml:space="preserve">; בדומה, </w:t>
      </w:r>
      <w:r>
        <w:rPr>
          <w:rFonts w:ascii="Century" w:hAnsi="Century" w:cs="FrankRuehl" w:hint="cs"/>
          <w:spacing w:val="10"/>
          <w:szCs w:val="28"/>
          <w:rtl/>
        </w:rPr>
        <w:t>אילו היינו הולכים במסלול של</w:t>
      </w:r>
      <w:r w:rsidRPr="008878AB">
        <w:rPr>
          <w:rFonts w:ascii="Century" w:hAnsi="Century" w:cs="FrankRuehl" w:hint="cs"/>
          <w:spacing w:val="10"/>
          <w:szCs w:val="28"/>
          <w:rtl/>
        </w:rPr>
        <w:t xml:space="preserve"> 'סיווג מחדש', היה על המשיב להוכיח כי הצגתה של העסקה כעסקת מכר קנ</w:t>
      </w:r>
      <w:r>
        <w:rPr>
          <w:rFonts w:ascii="Century" w:hAnsi="Century" w:cs="FrankRuehl" w:hint="cs"/>
          <w:spacing w:val="10"/>
          <w:szCs w:val="28"/>
          <w:rtl/>
        </w:rPr>
        <w:t>י</w:t>
      </w:r>
      <w:r w:rsidRPr="008878AB">
        <w:rPr>
          <w:rFonts w:ascii="Century" w:hAnsi="Century" w:cs="FrankRuehl" w:hint="cs"/>
          <w:spacing w:val="10"/>
          <w:szCs w:val="28"/>
          <w:rtl/>
        </w:rPr>
        <w:t>ין רוחני גרידא נעדרת טעם מסחרי</w:t>
      </w:r>
      <w:r>
        <w:rPr>
          <w:rFonts w:ascii="Century" w:hAnsi="Century" w:cs="FrankRuehl" w:hint="cs"/>
          <w:spacing w:val="10"/>
          <w:szCs w:val="28"/>
          <w:rtl/>
        </w:rPr>
        <w:t xml:space="preserve"> יסודי</w:t>
      </w:r>
      <w:r w:rsidRPr="008878AB">
        <w:rPr>
          <w:rFonts w:ascii="Century" w:hAnsi="Century" w:cs="FrankRuehl" w:hint="cs"/>
          <w:spacing w:val="10"/>
          <w:szCs w:val="28"/>
          <w:rtl/>
        </w:rPr>
        <w:t xml:space="preserve">. גם כאן, ההתדיינות תיסוב במידה רבה סביב השאלה </w:t>
      </w:r>
      <w:r>
        <w:rPr>
          <w:rFonts w:ascii="Century" w:hAnsi="Century" w:cs="Miriam" w:hint="cs"/>
          <w:b/>
          <w:rtl/>
        </w:rPr>
        <w:t>תחת קורת</w:t>
      </w:r>
      <w:r w:rsidR="006504BE">
        <w:rPr>
          <w:rFonts w:ascii="Century" w:hAnsi="Century" w:cs="Miriam" w:hint="cs"/>
          <w:b/>
          <w:rtl/>
        </w:rPr>
        <w:t xml:space="preserve"> גג</w:t>
      </w:r>
      <w:r>
        <w:rPr>
          <w:rFonts w:ascii="Century" w:hAnsi="Century" w:cs="Miriam" w:hint="cs"/>
          <w:b/>
          <w:rtl/>
        </w:rPr>
        <w:t>ה של איזו חברה</w:t>
      </w:r>
      <w:r w:rsidRPr="00DD512B">
        <w:rPr>
          <w:rFonts w:ascii="Century" w:hAnsi="Century" w:cs="Miriam" w:hint="cs"/>
          <w:b/>
          <w:rtl/>
        </w:rPr>
        <w:t xml:space="preserve"> </w:t>
      </w:r>
      <w:r>
        <w:rPr>
          <w:rFonts w:ascii="Century" w:hAnsi="Century" w:cs="Miriam" w:hint="cs"/>
          <w:b/>
          <w:rtl/>
        </w:rPr>
        <w:t>מצויות</w:t>
      </w:r>
      <w:r w:rsidRPr="00DD512B">
        <w:rPr>
          <w:rFonts w:ascii="Century" w:hAnsi="Century" w:cs="Miriam" w:hint="cs"/>
          <w:b/>
          <w:rtl/>
        </w:rPr>
        <w:t xml:space="preserve"> פונקציות ה-</w:t>
      </w:r>
      <w:r w:rsidRPr="006504BE">
        <w:rPr>
          <w:rFonts w:ascii="Century" w:hAnsi="Century" w:cs="Miriam" w:hint="cs"/>
          <w:bCs/>
        </w:rPr>
        <w:t>FAR</w:t>
      </w:r>
      <w:r w:rsidRPr="00DD512B">
        <w:rPr>
          <w:rFonts w:ascii="Century" w:hAnsi="Century" w:cs="Miriam" w:hint="cs"/>
          <w:b/>
          <w:rtl/>
        </w:rPr>
        <w:t xml:space="preserve"> בפועל</w:t>
      </w:r>
      <w:r w:rsidRPr="008878AB">
        <w:rPr>
          <w:rFonts w:ascii="Century" w:hAnsi="Century" w:cs="FrankRuehl" w:hint="cs"/>
          <w:spacing w:val="10"/>
          <w:szCs w:val="28"/>
          <w:rtl/>
        </w:rPr>
        <w:t xml:space="preserve">, </w:t>
      </w:r>
      <w:r w:rsidR="006504BE">
        <w:rPr>
          <w:rFonts w:ascii="Century" w:hAnsi="Century" w:cs="FrankRuehl" w:hint="cs"/>
          <w:spacing w:val="10"/>
          <w:szCs w:val="28"/>
          <w:rtl/>
        </w:rPr>
        <w:t>והאם היה מוצדק 'לבודד' ב</w:t>
      </w:r>
      <w:r w:rsidRPr="008878AB">
        <w:rPr>
          <w:rFonts w:ascii="Century" w:hAnsi="Century" w:cs="FrankRuehl" w:hint="cs"/>
          <w:spacing w:val="10"/>
          <w:szCs w:val="28"/>
          <w:rtl/>
        </w:rPr>
        <w:t>עסקה שהוצגה לפקיד השומה רק את הקני</w:t>
      </w:r>
      <w:r>
        <w:rPr>
          <w:rFonts w:ascii="Century" w:hAnsi="Century" w:cs="FrankRuehl" w:hint="cs"/>
          <w:spacing w:val="10"/>
          <w:szCs w:val="28"/>
          <w:rtl/>
        </w:rPr>
        <w:t>י</w:t>
      </w:r>
      <w:r w:rsidRPr="008878AB">
        <w:rPr>
          <w:rFonts w:ascii="Century" w:hAnsi="Century" w:cs="FrankRuehl" w:hint="cs"/>
          <w:spacing w:val="10"/>
          <w:szCs w:val="28"/>
          <w:rtl/>
        </w:rPr>
        <w:t xml:space="preserve">ן הרוחני. </w:t>
      </w:r>
      <w:r>
        <w:rPr>
          <w:rFonts w:ascii="Century" w:hAnsi="Century" w:cs="FrankRuehl" w:hint="cs"/>
          <w:spacing w:val="10"/>
          <w:szCs w:val="28"/>
          <w:rtl/>
        </w:rPr>
        <w:t xml:space="preserve">נוכח האמור, הפוטנציאל לנזק למי מהצדדים, כמו גם לניהולו של הליך מיותר או בדרך שגויה </w:t>
      </w:r>
      <w:r>
        <w:rPr>
          <w:rFonts w:ascii="Century" w:hAnsi="Century" w:cs="FrankRuehl"/>
          <w:spacing w:val="10"/>
          <w:szCs w:val="28"/>
          <w:rtl/>
        </w:rPr>
        <w:t>–</w:t>
      </w:r>
      <w:r>
        <w:rPr>
          <w:rFonts w:ascii="Century" w:hAnsi="Century" w:cs="FrankRuehl" w:hint="cs"/>
          <w:spacing w:val="10"/>
          <w:szCs w:val="28"/>
          <w:rtl/>
        </w:rPr>
        <w:t xml:space="preserve"> איננו 'כצעקתה'.</w:t>
      </w:r>
    </w:p>
    <w:p w:rsidR="00C005B4" w:rsidRDefault="00C005B4" w:rsidP="00C005B4">
      <w:pPr>
        <w:tabs>
          <w:tab w:val="left" w:pos="800"/>
        </w:tabs>
        <w:spacing w:line="360" w:lineRule="auto"/>
        <w:contextualSpacing/>
        <w:jc w:val="both"/>
        <w:rPr>
          <w:rFonts w:ascii="Century" w:hAnsi="Century" w:cs="Miriam"/>
          <w:b/>
          <w:rtl/>
        </w:rPr>
      </w:pPr>
    </w:p>
    <w:p w:rsidR="00C005B4" w:rsidRPr="00FC3976" w:rsidRDefault="00DB66AE" w:rsidP="00C005B4">
      <w:pPr>
        <w:tabs>
          <w:tab w:val="left" w:pos="800"/>
        </w:tabs>
        <w:spacing w:line="360" w:lineRule="auto"/>
        <w:contextualSpacing/>
        <w:jc w:val="both"/>
        <w:rPr>
          <w:rFonts w:ascii="Century" w:hAnsi="Century" w:cs="FrankRuehl"/>
          <w:spacing w:val="10"/>
          <w:szCs w:val="28"/>
        </w:rPr>
      </w:pPr>
      <w:r>
        <w:rPr>
          <w:rFonts w:ascii="Century" w:hAnsi="Century" w:cs="FrankRuehl" w:hint="cs"/>
          <w:spacing w:val="10"/>
          <w:szCs w:val="28"/>
          <w:rtl/>
        </w:rPr>
        <w:t>20</w:t>
      </w:r>
      <w:r w:rsidR="00C005B4">
        <w:rPr>
          <w:rFonts w:ascii="Century" w:hAnsi="Century" w:cs="FrankRuehl" w:hint="cs"/>
          <w:spacing w:val="10"/>
          <w:szCs w:val="28"/>
          <w:rtl/>
        </w:rPr>
        <w:t>.</w:t>
      </w:r>
      <w:r w:rsidR="00C005B4">
        <w:rPr>
          <w:rFonts w:ascii="Century" w:hAnsi="Century" w:cs="FrankRuehl" w:hint="cs"/>
          <w:spacing w:val="10"/>
          <w:szCs w:val="28"/>
          <w:rtl/>
        </w:rPr>
        <w:tab/>
        <w:t xml:space="preserve">סוף דבר, הבקשה לרשות ערעור </w:t>
      </w:r>
      <w:r w:rsidR="00C005B4">
        <w:rPr>
          <w:rFonts w:ascii="Century" w:hAnsi="Century" w:cs="FrankRuehl"/>
          <w:spacing w:val="10"/>
          <w:szCs w:val="28"/>
          <w:rtl/>
        </w:rPr>
        <w:t>–</w:t>
      </w:r>
      <w:r w:rsidR="00C005B4">
        <w:rPr>
          <w:rFonts w:ascii="Century" w:hAnsi="Century" w:cs="FrankRuehl" w:hint="cs"/>
          <w:spacing w:val="10"/>
          <w:szCs w:val="28"/>
          <w:rtl/>
        </w:rPr>
        <w:t xml:space="preserve"> נדחית; המבקשת תישא בהוצאות המשיב בסך של 20,000 ₪.</w:t>
      </w:r>
    </w:p>
    <w:p w:rsidR="000B1478" w:rsidRPr="00C005B4" w:rsidRDefault="000B1478" w:rsidP="00A51FAE">
      <w:pPr>
        <w:pStyle w:val="Ruller4"/>
        <w:rPr>
          <w:rtl/>
        </w:rPr>
      </w:pPr>
    </w:p>
    <w:p w:rsidR="00016EF1" w:rsidRDefault="006504BE" w:rsidP="00A51FAE">
      <w:pPr>
        <w:pStyle w:val="Ruller4"/>
        <w:rPr>
          <w:rtl/>
        </w:rPr>
      </w:pPr>
      <w:r>
        <w:rPr>
          <w:rtl/>
        </w:rPr>
        <w:tab/>
        <w:t xml:space="preserve">ניתנה היום, </w:t>
      </w:r>
      <w:r>
        <w:rPr>
          <w:rFonts w:hint="eastAsia"/>
          <w:rtl/>
        </w:rPr>
        <w:t>‏כ</w:t>
      </w:r>
      <w:r>
        <w:rPr>
          <w:rtl/>
        </w:rPr>
        <w:t xml:space="preserve">"ז באב </w:t>
      </w:r>
      <w:proofErr w:type="spellStart"/>
      <w:r>
        <w:rPr>
          <w:rtl/>
        </w:rPr>
        <w:t>התשע"ט</w:t>
      </w:r>
      <w:proofErr w:type="spellEnd"/>
      <w:r>
        <w:rPr>
          <w:rtl/>
        </w:rPr>
        <w:t xml:space="preserve"> (</w:t>
      </w:r>
      <w:r>
        <w:rPr>
          <w:rFonts w:hint="eastAsia"/>
          <w:rtl/>
        </w:rPr>
        <w:t>‏</w:t>
      </w:r>
      <w:r>
        <w:rPr>
          <w:rtl/>
        </w:rPr>
        <w:t>28.8.2019).</w:t>
      </w:r>
    </w:p>
    <w:p w:rsidR="006504BE" w:rsidRDefault="006504BE" w:rsidP="00A51FAE">
      <w:pPr>
        <w:pStyle w:val="Ruller4"/>
        <w:rPr>
          <w:rtl/>
        </w:rPr>
      </w:pPr>
    </w:p>
    <w:p w:rsidR="006504BE" w:rsidRDefault="006504BE" w:rsidP="00A51FAE">
      <w:pPr>
        <w:pStyle w:val="Ruller4"/>
        <w:rPr>
          <w:rFonts w:hint="cs"/>
          <w:rtl/>
        </w:rPr>
      </w:pPr>
    </w:p>
    <w:tbl>
      <w:tblPr>
        <w:bidiVisual/>
        <w:tblW w:w="8363" w:type="dxa"/>
        <w:tblLook w:val="01E0" w:firstRow="1" w:lastRow="1" w:firstColumn="1" w:lastColumn="1" w:noHBand="0" w:noVBand="0"/>
      </w:tblPr>
      <w:tblGrid>
        <w:gridCol w:w="2786"/>
        <w:gridCol w:w="2787"/>
        <w:gridCol w:w="2790"/>
      </w:tblGrid>
      <w:tr w:rsidR="001A0164" w:rsidTr="00D00B1D">
        <w:tc>
          <w:tcPr>
            <w:tcW w:w="2842" w:type="dxa"/>
            <w:shd w:val="clear" w:color="auto" w:fill="auto"/>
          </w:tcPr>
          <w:p w:rsidR="00016EF1" w:rsidRDefault="00016EF1" w:rsidP="00A51FAE">
            <w:pPr>
              <w:pStyle w:val="Ruller4"/>
              <w:rPr>
                <w:rtl/>
              </w:rPr>
            </w:pPr>
          </w:p>
        </w:tc>
        <w:tc>
          <w:tcPr>
            <w:tcW w:w="2843" w:type="dxa"/>
            <w:shd w:val="clear" w:color="auto" w:fill="auto"/>
          </w:tcPr>
          <w:p w:rsidR="001A0164" w:rsidRDefault="001A0164" w:rsidP="00BA0B08">
            <w:pPr>
              <w:pStyle w:val="Ruller4"/>
              <w:jc w:val="center"/>
              <w:rPr>
                <w:rtl/>
              </w:rPr>
            </w:pPr>
          </w:p>
        </w:tc>
        <w:tc>
          <w:tcPr>
            <w:tcW w:w="2843" w:type="dxa"/>
            <w:shd w:val="clear" w:color="auto" w:fill="auto"/>
          </w:tcPr>
          <w:p w:rsidR="001A0164" w:rsidRDefault="00181DE7" w:rsidP="00BA0B08">
            <w:pPr>
              <w:pStyle w:val="Ruller4"/>
              <w:jc w:val="center"/>
              <w:rPr>
                <w:rtl/>
              </w:rPr>
            </w:pPr>
            <w:r>
              <w:rPr>
                <w:rtl/>
              </w:rPr>
              <w:t>ש ו פ ט</w:t>
            </w:r>
          </w:p>
        </w:tc>
      </w:tr>
    </w:tbl>
    <w:p w:rsidR="00044953" w:rsidRDefault="00044953" w:rsidP="00A51FAE">
      <w:pPr>
        <w:pStyle w:val="Ruller4"/>
        <w:rPr>
          <w:rtl/>
        </w:rPr>
      </w:pPr>
    </w:p>
    <w:p w:rsidR="00916FF8" w:rsidRDefault="00916FF8">
      <w:pPr>
        <w:rPr>
          <w:szCs w:val="16"/>
          <w:rtl/>
        </w:rPr>
      </w:pPr>
      <w:r>
        <w:rPr>
          <w:szCs w:val="16"/>
          <w:rtl/>
        </w:rPr>
        <w:t>_________________</w:t>
      </w:r>
      <w:r w:rsidR="00A12E0F">
        <w:rPr>
          <w:rFonts w:hint="cs"/>
          <w:szCs w:val="16"/>
          <w:rtl/>
        </w:rPr>
        <w:t>________</w:t>
      </w:r>
    </w:p>
    <w:p w:rsidR="00916FF8" w:rsidRDefault="00591983" w:rsidP="00B009CC">
      <w:pPr>
        <w:pStyle w:val="Ruller38"/>
        <w:rPr>
          <w:rtl/>
        </w:rPr>
      </w:pPr>
      <w:r>
        <w:rPr>
          <w:sz w:val="16"/>
        </w:rPr>
        <w:t xml:space="preserve"> </w:t>
      </w:r>
      <w:r w:rsidR="00A12E0F">
        <w:rPr>
          <w:sz w:val="16"/>
        </w:rPr>
        <w:t xml:space="preserve">  </w:t>
      </w:r>
      <w:r w:rsidR="00181DE7">
        <w:rPr>
          <w:sz w:val="16"/>
        </w:rPr>
        <w:t xml:space="preserve">19024540_O03.docx   </w:t>
      </w:r>
      <w:proofErr w:type="spellStart"/>
      <w:r w:rsidR="00181DE7">
        <w:rPr>
          <w:sz w:val="16"/>
          <w:rtl/>
        </w:rPr>
        <w:t>שצ</w:t>
      </w:r>
      <w:proofErr w:type="spellEnd"/>
    </w:p>
    <w:p w:rsidR="00591983" w:rsidRPr="0058440A" w:rsidRDefault="00591983" w:rsidP="0058440A">
      <w:pPr>
        <w:pStyle w:val="Ruller38"/>
        <w:rPr>
          <w:rtl/>
        </w:rPr>
      </w:pPr>
      <w:r>
        <w:rPr>
          <w:rtl/>
        </w:rPr>
        <w:t>מרכז מידע, טל'</w:t>
      </w:r>
      <w:r>
        <w:rPr>
          <w:rFonts w:hint="cs"/>
          <w:rtl/>
        </w:rPr>
        <w:t xml:space="preserve"> </w:t>
      </w:r>
      <w:r w:rsidR="00B63343">
        <w:rPr>
          <w:rFonts w:hint="cs"/>
          <w:rtl/>
        </w:rPr>
        <w:t>077</w:t>
      </w:r>
      <w:r>
        <w:rPr>
          <w:rFonts w:hint="cs"/>
          <w:rtl/>
        </w:rPr>
        <w:t>-</w:t>
      </w:r>
      <w:r w:rsidR="00B63343">
        <w:rPr>
          <w:rFonts w:hint="cs"/>
          <w:rtl/>
        </w:rPr>
        <w:t>270</w:t>
      </w:r>
      <w:r w:rsidR="00E21CA9">
        <w:rPr>
          <w:rFonts w:hint="cs"/>
          <w:rtl/>
        </w:rPr>
        <w:t>3</w:t>
      </w:r>
      <w:r w:rsidR="009B38DA">
        <w:rPr>
          <w:rFonts w:hint="cs"/>
          <w:rtl/>
        </w:rPr>
        <w:t>333</w:t>
      </w:r>
      <w:r>
        <w:rPr>
          <w:rFonts w:hint="cs"/>
          <w:rtl/>
        </w:rPr>
        <w:t xml:space="preserve"> ; אתר אינטרנט,  </w:t>
      </w:r>
      <w:hyperlink r:id="rId8" w:history="1">
        <w:r w:rsidR="0058440A" w:rsidRPr="00CB1590">
          <w:rPr>
            <w:rStyle w:val="Hyperlink"/>
            <w:sz w:val="16"/>
          </w:rPr>
          <w:t>http://supreme.court.gov.i</w:t>
        </w:r>
      </w:hyperlink>
      <w:r w:rsidR="0058440A" w:rsidRPr="00CB1590">
        <w:rPr>
          <w:sz w:val="16"/>
        </w:rPr>
        <w:t>l</w:t>
      </w:r>
    </w:p>
    <w:p w:rsidR="003F1F97" w:rsidRDefault="003F1F97" w:rsidP="00591983">
      <w:pPr>
        <w:pStyle w:val="Ruller38"/>
        <w:rPr>
          <w:rtl/>
        </w:rPr>
      </w:pPr>
    </w:p>
    <w:sectPr w:rsidR="003F1F97" w:rsidSect="00591983">
      <w:headerReference w:type="even" r:id="rId9"/>
      <w:headerReference w:type="default" r:id="rId10"/>
      <w:footerReference w:type="even" r:id="rId11"/>
      <w:footerReference w:type="default" r:id="rId12"/>
      <w:headerReference w:type="first" r:id="rId13"/>
      <w:footerReference w:type="first" r:id="rId14"/>
      <w:endnotePr>
        <w:numFmt w:val="lowerLetter"/>
      </w:endnotePr>
      <w:pgSz w:w="11906" w:h="16838" w:code="9"/>
      <w:pgMar w:top="1134" w:right="1797" w:bottom="1440" w:left="1797" w:header="567" w:footer="397" w:gutter="0"/>
      <w:cols w:space="720"/>
      <w:titlePg/>
      <w:bidi/>
      <w:rtlGutter/>
    </w:sectPr>
  </w:body>
</w:document>
</file>

<file path=word/customizations.xml><?xml version="1.0" encoding="utf-8"?>
<wne:tcg xmlns:r="http://schemas.openxmlformats.org/officeDocument/2006/relationships" xmlns:wne="http://schemas.microsoft.com/office/word/2006/wordml">
  <wne:keymaps>
    <wne:keymap wne:kcmPrimary="0433">
      <wne:acd wne:acdName="acd0"/>
    </wne:keymap>
    <wne:keymap wne:kcmPrimary="0434">
      <wne:acd wne:acdName="acd1"/>
    </wne:keymap>
    <wne:keymap wne:kcmPrimary="0435">
      <wne:acd wne:acdName="acd2"/>
    </wne:keymap>
  </wne:keymaps>
  <wne:toolbars>
    <wne:acdManifest>
      <wne:acdEntry wne:acdName="acd0"/>
      <wne:acdEntry wne:acdName="acd1"/>
      <wne:acdEntry wne:acdName="acd2"/>
    </wne:acdManifest>
    <wne:toolbarData r:id="rId1"/>
  </wne:toolbars>
  <wne:acds>
    <wne:acd wne:argValue="AgBSAHUAbABsAGUAcgAgADMA" wne:acdName="acd0" wne:fciIndexBasedOn="0065"/>
    <wne:acd wne:argValue="AgBSAHUAbABsAGUAcgA0AA==" wne:acdName="acd1" wne:fciIndexBasedOn="0065"/>
    <wne:acd wne:argValue="AgBSAHUAbABsAGUAcgA1AA==" wne:acdName="acd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7512" w:rsidRDefault="007F7512">
      <w:r>
        <w:separator/>
      </w:r>
    </w:p>
  </w:endnote>
  <w:endnote w:type="continuationSeparator" w:id="0">
    <w:p w:rsidR="007F7512" w:rsidRDefault="007F7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FrankRuehl">
    <w:panose1 w:val="020E0503060101010101"/>
    <w:charset w:val="B1"/>
    <w:family w:val="swiss"/>
    <w:pitch w:val="variable"/>
    <w:sig w:usb0="00000801" w:usb1="00000000" w:usb2="00000000" w:usb3="00000000" w:csb0="00000020" w:csb1="00000000"/>
  </w:font>
  <w:font w:name="Arial TUR">
    <w:altName w:val="Arial"/>
    <w:charset w:val="00"/>
    <w:family w:val="swiss"/>
    <w:pitch w:val="variable"/>
    <w:sig w:usb0="E0002AFF" w:usb1="C0007843" w:usb2="00000009" w:usb3="00000000" w:csb0="000001FF" w:csb1="00000000"/>
  </w:font>
  <w:font w:name="DavidFix">
    <w:charset w:val="B1"/>
    <w:family w:val="auto"/>
    <w:pitch w:val="variable"/>
    <w:sig w:usb0="00001801" w:usb1="00000000" w:usb2="00000000" w:usb3="00000000" w:csb0="00000020" w:csb1="00000000"/>
  </w:font>
  <w:font w:name="Guttman Yad">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Miriam">
    <w:panose1 w:val="020B0502050101010101"/>
    <w:charset w:val="B1"/>
    <w:family w:val="swiss"/>
    <w:pitch w:val="variable"/>
    <w:sig w:usb0="00000801" w:usb1="00000000" w:usb2="00000000" w:usb3="00000000" w:csb0="00000020"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7102" w:rsidRDefault="00377102">
    <w:pPr>
      <w:pStyle w:val="a3"/>
      <w:framePr w:wrap="around" w:vAnchor="text" w:hAnchor="margin" w:xAlign="center" w:y="1"/>
      <w:rPr>
        <w:rStyle w:val="a4"/>
        <w:rtl/>
      </w:rPr>
    </w:pPr>
    <w:r>
      <w:rPr>
        <w:rStyle w:val="a4"/>
        <w:rtl/>
      </w:rPr>
      <w:fldChar w:fldCharType="begin"/>
    </w:r>
    <w:r>
      <w:rPr>
        <w:rStyle w:val="a4"/>
      </w:rPr>
      <w:instrText xml:space="preserve">PAGE  </w:instrText>
    </w:r>
    <w:r>
      <w:rPr>
        <w:rStyle w:val="a4"/>
        <w:rtl/>
      </w:rPr>
      <w:fldChar w:fldCharType="separate"/>
    </w:r>
    <w:r w:rsidR="00BC0E82">
      <w:rPr>
        <w:rStyle w:val="a4"/>
        <w:noProof/>
        <w:rtl/>
      </w:rPr>
      <w:t>1</w:t>
    </w:r>
    <w:r>
      <w:rPr>
        <w:rStyle w:val="a4"/>
        <w:rtl/>
      </w:rPr>
      <w:fldChar w:fldCharType="end"/>
    </w:r>
  </w:p>
  <w:p w:rsidR="00377102" w:rsidRDefault="00377102">
    <w:pPr>
      <w:pStyle w:val="a3"/>
      <w:rPr>
        <w:rtl/>
      </w:rPr>
    </w:pPr>
  </w:p>
  <w:p w:rsidR="00377102" w:rsidRDefault="0037710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1DE7" w:rsidRDefault="00181DE7">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5B4D" w:rsidRPr="00F959DB" w:rsidRDefault="00045B4D" w:rsidP="00914156">
    <w:pPr>
      <w:pStyle w:val="a3"/>
      <w:bidi w:val="0"/>
      <w:jc w:val="right"/>
      <w:rPr>
        <w:sz w:val="16"/>
        <w:szCs w:val="16"/>
      </w:rPr>
    </w:pPr>
    <w:bookmarkStart w:id="6" w:name="footer_line"/>
    <w:bookmarkEnd w:id="6"/>
  </w:p>
  <w:p w:rsidR="00045B4D" w:rsidRDefault="00045B4D">
    <w:pPr>
      <w:pStyle w:val="a3"/>
      <w:rPr>
        <w:rt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7512" w:rsidRDefault="007F7512">
      <w:r>
        <w:separator/>
      </w:r>
    </w:p>
  </w:footnote>
  <w:footnote w:type="continuationSeparator" w:id="0">
    <w:p w:rsidR="007F7512" w:rsidRDefault="007F75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7102" w:rsidRDefault="00377102">
    <w:pPr>
      <w:pStyle w:val="a5"/>
      <w:framePr w:wrap="around" w:vAnchor="text" w:hAnchor="margin" w:xAlign="center" w:y="1"/>
      <w:rPr>
        <w:rStyle w:val="a4"/>
        <w:rtl/>
      </w:rPr>
    </w:pPr>
    <w:r>
      <w:rPr>
        <w:rStyle w:val="a4"/>
        <w:rtl/>
      </w:rPr>
      <w:fldChar w:fldCharType="begin"/>
    </w:r>
    <w:r>
      <w:rPr>
        <w:rStyle w:val="a4"/>
      </w:rPr>
      <w:instrText xml:space="preserve">PAGE  </w:instrText>
    </w:r>
    <w:r>
      <w:rPr>
        <w:rStyle w:val="a4"/>
        <w:rtl/>
      </w:rPr>
      <w:fldChar w:fldCharType="separate"/>
    </w:r>
    <w:r w:rsidR="00BC0E82">
      <w:rPr>
        <w:rStyle w:val="a4"/>
        <w:noProof/>
        <w:rtl/>
      </w:rPr>
      <w:t>1</w:t>
    </w:r>
    <w:r>
      <w:rPr>
        <w:rStyle w:val="a4"/>
        <w:rtl/>
      </w:rPr>
      <w:fldChar w:fldCharType="end"/>
    </w:r>
  </w:p>
  <w:p w:rsidR="00377102" w:rsidRDefault="00377102">
    <w:pPr>
      <w:pStyle w:val="a5"/>
      <w:rPr>
        <w:rtl/>
      </w:rPr>
    </w:pPr>
  </w:p>
  <w:p w:rsidR="00377102" w:rsidRDefault="0037710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7102" w:rsidRDefault="00377102">
    <w:pPr>
      <w:pStyle w:val="a5"/>
      <w:framePr w:wrap="around" w:vAnchor="text" w:hAnchor="margin" w:xAlign="center" w:y="1"/>
      <w:rPr>
        <w:rStyle w:val="a4"/>
        <w:rtl/>
      </w:rPr>
    </w:pPr>
    <w:r>
      <w:rPr>
        <w:rStyle w:val="a4"/>
        <w:rtl/>
      </w:rPr>
      <w:fldChar w:fldCharType="begin"/>
    </w:r>
    <w:r>
      <w:rPr>
        <w:rStyle w:val="a4"/>
      </w:rPr>
      <w:instrText xml:space="preserve">PAGE  </w:instrText>
    </w:r>
    <w:r>
      <w:rPr>
        <w:rStyle w:val="a4"/>
        <w:rtl/>
      </w:rPr>
      <w:fldChar w:fldCharType="separate"/>
    </w:r>
    <w:r w:rsidR="00377154">
      <w:rPr>
        <w:rStyle w:val="a4"/>
        <w:noProof/>
        <w:rtl/>
      </w:rPr>
      <w:t>9</w:t>
    </w:r>
    <w:r>
      <w:rPr>
        <w:rStyle w:val="a4"/>
        <w:rtl/>
      </w:rPr>
      <w:fldChar w:fldCharType="end"/>
    </w:r>
  </w:p>
  <w:p w:rsidR="00377102" w:rsidRDefault="00377102">
    <w:pPr>
      <w:pStyle w:val="a5"/>
      <w:rPr>
        <w:rtl/>
      </w:rPr>
    </w:pPr>
  </w:p>
  <w:p w:rsidR="00377102" w:rsidRDefault="00377102"/>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8363" w:type="dxa"/>
      <w:tblLook w:val="0000" w:firstRow="0" w:lastRow="0" w:firstColumn="0" w:lastColumn="0" w:noHBand="0" w:noVBand="0"/>
    </w:tblPr>
    <w:tblGrid>
      <w:gridCol w:w="8363"/>
    </w:tblGrid>
    <w:tr w:rsidR="00045B4D" w:rsidTr="00EC23AC">
      <w:trPr>
        <w:trHeight w:val="342"/>
      </w:trPr>
      <w:tc>
        <w:tcPr>
          <w:tcW w:w="9828" w:type="dxa"/>
        </w:tcPr>
        <w:p w:rsidR="00377102" w:rsidRPr="002F7BB6" w:rsidRDefault="00EE3810" w:rsidP="00045B4D">
          <w:pPr>
            <w:pStyle w:val="Casenameintextbody"/>
            <w:jc w:val="center"/>
            <w:rPr>
              <w:u w:val="none"/>
              <w:rtl/>
            </w:rPr>
          </w:pPr>
          <w:r w:rsidRPr="002F7BB6">
            <w:rPr>
              <w:noProof/>
              <w:sz w:val="16"/>
              <w:szCs w:val="18"/>
              <w:u w:val="none"/>
              <w:rtl/>
            </w:rPr>
            <w:drawing>
              <wp:inline distT="0" distB="0" distL="0" distR="0">
                <wp:extent cx="464820" cy="449580"/>
                <wp:effectExtent l="0" t="0" r="0" b="762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4820" cy="449580"/>
                        </a:xfrm>
                        <a:prstGeom prst="rect">
                          <a:avLst/>
                        </a:prstGeom>
                        <a:noFill/>
                        <a:ln>
                          <a:noFill/>
                        </a:ln>
                      </pic:spPr>
                    </pic:pic>
                  </a:graphicData>
                </a:graphic>
              </wp:inline>
            </w:drawing>
          </w:r>
        </w:p>
      </w:tc>
    </w:tr>
  </w:tbl>
  <w:p w:rsidR="00045B4D" w:rsidRDefault="00045B4D" w:rsidP="00045B4D">
    <w:pPr>
      <w:pStyle w:val="a5"/>
      <w:jc w:val="center"/>
      <w:rPr>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77A4F3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EB8EE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6485F0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3003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20465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1CCE6B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264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21A09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046C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B800B84"/>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0"/>
  <w:defaultTabStop w:val="720"/>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numFmt w:val="lowerLette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227"/>
    <w:rsid w:val="00016EF1"/>
    <w:rsid w:val="00032036"/>
    <w:rsid w:val="00036227"/>
    <w:rsid w:val="00044953"/>
    <w:rsid w:val="00045B4D"/>
    <w:rsid w:val="000725F5"/>
    <w:rsid w:val="00072AD2"/>
    <w:rsid w:val="000B1478"/>
    <w:rsid w:val="000C4690"/>
    <w:rsid w:val="000D25C4"/>
    <w:rsid w:val="00134A67"/>
    <w:rsid w:val="0016062C"/>
    <w:rsid w:val="00181DE7"/>
    <w:rsid w:val="001A0164"/>
    <w:rsid w:val="00200D6B"/>
    <w:rsid w:val="00265F6E"/>
    <w:rsid w:val="002876BF"/>
    <w:rsid w:val="002A4A7A"/>
    <w:rsid w:val="002A4BF3"/>
    <w:rsid w:val="002C05BC"/>
    <w:rsid w:val="002F7BB6"/>
    <w:rsid w:val="003448B2"/>
    <w:rsid w:val="00361DB2"/>
    <w:rsid w:val="0037622E"/>
    <w:rsid w:val="00377102"/>
    <w:rsid w:val="00377154"/>
    <w:rsid w:val="0039709B"/>
    <w:rsid w:val="003D72DA"/>
    <w:rsid w:val="003F1F97"/>
    <w:rsid w:val="0041048F"/>
    <w:rsid w:val="00432BF1"/>
    <w:rsid w:val="00437D59"/>
    <w:rsid w:val="004610A4"/>
    <w:rsid w:val="004B29FF"/>
    <w:rsid w:val="004C7868"/>
    <w:rsid w:val="00503A3E"/>
    <w:rsid w:val="00527F02"/>
    <w:rsid w:val="00575ECA"/>
    <w:rsid w:val="005803E2"/>
    <w:rsid w:val="0058440A"/>
    <w:rsid w:val="00591983"/>
    <w:rsid w:val="00624A42"/>
    <w:rsid w:val="006504BE"/>
    <w:rsid w:val="0065522F"/>
    <w:rsid w:val="006A30F7"/>
    <w:rsid w:val="006C42AD"/>
    <w:rsid w:val="00725345"/>
    <w:rsid w:val="00741CC0"/>
    <w:rsid w:val="007B512F"/>
    <w:rsid w:val="007F7512"/>
    <w:rsid w:val="00810894"/>
    <w:rsid w:val="008143AB"/>
    <w:rsid w:val="0083345F"/>
    <w:rsid w:val="00836667"/>
    <w:rsid w:val="008C2F11"/>
    <w:rsid w:val="008D78B9"/>
    <w:rsid w:val="008E3F85"/>
    <w:rsid w:val="009051E8"/>
    <w:rsid w:val="00914156"/>
    <w:rsid w:val="00916FF8"/>
    <w:rsid w:val="00922093"/>
    <w:rsid w:val="00930C85"/>
    <w:rsid w:val="00944654"/>
    <w:rsid w:val="009B38DA"/>
    <w:rsid w:val="009F2F53"/>
    <w:rsid w:val="009F4187"/>
    <w:rsid w:val="00A12E0F"/>
    <w:rsid w:val="00A51FAE"/>
    <w:rsid w:val="00A80845"/>
    <w:rsid w:val="00AB69F7"/>
    <w:rsid w:val="00AD097B"/>
    <w:rsid w:val="00AD64B9"/>
    <w:rsid w:val="00AE022B"/>
    <w:rsid w:val="00B009CC"/>
    <w:rsid w:val="00B0782A"/>
    <w:rsid w:val="00B62B8C"/>
    <w:rsid w:val="00B63343"/>
    <w:rsid w:val="00B87FF7"/>
    <w:rsid w:val="00BA0B08"/>
    <w:rsid w:val="00BC0E82"/>
    <w:rsid w:val="00BD40F9"/>
    <w:rsid w:val="00C005B4"/>
    <w:rsid w:val="00C41C86"/>
    <w:rsid w:val="00C63A6C"/>
    <w:rsid w:val="00CA13AF"/>
    <w:rsid w:val="00CA1444"/>
    <w:rsid w:val="00CB1590"/>
    <w:rsid w:val="00CB7600"/>
    <w:rsid w:val="00CC0E9D"/>
    <w:rsid w:val="00CC3639"/>
    <w:rsid w:val="00D00B1D"/>
    <w:rsid w:val="00D00CB7"/>
    <w:rsid w:val="00D25F16"/>
    <w:rsid w:val="00DB66AE"/>
    <w:rsid w:val="00E21CA9"/>
    <w:rsid w:val="00E31063"/>
    <w:rsid w:val="00E36FE9"/>
    <w:rsid w:val="00E73E98"/>
    <w:rsid w:val="00E75223"/>
    <w:rsid w:val="00E90D72"/>
    <w:rsid w:val="00EA0BE1"/>
    <w:rsid w:val="00EC23AC"/>
    <w:rsid w:val="00EC2992"/>
    <w:rsid w:val="00ED46A4"/>
    <w:rsid w:val="00ED6FD9"/>
    <w:rsid w:val="00EE3810"/>
    <w:rsid w:val="00F0726F"/>
    <w:rsid w:val="00F63C3B"/>
    <w:rsid w:val="00F959D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9019756-8A8C-4655-917E-06CAA9403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bidi/>
      <w:adjustRightInd w:val="0"/>
      <w:textAlignment w:val="baseline"/>
    </w:pPr>
    <w:rPr>
      <w:rFonts w:cs="David"/>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uller3">
    <w:name w:val="Ruller 3"/>
    <w:basedOn w:val="a"/>
    <w:rsid w:val="00A51FAE"/>
    <w:pPr>
      <w:tabs>
        <w:tab w:val="left" w:pos="3210"/>
        <w:tab w:val="left" w:pos="6753"/>
      </w:tabs>
      <w:spacing w:line="360" w:lineRule="auto"/>
    </w:pPr>
    <w:rPr>
      <w:rFonts w:cs="FrankRuehl"/>
      <w:spacing w:val="10"/>
      <w:sz w:val="22"/>
      <w:szCs w:val="28"/>
    </w:rPr>
  </w:style>
  <w:style w:type="paragraph" w:customStyle="1" w:styleId="Pskdinhead">
    <w:name w:val="Pskdin head"/>
    <w:basedOn w:val="a"/>
    <w:pPr>
      <w:spacing w:line="360" w:lineRule="auto"/>
    </w:pPr>
    <w:rPr>
      <w:b/>
      <w:bCs/>
      <w:u w:val="single"/>
    </w:rPr>
  </w:style>
  <w:style w:type="paragraph" w:customStyle="1" w:styleId="FileNumber">
    <w:name w:val="File Number"/>
    <w:basedOn w:val="a"/>
    <w:pPr>
      <w:spacing w:line="360" w:lineRule="auto"/>
      <w:jc w:val="right"/>
    </w:pPr>
    <w:rPr>
      <w:bCs/>
    </w:rPr>
  </w:style>
  <w:style w:type="paragraph" w:customStyle="1" w:styleId="FirstpagestylePsakdin">
    <w:name w:val="First page style Psak din"/>
    <w:basedOn w:val="Ruller3"/>
    <w:pPr>
      <w:tabs>
        <w:tab w:val="clear" w:pos="3210"/>
        <w:tab w:val="left" w:pos="3209"/>
      </w:tabs>
    </w:pPr>
    <w:rPr>
      <w:bCs/>
    </w:rPr>
  </w:style>
  <w:style w:type="paragraph" w:customStyle="1" w:styleId="TyutaDate">
    <w:name w:val="Tyuta Date"/>
    <w:basedOn w:val="a"/>
    <w:pPr>
      <w:jc w:val="center"/>
    </w:pPr>
    <w:rPr>
      <w:b/>
      <w:bCs/>
      <w:i/>
      <w:iCs/>
      <w:sz w:val="28"/>
      <w:szCs w:val="28"/>
    </w:rPr>
  </w:style>
  <w:style w:type="paragraph" w:customStyle="1" w:styleId="DocumentHead">
    <w:name w:val="Document Head"/>
    <w:basedOn w:val="a"/>
    <w:pPr>
      <w:spacing w:line="360" w:lineRule="auto"/>
      <w:jc w:val="center"/>
    </w:pPr>
    <w:rPr>
      <w:bCs/>
      <w:spacing w:val="30"/>
      <w:szCs w:val="28"/>
      <w:u w:val="single"/>
    </w:rPr>
  </w:style>
  <w:style w:type="paragraph" w:customStyle="1" w:styleId="TfutzaList">
    <w:name w:val="Tfutza List"/>
    <w:basedOn w:val="a"/>
    <w:rPr>
      <w:i/>
      <w:iCs/>
    </w:rPr>
  </w:style>
  <w:style w:type="paragraph" w:customStyle="1" w:styleId="Ruller4">
    <w:name w:val="Ruller4"/>
    <w:basedOn w:val="a"/>
    <w:rsid w:val="00A51FAE"/>
    <w:pPr>
      <w:tabs>
        <w:tab w:val="left" w:pos="800"/>
      </w:tabs>
      <w:spacing w:line="360" w:lineRule="auto"/>
      <w:jc w:val="both"/>
    </w:pPr>
    <w:rPr>
      <w:rFonts w:ascii="Arial TUR" w:hAnsi="Arial TUR" w:cs="FrankRuehl"/>
      <w:spacing w:val="10"/>
      <w:sz w:val="22"/>
      <w:szCs w:val="28"/>
    </w:rPr>
  </w:style>
  <w:style w:type="paragraph" w:customStyle="1" w:styleId="Ruller5">
    <w:name w:val="Ruller5"/>
    <w:basedOn w:val="a"/>
    <w:rsid w:val="00A51FAE"/>
    <w:pPr>
      <w:ind w:left="1642" w:right="1282"/>
      <w:jc w:val="both"/>
    </w:pPr>
    <w:rPr>
      <w:rFonts w:ascii="Arial TUR" w:hAnsi="Arial TUR" w:cs="FrankRuehl"/>
      <w:spacing w:val="10"/>
      <w:sz w:val="22"/>
      <w:szCs w:val="28"/>
    </w:rPr>
  </w:style>
  <w:style w:type="paragraph" w:customStyle="1" w:styleId="Ruller6">
    <w:name w:val="Ruller6"/>
    <w:basedOn w:val="a"/>
    <w:rsid w:val="00A51FAE"/>
    <w:pPr>
      <w:tabs>
        <w:tab w:val="left" w:pos="794"/>
        <w:tab w:val="left" w:pos="2268"/>
        <w:tab w:val="left" w:pos="5783"/>
        <w:tab w:val="left" w:pos="7371"/>
      </w:tabs>
    </w:pPr>
    <w:rPr>
      <w:rFonts w:ascii="Arial TUR" w:hAnsi="Arial TUR" w:cs="DavidFix"/>
      <w:spacing w:val="10"/>
      <w:sz w:val="22"/>
      <w:szCs w:val="20"/>
    </w:rPr>
  </w:style>
  <w:style w:type="character" w:customStyle="1" w:styleId="Delete">
    <w:name w:val="Delete"/>
    <w:rPr>
      <w:strike/>
    </w:rPr>
  </w:style>
  <w:style w:type="paragraph" w:customStyle="1" w:styleId="WriterName">
    <w:name w:val="Writer Name"/>
    <w:basedOn w:val="Ruller4"/>
    <w:next w:val="Ruller4"/>
    <w:rPr>
      <w:rFonts w:cs="David"/>
      <w:b/>
      <w:bCs/>
      <w:u w:val="single"/>
    </w:rPr>
  </w:style>
  <w:style w:type="character" w:customStyle="1" w:styleId="Hand">
    <w:name w:val="Hand"/>
    <w:rPr>
      <w:rFonts w:cs="Guttman Yad"/>
    </w:rPr>
  </w:style>
  <w:style w:type="paragraph" w:styleId="a3">
    <w:name w:val="footer"/>
    <w:basedOn w:val="a"/>
    <w:pPr>
      <w:tabs>
        <w:tab w:val="center" w:pos="4153"/>
        <w:tab w:val="right" w:pos="8306"/>
      </w:tabs>
    </w:pPr>
  </w:style>
  <w:style w:type="character" w:styleId="a4">
    <w:name w:val="page number"/>
    <w:basedOn w:val="a0"/>
  </w:style>
  <w:style w:type="paragraph" w:styleId="a5">
    <w:name w:val="header"/>
    <w:basedOn w:val="a"/>
    <w:pPr>
      <w:tabs>
        <w:tab w:val="center" w:pos="4153"/>
        <w:tab w:val="right" w:pos="8306"/>
      </w:tabs>
    </w:pPr>
  </w:style>
  <w:style w:type="paragraph" w:customStyle="1" w:styleId="2">
    <w:name w:val="ñâðåï2"/>
    <w:basedOn w:val="a"/>
    <w:pPr>
      <w:overflowPunct/>
      <w:textAlignment w:val="auto"/>
    </w:pPr>
    <w:rPr>
      <w:rFonts w:cs="Times New Roman"/>
    </w:rPr>
  </w:style>
  <w:style w:type="paragraph" w:customStyle="1" w:styleId="Casenameintextbody">
    <w:name w:val="Case name in text body"/>
    <w:basedOn w:val="a"/>
    <w:pPr>
      <w:overflowPunct/>
      <w:jc w:val="right"/>
      <w:textAlignment w:val="auto"/>
    </w:pPr>
    <w:rPr>
      <w:rFonts w:cs="Times New Roman"/>
      <w:b/>
      <w:bCs/>
      <w:u w:val="single"/>
    </w:rPr>
  </w:style>
  <w:style w:type="paragraph" w:customStyle="1" w:styleId="precasestyle">
    <w:name w:val="pre_case style"/>
    <w:basedOn w:val="a"/>
    <w:pPr>
      <w:tabs>
        <w:tab w:val="left" w:pos="2552"/>
      </w:tabs>
      <w:overflowPunct/>
      <w:ind w:right="2549"/>
      <w:textAlignment w:val="auto"/>
    </w:pPr>
    <w:rPr>
      <w:rFonts w:cs="Times New Roman"/>
    </w:rPr>
  </w:style>
  <w:style w:type="paragraph" w:customStyle="1" w:styleId="BodyRuller">
    <w:name w:val="Body Ruller"/>
    <w:basedOn w:val="a"/>
    <w:rPr>
      <w:sz w:val="22"/>
      <w:szCs w:val="28"/>
    </w:rPr>
  </w:style>
  <w:style w:type="paragraph" w:customStyle="1" w:styleId="Ruller38">
    <w:name w:val="סגנון Ruller 3 + (מורכב) ‏8 נק"/>
    <w:basedOn w:val="BodyRuller"/>
    <w:rPr>
      <w:szCs w:val="16"/>
    </w:rPr>
  </w:style>
  <w:style w:type="character" w:customStyle="1" w:styleId="Ruller30">
    <w:name w:val="Ruller 3 תו"/>
    <w:rPr>
      <w:rFonts w:cs="FrankRuehl"/>
      <w:sz w:val="22"/>
      <w:szCs w:val="28"/>
      <w:lang w:val="en-US" w:eastAsia="en-US" w:bidi="he-IL"/>
    </w:rPr>
  </w:style>
  <w:style w:type="character" w:customStyle="1" w:styleId="BodyRuller0">
    <w:name w:val="Body Ruller תו"/>
    <w:rPr>
      <w:rFonts w:cs="David"/>
      <w:sz w:val="22"/>
      <w:szCs w:val="28"/>
      <w:lang w:val="en-US" w:eastAsia="en-US" w:bidi="he-IL"/>
    </w:rPr>
  </w:style>
  <w:style w:type="character" w:customStyle="1" w:styleId="Ruller380">
    <w:name w:val="סגנון Ruller 3 + (מורכב) ‏8 נק תו"/>
    <w:rPr>
      <w:rFonts w:cs="David"/>
      <w:sz w:val="22"/>
      <w:szCs w:val="16"/>
      <w:lang w:val="en-US" w:eastAsia="en-US" w:bidi="he-IL"/>
    </w:rPr>
  </w:style>
  <w:style w:type="paragraph" w:customStyle="1" w:styleId="FileNumber0">
    <w:name w:val="סגנון File Number + ימין"/>
    <w:basedOn w:val="FileNumber"/>
    <w:rsid w:val="004C7868"/>
    <w:pPr>
      <w:jc w:val="left"/>
    </w:pPr>
    <w:rPr>
      <w:szCs w:val="28"/>
    </w:rPr>
  </w:style>
  <w:style w:type="paragraph" w:customStyle="1" w:styleId="BODYVERDICT">
    <w:name w:val="BODY VERDICT"/>
    <w:basedOn w:val="a"/>
    <w:rsid w:val="00036227"/>
    <w:rPr>
      <w:rFonts w:cs="FrankRuehl"/>
      <w:spacing w:val="10"/>
      <w:sz w:val="22"/>
      <w:szCs w:val="28"/>
    </w:rPr>
  </w:style>
  <w:style w:type="character" w:styleId="Hyperlink">
    <w:name w:val="Hyperlink"/>
    <w:rsid w:val="003F1F97"/>
    <w:rPr>
      <w:color w:val="0000FF"/>
      <w:u w:val="single"/>
    </w:rPr>
  </w:style>
  <w:style w:type="table" w:styleId="a6">
    <w:name w:val="Table Grid"/>
    <w:basedOn w:val="a1"/>
    <w:rsid w:val="003F1F97"/>
    <w:pPr>
      <w:overflowPunct w:val="0"/>
      <w:autoSpaceDE w:val="0"/>
      <w:autoSpaceDN w:val="0"/>
      <w:bidi/>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a0"/>
    <w:rsid w:val="0058440A"/>
    <w:rPr>
      <w:color w:val="954F72" w:themeColor="followedHyperlink"/>
      <w:u w:val="single"/>
    </w:rPr>
  </w:style>
  <w:style w:type="character" w:styleId="a7">
    <w:name w:val="annotation reference"/>
    <w:basedOn w:val="a0"/>
    <w:rsid w:val="00D00B1D"/>
    <w:rPr>
      <w:sz w:val="16"/>
      <w:szCs w:val="16"/>
    </w:rPr>
  </w:style>
  <w:style w:type="paragraph" w:styleId="a8">
    <w:name w:val="annotation text"/>
    <w:basedOn w:val="a"/>
    <w:link w:val="a9"/>
    <w:rsid w:val="00D00B1D"/>
    <w:rPr>
      <w:szCs w:val="20"/>
    </w:rPr>
  </w:style>
  <w:style w:type="character" w:customStyle="1" w:styleId="a9">
    <w:name w:val="טקסט הערה תו"/>
    <w:basedOn w:val="a0"/>
    <w:link w:val="a8"/>
    <w:rsid w:val="00D00B1D"/>
    <w:rPr>
      <w:rFonts w:cs="David"/>
    </w:rPr>
  </w:style>
  <w:style w:type="paragraph" w:styleId="aa">
    <w:name w:val="annotation subject"/>
    <w:basedOn w:val="a8"/>
    <w:next w:val="a8"/>
    <w:link w:val="ab"/>
    <w:rsid w:val="00D00B1D"/>
    <w:rPr>
      <w:b/>
      <w:bCs/>
    </w:rPr>
  </w:style>
  <w:style w:type="character" w:customStyle="1" w:styleId="ab">
    <w:name w:val="נושא הערה תו"/>
    <w:basedOn w:val="a9"/>
    <w:link w:val="aa"/>
    <w:rsid w:val="00D00B1D"/>
    <w:rPr>
      <w:rFonts w:cs="David"/>
      <w:b/>
      <w:bCs/>
    </w:rPr>
  </w:style>
  <w:style w:type="paragraph" w:styleId="ac">
    <w:name w:val="Balloon Text"/>
    <w:basedOn w:val="a"/>
    <w:link w:val="ad"/>
    <w:rsid w:val="00D00B1D"/>
    <w:rPr>
      <w:rFonts w:ascii="Tahoma" w:hAnsi="Tahoma" w:cs="Tahoma"/>
      <w:sz w:val="18"/>
      <w:szCs w:val="18"/>
    </w:rPr>
  </w:style>
  <w:style w:type="character" w:customStyle="1" w:styleId="ad">
    <w:name w:val="טקסט בלונים תו"/>
    <w:basedOn w:val="a0"/>
    <w:link w:val="ac"/>
    <w:rsid w:val="00D00B1D"/>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858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supreme.court.gov.i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2983</Words>
  <Characters>14281</Characters>
  <Application>Microsoft Office Word</Application>
  <DocSecurity>0</DocSecurity>
  <Lines>310</Lines>
  <Paragraphs>54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17210</CharactersWithSpaces>
  <SharedDoc>false</SharedDoc>
  <HLinks>
    <vt:vector size="6" baseType="variant">
      <vt:variant>
        <vt:i4>1966158</vt:i4>
      </vt:variant>
      <vt:variant>
        <vt:i4>12</vt:i4>
      </vt:variant>
      <vt:variant>
        <vt:i4>0</vt:i4>
      </vt:variant>
      <vt:variant>
        <vt:i4>5</vt:i4>
      </vt:variant>
      <vt:variant>
        <vt:lpwstr>http://www.court.gov.il/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
  <cp:lastPrinted>2019-09-01T09:05:30Z</cp:lastPrinted>
  <dcterms:created xsi:type="dcterms:W3CDTF">2019-09-01T09:05:30Z</dcterms:created>
  <dcterms:modified xsi:type="dcterms:W3CDTF">2019-09-01T09:05:30Z</dcterms:modified>
</cp:coreProperties>
</file>