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363" w:type="dxa"/>
        <w:tblInd w:w="9" w:type="dxa"/>
        <w:tblLook w:val="0000" w:firstRow="0" w:lastRow="0" w:firstColumn="0" w:lastColumn="0" w:noHBand="0" w:noVBand="0"/>
      </w:tblPr>
      <w:tblGrid>
        <w:gridCol w:w="8363"/>
      </w:tblGrid>
      <w:tr w:rsidR="00036227" w:rsidTr="007E47B8">
        <w:tc>
          <w:tcPr>
            <w:tcW w:w="8363" w:type="dxa"/>
          </w:tcPr>
          <w:p w:rsidR="00916FF8" w:rsidRPr="00624A42" w:rsidRDefault="002965EF"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2965EF">
            <w:pPr>
              <w:pStyle w:val="FileNumber"/>
              <w:rPr>
                <w:sz w:val="28"/>
                <w:szCs w:val="28"/>
              </w:rPr>
            </w:pPr>
            <w:bookmarkStart w:id="0" w:name="casename_body"/>
            <w:r>
              <w:rPr>
                <w:sz w:val="28"/>
                <w:szCs w:val="28"/>
                <w:rtl/>
              </w:rPr>
              <w:t>ע"א  3129/19</w:t>
            </w:r>
          </w:p>
        </w:tc>
      </w:tr>
      <w:tr w:rsidR="002965EF" w:rsidTr="0039709B">
        <w:trPr>
          <w:trHeight w:val="342"/>
        </w:trPr>
        <w:tc>
          <w:tcPr>
            <w:tcW w:w="9828" w:type="dxa"/>
          </w:tcPr>
          <w:p w:rsidR="002965EF" w:rsidRPr="00810894" w:rsidRDefault="002965EF">
            <w:pPr>
              <w:pStyle w:val="FileNumber"/>
              <w:rPr>
                <w:sz w:val="28"/>
                <w:szCs w:val="28"/>
              </w:rPr>
            </w:pPr>
            <w:r>
              <w:rPr>
                <w:sz w:val="28"/>
                <w:szCs w:val="28"/>
                <w:rtl/>
              </w:rPr>
              <w:t>ע"א  3138/19</w:t>
            </w:r>
          </w:p>
        </w:tc>
      </w:tr>
      <w:tr w:rsidR="002965EF" w:rsidTr="0039709B">
        <w:trPr>
          <w:trHeight w:val="342"/>
        </w:trPr>
        <w:tc>
          <w:tcPr>
            <w:tcW w:w="9828" w:type="dxa"/>
          </w:tcPr>
          <w:p w:rsidR="002965EF" w:rsidRDefault="002965EF">
            <w:pPr>
              <w:pStyle w:val="FileNumber"/>
              <w:rPr>
                <w:sz w:val="28"/>
                <w:szCs w:val="28"/>
                <w:rtl/>
              </w:rPr>
            </w:pPr>
            <w:r>
              <w:rPr>
                <w:sz w:val="28"/>
                <w:szCs w:val="28"/>
                <w:rtl/>
              </w:rPr>
              <w:t>ע"א  3995/19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410"/>
        <w:gridCol w:w="4954"/>
      </w:tblGrid>
      <w:tr w:rsidR="00036227" w:rsidTr="00A1058F">
        <w:trPr>
          <w:trHeight w:val="287"/>
        </w:trPr>
        <w:tc>
          <w:tcPr>
            <w:tcW w:w="3410"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4954" w:type="dxa"/>
          </w:tcPr>
          <w:p w:rsidR="00036227" w:rsidRDefault="002965EF">
            <w:pPr>
              <w:pStyle w:val="BodyRuller"/>
            </w:pPr>
            <w:r>
              <w:rPr>
                <w:rtl/>
              </w:rPr>
              <w:t>כבוד השופט י' עמית</w:t>
            </w:r>
          </w:p>
        </w:tc>
      </w:tr>
      <w:tr w:rsidR="002965EF" w:rsidTr="00A1058F">
        <w:trPr>
          <w:trHeight w:val="287"/>
        </w:trPr>
        <w:tc>
          <w:tcPr>
            <w:tcW w:w="3410" w:type="dxa"/>
          </w:tcPr>
          <w:p w:rsidR="002965EF" w:rsidRDefault="002965EF">
            <w:pPr>
              <w:pStyle w:val="BodyRuller"/>
              <w:rPr>
                <w:rtl/>
              </w:rPr>
            </w:pPr>
          </w:p>
        </w:tc>
        <w:tc>
          <w:tcPr>
            <w:tcW w:w="4954" w:type="dxa"/>
          </w:tcPr>
          <w:p w:rsidR="002965EF" w:rsidRDefault="002965EF">
            <w:pPr>
              <w:pStyle w:val="BodyRuller"/>
              <w:rPr>
                <w:rtl/>
              </w:rPr>
            </w:pPr>
            <w:r>
              <w:rPr>
                <w:rtl/>
              </w:rPr>
              <w:t>כבוד השופט ע' גרוסקופף</w:t>
            </w:r>
          </w:p>
        </w:tc>
      </w:tr>
      <w:tr w:rsidR="002965EF" w:rsidTr="00A1058F">
        <w:trPr>
          <w:trHeight w:val="287"/>
        </w:trPr>
        <w:tc>
          <w:tcPr>
            <w:tcW w:w="3410" w:type="dxa"/>
          </w:tcPr>
          <w:p w:rsidR="002965EF" w:rsidRDefault="002965EF">
            <w:pPr>
              <w:pStyle w:val="BodyRuller"/>
              <w:rPr>
                <w:rtl/>
              </w:rPr>
            </w:pPr>
          </w:p>
        </w:tc>
        <w:tc>
          <w:tcPr>
            <w:tcW w:w="4954" w:type="dxa"/>
          </w:tcPr>
          <w:p w:rsidR="002965EF" w:rsidRDefault="002965EF">
            <w:pPr>
              <w:pStyle w:val="BodyRuller"/>
              <w:rPr>
                <w:rtl/>
              </w:rPr>
            </w:pPr>
            <w:r>
              <w:rPr>
                <w:rtl/>
              </w:rPr>
              <w:t>כבוד השופט א' שטיין</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410"/>
        <w:gridCol w:w="4954"/>
      </w:tblGrid>
      <w:tr w:rsidR="00D00CB7" w:rsidTr="00A1058F">
        <w:trPr>
          <w:trHeight w:val="287"/>
        </w:trPr>
        <w:tc>
          <w:tcPr>
            <w:tcW w:w="3410" w:type="dxa"/>
          </w:tcPr>
          <w:p w:rsidR="00D00CB7" w:rsidRPr="00E75223" w:rsidRDefault="002965EF" w:rsidP="00A1058F">
            <w:pPr>
              <w:pStyle w:val="BodyRuller"/>
              <w:rPr>
                <w:rFonts w:ascii="David" w:hAnsi="David"/>
              </w:rPr>
            </w:pPr>
            <w:r>
              <w:rPr>
                <w:rFonts w:ascii="David" w:hAnsi="David"/>
                <w:rtl/>
              </w:rPr>
              <w:t>המערער</w:t>
            </w:r>
            <w:r w:rsidR="00A1058F">
              <w:rPr>
                <w:rFonts w:ascii="David" w:hAnsi="David" w:hint="cs"/>
                <w:rtl/>
              </w:rPr>
              <w:t>ות בע"א 3129/19</w:t>
            </w:r>
            <w:r>
              <w:rPr>
                <w:rFonts w:ascii="David" w:hAnsi="David"/>
                <w:rtl/>
              </w:rPr>
              <w:t>:</w:t>
            </w:r>
          </w:p>
        </w:tc>
        <w:tc>
          <w:tcPr>
            <w:tcW w:w="4954" w:type="dxa"/>
          </w:tcPr>
          <w:p w:rsidR="00D00CB7" w:rsidRDefault="002965EF" w:rsidP="00CF54A5">
            <w:pPr>
              <w:pStyle w:val="BodyRuller"/>
            </w:pPr>
            <w:r>
              <w:rPr>
                <w:rtl/>
              </w:rPr>
              <w:t xml:space="preserve">1. </w:t>
            </w:r>
            <w:proofErr w:type="spellStart"/>
            <w:r>
              <w:rPr>
                <w:rtl/>
              </w:rPr>
              <w:t>זנלכל</w:t>
            </w:r>
            <w:proofErr w:type="spellEnd"/>
            <w:r>
              <w:rPr>
                <w:rtl/>
              </w:rPr>
              <w:t xml:space="preserve"> בע"מ</w:t>
            </w:r>
          </w:p>
        </w:tc>
      </w:tr>
      <w:tr w:rsidR="002965EF" w:rsidTr="00A1058F">
        <w:trPr>
          <w:trHeight w:val="287"/>
        </w:trPr>
        <w:tc>
          <w:tcPr>
            <w:tcW w:w="3410" w:type="dxa"/>
          </w:tcPr>
          <w:p w:rsidR="002965EF" w:rsidRDefault="002965EF" w:rsidP="00CF54A5">
            <w:pPr>
              <w:pStyle w:val="BodyRuller"/>
              <w:rPr>
                <w:rFonts w:ascii="David" w:hAnsi="David"/>
                <w:rtl/>
              </w:rPr>
            </w:pPr>
          </w:p>
        </w:tc>
        <w:tc>
          <w:tcPr>
            <w:tcW w:w="4954" w:type="dxa"/>
          </w:tcPr>
          <w:p w:rsidR="002965EF" w:rsidRDefault="002965EF" w:rsidP="00CF54A5">
            <w:pPr>
              <w:pStyle w:val="BodyRuller"/>
              <w:rPr>
                <w:rtl/>
              </w:rPr>
            </w:pPr>
            <w:r>
              <w:rPr>
                <w:rtl/>
              </w:rPr>
              <w:t>2. מדי ורד בע"מ</w:t>
            </w:r>
          </w:p>
        </w:tc>
      </w:tr>
      <w:tr w:rsidR="002965EF" w:rsidTr="00A1058F">
        <w:trPr>
          <w:trHeight w:val="287"/>
        </w:trPr>
        <w:tc>
          <w:tcPr>
            <w:tcW w:w="3410" w:type="dxa"/>
          </w:tcPr>
          <w:p w:rsidR="002965EF" w:rsidRDefault="002965EF" w:rsidP="00CF54A5">
            <w:pPr>
              <w:pStyle w:val="BodyRuller"/>
              <w:rPr>
                <w:rFonts w:ascii="David" w:hAnsi="David"/>
                <w:rtl/>
              </w:rPr>
            </w:pPr>
          </w:p>
        </w:tc>
        <w:tc>
          <w:tcPr>
            <w:tcW w:w="4954" w:type="dxa"/>
          </w:tcPr>
          <w:p w:rsidR="002965EF" w:rsidRDefault="002965EF" w:rsidP="00CF54A5">
            <w:pPr>
              <w:pStyle w:val="BodyRuller"/>
              <w:rPr>
                <w:rtl/>
              </w:rPr>
            </w:pPr>
            <w:r>
              <w:rPr>
                <w:rtl/>
              </w:rPr>
              <w:t xml:space="preserve">3. </w:t>
            </w:r>
            <w:proofErr w:type="spellStart"/>
            <w:r>
              <w:rPr>
                <w:rtl/>
              </w:rPr>
              <w:t>דלידג</w:t>
            </w:r>
            <w:proofErr w:type="spellEnd"/>
            <w:r>
              <w:rPr>
                <w:rtl/>
              </w:rPr>
              <w:t xml:space="preserve"> בע"מ</w:t>
            </w:r>
          </w:p>
        </w:tc>
      </w:tr>
      <w:tr w:rsidR="002965EF" w:rsidTr="00A1058F">
        <w:trPr>
          <w:trHeight w:val="287"/>
        </w:trPr>
        <w:tc>
          <w:tcPr>
            <w:tcW w:w="3410" w:type="dxa"/>
          </w:tcPr>
          <w:p w:rsidR="002965EF" w:rsidRDefault="002965EF" w:rsidP="00CF54A5">
            <w:pPr>
              <w:pStyle w:val="BodyRuller"/>
              <w:rPr>
                <w:rFonts w:ascii="David" w:hAnsi="David"/>
                <w:rtl/>
              </w:rPr>
            </w:pPr>
          </w:p>
        </w:tc>
        <w:tc>
          <w:tcPr>
            <w:tcW w:w="4954" w:type="dxa"/>
          </w:tcPr>
          <w:p w:rsidR="002965EF" w:rsidRDefault="002965EF" w:rsidP="00CF54A5">
            <w:pPr>
              <w:pStyle w:val="BodyRuller"/>
              <w:rPr>
                <w:rtl/>
              </w:rPr>
            </w:pPr>
            <w:r>
              <w:rPr>
                <w:rtl/>
              </w:rPr>
              <w:t xml:space="preserve">4. </w:t>
            </w:r>
            <w:proofErr w:type="spellStart"/>
            <w:r>
              <w:rPr>
                <w:rtl/>
              </w:rPr>
              <w:t>סובחי</w:t>
            </w:r>
            <w:proofErr w:type="spellEnd"/>
            <w:r>
              <w:rPr>
                <w:rtl/>
              </w:rPr>
              <w:t xml:space="preserve"> </w:t>
            </w:r>
            <w:proofErr w:type="spellStart"/>
            <w:r>
              <w:rPr>
                <w:rtl/>
              </w:rPr>
              <w:t>נח'לה</w:t>
            </w:r>
            <w:proofErr w:type="spellEnd"/>
            <w:r>
              <w:rPr>
                <w:rtl/>
              </w:rPr>
              <w:t xml:space="preserve"> ובניו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CF54A5">
            <w:pPr>
              <w:pStyle w:val="BodyRuller"/>
              <w:rPr>
                <w:rtl/>
              </w:rPr>
            </w:pPr>
          </w:p>
        </w:tc>
      </w:tr>
      <w:tr w:rsidR="00A1058F" w:rsidTr="00A1058F">
        <w:trPr>
          <w:trHeight w:val="287"/>
        </w:trPr>
        <w:tc>
          <w:tcPr>
            <w:tcW w:w="3410" w:type="dxa"/>
          </w:tcPr>
          <w:p w:rsidR="00A1058F" w:rsidRDefault="00A1058F" w:rsidP="00CF54A5">
            <w:pPr>
              <w:pStyle w:val="BodyRuller"/>
              <w:rPr>
                <w:rFonts w:ascii="David" w:hAnsi="David"/>
                <w:rtl/>
              </w:rPr>
            </w:pPr>
            <w:r>
              <w:rPr>
                <w:rFonts w:ascii="David" w:hAnsi="David" w:hint="cs"/>
                <w:rtl/>
              </w:rPr>
              <w:t>המערערת בע"א 3138/19:</w:t>
            </w:r>
          </w:p>
        </w:tc>
        <w:tc>
          <w:tcPr>
            <w:tcW w:w="4954" w:type="dxa"/>
          </w:tcPr>
          <w:p w:rsidR="00A1058F" w:rsidRDefault="00A1058F" w:rsidP="00CF54A5">
            <w:pPr>
              <w:pStyle w:val="BodyRuller"/>
              <w:rPr>
                <w:rtl/>
              </w:rPr>
            </w:pPr>
            <w:proofErr w:type="spellStart"/>
            <w:r>
              <w:rPr>
                <w:rFonts w:hint="cs"/>
                <w:rtl/>
              </w:rPr>
              <w:t>טופגאם</w:t>
            </w:r>
            <w:proofErr w:type="spellEnd"/>
            <w:r>
              <w:rPr>
                <w:rFonts w:hint="cs"/>
                <w:rtl/>
              </w:rPr>
              <w:t xml:space="preserve"> ממתקים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CF54A5">
            <w:pPr>
              <w:pStyle w:val="BodyRuller"/>
              <w:rPr>
                <w:rtl/>
              </w:rPr>
            </w:pPr>
          </w:p>
        </w:tc>
      </w:tr>
      <w:tr w:rsidR="00A1058F" w:rsidTr="00A1058F">
        <w:trPr>
          <w:trHeight w:val="287"/>
        </w:trPr>
        <w:tc>
          <w:tcPr>
            <w:tcW w:w="3410" w:type="dxa"/>
          </w:tcPr>
          <w:p w:rsidR="00A1058F" w:rsidRDefault="00A1058F" w:rsidP="00CF54A5">
            <w:pPr>
              <w:pStyle w:val="BodyRuller"/>
              <w:rPr>
                <w:rFonts w:ascii="David" w:hAnsi="David"/>
                <w:rtl/>
              </w:rPr>
            </w:pPr>
            <w:r>
              <w:rPr>
                <w:rFonts w:ascii="David" w:hAnsi="David" w:hint="cs"/>
                <w:rtl/>
              </w:rPr>
              <w:t>המערערת בע"א 3995/19:</w:t>
            </w:r>
          </w:p>
        </w:tc>
        <w:tc>
          <w:tcPr>
            <w:tcW w:w="4954" w:type="dxa"/>
          </w:tcPr>
          <w:p w:rsidR="00A1058F" w:rsidRDefault="00A1058F" w:rsidP="00CF54A5">
            <w:pPr>
              <w:pStyle w:val="BodyRuller"/>
              <w:rPr>
                <w:rtl/>
              </w:rPr>
            </w:pPr>
            <w:proofErr w:type="spellStart"/>
            <w:r>
              <w:rPr>
                <w:rFonts w:hint="cs"/>
                <w:rtl/>
              </w:rPr>
              <w:t>זנלכל</w:t>
            </w:r>
            <w:proofErr w:type="spellEnd"/>
            <w:r>
              <w:rPr>
                <w:rFonts w:hint="cs"/>
                <w:rtl/>
              </w:rPr>
              <w:t xml:space="preserve"> בע"מ</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410"/>
        <w:gridCol w:w="4954"/>
      </w:tblGrid>
      <w:tr w:rsidR="0083345F" w:rsidTr="00A1058F">
        <w:trPr>
          <w:trHeight w:val="287"/>
        </w:trPr>
        <w:tc>
          <w:tcPr>
            <w:tcW w:w="3410" w:type="dxa"/>
          </w:tcPr>
          <w:p w:rsidR="0083345F" w:rsidRPr="00E75223" w:rsidRDefault="002965EF" w:rsidP="00CF54A5">
            <w:pPr>
              <w:pStyle w:val="BodyRuller"/>
              <w:rPr>
                <w:rFonts w:ascii="David" w:hAnsi="David"/>
              </w:rPr>
            </w:pPr>
            <w:r>
              <w:rPr>
                <w:rFonts w:ascii="David" w:hAnsi="David"/>
                <w:rtl/>
              </w:rPr>
              <w:t>המשיבים</w:t>
            </w:r>
            <w:r w:rsidR="00A1058F">
              <w:rPr>
                <w:rFonts w:ascii="David" w:hAnsi="David" w:hint="cs"/>
                <w:rtl/>
              </w:rPr>
              <w:t xml:space="preserve"> בע"א 3129/19</w:t>
            </w:r>
            <w:r>
              <w:rPr>
                <w:rFonts w:ascii="David" w:hAnsi="David"/>
                <w:rtl/>
              </w:rPr>
              <w:t>:</w:t>
            </w:r>
          </w:p>
        </w:tc>
        <w:tc>
          <w:tcPr>
            <w:tcW w:w="4954" w:type="dxa"/>
          </w:tcPr>
          <w:p w:rsidR="0083345F" w:rsidRDefault="002965EF" w:rsidP="00CF54A5">
            <w:pPr>
              <w:pStyle w:val="BodyRuller"/>
            </w:pPr>
            <w:r>
              <w:rPr>
                <w:rtl/>
              </w:rPr>
              <w:t>1. פקיד שומה חיפה</w:t>
            </w:r>
          </w:p>
        </w:tc>
      </w:tr>
      <w:tr w:rsidR="002965EF" w:rsidTr="00A1058F">
        <w:trPr>
          <w:trHeight w:val="287"/>
        </w:trPr>
        <w:tc>
          <w:tcPr>
            <w:tcW w:w="3410" w:type="dxa"/>
          </w:tcPr>
          <w:p w:rsidR="002965EF" w:rsidRDefault="002965EF" w:rsidP="00CF54A5">
            <w:pPr>
              <w:pStyle w:val="BodyRuller"/>
              <w:rPr>
                <w:rFonts w:ascii="David" w:hAnsi="David"/>
                <w:rtl/>
              </w:rPr>
            </w:pPr>
          </w:p>
        </w:tc>
        <w:tc>
          <w:tcPr>
            <w:tcW w:w="4954" w:type="dxa"/>
          </w:tcPr>
          <w:p w:rsidR="002965EF" w:rsidRDefault="002965EF" w:rsidP="00CF54A5">
            <w:pPr>
              <w:pStyle w:val="BodyRuller"/>
              <w:rPr>
                <w:rtl/>
              </w:rPr>
            </w:pPr>
            <w:r>
              <w:rPr>
                <w:rtl/>
              </w:rPr>
              <w:t>2. פקיד שומה נצרת</w:t>
            </w:r>
          </w:p>
        </w:tc>
      </w:tr>
      <w:tr w:rsidR="002965EF" w:rsidTr="00A1058F">
        <w:trPr>
          <w:trHeight w:val="287"/>
        </w:trPr>
        <w:tc>
          <w:tcPr>
            <w:tcW w:w="3410" w:type="dxa"/>
          </w:tcPr>
          <w:p w:rsidR="002965EF" w:rsidRDefault="002965EF" w:rsidP="00CF54A5">
            <w:pPr>
              <w:pStyle w:val="BodyRuller"/>
              <w:rPr>
                <w:rFonts w:ascii="David" w:hAnsi="David"/>
                <w:rtl/>
              </w:rPr>
            </w:pPr>
          </w:p>
        </w:tc>
        <w:tc>
          <w:tcPr>
            <w:tcW w:w="4954" w:type="dxa"/>
          </w:tcPr>
          <w:p w:rsidR="002965EF" w:rsidRDefault="002965EF" w:rsidP="00A1058F">
            <w:pPr>
              <w:pStyle w:val="BodyRuller"/>
              <w:rPr>
                <w:rtl/>
              </w:rPr>
            </w:pPr>
            <w:r>
              <w:rPr>
                <w:rtl/>
              </w:rPr>
              <w:t xml:space="preserve">3. </w:t>
            </w:r>
            <w:proofErr w:type="spellStart"/>
            <w:r>
              <w:rPr>
                <w:rtl/>
              </w:rPr>
              <w:t>טופגאם</w:t>
            </w:r>
            <w:proofErr w:type="spellEnd"/>
            <w:r>
              <w:rPr>
                <w:rtl/>
              </w:rPr>
              <w:t xml:space="preserve"> ממתקים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A1058F">
            <w:pPr>
              <w:pStyle w:val="BodyRuller"/>
              <w:rPr>
                <w:rtl/>
              </w:rPr>
            </w:pPr>
          </w:p>
        </w:tc>
      </w:tr>
      <w:tr w:rsidR="00A1058F" w:rsidTr="00A1058F">
        <w:trPr>
          <w:trHeight w:val="287"/>
        </w:trPr>
        <w:tc>
          <w:tcPr>
            <w:tcW w:w="3410" w:type="dxa"/>
          </w:tcPr>
          <w:p w:rsidR="00A1058F" w:rsidRDefault="00A1058F" w:rsidP="00CF54A5">
            <w:pPr>
              <w:pStyle w:val="BodyRuller"/>
              <w:rPr>
                <w:rFonts w:ascii="David" w:hAnsi="David"/>
                <w:rtl/>
              </w:rPr>
            </w:pPr>
            <w:r>
              <w:rPr>
                <w:rFonts w:ascii="David" w:hAnsi="David" w:hint="cs"/>
                <w:rtl/>
              </w:rPr>
              <w:t>המשיבים בע"א 3138/19:</w:t>
            </w:r>
          </w:p>
        </w:tc>
        <w:tc>
          <w:tcPr>
            <w:tcW w:w="4954" w:type="dxa"/>
          </w:tcPr>
          <w:p w:rsidR="00A1058F" w:rsidRDefault="00A1058F" w:rsidP="00A1058F">
            <w:pPr>
              <w:pStyle w:val="BodyRuller"/>
              <w:rPr>
                <w:rtl/>
              </w:rPr>
            </w:pPr>
            <w:r>
              <w:rPr>
                <w:rFonts w:hint="cs"/>
                <w:rtl/>
              </w:rPr>
              <w:t>1. פקיד שומה אשקלון</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A1058F">
            <w:pPr>
              <w:pStyle w:val="BodyRuller"/>
              <w:rPr>
                <w:rtl/>
              </w:rPr>
            </w:pPr>
            <w:r>
              <w:rPr>
                <w:rFonts w:hint="cs"/>
                <w:rtl/>
              </w:rPr>
              <w:t xml:space="preserve">2. </w:t>
            </w:r>
            <w:proofErr w:type="spellStart"/>
            <w:r>
              <w:rPr>
                <w:rFonts w:hint="cs"/>
                <w:rtl/>
              </w:rPr>
              <w:t>זנלכל</w:t>
            </w:r>
            <w:proofErr w:type="spellEnd"/>
            <w:r>
              <w:rPr>
                <w:rFonts w:hint="cs"/>
                <w:rtl/>
              </w:rPr>
              <w:t xml:space="preserve">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A1058F">
            <w:pPr>
              <w:pStyle w:val="BodyRuller"/>
              <w:rPr>
                <w:rtl/>
              </w:rPr>
            </w:pPr>
            <w:r>
              <w:rPr>
                <w:rFonts w:hint="cs"/>
                <w:rtl/>
              </w:rPr>
              <w:t>3. מדי ורד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A1058F">
            <w:pPr>
              <w:pStyle w:val="BodyRuller"/>
              <w:rPr>
                <w:rtl/>
              </w:rPr>
            </w:pPr>
            <w:r>
              <w:rPr>
                <w:rFonts w:hint="cs"/>
                <w:rtl/>
              </w:rPr>
              <w:t xml:space="preserve">4. </w:t>
            </w:r>
            <w:proofErr w:type="spellStart"/>
            <w:r>
              <w:rPr>
                <w:rFonts w:hint="cs"/>
                <w:rtl/>
              </w:rPr>
              <w:t>דלידג</w:t>
            </w:r>
            <w:proofErr w:type="spellEnd"/>
            <w:r>
              <w:rPr>
                <w:rFonts w:hint="cs"/>
                <w:rtl/>
              </w:rPr>
              <w:t xml:space="preserve"> בע"מ</w:t>
            </w:r>
          </w:p>
        </w:tc>
      </w:tr>
      <w:tr w:rsidR="00A1058F" w:rsidTr="00A1058F">
        <w:trPr>
          <w:trHeight w:val="287"/>
        </w:trPr>
        <w:tc>
          <w:tcPr>
            <w:tcW w:w="3410" w:type="dxa"/>
          </w:tcPr>
          <w:p w:rsidR="00A1058F" w:rsidRDefault="00A1058F" w:rsidP="00CF54A5">
            <w:pPr>
              <w:pStyle w:val="BodyRuller"/>
              <w:rPr>
                <w:rFonts w:ascii="David" w:hAnsi="David"/>
                <w:rtl/>
              </w:rPr>
            </w:pPr>
          </w:p>
        </w:tc>
        <w:tc>
          <w:tcPr>
            <w:tcW w:w="4954" w:type="dxa"/>
          </w:tcPr>
          <w:p w:rsidR="00A1058F" w:rsidRDefault="00A1058F" w:rsidP="00A1058F">
            <w:pPr>
              <w:pStyle w:val="BodyRuller"/>
              <w:rPr>
                <w:rtl/>
              </w:rPr>
            </w:pPr>
            <w:r>
              <w:rPr>
                <w:rFonts w:hint="cs"/>
                <w:rtl/>
              </w:rPr>
              <w:t xml:space="preserve">5. </w:t>
            </w:r>
            <w:proofErr w:type="spellStart"/>
            <w:r>
              <w:rPr>
                <w:rFonts w:hint="cs"/>
                <w:rtl/>
              </w:rPr>
              <w:t>סובחי</w:t>
            </w:r>
            <w:proofErr w:type="spellEnd"/>
            <w:r>
              <w:rPr>
                <w:rFonts w:hint="cs"/>
                <w:rtl/>
              </w:rPr>
              <w:t xml:space="preserve"> </w:t>
            </w:r>
            <w:proofErr w:type="spellStart"/>
            <w:r>
              <w:rPr>
                <w:rFonts w:hint="cs"/>
                <w:rtl/>
              </w:rPr>
              <w:t>נח'לה</w:t>
            </w:r>
            <w:proofErr w:type="spellEnd"/>
            <w:r>
              <w:rPr>
                <w:rFonts w:hint="cs"/>
                <w:rtl/>
              </w:rPr>
              <w:t xml:space="preserve"> ובניו בע"מ</w:t>
            </w:r>
          </w:p>
        </w:tc>
      </w:tr>
      <w:tr w:rsidR="00A1058F" w:rsidTr="00A1058F">
        <w:trPr>
          <w:trHeight w:val="287"/>
        </w:trPr>
        <w:tc>
          <w:tcPr>
            <w:tcW w:w="3410" w:type="dxa"/>
          </w:tcPr>
          <w:p w:rsidR="00A1058F" w:rsidRPr="00A1058F" w:rsidRDefault="00A1058F" w:rsidP="00CF54A5">
            <w:pPr>
              <w:pStyle w:val="BodyRuller"/>
              <w:rPr>
                <w:rFonts w:ascii="David" w:hAnsi="David"/>
                <w:rtl/>
              </w:rPr>
            </w:pPr>
          </w:p>
        </w:tc>
        <w:tc>
          <w:tcPr>
            <w:tcW w:w="4954" w:type="dxa"/>
          </w:tcPr>
          <w:p w:rsidR="00A1058F" w:rsidRDefault="00A1058F" w:rsidP="00A1058F">
            <w:pPr>
              <w:pStyle w:val="BodyRuller"/>
              <w:rPr>
                <w:rtl/>
              </w:rPr>
            </w:pPr>
          </w:p>
        </w:tc>
      </w:tr>
      <w:tr w:rsidR="00A1058F" w:rsidTr="00A1058F">
        <w:trPr>
          <w:trHeight w:val="287"/>
        </w:trPr>
        <w:tc>
          <w:tcPr>
            <w:tcW w:w="3410" w:type="dxa"/>
          </w:tcPr>
          <w:p w:rsidR="00A1058F" w:rsidRPr="00A1058F" w:rsidRDefault="00A1058F" w:rsidP="00CF54A5">
            <w:pPr>
              <w:pStyle w:val="BodyRuller"/>
              <w:rPr>
                <w:rFonts w:ascii="David" w:hAnsi="David"/>
                <w:rtl/>
              </w:rPr>
            </w:pPr>
            <w:r>
              <w:rPr>
                <w:rFonts w:ascii="David" w:hAnsi="David" w:hint="cs"/>
                <w:rtl/>
              </w:rPr>
              <w:t>המשיב בע"א 3995/19:</w:t>
            </w:r>
          </w:p>
        </w:tc>
        <w:tc>
          <w:tcPr>
            <w:tcW w:w="4954" w:type="dxa"/>
          </w:tcPr>
          <w:p w:rsidR="00A1058F" w:rsidRDefault="00A1058F" w:rsidP="00A1058F">
            <w:pPr>
              <w:pStyle w:val="BodyRuller"/>
              <w:rPr>
                <w:rtl/>
              </w:rPr>
            </w:pPr>
            <w:r>
              <w:rPr>
                <w:rFonts w:hint="cs"/>
                <w:rtl/>
              </w:rPr>
              <w:t>פקיד שומה חיפה</w:t>
            </w:r>
          </w:p>
        </w:tc>
      </w:tr>
    </w:tbl>
    <w:p w:rsidR="0083345F" w:rsidRDefault="0083345F">
      <w:pPr>
        <w:pStyle w:val="Ruller3"/>
      </w:pPr>
    </w:p>
    <w:tbl>
      <w:tblPr>
        <w:bidiVisual/>
        <w:tblW w:w="0" w:type="auto"/>
        <w:tblInd w:w="3354" w:type="dxa"/>
        <w:tblLook w:val="0000" w:firstRow="0" w:lastRow="0" w:firstColumn="0" w:lastColumn="0" w:noHBand="0" w:noVBand="0"/>
      </w:tblPr>
      <w:tblGrid>
        <w:gridCol w:w="4770"/>
      </w:tblGrid>
      <w:tr w:rsidR="00036227" w:rsidTr="00A1058F">
        <w:tc>
          <w:tcPr>
            <w:tcW w:w="4958" w:type="dxa"/>
          </w:tcPr>
          <w:p w:rsidR="00916FF8" w:rsidRPr="00265F6E" w:rsidRDefault="002965EF" w:rsidP="00A1058F">
            <w:pPr>
              <w:pStyle w:val="BodyRuller"/>
              <w:jc w:val="both"/>
              <w:rPr>
                <w:sz w:val="24"/>
                <w:szCs w:val="24"/>
              </w:rPr>
            </w:pPr>
            <w:r>
              <w:rPr>
                <w:sz w:val="24"/>
                <w:szCs w:val="24"/>
                <w:rtl/>
              </w:rPr>
              <w:t xml:space="preserve">ערעור על פסק דינו של בית המשפט המחוזי </w:t>
            </w:r>
            <w:r w:rsidR="00A1058F">
              <w:rPr>
                <w:rFonts w:hint="cs"/>
                <w:sz w:val="24"/>
                <w:szCs w:val="24"/>
                <w:rtl/>
              </w:rPr>
              <w:t>ב</w:t>
            </w:r>
            <w:r>
              <w:rPr>
                <w:sz w:val="24"/>
                <w:szCs w:val="24"/>
                <w:rtl/>
              </w:rPr>
              <w:t xml:space="preserve">חיפה </w:t>
            </w:r>
            <w:r w:rsidR="00D80410" w:rsidRPr="00D80410">
              <w:rPr>
                <w:sz w:val="24"/>
                <w:szCs w:val="24"/>
                <w:rtl/>
              </w:rPr>
              <w:t>בע"מ 28534-01-16, ע"מ 44423-10-16, ע"מ 30996-12-16, ע"מ 47800-12-16, ע"מ 48026-12-16, ע</w:t>
            </w:r>
            <w:r w:rsidR="00D80410">
              <w:rPr>
                <w:sz w:val="24"/>
                <w:szCs w:val="24"/>
                <w:rtl/>
              </w:rPr>
              <w:t>"מ 48698-12-16 וע"מ 61629-01-17</w:t>
            </w:r>
            <w:r w:rsidR="00A1058F">
              <w:rPr>
                <w:rFonts w:hint="cs"/>
                <w:sz w:val="24"/>
                <w:szCs w:val="24"/>
                <w:rtl/>
              </w:rPr>
              <w:t xml:space="preserve"> מיום 19.3.2019 ופסק דינו בע"מ 12962-11-18 מיום 7.5.2019 שניתנו על ידי כבוד סגן הנשיא, השופט רון </w:t>
            </w:r>
            <w:proofErr w:type="spellStart"/>
            <w:r w:rsidR="00A1058F">
              <w:rPr>
                <w:rFonts w:hint="cs"/>
                <w:sz w:val="24"/>
                <w:szCs w:val="24"/>
                <w:rtl/>
              </w:rPr>
              <w:t>סוקול</w:t>
            </w:r>
            <w:proofErr w:type="spellEnd"/>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3412"/>
        <w:gridCol w:w="1416"/>
      </w:tblGrid>
      <w:tr w:rsidR="008C2F11" w:rsidTr="00D80410">
        <w:tc>
          <w:tcPr>
            <w:tcW w:w="3535"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3412" w:type="dxa"/>
            <w:tcBorders>
              <w:top w:val="nil"/>
              <w:left w:val="nil"/>
              <w:bottom w:val="nil"/>
              <w:right w:val="nil"/>
            </w:tcBorders>
          </w:tcPr>
          <w:p w:rsidR="008C2F11" w:rsidRDefault="002965EF">
            <w:pPr>
              <w:pStyle w:val="BodyRuller"/>
              <w:rPr>
                <w:rtl/>
              </w:rPr>
            </w:pPr>
            <w:r>
              <w:rPr>
                <w:sz w:val="24"/>
                <w:szCs w:val="24"/>
                <w:rtl/>
              </w:rPr>
              <w:t xml:space="preserve">י"ג בתשרי </w:t>
            </w:r>
            <w:proofErr w:type="spellStart"/>
            <w:r>
              <w:rPr>
                <w:sz w:val="24"/>
                <w:szCs w:val="24"/>
                <w:rtl/>
              </w:rPr>
              <w:t>התשפ"ב</w:t>
            </w:r>
            <w:proofErr w:type="spellEnd"/>
            <w:r w:rsidR="00D80410">
              <w:rPr>
                <w:rFonts w:hint="cs"/>
                <w:sz w:val="24"/>
                <w:szCs w:val="24"/>
                <w:rtl/>
              </w:rPr>
              <w:t xml:space="preserve"> (19.9.2021)</w:t>
            </w:r>
            <w:r w:rsidR="00D80410">
              <w:t xml:space="preserve">    </w:t>
            </w:r>
            <w:r w:rsidR="008C2F11">
              <w:t xml:space="preserve"> </w:t>
            </w:r>
          </w:p>
        </w:tc>
        <w:tc>
          <w:tcPr>
            <w:tcW w:w="1416" w:type="dxa"/>
            <w:tcBorders>
              <w:top w:val="nil"/>
              <w:left w:val="nil"/>
              <w:bottom w:val="nil"/>
              <w:right w:val="nil"/>
            </w:tcBorders>
          </w:tcPr>
          <w:p w:rsidR="008C2F11" w:rsidRDefault="008C2F11" w:rsidP="00A1058F">
            <w:pPr>
              <w:pStyle w:val="BodyRuller"/>
              <w:rPr>
                <w:sz w:val="24"/>
                <w:szCs w:val="24"/>
                <w:rtl/>
              </w:rPr>
            </w:pP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4828"/>
      </w:tblGrid>
      <w:tr w:rsidR="00036227" w:rsidTr="00A1058F">
        <w:tc>
          <w:tcPr>
            <w:tcW w:w="3535" w:type="dxa"/>
            <w:tcBorders>
              <w:top w:val="nil"/>
              <w:left w:val="nil"/>
              <w:bottom w:val="nil"/>
              <w:right w:val="nil"/>
            </w:tcBorders>
          </w:tcPr>
          <w:p w:rsidR="00CF54A5" w:rsidRDefault="00A1058F" w:rsidP="00A1058F">
            <w:pPr>
              <w:pStyle w:val="BodyRuller"/>
              <w:rPr>
                <w:rtl/>
              </w:rPr>
            </w:pPr>
            <w:r>
              <w:rPr>
                <w:rFonts w:ascii="David" w:hAnsi="David" w:hint="cs"/>
                <w:rtl/>
              </w:rPr>
              <w:t xml:space="preserve">בשם </w:t>
            </w:r>
            <w:r>
              <w:rPr>
                <w:rFonts w:ascii="David" w:hAnsi="David"/>
                <w:rtl/>
              </w:rPr>
              <w:t>המערער</w:t>
            </w:r>
            <w:r>
              <w:rPr>
                <w:rFonts w:ascii="David" w:hAnsi="David" w:hint="cs"/>
                <w:rtl/>
              </w:rPr>
              <w:t>ות בע"א 3129/19</w:t>
            </w:r>
            <w:r w:rsidR="00D80410">
              <w:rPr>
                <w:rFonts w:hint="cs"/>
                <w:rtl/>
              </w:rPr>
              <w:t>, המשיבות 5-2 בע"א 3138/19</w:t>
            </w:r>
          </w:p>
          <w:p w:rsidR="00036227" w:rsidRDefault="00CF54A5" w:rsidP="00A1058F">
            <w:pPr>
              <w:pStyle w:val="BodyRuller"/>
            </w:pPr>
            <w:r>
              <w:rPr>
                <w:rFonts w:hint="cs"/>
                <w:rtl/>
              </w:rPr>
              <w:lastRenderedPageBreak/>
              <w:t>והמערערת בע"א 3995/19</w:t>
            </w:r>
            <w:r w:rsidR="002965EF">
              <w:rPr>
                <w:rtl/>
              </w:rPr>
              <w:t>:</w:t>
            </w:r>
          </w:p>
        </w:tc>
        <w:tc>
          <w:tcPr>
            <w:tcW w:w="4828" w:type="dxa"/>
            <w:tcBorders>
              <w:top w:val="nil"/>
              <w:left w:val="nil"/>
              <w:bottom w:val="nil"/>
              <w:right w:val="nil"/>
            </w:tcBorders>
          </w:tcPr>
          <w:p w:rsidR="00036227" w:rsidRDefault="00CF54A5">
            <w:pPr>
              <w:pStyle w:val="BodyRuller"/>
              <w:rPr>
                <w:rtl/>
              </w:rPr>
            </w:pPr>
            <w:r>
              <w:rPr>
                <w:rFonts w:hint="cs"/>
                <w:rtl/>
              </w:rPr>
              <w:lastRenderedPageBreak/>
              <w:t xml:space="preserve">עו"ד משה מזרחי; עו"ד עמית </w:t>
            </w:r>
            <w:proofErr w:type="spellStart"/>
            <w:r>
              <w:rPr>
                <w:rFonts w:hint="cs"/>
                <w:rtl/>
              </w:rPr>
              <w:t>קריגל</w:t>
            </w:r>
            <w:proofErr w:type="spellEnd"/>
            <w:r>
              <w:rPr>
                <w:rFonts w:hint="cs"/>
                <w:rtl/>
              </w:rPr>
              <w:t>;</w:t>
            </w:r>
          </w:p>
          <w:p w:rsidR="00CF54A5" w:rsidRDefault="00CF54A5" w:rsidP="004F5E29">
            <w:pPr>
              <w:pStyle w:val="BodyRuller"/>
            </w:pPr>
            <w:r>
              <w:rPr>
                <w:rFonts w:hint="cs"/>
                <w:rtl/>
              </w:rPr>
              <w:t>עו"ד נח אל</w:t>
            </w:r>
            <w:bookmarkStart w:id="1" w:name="_GoBack"/>
            <w:bookmarkEnd w:id="1"/>
            <w:r>
              <w:rPr>
                <w:rFonts w:hint="cs"/>
                <w:rtl/>
              </w:rPr>
              <w:t>דד</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4828"/>
      </w:tblGrid>
      <w:tr w:rsidR="00CF54A5" w:rsidTr="00CF54A5">
        <w:tc>
          <w:tcPr>
            <w:tcW w:w="3535" w:type="dxa"/>
            <w:tcBorders>
              <w:top w:val="nil"/>
              <w:left w:val="nil"/>
              <w:bottom w:val="nil"/>
              <w:right w:val="nil"/>
            </w:tcBorders>
          </w:tcPr>
          <w:p w:rsidR="00CF54A5" w:rsidRDefault="00CF54A5" w:rsidP="00CF54A5">
            <w:pPr>
              <w:pStyle w:val="BodyRuller"/>
            </w:pPr>
            <w:r>
              <w:rPr>
                <w:rtl/>
              </w:rPr>
              <w:t xml:space="preserve">בשם </w:t>
            </w:r>
            <w:r w:rsidR="00D80410">
              <w:rPr>
                <w:rFonts w:hint="cs"/>
                <w:rtl/>
              </w:rPr>
              <w:t>המשיבה 3 בע"א 3129/19 והמערערת בע"א 3138/19:</w:t>
            </w:r>
          </w:p>
        </w:tc>
        <w:tc>
          <w:tcPr>
            <w:tcW w:w="4828" w:type="dxa"/>
            <w:tcBorders>
              <w:top w:val="nil"/>
              <w:left w:val="nil"/>
              <w:bottom w:val="nil"/>
              <w:right w:val="nil"/>
            </w:tcBorders>
          </w:tcPr>
          <w:p w:rsidR="00CF54A5" w:rsidRDefault="00393B81" w:rsidP="00CF54A5">
            <w:pPr>
              <w:pStyle w:val="BodyRuller"/>
            </w:pPr>
            <w:r>
              <w:rPr>
                <w:rFonts w:hint="cs"/>
                <w:rtl/>
              </w:rPr>
              <w:t xml:space="preserve">עו"ד </w:t>
            </w:r>
            <w:r w:rsidR="00CF54A5">
              <w:rPr>
                <w:rFonts w:hint="cs"/>
                <w:rtl/>
              </w:rPr>
              <w:t xml:space="preserve">גיא בר-און; </w:t>
            </w:r>
            <w:r>
              <w:rPr>
                <w:rFonts w:hint="cs"/>
                <w:rtl/>
              </w:rPr>
              <w:t xml:space="preserve">עו"ד זיו שרון; </w:t>
            </w:r>
            <w:r w:rsidR="00CF54A5">
              <w:rPr>
                <w:rFonts w:hint="cs"/>
                <w:rtl/>
              </w:rPr>
              <w:t>עו"ד עמית גליק</w:t>
            </w:r>
          </w:p>
        </w:tc>
      </w:tr>
    </w:tbl>
    <w:p w:rsidR="00CF54A5" w:rsidRDefault="00CF54A5">
      <w:pPr>
        <w:tabs>
          <w:tab w:val="left" w:pos="2552"/>
        </w:tabs>
        <w:rPr>
          <w:rtl/>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5"/>
        <w:gridCol w:w="4828"/>
      </w:tblGrid>
      <w:tr w:rsidR="00D80410" w:rsidTr="00DA13A4">
        <w:tc>
          <w:tcPr>
            <w:tcW w:w="3535" w:type="dxa"/>
            <w:tcBorders>
              <w:top w:val="nil"/>
              <w:left w:val="nil"/>
              <w:bottom w:val="nil"/>
              <w:right w:val="nil"/>
            </w:tcBorders>
          </w:tcPr>
          <w:p w:rsidR="00D80410" w:rsidRDefault="00D80410" w:rsidP="00D80410">
            <w:pPr>
              <w:pStyle w:val="BodyRuller"/>
              <w:rPr>
                <w:rtl/>
              </w:rPr>
            </w:pPr>
            <w:r>
              <w:rPr>
                <w:rtl/>
              </w:rPr>
              <w:t>בשם המשיבים</w:t>
            </w:r>
            <w:r>
              <w:rPr>
                <w:rFonts w:hint="cs"/>
                <w:rtl/>
              </w:rPr>
              <w:t xml:space="preserve"> 2-1 בע"א 3129/19, המשיב 1 בע"א 3138/19 והמשיב בע"א 3995/19:</w:t>
            </w:r>
          </w:p>
        </w:tc>
        <w:tc>
          <w:tcPr>
            <w:tcW w:w="4828" w:type="dxa"/>
            <w:tcBorders>
              <w:top w:val="nil"/>
              <w:left w:val="nil"/>
              <w:bottom w:val="nil"/>
              <w:right w:val="nil"/>
            </w:tcBorders>
          </w:tcPr>
          <w:p w:rsidR="00D80410" w:rsidRDefault="00D80410" w:rsidP="00DA13A4">
            <w:pPr>
              <w:pStyle w:val="BodyRuller"/>
            </w:pPr>
            <w:r>
              <w:rPr>
                <w:rFonts w:hint="cs"/>
                <w:rtl/>
              </w:rPr>
              <w:t xml:space="preserve">עו"ד חן </w:t>
            </w:r>
            <w:proofErr w:type="spellStart"/>
            <w:r>
              <w:rPr>
                <w:rFonts w:hint="cs"/>
                <w:rtl/>
              </w:rPr>
              <w:t>אבידוב</w:t>
            </w:r>
            <w:proofErr w:type="spellEnd"/>
          </w:p>
        </w:tc>
      </w:tr>
    </w:tbl>
    <w:p w:rsidR="00393B81" w:rsidRDefault="00393B81">
      <w:pPr>
        <w:tabs>
          <w:tab w:val="left" w:pos="2552"/>
        </w:tabs>
        <w:rPr>
          <w:rtl/>
        </w:rPr>
      </w:pPr>
    </w:p>
    <w:p w:rsidR="00D21A45" w:rsidRDefault="00D21A45">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2965EF">
            <w:pPr>
              <w:pStyle w:val="DocumentHead"/>
            </w:pPr>
            <w:bookmarkStart w:id="2" w:name="secretary"/>
            <w:bookmarkStart w:id="3" w:name="BeginProtocol"/>
            <w:bookmarkEnd w:id="2"/>
            <w:bookmarkEnd w:id="3"/>
            <w:r>
              <w:rPr>
                <w:rtl/>
              </w:rPr>
              <w:t>פסק-דין</w:t>
            </w:r>
          </w:p>
        </w:tc>
      </w:tr>
    </w:tbl>
    <w:p w:rsidR="0065522F" w:rsidRDefault="0065522F">
      <w:pPr>
        <w:pStyle w:val="BODYVERDICT"/>
      </w:pPr>
    </w:p>
    <w:p w:rsidR="00916FF8" w:rsidRPr="00503A3E" w:rsidRDefault="002965EF">
      <w:pPr>
        <w:pStyle w:val="BODYVERDICT"/>
        <w:rPr>
          <w:rFonts w:cs="Miriam"/>
          <w:sz w:val="24"/>
          <w:szCs w:val="24"/>
          <w:u w:val="single"/>
          <w:rtl/>
        </w:rPr>
      </w:pPr>
      <w:bookmarkStart w:id="4" w:name="Writer_Name"/>
      <w:bookmarkEnd w:id="4"/>
      <w:r>
        <w:rPr>
          <w:rFonts w:cs="Miriam"/>
          <w:sz w:val="24"/>
          <w:szCs w:val="24"/>
          <w:u w:val="single"/>
          <w:rtl/>
        </w:rPr>
        <w:t>השופט ע' גרוסקופף:</w:t>
      </w:r>
    </w:p>
    <w:p w:rsidR="000B1478" w:rsidRDefault="000B1478" w:rsidP="00A51FAE">
      <w:pPr>
        <w:pStyle w:val="Ruller41"/>
        <w:rPr>
          <w:rtl/>
        </w:rPr>
      </w:pPr>
      <w:bookmarkStart w:id="5" w:name="Start_Write"/>
      <w:bookmarkEnd w:id="5"/>
    </w:p>
    <w:p w:rsidR="00CF54A5" w:rsidRDefault="00CF54A5" w:rsidP="00CF54A5">
      <w:pPr>
        <w:pStyle w:val="Ruller41"/>
        <w:rPr>
          <w:rtl/>
        </w:rPr>
      </w:pPr>
      <w:r>
        <w:rPr>
          <w:rtl/>
        </w:rPr>
        <w:tab/>
      </w:r>
      <w:r>
        <w:rPr>
          <w:rFonts w:hint="cs"/>
          <w:rtl/>
        </w:rPr>
        <w:t xml:space="preserve">לפנינו שני </w:t>
      </w:r>
      <w:r w:rsidRPr="00962EB1">
        <w:rPr>
          <w:rFonts w:hint="cs"/>
          <w:rtl/>
        </w:rPr>
        <w:t xml:space="preserve">ערעורים </w:t>
      </w:r>
      <w:r w:rsidR="00393B81">
        <w:rPr>
          <w:rFonts w:hint="cs"/>
          <w:rtl/>
        </w:rPr>
        <w:t>(ע"א 3129/19 ו-</w:t>
      </w:r>
      <w:r>
        <w:rPr>
          <w:rFonts w:hint="cs"/>
          <w:rtl/>
        </w:rPr>
        <w:t xml:space="preserve">ע"א 3138/19) </w:t>
      </w:r>
      <w:r w:rsidRPr="00962EB1">
        <w:rPr>
          <w:rFonts w:hint="cs"/>
          <w:rtl/>
        </w:rPr>
        <w:t>על</w:t>
      </w:r>
      <w:r>
        <w:rPr>
          <w:rFonts w:hint="cs"/>
          <w:rtl/>
        </w:rPr>
        <w:t xml:space="preserve"> פסק דינו של בית המשפט המחוזי בחיפה (סגן הנשיא, השופט </w:t>
      </w:r>
      <w:r w:rsidRPr="00A003AA">
        <w:rPr>
          <w:rFonts w:ascii="Century" w:hAnsi="Century" w:cs="Miriam" w:hint="cs"/>
          <w:b/>
          <w:spacing w:val="0"/>
          <w:szCs w:val="24"/>
          <w:rtl/>
        </w:rPr>
        <w:t xml:space="preserve">רון </w:t>
      </w:r>
      <w:proofErr w:type="spellStart"/>
      <w:r w:rsidRPr="00A003AA">
        <w:rPr>
          <w:rFonts w:ascii="Century" w:hAnsi="Century" w:cs="Miriam" w:hint="cs"/>
          <w:b/>
          <w:spacing w:val="0"/>
          <w:szCs w:val="24"/>
          <w:rtl/>
        </w:rPr>
        <w:t>סוקול</w:t>
      </w:r>
      <w:proofErr w:type="spellEnd"/>
      <w:r>
        <w:rPr>
          <w:rFonts w:hint="cs"/>
          <w:rtl/>
        </w:rPr>
        <w:t>) מיום 19.3.2019 בע"מ 28534-01-16, ע"מ 44423-10-16, ע"מ 30996-12-16, ע"מ 47800-12-16, ע"מ 48026-12-16, ע"מ 48698-12-16 וע"מ 61629-01-17 אשר הדיון בהם</w:t>
      </w:r>
      <w:r w:rsidRPr="00ED4C10">
        <w:rPr>
          <w:rFonts w:hint="cs"/>
          <w:rtl/>
        </w:rPr>
        <w:t xml:space="preserve"> אוחד לאור זהות השאלות המשפטיות המתעוררות בהם </w:t>
      </w:r>
      <w:r>
        <w:rPr>
          <w:rFonts w:hint="cs"/>
          <w:rtl/>
        </w:rPr>
        <w:t xml:space="preserve">(להלן: </w:t>
      </w:r>
      <w:r w:rsidRPr="00A003AA">
        <w:rPr>
          <w:rFonts w:ascii="Century" w:hAnsi="Century" w:cs="Miriam" w:hint="cs"/>
          <w:b/>
          <w:spacing w:val="0"/>
          <w:szCs w:val="24"/>
          <w:rtl/>
        </w:rPr>
        <w:t>פסק הדין</w:t>
      </w:r>
      <w:r>
        <w:rPr>
          <w:rFonts w:hint="cs"/>
          <w:rtl/>
        </w:rPr>
        <w:t xml:space="preserve">); וכן ערעור אחד (ע"א 3995/19) על פסק דין של בית המשפט המחוזי בחיפה (סגן הנשיא, השופט </w:t>
      </w:r>
      <w:r w:rsidRPr="00A003AA">
        <w:rPr>
          <w:rFonts w:ascii="Century" w:hAnsi="Century" w:cs="Miriam" w:hint="cs"/>
          <w:b/>
          <w:spacing w:val="0"/>
          <w:szCs w:val="24"/>
          <w:rtl/>
        </w:rPr>
        <w:t xml:space="preserve">רון </w:t>
      </w:r>
      <w:proofErr w:type="spellStart"/>
      <w:r w:rsidRPr="00A003AA">
        <w:rPr>
          <w:rFonts w:ascii="Century" w:hAnsi="Century" w:cs="Miriam" w:hint="cs"/>
          <w:b/>
          <w:spacing w:val="0"/>
          <w:szCs w:val="24"/>
          <w:rtl/>
        </w:rPr>
        <w:t>סוקול</w:t>
      </w:r>
      <w:proofErr w:type="spellEnd"/>
      <w:r>
        <w:rPr>
          <w:rFonts w:hint="cs"/>
          <w:rtl/>
        </w:rPr>
        <w:t xml:space="preserve">) מיום 7.5.2019 בע"מ 12962-11-18 אשר החיל, בהסכמת הצדדים, את התוצאה בפסק הדין הנזכר מיום 19.3.2019 על ערעור המס אשר נדון שם. </w:t>
      </w:r>
    </w:p>
    <w:p w:rsidR="00CF54A5" w:rsidRDefault="00CF54A5" w:rsidP="00CF54A5">
      <w:pPr>
        <w:pStyle w:val="Ruller41"/>
        <w:rPr>
          <w:rtl/>
        </w:rPr>
      </w:pPr>
    </w:p>
    <w:p w:rsidR="00CF54A5" w:rsidRDefault="00CF54A5" w:rsidP="00393B81">
      <w:pPr>
        <w:pStyle w:val="Ruller41"/>
        <w:rPr>
          <w:rtl/>
        </w:rPr>
      </w:pPr>
      <w:r>
        <w:rPr>
          <w:rtl/>
        </w:rPr>
        <w:tab/>
      </w:r>
      <w:r>
        <w:rPr>
          <w:rFonts w:hint="cs"/>
          <w:rtl/>
        </w:rPr>
        <w:t xml:space="preserve">במסגרת פסק הדין נדחו ערעורי מס הכנסה שעניינם סירוב המשיבים להעניק למערערות את הטבת </w:t>
      </w:r>
      <w:r w:rsidR="00A94AA1">
        <w:rPr>
          <w:rFonts w:hint="cs"/>
          <w:rtl/>
        </w:rPr>
        <w:t>ה</w:t>
      </w:r>
      <w:r>
        <w:rPr>
          <w:rFonts w:hint="cs"/>
          <w:rtl/>
        </w:rPr>
        <w:t xml:space="preserve">מס הניתנת לחברות העונות להגדרה של מפעל תעשייתי "בר-תחרות" בהתאם לחוק לעידוד השקעות הון, התשי"ט-1959 (להלן: </w:t>
      </w:r>
      <w:r w:rsidRPr="00D9289A">
        <w:rPr>
          <w:rFonts w:ascii="Century" w:hAnsi="Century" w:cs="Miriam" w:hint="cs"/>
          <w:b/>
          <w:spacing w:val="0"/>
          <w:szCs w:val="24"/>
          <w:rtl/>
        </w:rPr>
        <w:t xml:space="preserve">החוק </w:t>
      </w:r>
      <w:r>
        <w:rPr>
          <w:rFonts w:hint="cs"/>
          <w:rtl/>
        </w:rPr>
        <w:t>או</w:t>
      </w:r>
      <w:r w:rsidRPr="00D9289A">
        <w:rPr>
          <w:rFonts w:ascii="Century" w:hAnsi="Century" w:cs="Miriam" w:hint="cs"/>
          <w:b/>
          <w:spacing w:val="0"/>
          <w:szCs w:val="24"/>
          <w:rtl/>
        </w:rPr>
        <w:t xml:space="preserve"> חוק עידוד השקעות</w:t>
      </w:r>
      <w:r>
        <w:rPr>
          <w:rFonts w:hint="cs"/>
          <w:rtl/>
        </w:rPr>
        <w:t xml:space="preserve">). השאלה המרכזית המתעוררת במסגרת הערעורים שלפנינו היא האם מפעל תעשייתי שמעל ל-75% ממכירותיו היו לשוק הישראלי זכאי היה ליהנות מהטבת המס האמורה בשנים 2011 ו-2012. </w:t>
      </w:r>
    </w:p>
    <w:p w:rsidR="00CF54A5" w:rsidRDefault="00CF54A5" w:rsidP="00CF54A5">
      <w:pPr>
        <w:pStyle w:val="Ruller41"/>
        <w:rPr>
          <w:rtl/>
        </w:rPr>
      </w:pPr>
    </w:p>
    <w:p w:rsidR="00CF54A5" w:rsidRPr="003A4EDF" w:rsidRDefault="00CF54A5" w:rsidP="00CF54A5">
      <w:pPr>
        <w:pStyle w:val="Ruller41"/>
        <w:rPr>
          <w:rFonts w:ascii="Century" w:hAnsi="Century" w:cs="Miriam"/>
          <w:b/>
          <w:spacing w:val="0"/>
          <w:szCs w:val="24"/>
          <w:rtl/>
        </w:rPr>
      </w:pPr>
      <w:r>
        <w:rPr>
          <w:rFonts w:ascii="Century" w:hAnsi="Century" w:cs="Miriam" w:hint="cs"/>
          <w:b/>
          <w:spacing w:val="0"/>
          <w:szCs w:val="24"/>
          <w:rtl/>
        </w:rPr>
        <w:t xml:space="preserve">התשתית הנורמטיבית הרלוונטית לעניין </w:t>
      </w:r>
      <w:r>
        <w:rPr>
          <w:rFonts w:ascii="Century" w:hAnsi="Century" w:cs="Miriam"/>
          <w:b/>
          <w:spacing w:val="0"/>
          <w:szCs w:val="24"/>
          <w:rtl/>
        </w:rPr>
        <w:t>–</w:t>
      </w:r>
      <w:r>
        <w:rPr>
          <w:rFonts w:ascii="Century" w:hAnsi="Century" w:cs="Miriam" w:hint="cs"/>
          <w:b/>
          <w:spacing w:val="0"/>
          <w:szCs w:val="24"/>
          <w:rtl/>
        </w:rPr>
        <w:t xml:space="preserve"> החוק לעידוד השקעות הון</w:t>
      </w:r>
    </w:p>
    <w:p w:rsidR="00CF54A5" w:rsidRDefault="00CF54A5" w:rsidP="00CF54A5">
      <w:pPr>
        <w:pStyle w:val="Ruller41"/>
        <w:rPr>
          <w:rFonts w:ascii="Century" w:hAnsi="Century" w:cs="Miriam"/>
          <w:b/>
          <w:spacing w:val="0"/>
          <w:szCs w:val="24"/>
          <w:rtl/>
        </w:rPr>
      </w:pPr>
    </w:p>
    <w:p w:rsidR="00CF54A5" w:rsidRDefault="00CF54A5" w:rsidP="00CF54A5">
      <w:pPr>
        <w:pStyle w:val="Ruller4"/>
        <w:rPr>
          <w:rtl/>
        </w:rPr>
      </w:pPr>
      <w:r w:rsidRPr="00C01ECB">
        <w:rPr>
          <w:rFonts w:hint="cs"/>
          <w:rtl/>
        </w:rPr>
        <w:t xml:space="preserve">בטרם </w:t>
      </w:r>
      <w:r>
        <w:rPr>
          <w:rFonts w:hint="cs"/>
          <w:rtl/>
        </w:rPr>
        <w:t>יוצגו</w:t>
      </w:r>
      <w:r w:rsidRPr="00C01ECB">
        <w:rPr>
          <w:rFonts w:hint="cs"/>
          <w:rtl/>
        </w:rPr>
        <w:t xml:space="preserve"> העובדות שביסוד הערעור</w:t>
      </w:r>
      <w:r>
        <w:rPr>
          <w:rFonts w:hint="cs"/>
          <w:rtl/>
        </w:rPr>
        <w:t>ים</w:t>
      </w:r>
      <w:r w:rsidRPr="00C01ECB">
        <w:rPr>
          <w:rFonts w:hint="cs"/>
          <w:rtl/>
        </w:rPr>
        <w:t xml:space="preserve"> שלפנינו, </w:t>
      </w:r>
      <w:r>
        <w:rPr>
          <w:rFonts w:hint="cs"/>
          <w:rtl/>
        </w:rPr>
        <w:t>יובא</w:t>
      </w:r>
      <w:r w:rsidRPr="00C01ECB">
        <w:rPr>
          <w:rFonts w:hint="cs"/>
          <w:rtl/>
        </w:rPr>
        <w:t xml:space="preserve"> הרקע החקיקתי הרלוונטי לעניין.</w:t>
      </w:r>
    </w:p>
    <w:p w:rsidR="00CF54A5" w:rsidRDefault="00CF54A5" w:rsidP="00CF54A5">
      <w:pPr>
        <w:pStyle w:val="Ruller41"/>
        <w:rPr>
          <w:rtl/>
        </w:rPr>
      </w:pPr>
    </w:p>
    <w:p w:rsidR="00CF54A5" w:rsidRPr="00731D44" w:rsidRDefault="00CF54A5" w:rsidP="00CF54A5">
      <w:pPr>
        <w:pStyle w:val="Ruller4"/>
        <w:rPr>
          <w:rtl/>
        </w:rPr>
      </w:pPr>
      <w:r w:rsidRPr="00731D44">
        <w:rPr>
          <w:rFonts w:hint="cs"/>
          <w:rtl/>
        </w:rPr>
        <w:t xml:space="preserve">חוק עידוד השקעות, אשר נחקק בשנת 1959, נועד להחליף את החוק לעידוד השקעות הון, התש"י-1950, ולהרחיב את ההטבות הניתנות למשקיעי הון זר ולמשקיעי </w:t>
      </w:r>
      <w:r w:rsidRPr="00731D44">
        <w:rPr>
          <w:rFonts w:hint="cs"/>
          <w:rtl/>
        </w:rPr>
        <w:lastRenderedPageBreak/>
        <w:t xml:space="preserve">הון מקומי לשם עידוד השקעות הון בישראל (ראו דברי ההסבר להצעת חוק לעידוד השקעות הון, התשי"ט-1959, </w:t>
      </w:r>
      <w:proofErr w:type="spellStart"/>
      <w:r w:rsidRPr="00731D44">
        <w:rPr>
          <w:rFonts w:hint="cs"/>
          <w:rtl/>
        </w:rPr>
        <w:t>ה"ח</w:t>
      </w:r>
      <w:proofErr w:type="spellEnd"/>
      <w:r w:rsidRPr="00731D44">
        <w:rPr>
          <w:rFonts w:hint="cs"/>
          <w:rtl/>
        </w:rPr>
        <w:t xml:space="preserve"> 388, 399). תכליתו של החוק, כפי שמעיד שמו, היא לתמרץ משקיעים, בין אם מדובר במשקיעים זרים ובין אם מדובר במשקיעים ישראלים, להשקיע בפעילויות ו</w:t>
      </w:r>
      <w:r>
        <w:rPr>
          <w:rFonts w:hint="cs"/>
          <w:rtl/>
        </w:rPr>
        <w:t>ב</w:t>
      </w:r>
      <w:r w:rsidRPr="00731D44">
        <w:rPr>
          <w:rFonts w:hint="cs"/>
          <w:rtl/>
        </w:rPr>
        <w:t xml:space="preserve">מיזמים כלכליים המתבצעים בשטח ישראל, וכן לעודד יזמים לבסס את פעילותם בישראל </w:t>
      </w:r>
      <w:r w:rsidRPr="00731D44">
        <w:rPr>
          <w:rtl/>
        </w:rPr>
        <w:t>–</w:t>
      </w:r>
      <w:r w:rsidRPr="00731D44">
        <w:rPr>
          <w:rFonts w:hint="cs"/>
          <w:rtl/>
        </w:rPr>
        <w:t xml:space="preserve"> הכול מתוך הבנה שיש בכך כדי לתרום תרומה משמעותית לתיעוש ולצמיחה הכלכלית </w:t>
      </w:r>
      <w:r w:rsidRPr="002550AD">
        <w:rPr>
          <w:rFonts w:hint="cs"/>
          <w:rtl/>
        </w:rPr>
        <w:t>בארץ באמצעות יצירת מקומות עבודה, יצירת מקורות הכנסה למדינה ו</w:t>
      </w:r>
      <w:r>
        <w:rPr>
          <w:rFonts w:hint="cs"/>
          <w:rtl/>
        </w:rPr>
        <w:t xml:space="preserve">הטמעה </w:t>
      </w:r>
      <w:r w:rsidRPr="002550AD">
        <w:rPr>
          <w:rFonts w:hint="cs"/>
          <w:rtl/>
        </w:rPr>
        <w:t xml:space="preserve">של ידע וטכנולוגיה </w:t>
      </w:r>
      <w:r>
        <w:rPr>
          <w:rFonts w:hint="cs"/>
          <w:rtl/>
        </w:rPr>
        <w:t>ב</w:t>
      </w:r>
      <w:r w:rsidRPr="002550AD">
        <w:rPr>
          <w:rFonts w:hint="cs"/>
          <w:rtl/>
        </w:rPr>
        <w:t>ארץ (</w:t>
      </w:r>
      <w:r w:rsidRPr="00731D44">
        <w:rPr>
          <w:rFonts w:hint="cs"/>
          <w:rtl/>
        </w:rPr>
        <w:t xml:space="preserve">על תכלית החוק, ראו: </w:t>
      </w:r>
      <w:r w:rsidRPr="00731D44">
        <w:rPr>
          <w:rFonts w:hint="eastAsia"/>
          <w:rtl/>
        </w:rPr>
        <w:t>ע</w:t>
      </w:r>
      <w:r w:rsidRPr="00731D44">
        <w:rPr>
          <w:rtl/>
        </w:rPr>
        <w:t>"</w:t>
      </w:r>
      <w:r w:rsidRPr="00731D44">
        <w:rPr>
          <w:rFonts w:hint="eastAsia"/>
          <w:rtl/>
        </w:rPr>
        <w:t>א</w:t>
      </w:r>
      <w:r w:rsidRPr="00731D44">
        <w:rPr>
          <w:rtl/>
        </w:rPr>
        <w:t xml:space="preserve"> 745</w:t>
      </w:r>
      <w:r w:rsidRPr="00731D44">
        <w:rPr>
          <w:rFonts w:hint="cs"/>
          <w:rtl/>
        </w:rPr>
        <w:t>/</w:t>
      </w:r>
      <w:r w:rsidRPr="00731D44">
        <w:rPr>
          <w:rtl/>
        </w:rPr>
        <w:t xml:space="preserve">80 </w:t>
      </w:r>
      <w:r w:rsidRPr="00731D44">
        <w:rPr>
          <w:rFonts w:ascii="Century" w:hAnsi="Century" w:cs="Miriam" w:hint="eastAsia"/>
          <w:b/>
          <w:spacing w:val="0"/>
          <w:sz w:val="22"/>
          <w:szCs w:val="24"/>
          <w:rtl/>
        </w:rPr>
        <w:t>סברינה</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מפעלי</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טקסטיל</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בע</w:t>
      </w:r>
      <w:r w:rsidRPr="00731D44">
        <w:rPr>
          <w:rFonts w:ascii="Century" w:hAnsi="Century" w:cs="Miriam"/>
          <w:b/>
          <w:spacing w:val="0"/>
          <w:sz w:val="22"/>
          <w:szCs w:val="24"/>
          <w:rtl/>
        </w:rPr>
        <w:t>"</w:t>
      </w:r>
      <w:r w:rsidRPr="00731D44">
        <w:rPr>
          <w:rFonts w:ascii="Century" w:hAnsi="Century" w:cs="Miriam" w:hint="eastAsia"/>
          <w:b/>
          <w:spacing w:val="0"/>
          <w:sz w:val="22"/>
          <w:szCs w:val="24"/>
          <w:rtl/>
        </w:rPr>
        <w:t>מ</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נ</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פקיד</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השומה</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למפעלים</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גדולים</w:t>
      </w:r>
      <w:r w:rsidRPr="00731D44">
        <w:rPr>
          <w:rtl/>
        </w:rPr>
        <w:t xml:space="preserve">, </w:t>
      </w:r>
      <w:r w:rsidRPr="00731D44">
        <w:rPr>
          <w:rFonts w:hint="eastAsia"/>
          <w:rtl/>
        </w:rPr>
        <w:t>פ</w:t>
      </w:r>
      <w:r w:rsidRPr="00731D44">
        <w:rPr>
          <w:rtl/>
        </w:rPr>
        <w:t>"</w:t>
      </w:r>
      <w:r w:rsidRPr="00731D44">
        <w:rPr>
          <w:rFonts w:hint="eastAsia"/>
          <w:rtl/>
        </w:rPr>
        <w:t>ד</w:t>
      </w:r>
      <w:r w:rsidRPr="00731D44">
        <w:rPr>
          <w:rtl/>
        </w:rPr>
        <w:t xml:space="preserve"> </w:t>
      </w:r>
      <w:proofErr w:type="spellStart"/>
      <w:r w:rsidRPr="00731D44">
        <w:rPr>
          <w:rFonts w:hint="eastAsia"/>
          <w:rtl/>
        </w:rPr>
        <w:t>לז</w:t>
      </w:r>
      <w:proofErr w:type="spellEnd"/>
      <w:r w:rsidRPr="00731D44">
        <w:rPr>
          <w:rtl/>
        </w:rPr>
        <w:t>(4) 430</w:t>
      </w:r>
      <w:r w:rsidRPr="00731D44">
        <w:rPr>
          <w:rFonts w:hint="cs"/>
          <w:rtl/>
        </w:rPr>
        <w:t xml:space="preserve">, 432 (1983); </w:t>
      </w:r>
      <w:r w:rsidRPr="00731D44">
        <w:rPr>
          <w:rFonts w:hint="eastAsia"/>
          <w:rtl/>
        </w:rPr>
        <w:t>ע</w:t>
      </w:r>
      <w:r w:rsidRPr="00731D44">
        <w:rPr>
          <w:rtl/>
        </w:rPr>
        <w:t>"</w:t>
      </w:r>
      <w:r w:rsidRPr="00731D44">
        <w:rPr>
          <w:rFonts w:hint="eastAsia"/>
          <w:rtl/>
        </w:rPr>
        <w:t>א</w:t>
      </w:r>
      <w:r w:rsidRPr="00731D44">
        <w:rPr>
          <w:rtl/>
        </w:rPr>
        <w:t xml:space="preserve"> 5264</w:t>
      </w:r>
      <w:r w:rsidRPr="00731D44">
        <w:rPr>
          <w:rFonts w:hint="cs"/>
          <w:rtl/>
        </w:rPr>
        <w:t>/</w:t>
      </w:r>
      <w:r w:rsidRPr="00731D44">
        <w:rPr>
          <w:rtl/>
        </w:rPr>
        <w:t xml:space="preserve">91 </w:t>
      </w:r>
      <w:r w:rsidRPr="00731D44">
        <w:rPr>
          <w:rFonts w:ascii="Century" w:hAnsi="Century" w:cs="Miriam" w:hint="eastAsia"/>
          <w:b/>
          <w:spacing w:val="0"/>
          <w:sz w:val="22"/>
          <w:szCs w:val="24"/>
          <w:rtl/>
        </w:rPr>
        <w:t>פקיד</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השומה</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למפעלים</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גדולים</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נ</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עיט</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ציוד</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ליבוא</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בע</w:t>
      </w:r>
      <w:r w:rsidRPr="00731D44">
        <w:rPr>
          <w:rFonts w:ascii="Century" w:hAnsi="Century" w:cs="Miriam"/>
          <w:b/>
          <w:spacing w:val="0"/>
          <w:sz w:val="22"/>
          <w:szCs w:val="24"/>
          <w:rtl/>
        </w:rPr>
        <w:t>"</w:t>
      </w:r>
      <w:r w:rsidRPr="00731D44">
        <w:rPr>
          <w:rFonts w:ascii="Century" w:hAnsi="Century" w:cs="Miriam" w:hint="eastAsia"/>
          <w:b/>
          <w:spacing w:val="0"/>
          <w:sz w:val="22"/>
          <w:szCs w:val="24"/>
          <w:rtl/>
        </w:rPr>
        <w:t>מ</w:t>
      </w:r>
      <w:r w:rsidRPr="00731D44">
        <w:rPr>
          <w:rtl/>
        </w:rPr>
        <w:t>,</w:t>
      </w:r>
      <w:r w:rsidRPr="00731D44">
        <w:rPr>
          <w:rFonts w:hint="cs"/>
          <w:rtl/>
        </w:rPr>
        <w:t xml:space="preserve"> פ"ד</w:t>
      </w:r>
      <w:r w:rsidRPr="00731D44">
        <w:rPr>
          <w:rtl/>
        </w:rPr>
        <w:t xml:space="preserve"> </w:t>
      </w:r>
      <w:r w:rsidRPr="00731D44">
        <w:rPr>
          <w:rFonts w:hint="eastAsia"/>
          <w:rtl/>
        </w:rPr>
        <w:t>מט</w:t>
      </w:r>
      <w:r w:rsidRPr="00731D44">
        <w:rPr>
          <w:rtl/>
        </w:rPr>
        <w:t>(3) 209</w:t>
      </w:r>
      <w:r w:rsidRPr="00731D44">
        <w:rPr>
          <w:rFonts w:hint="cs"/>
          <w:rtl/>
        </w:rPr>
        <w:t>, 219 (1995)</w:t>
      </w:r>
      <w:r>
        <w:rPr>
          <w:rFonts w:hint="cs"/>
          <w:rtl/>
        </w:rPr>
        <w:t xml:space="preserve"> (להלן: </w:t>
      </w:r>
      <w:r w:rsidRPr="001E70B6">
        <w:rPr>
          <w:rFonts w:ascii="Century" w:hAnsi="Century" w:cs="Miriam" w:hint="cs"/>
          <w:b/>
          <w:spacing w:val="0"/>
          <w:sz w:val="22"/>
          <w:szCs w:val="24"/>
          <w:rtl/>
        </w:rPr>
        <w:t>עניין עיט ציוד ליבוא</w:t>
      </w:r>
      <w:r>
        <w:rPr>
          <w:rFonts w:hint="cs"/>
          <w:rtl/>
        </w:rPr>
        <w:t>)</w:t>
      </w:r>
      <w:r w:rsidRPr="00731D44">
        <w:rPr>
          <w:rFonts w:hint="cs"/>
          <w:rtl/>
        </w:rPr>
        <w:t xml:space="preserve">; </w:t>
      </w:r>
      <w:r w:rsidRPr="00731D44">
        <w:rPr>
          <w:rFonts w:hint="eastAsia"/>
          <w:rtl/>
        </w:rPr>
        <w:t>בג</w:t>
      </w:r>
      <w:r w:rsidRPr="00731D44">
        <w:rPr>
          <w:rtl/>
        </w:rPr>
        <w:t>"</w:t>
      </w:r>
      <w:r w:rsidRPr="00731D44">
        <w:rPr>
          <w:rFonts w:hint="eastAsia"/>
          <w:rtl/>
        </w:rPr>
        <w:t>ץ</w:t>
      </w:r>
      <w:r w:rsidRPr="00731D44">
        <w:rPr>
          <w:rtl/>
        </w:rPr>
        <w:t xml:space="preserve"> 5277/96 </w:t>
      </w:r>
      <w:r w:rsidRPr="00DD36D4">
        <w:rPr>
          <w:rFonts w:ascii="Century" w:hAnsi="Century" w:cs="Miriam" w:hint="eastAsia"/>
          <w:b/>
          <w:spacing w:val="0"/>
          <w:sz w:val="22"/>
          <w:szCs w:val="24"/>
          <w:rtl/>
        </w:rPr>
        <w:t>חוד</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חברה</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לתעשיות</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מוצרי</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מתכת</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בע</w:t>
      </w:r>
      <w:r w:rsidRPr="00DD36D4">
        <w:rPr>
          <w:rFonts w:ascii="Century" w:hAnsi="Century" w:cs="Miriam"/>
          <w:b/>
          <w:spacing w:val="0"/>
          <w:sz w:val="22"/>
          <w:szCs w:val="24"/>
          <w:rtl/>
        </w:rPr>
        <w:t>"</w:t>
      </w:r>
      <w:r w:rsidRPr="00DD36D4">
        <w:rPr>
          <w:rFonts w:ascii="Century" w:hAnsi="Century" w:cs="Miriam" w:hint="eastAsia"/>
          <w:b/>
          <w:spacing w:val="0"/>
          <w:sz w:val="22"/>
          <w:szCs w:val="24"/>
          <w:rtl/>
        </w:rPr>
        <w:t>מ</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נ</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שר</w:t>
      </w:r>
      <w:r w:rsidRPr="00DD36D4">
        <w:rPr>
          <w:rFonts w:ascii="Century" w:hAnsi="Century" w:cs="Miriam"/>
          <w:b/>
          <w:spacing w:val="0"/>
          <w:sz w:val="22"/>
          <w:szCs w:val="24"/>
          <w:rtl/>
        </w:rPr>
        <w:t xml:space="preserve"> </w:t>
      </w:r>
      <w:r w:rsidRPr="00DD36D4">
        <w:rPr>
          <w:rFonts w:ascii="Century" w:hAnsi="Century" w:cs="Miriam" w:hint="eastAsia"/>
          <w:b/>
          <w:spacing w:val="0"/>
          <w:sz w:val="22"/>
          <w:szCs w:val="24"/>
          <w:rtl/>
        </w:rPr>
        <w:t>האוצר</w:t>
      </w:r>
      <w:r w:rsidRPr="00731D44">
        <w:rPr>
          <w:rtl/>
        </w:rPr>
        <w:t xml:space="preserve">, </w:t>
      </w:r>
      <w:r w:rsidRPr="00731D44">
        <w:rPr>
          <w:rFonts w:hint="eastAsia"/>
          <w:rtl/>
        </w:rPr>
        <w:t>פ</w:t>
      </w:r>
      <w:r w:rsidRPr="00731D44">
        <w:rPr>
          <w:rtl/>
        </w:rPr>
        <w:t>"</w:t>
      </w:r>
      <w:r w:rsidRPr="00731D44">
        <w:rPr>
          <w:rFonts w:hint="eastAsia"/>
          <w:rtl/>
        </w:rPr>
        <w:t>ד</w:t>
      </w:r>
      <w:r w:rsidRPr="00731D44">
        <w:rPr>
          <w:rtl/>
        </w:rPr>
        <w:t xml:space="preserve"> </w:t>
      </w:r>
      <w:r w:rsidRPr="00731D44">
        <w:rPr>
          <w:rFonts w:hint="eastAsia"/>
          <w:rtl/>
        </w:rPr>
        <w:t>נ</w:t>
      </w:r>
      <w:r w:rsidRPr="00731D44">
        <w:rPr>
          <w:rtl/>
        </w:rPr>
        <w:t>(5) 854, 858 (1997)</w:t>
      </w:r>
      <w:r w:rsidRPr="00731D44">
        <w:rPr>
          <w:rFonts w:hint="cs"/>
          <w:rtl/>
        </w:rPr>
        <w:t xml:space="preserve">; </w:t>
      </w:r>
      <w:r w:rsidRPr="00731D44">
        <w:rPr>
          <w:rFonts w:hint="eastAsia"/>
          <w:rtl/>
        </w:rPr>
        <w:t>ע</w:t>
      </w:r>
      <w:r w:rsidRPr="00731D44">
        <w:rPr>
          <w:rtl/>
        </w:rPr>
        <w:t>"</w:t>
      </w:r>
      <w:r w:rsidRPr="00731D44">
        <w:rPr>
          <w:rFonts w:hint="eastAsia"/>
          <w:rtl/>
        </w:rPr>
        <w:t>א</w:t>
      </w:r>
      <w:r w:rsidRPr="00731D44">
        <w:rPr>
          <w:rtl/>
        </w:rPr>
        <w:t xml:space="preserve"> 2895</w:t>
      </w:r>
      <w:r w:rsidRPr="00731D44">
        <w:rPr>
          <w:rFonts w:hint="cs"/>
          <w:rtl/>
        </w:rPr>
        <w:t>/</w:t>
      </w:r>
      <w:r w:rsidRPr="00731D44">
        <w:rPr>
          <w:rtl/>
        </w:rPr>
        <w:t xml:space="preserve">08 </w:t>
      </w:r>
      <w:r w:rsidRPr="00731D44">
        <w:rPr>
          <w:rFonts w:ascii="Century" w:hAnsi="Century" w:cs="Miriam" w:hint="eastAsia"/>
          <w:b/>
          <w:spacing w:val="0"/>
          <w:sz w:val="22"/>
          <w:szCs w:val="24"/>
          <w:rtl/>
        </w:rPr>
        <w:t>פקיד</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השומה</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למפעלים</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גדולים</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נ</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חברת</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מודול</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בטון</w:t>
      </w:r>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השקעות</w:t>
      </w:r>
      <w:r w:rsidRPr="00731D44">
        <w:rPr>
          <w:rFonts w:ascii="Century" w:hAnsi="Century" w:cs="Miriam"/>
          <w:b/>
          <w:spacing w:val="0"/>
          <w:sz w:val="22"/>
          <w:szCs w:val="24"/>
          <w:rtl/>
        </w:rPr>
        <w:t xml:space="preserve"> </w:t>
      </w:r>
      <w:proofErr w:type="spellStart"/>
      <w:r w:rsidRPr="00731D44">
        <w:rPr>
          <w:rFonts w:ascii="Century" w:hAnsi="Century" w:cs="Miriam" w:hint="eastAsia"/>
          <w:b/>
          <w:spacing w:val="0"/>
          <w:sz w:val="22"/>
          <w:szCs w:val="24"/>
          <w:rtl/>
        </w:rPr>
        <w:t>בתעשיה</w:t>
      </w:r>
      <w:proofErr w:type="spellEnd"/>
      <w:r w:rsidRPr="00731D44">
        <w:rPr>
          <w:rFonts w:ascii="Century" w:hAnsi="Century" w:cs="Miriam"/>
          <w:b/>
          <w:spacing w:val="0"/>
          <w:sz w:val="22"/>
          <w:szCs w:val="24"/>
          <w:rtl/>
        </w:rPr>
        <w:t xml:space="preserve"> </w:t>
      </w:r>
      <w:r w:rsidRPr="00731D44">
        <w:rPr>
          <w:rFonts w:ascii="Century" w:hAnsi="Century" w:cs="Miriam" w:hint="eastAsia"/>
          <w:b/>
          <w:spacing w:val="0"/>
          <w:sz w:val="22"/>
          <w:szCs w:val="24"/>
          <w:rtl/>
        </w:rPr>
        <w:t>בע</w:t>
      </w:r>
      <w:r w:rsidRPr="00731D44">
        <w:rPr>
          <w:rFonts w:ascii="Century" w:hAnsi="Century" w:cs="Miriam"/>
          <w:b/>
          <w:spacing w:val="0"/>
          <w:sz w:val="22"/>
          <w:szCs w:val="24"/>
          <w:rtl/>
        </w:rPr>
        <w:t>"</w:t>
      </w:r>
      <w:r w:rsidRPr="00731D44">
        <w:rPr>
          <w:rFonts w:ascii="Century" w:hAnsi="Century" w:cs="Miriam" w:hint="eastAsia"/>
          <w:b/>
          <w:spacing w:val="0"/>
          <w:sz w:val="22"/>
          <w:szCs w:val="24"/>
          <w:rtl/>
        </w:rPr>
        <w:t>מ</w:t>
      </w:r>
      <w:r w:rsidRPr="00731D44">
        <w:rPr>
          <w:rFonts w:hint="cs"/>
          <w:rtl/>
        </w:rPr>
        <w:t xml:space="preserve">, פסקה 23 (21.2.2010); </w:t>
      </w:r>
      <w:r>
        <w:rPr>
          <w:rFonts w:ascii="Arimo" w:hAnsi="Arimo"/>
          <w:rtl/>
        </w:rPr>
        <w:t>בג"ץ 5557</w:t>
      </w:r>
      <w:r>
        <w:rPr>
          <w:rFonts w:ascii="Arimo" w:hAnsi="Arimo" w:hint="cs"/>
          <w:rtl/>
        </w:rPr>
        <w:t>/</w:t>
      </w:r>
      <w:r>
        <w:rPr>
          <w:rFonts w:ascii="Arimo" w:hAnsi="Arimo"/>
          <w:rtl/>
        </w:rPr>
        <w:t xml:space="preserve">13 </w:t>
      </w:r>
      <w:r w:rsidRPr="000F03A5">
        <w:rPr>
          <w:rFonts w:ascii="Century" w:hAnsi="Century" w:cs="Miriam"/>
          <w:b/>
          <w:spacing w:val="0"/>
          <w:sz w:val="22"/>
          <w:szCs w:val="24"/>
          <w:rtl/>
        </w:rPr>
        <w:t>עוף עוז (שיווק) בע"מ נ' מנהל מרכז ההשקעות במשרד הכלכלה</w:t>
      </w:r>
      <w:r>
        <w:rPr>
          <w:rFonts w:ascii="Arimo" w:hAnsi="Arimo" w:hint="cs"/>
          <w:rtl/>
        </w:rPr>
        <w:t xml:space="preserve">, פסקה 41 (18.12.2017); </w:t>
      </w:r>
      <w:r w:rsidRPr="00731D44">
        <w:rPr>
          <w:rFonts w:ascii="Century" w:hAnsi="Century"/>
          <w:sz w:val="22"/>
          <w:rtl/>
        </w:rPr>
        <w:t>אמנון רפאל </w:t>
      </w:r>
      <w:r w:rsidRPr="00731D44">
        <w:rPr>
          <w:rFonts w:ascii="Century" w:hAnsi="Century" w:cs="Miriam"/>
          <w:b/>
          <w:spacing w:val="0"/>
          <w:sz w:val="22"/>
          <w:szCs w:val="24"/>
          <w:rtl/>
        </w:rPr>
        <w:t>מס הכנסה</w:t>
      </w:r>
      <w:r w:rsidRPr="00731D44">
        <w:rPr>
          <w:rFonts w:ascii="Century" w:hAnsi="Century"/>
          <w:sz w:val="22"/>
          <w:rtl/>
        </w:rPr>
        <w:t xml:space="preserve"> כרך ה </w:t>
      </w:r>
      <w:r w:rsidRPr="00731D44">
        <w:rPr>
          <w:rFonts w:ascii="Century" w:hAnsi="Century" w:hint="cs"/>
          <w:sz w:val="22"/>
          <w:rtl/>
        </w:rPr>
        <w:t>188-187</w:t>
      </w:r>
      <w:r w:rsidRPr="00731D44">
        <w:rPr>
          <w:rFonts w:ascii="Century" w:hAnsi="Century"/>
          <w:sz w:val="22"/>
          <w:rtl/>
        </w:rPr>
        <w:t xml:space="preserve"> (2002)</w:t>
      </w:r>
      <w:r w:rsidRPr="00731D44">
        <w:rPr>
          <w:rFonts w:ascii="Century" w:hAnsi="Century" w:hint="cs"/>
          <w:sz w:val="22"/>
          <w:rtl/>
        </w:rPr>
        <w:t xml:space="preserve">; ברוך כחלון </w:t>
      </w:r>
      <w:r w:rsidRPr="00731D44">
        <w:rPr>
          <w:rFonts w:ascii="Century" w:hAnsi="Century" w:cs="Miriam" w:hint="cs"/>
          <w:b/>
          <w:spacing w:val="0"/>
          <w:sz w:val="22"/>
          <w:szCs w:val="24"/>
          <w:rtl/>
        </w:rPr>
        <w:t>עידוד השקעות הון</w:t>
      </w:r>
      <w:r w:rsidRPr="00731D44">
        <w:rPr>
          <w:rFonts w:ascii="Century" w:hAnsi="Century" w:hint="cs"/>
          <w:sz w:val="22"/>
          <w:rtl/>
        </w:rPr>
        <w:t xml:space="preserve"> 8-7 (2013)</w:t>
      </w:r>
      <w:r>
        <w:rPr>
          <w:rFonts w:ascii="Century" w:hAnsi="Century" w:hint="cs"/>
          <w:sz w:val="22"/>
          <w:rtl/>
        </w:rPr>
        <w:t xml:space="preserve"> (להלן: </w:t>
      </w:r>
      <w:r w:rsidRPr="003D335F">
        <w:rPr>
          <w:rFonts w:ascii="Century" w:hAnsi="Century" w:cs="Miriam" w:hint="cs"/>
          <w:b/>
          <w:spacing w:val="0"/>
          <w:sz w:val="22"/>
          <w:szCs w:val="24"/>
          <w:rtl/>
        </w:rPr>
        <w:t>כחלון</w:t>
      </w:r>
      <w:r>
        <w:rPr>
          <w:rFonts w:ascii="Century" w:hAnsi="Century" w:hint="cs"/>
          <w:sz w:val="22"/>
          <w:rtl/>
        </w:rPr>
        <w:t>)</w:t>
      </w:r>
      <w:r w:rsidRPr="00731D44">
        <w:rPr>
          <w:rFonts w:ascii="Century" w:hAnsi="Century" w:hint="cs"/>
          <w:sz w:val="22"/>
          <w:rtl/>
        </w:rPr>
        <w:t>).</w:t>
      </w:r>
    </w:p>
    <w:p w:rsidR="00CF54A5" w:rsidRDefault="00CF54A5" w:rsidP="00CF54A5">
      <w:pPr>
        <w:pStyle w:val="Ruller41"/>
        <w:rPr>
          <w:rtl/>
        </w:rPr>
      </w:pPr>
    </w:p>
    <w:p w:rsidR="00CF54A5" w:rsidRDefault="00CF54A5" w:rsidP="00CF54A5">
      <w:pPr>
        <w:pStyle w:val="Ruller4"/>
        <w:rPr>
          <w:rtl/>
        </w:rPr>
      </w:pPr>
      <w:r>
        <w:rPr>
          <w:rFonts w:hint="cs"/>
          <w:rtl/>
        </w:rPr>
        <w:t>מטרותיו</w:t>
      </w:r>
      <w:r w:rsidRPr="00587505">
        <w:rPr>
          <w:rtl/>
        </w:rPr>
        <w:t xml:space="preserve"> </w:t>
      </w:r>
      <w:r w:rsidRPr="00587505">
        <w:rPr>
          <w:rFonts w:hint="eastAsia"/>
          <w:rtl/>
        </w:rPr>
        <w:t>של</w:t>
      </w:r>
      <w:r w:rsidRPr="00587505">
        <w:rPr>
          <w:rtl/>
        </w:rPr>
        <w:t xml:space="preserve"> </w:t>
      </w:r>
      <w:r w:rsidRPr="00587505">
        <w:rPr>
          <w:rFonts w:hint="eastAsia"/>
          <w:rtl/>
        </w:rPr>
        <w:t>חוק</w:t>
      </w:r>
      <w:r w:rsidRPr="00587505">
        <w:rPr>
          <w:rtl/>
        </w:rPr>
        <w:t xml:space="preserve"> </w:t>
      </w:r>
      <w:r>
        <w:rPr>
          <w:rFonts w:hint="cs"/>
          <w:rtl/>
        </w:rPr>
        <w:t>עידוד השקעות קבועות</w:t>
      </w:r>
      <w:r w:rsidRPr="00587505">
        <w:rPr>
          <w:rtl/>
        </w:rPr>
        <w:t xml:space="preserve"> </w:t>
      </w:r>
      <w:r w:rsidRPr="00587505">
        <w:rPr>
          <w:rFonts w:hint="eastAsia"/>
          <w:rtl/>
        </w:rPr>
        <w:t>בסעיף</w:t>
      </w:r>
      <w:r w:rsidRPr="00587505">
        <w:rPr>
          <w:rtl/>
        </w:rPr>
        <w:t xml:space="preserve"> 1 </w:t>
      </w:r>
      <w:r w:rsidRPr="00587505">
        <w:rPr>
          <w:rFonts w:hint="eastAsia"/>
          <w:rtl/>
        </w:rPr>
        <w:t>לחוק</w:t>
      </w:r>
      <w:r w:rsidRPr="00587505">
        <w:rPr>
          <w:rtl/>
        </w:rPr>
        <w:t xml:space="preserve">, </w:t>
      </w:r>
      <w:r w:rsidRPr="00587505">
        <w:rPr>
          <w:rFonts w:hint="eastAsia"/>
          <w:rtl/>
        </w:rPr>
        <w:t>הוא</w:t>
      </w:r>
      <w:r w:rsidRPr="00587505">
        <w:rPr>
          <w:rtl/>
        </w:rPr>
        <w:t xml:space="preserve"> </w:t>
      </w:r>
      <w:r w:rsidRPr="00587505">
        <w:rPr>
          <w:rFonts w:hint="eastAsia"/>
          <w:rtl/>
        </w:rPr>
        <w:t>סעיף</w:t>
      </w:r>
      <w:r w:rsidRPr="00587505">
        <w:rPr>
          <w:rtl/>
        </w:rPr>
        <w:t xml:space="preserve"> </w:t>
      </w:r>
      <w:r w:rsidRPr="00587505">
        <w:rPr>
          <w:rFonts w:hint="eastAsia"/>
          <w:rtl/>
        </w:rPr>
        <w:t>המטרה</w:t>
      </w:r>
      <w:r w:rsidRPr="00587505">
        <w:rPr>
          <w:rtl/>
        </w:rPr>
        <w:t xml:space="preserve">, </w:t>
      </w:r>
      <w:r>
        <w:rPr>
          <w:rFonts w:hint="cs"/>
          <w:rtl/>
        </w:rPr>
        <w:t>אשר מורה כדלקמן</w:t>
      </w:r>
      <w:r w:rsidRPr="00587505">
        <w:rPr>
          <w:rtl/>
        </w:rPr>
        <w:t>:</w:t>
      </w:r>
    </w:p>
    <w:p w:rsidR="00CF54A5" w:rsidRPr="00224AC7" w:rsidRDefault="00CF54A5" w:rsidP="00CF54A5">
      <w:pPr>
        <w:pStyle w:val="Ruller41"/>
        <w:rPr>
          <w:rtl/>
        </w:rPr>
      </w:pPr>
    </w:p>
    <w:p w:rsidR="00CF54A5" w:rsidRDefault="00CF54A5" w:rsidP="00CF54A5">
      <w:pPr>
        <w:pStyle w:val="Ruller5"/>
        <w:rPr>
          <w:rtl/>
        </w:rPr>
      </w:pPr>
      <w:r>
        <w:rPr>
          <w:rtl/>
        </w:rPr>
        <w:t xml:space="preserve">1.  </w:t>
      </w:r>
      <w:r>
        <w:rPr>
          <w:rFonts w:hint="cs"/>
          <w:rtl/>
        </w:rPr>
        <w:t xml:space="preserve"> </w:t>
      </w:r>
      <w:r>
        <w:rPr>
          <w:rFonts w:hint="eastAsia"/>
          <w:rtl/>
        </w:rPr>
        <w:t>מטרת</w:t>
      </w:r>
      <w:r>
        <w:rPr>
          <w:rtl/>
        </w:rPr>
        <w:t xml:space="preserve"> </w:t>
      </w:r>
      <w:r>
        <w:rPr>
          <w:rFonts w:hint="eastAsia"/>
          <w:rtl/>
        </w:rPr>
        <w:t>חוק</w:t>
      </w:r>
      <w:r>
        <w:rPr>
          <w:rtl/>
        </w:rPr>
        <w:t xml:space="preserve"> </w:t>
      </w:r>
      <w:r>
        <w:rPr>
          <w:rFonts w:hint="eastAsia"/>
          <w:rtl/>
        </w:rPr>
        <w:t>זה</w:t>
      </w:r>
      <w:r>
        <w:rPr>
          <w:rtl/>
        </w:rPr>
        <w:t xml:space="preserve"> </w:t>
      </w:r>
      <w:r>
        <w:rPr>
          <w:rFonts w:hint="eastAsia"/>
          <w:rtl/>
        </w:rPr>
        <w:t>היא</w:t>
      </w:r>
      <w:r>
        <w:rPr>
          <w:rtl/>
        </w:rPr>
        <w:t xml:space="preserve"> </w:t>
      </w:r>
      <w:r>
        <w:rPr>
          <w:rFonts w:hint="eastAsia"/>
          <w:rtl/>
        </w:rPr>
        <w:t>עידוד</w:t>
      </w:r>
      <w:r>
        <w:rPr>
          <w:rtl/>
        </w:rPr>
        <w:t xml:space="preserve"> </w:t>
      </w:r>
      <w:r>
        <w:rPr>
          <w:rFonts w:hint="eastAsia"/>
          <w:rtl/>
        </w:rPr>
        <w:t>השקעות</w:t>
      </w:r>
      <w:r>
        <w:rPr>
          <w:rtl/>
        </w:rPr>
        <w:t xml:space="preserve"> </w:t>
      </w:r>
      <w:r>
        <w:rPr>
          <w:rFonts w:hint="eastAsia"/>
          <w:rtl/>
        </w:rPr>
        <w:t>הון</w:t>
      </w:r>
      <w:r>
        <w:rPr>
          <w:rtl/>
        </w:rPr>
        <w:t xml:space="preserve"> </w:t>
      </w:r>
      <w:r>
        <w:rPr>
          <w:rFonts w:hint="eastAsia"/>
          <w:rtl/>
        </w:rPr>
        <w:t>ויוזמה</w:t>
      </w:r>
      <w:r>
        <w:rPr>
          <w:rtl/>
        </w:rPr>
        <w:t xml:space="preserve"> </w:t>
      </w:r>
      <w:r>
        <w:rPr>
          <w:rFonts w:hint="eastAsia"/>
          <w:rtl/>
        </w:rPr>
        <w:t>כלכלית</w:t>
      </w:r>
      <w:r>
        <w:rPr>
          <w:rtl/>
        </w:rPr>
        <w:t xml:space="preserve">, </w:t>
      </w:r>
      <w:r>
        <w:rPr>
          <w:rFonts w:hint="eastAsia"/>
          <w:rtl/>
        </w:rPr>
        <w:t>באופן</w:t>
      </w:r>
      <w:r>
        <w:rPr>
          <w:rtl/>
        </w:rPr>
        <w:t xml:space="preserve"> </w:t>
      </w:r>
      <w:r>
        <w:rPr>
          <w:rFonts w:hint="eastAsia"/>
          <w:rtl/>
        </w:rPr>
        <w:t>שבו</w:t>
      </w:r>
      <w:r>
        <w:rPr>
          <w:rtl/>
        </w:rPr>
        <w:t xml:space="preserve"> </w:t>
      </w:r>
      <w:r>
        <w:rPr>
          <w:rFonts w:hint="eastAsia"/>
          <w:rtl/>
        </w:rPr>
        <w:t>תינתן</w:t>
      </w:r>
      <w:r>
        <w:rPr>
          <w:rtl/>
        </w:rPr>
        <w:t xml:space="preserve"> </w:t>
      </w:r>
      <w:r>
        <w:rPr>
          <w:rFonts w:hint="eastAsia"/>
          <w:rtl/>
        </w:rPr>
        <w:t>עדיפות</w:t>
      </w:r>
      <w:r>
        <w:rPr>
          <w:rtl/>
        </w:rPr>
        <w:t xml:space="preserve"> </w:t>
      </w:r>
      <w:r>
        <w:rPr>
          <w:rFonts w:hint="eastAsia"/>
          <w:rtl/>
        </w:rPr>
        <w:t>לחדשנות</w:t>
      </w:r>
      <w:r>
        <w:rPr>
          <w:rtl/>
        </w:rPr>
        <w:t xml:space="preserve"> </w:t>
      </w:r>
      <w:r>
        <w:rPr>
          <w:rFonts w:hint="eastAsia"/>
          <w:rtl/>
        </w:rPr>
        <w:t>ולפעילות</w:t>
      </w:r>
      <w:r>
        <w:rPr>
          <w:rtl/>
        </w:rPr>
        <w:t xml:space="preserve"> </w:t>
      </w:r>
      <w:r>
        <w:rPr>
          <w:rFonts w:hint="eastAsia"/>
          <w:rtl/>
        </w:rPr>
        <w:t>באזורי</w:t>
      </w:r>
      <w:r>
        <w:rPr>
          <w:rtl/>
        </w:rPr>
        <w:t xml:space="preserve"> </w:t>
      </w:r>
      <w:r>
        <w:rPr>
          <w:rFonts w:hint="eastAsia"/>
          <w:rtl/>
        </w:rPr>
        <w:t>פיתוח</w:t>
      </w:r>
      <w:r>
        <w:rPr>
          <w:rtl/>
        </w:rPr>
        <w:t xml:space="preserve">, </w:t>
      </w:r>
      <w:r>
        <w:rPr>
          <w:rFonts w:hint="eastAsia"/>
          <w:rtl/>
        </w:rPr>
        <w:t>לשם</w:t>
      </w:r>
      <w:r>
        <w:rPr>
          <w:rtl/>
        </w:rPr>
        <w:t xml:space="preserve"> –</w:t>
      </w:r>
    </w:p>
    <w:p w:rsidR="00CF54A5" w:rsidRDefault="00CF54A5" w:rsidP="00CF54A5">
      <w:pPr>
        <w:pStyle w:val="Ruller5"/>
        <w:rPr>
          <w:rtl/>
        </w:rPr>
      </w:pPr>
      <w:r>
        <w:rPr>
          <w:rtl/>
        </w:rPr>
        <w:t xml:space="preserve">(1)   </w:t>
      </w:r>
      <w:r>
        <w:rPr>
          <w:rFonts w:hint="eastAsia"/>
          <w:rtl/>
        </w:rPr>
        <w:t>פיתוח</w:t>
      </w:r>
      <w:r>
        <w:rPr>
          <w:rtl/>
        </w:rPr>
        <w:t xml:space="preserve"> </w:t>
      </w:r>
      <w:r>
        <w:rPr>
          <w:rFonts w:hint="eastAsia"/>
          <w:rtl/>
        </w:rPr>
        <w:t>כושר</w:t>
      </w:r>
      <w:r>
        <w:rPr>
          <w:rtl/>
        </w:rPr>
        <w:t xml:space="preserve"> </w:t>
      </w:r>
      <w:r>
        <w:rPr>
          <w:rFonts w:hint="eastAsia"/>
          <w:rtl/>
        </w:rPr>
        <w:t>הייצור</w:t>
      </w:r>
      <w:r>
        <w:rPr>
          <w:rtl/>
        </w:rPr>
        <w:t xml:space="preserve"> </w:t>
      </w:r>
      <w:r>
        <w:rPr>
          <w:rFonts w:hint="eastAsia"/>
          <w:rtl/>
        </w:rPr>
        <w:t>של</w:t>
      </w:r>
      <w:r>
        <w:rPr>
          <w:rtl/>
        </w:rPr>
        <w:t xml:space="preserve"> </w:t>
      </w:r>
      <w:r>
        <w:rPr>
          <w:rFonts w:hint="eastAsia"/>
          <w:rtl/>
        </w:rPr>
        <w:t>משק</w:t>
      </w:r>
      <w:r>
        <w:rPr>
          <w:rtl/>
        </w:rPr>
        <w:t xml:space="preserve"> </w:t>
      </w:r>
      <w:r>
        <w:rPr>
          <w:rFonts w:hint="eastAsia"/>
          <w:rtl/>
        </w:rPr>
        <w:t>המדינה</w:t>
      </w:r>
      <w:r>
        <w:rPr>
          <w:rtl/>
        </w:rPr>
        <w:t>;</w:t>
      </w:r>
    </w:p>
    <w:p w:rsidR="00CF54A5" w:rsidRDefault="00CF54A5" w:rsidP="00CF54A5">
      <w:pPr>
        <w:pStyle w:val="Ruller5"/>
        <w:rPr>
          <w:rtl/>
        </w:rPr>
      </w:pPr>
      <w:r>
        <w:rPr>
          <w:rtl/>
        </w:rPr>
        <w:t xml:space="preserve">(2)  </w:t>
      </w:r>
      <w:r>
        <w:rPr>
          <w:rFonts w:hint="eastAsia"/>
          <w:rtl/>
        </w:rPr>
        <w:t>שיפור</w:t>
      </w:r>
      <w:r>
        <w:rPr>
          <w:rtl/>
        </w:rPr>
        <w:t xml:space="preserve"> </w:t>
      </w:r>
      <w:r>
        <w:rPr>
          <w:rFonts w:hint="eastAsia"/>
          <w:rtl/>
        </w:rPr>
        <w:t>יכולתו</w:t>
      </w:r>
      <w:r>
        <w:rPr>
          <w:rtl/>
        </w:rPr>
        <w:t xml:space="preserve"> </w:t>
      </w:r>
      <w:r>
        <w:rPr>
          <w:rFonts w:hint="eastAsia"/>
          <w:rtl/>
        </w:rPr>
        <w:t>של</w:t>
      </w:r>
      <w:r>
        <w:rPr>
          <w:rtl/>
        </w:rPr>
        <w:t xml:space="preserve"> </w:t>
      </w:r>
      <w:r>
        <w:rPr>
          <w:rFonts w:hint="eastAsia"/>
          <w:rtl/>
        </w:rPr>
        <w:t>המגזר</w:t>
      </w:r>
      <w:r>
        <w:rPr>
          <w:rtl/>
        </w:rPr>
        <w:t xml:space="preserve"> </w:t>
      </w:r>
      <w:r>
        <w:rPr>
          <w:rFonts w:hint="eastAsia"/>
          <w:rtl/>
        </w:rPr>
        <w:t>העסקי</w:t>
      </w:r>
      <w:r>
        <w:rPr>
          <w:rtl/>
        </w:rPr>
        <w:t xml:space="preserve"> </w:t>
      </w:r>
      <w:r>
        <w:rPr>
          <w:rFonts w:hint="eastAsia"/>
          <w:rtl/>
        </w:rPr>
        <w:t>להתמודד</w:t>
      </w:r>
      <w:r>
        <w:rPr>
          <w:rtl/>
        </w:rPr>
        <w:t xml:space="preserve"> </w:t>
      </w:r>
      <w:r>
        <w:rPr>
          <w:rFonts w:hint="eastAsia"/>
          <w:rtl/>
        </w:rPr>
        <w:t>בתנאי</w:t>
      </w:r>
      <w:r>
        <w:rPr>
          <w:rtl/>
        </w:rPr>
        <w:t xml:space="preserve"> </w:t>
      </w:r>
      <w:r>
        <w:rPr>
          <w:rFonts w:hint="eastAsia"/>
          <w:rtl/>
        </w:rPr>
        <w:t>תחרות</w:t>
      </w:r>
      <w:r>
        <w:rPr>
          <w:rtl/>
        </w:rPr>
        <w:t xml:space="preserve"> </w:t>
      </w:r>
      <w:r>
        <w:rPr>
          <w:rFonts w:hint="eastAsia"/>
          <w:rtl/>
        </w:rPr>
        <w:t>בשווקים</w:t>
      </w:r>
      <w:r>
        <w:rPr>
          <w:rtl/>
        </w:rPr>
        <w:t xml:space="preserve"> </w:t>
      </w:r>
      <w:r>
        <w:rPr>
          <w:rFonts w:hint="eastAsia"/>
          <w:rtl/>
        </w:rPr>
        <w:t>בין</w:t>
      </w:r>
      <w:r>
        <w:rPr>
          <w:rtl/>
        </w:rPr>
        <w:t>-</w:t>
      </w:r>
      <w:r>
        <w:rPr>
          <w:rFonts w:hint="eastAsia"/>
          <w:rtl/>
        </w:rPr>
        <w:t>לאומיים</w:t>
      </w:r>
      <w:r>
        <w:rPr>
          <w:rtl/>
        </w:rPr>
        <w:t>;</w:t>
      </w:r>
    </w:p>
    <w:p w:rsidR="00CF54A5" w:rsidRDefault="00CF54A5" w:rsidP="00CF54A5">
      <w:pPr>
        <w:pStyle w:val="Ruller5"/>
        <w:rPr>
          <w:rtl/>
        </w:rPr>
      </w:pPr>
      <w:r>
        <w:rPr>
          <w:rtl/>
        </w:rPr>
        <w:t xml:space="preserve">(3)   </w:t>
      </w:r>
      <w:r>
        <w:rPr>
          <w:rFonts w:hint="eastAsia"/>
          <w:rtl/>
        </w:rPr>
        <w:t>יצירת</w:t>
      </w:r>
      <w:r>
        <w:rPr>
          <w:rtl/>
        </w:rPr>
        <w:t xml:space="preserve"> </w:t>
      </w:r>
      <w:r>
        <w:rPr>
          <w:rFonts w:hint="eastAsia"/>
          <w:rtl/>
        </w:rPr>
        <w:t>תשתית</w:t>
      </w:r>
      <w:r>
        <w:rPr>
          <w:rtl/>
        </w:rPr>
        <w:t xml:space="preserve"> </w:t>
      </w:r>
      <w:r>
        <w:rPr>
          <w:rFonts w:hint="eastAsia"/>
          <w:rtl/>
        </w:rPr>
        <w:t>למקומות</w:t>
      </w:r>
      <w:r>
        <w:rPr>
          <w:rtl/>
        </w:rPr>
        <w:t xml:space="preserve"> </w:t>
      </w:r>
      <w:r>
        <w:rPr>
          <w:rFonts w:hint="eastAsia"/>
          <w:rtl/>
        </w:rPr>
        <w:t>עבודה</w:t>
      </w:r>
      <w:r>
        <w:rPr>
          <w:rtl/>
        </w:rPr>
        <w:t xml:space="preserve"> </w:t>
      </w:r>
      <w:r>
        <w:rPr>
          <w:rFonts w:hint="eastAsia"/>
          <w:rtl/>
        </w:rPr>
        <w:t>חדשים</w:t>
      </w:r>
      <w:r>
        <w:rPr>
          <w:rtl/>
        </w:rPr>
        <w:t xml:space="preserve"> </w:t>
      </w:r>
      <w:r>
        <w:rPr>
          <w:rFonts w:hint="eastAsia"/>
          <w:rtl/>
        </w:rPr>
        <w:t>ובני</w:t>
      </w:r>
      <w:r>
        <w:rPr>
          <w:rtl/>
        </w:rPr>
        <w:t>-</w:t>
      </w:r>
      <w:r>
        <w:rPr>
          <w:rFonts w:hint="eastAsia"/>
          <w:rtl/>
        </w:rPr>
        <w:t>קיימא</w:t>
      </w:r>
      <w:r>
        <w:rPr>
          <w:rtl/>
        </w:rPr>
        <w:t>.</w:t>
      </w:r>
    </w:p>
    <w:p w:rsidR="00CF54A5" w:rsidRPr="00BD2892" w:rsidRDefault="00CF54A5" w:rsidP="00CF54A5">
      <w:pPr>
        <w:pStyle w:val="Ruller41"/>
        <w:rPr>
          <w:rtl/>
        </w:rPr>
      </w:pPr>
    </w:p>
    <w:p w:rsidR="00CF54A5" w:rsidRDefault="00CF54A5" w:rsidP="00CF54A5">
      <w:pPr>
        <w:pStyle w:val="Ruller41"/>
        <w:ind w:firstLine="720"/>
        <w:rPr>
          <w:rtl/>
        </w:rPr>
      </w:pPr>
      <w:r w:rsidRPr="000A1BD4">
        <w:rPr>
          <w:rFonts w:ascii="Century" w:hAnsi="Century" w:cs="Miriam" w:hint="cs"/>
          <w:b/>
          <w:spacing w:val="0"/>
          <w:szCs w:val="24"/>
          <w:rtl/>
        </w:rPr>
        <w:t>הערה</w:t>
      </w:r>
      <w:r>
        <w:rPr>
          <w:rFonts w:hint="cs"/>
          <w:rtl/>
        </w:rPr>
        <w:t xml:space="preserve">: יוער כי הנוסח שלעיל הוא הנוסח העדכני של החוק, לאחר שבשנת 2011 תוקן סעיף המטרה, במסגרת "חוק ההסדרים", ובוצעו שינויים בהגדרת מטרות החוק. זאת, על רקע שינויים שחלו במדיניות הכלכלית הישראלית והצורך להתאים את מטרות החוק לאתגרים הכלכליים המשתנים של המשק הישראלי (ראו דברי ההסבר להצעת חוק המדיניות הכלכלית לשנים 2011 ו-2012 (תיקוני חקיקה), התשע"א-2010, </w:t>
      </w:r>
      <w:proofErr w:type="spellStart"/>
      <w:r>
        <w:rPr>
          <w:rFonts w:hint="cs"/>
          <w:rtl/>
        </w:rPr>
        <w:t>ה"ח</w:t>
      </w:r>
      <w:proofErr w:type="spellEnd"/>
      <w:r>
        <w:rPr>
          <w:rFonts w:hint="cs"/>
          <w:rtl/>
        </w:rPr>
        <w:t xml:space="preserve"> 6, 107). </w:t>
      </w:r>
    </w:p>
    <w:p w:rsidR="00CF54A5" w:rsidRDefault="00CF54A5" w:rsidP="00CF54A5">
      <w:pPr>
        <w:pStyle w:val="Ruller4"/>
        <w:numPr>
          <w:ilvl w:val="0"/>
          <w:numId w:val="0"/>
        </w:numPr>
      </w:pPr>
    </w:p>
    <w:p w:rsidR="00CF54A5" w:rsidRDefault="00CF54A5" w:rsidP="00CF54A5">
      <w:pPr>
        <w:pStyle w:val="Ruller4"/>
        <w:rPr>
          <w:rtl/>
        </w:rPr>
      </w:pPr>
      <w:r>
        <w:rPr>
          <w:rFonts w:hint="cs"/>
          <w:rtl/>
        </w:rPr>
        <w:lastRenderedPageBreak/>
        <w:t>בצד זאת, המחוקק הוסיף ואפיין, בסעיף 2 לחוק, את המנגנונים הקבועים בחוק עידוד השקעות לשם הגשמתן של מטרות אלה, בזו הלשון: "</w:t>
      </w:r>
      <w:r w:rsidRPr="00224AC7">
        <w:rPr>
          <w:rFonts w:ascii="Century" w:hAnsi="Century" w:cs="Miriam" w:hint="eastAsia"/>
          <w:b/>
          <w:spacing w:val="0"/>
          <w:sz w:val="22"/>
          <w:szCs w:val="24"/>
          <w:rtl/>
        </w:rPr>
        <w:t>לשם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הגשמתה</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של</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מטרת</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חוק</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זה</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יוענקו</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המענקים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הפטורים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ההנחות</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ההקלות</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וההיתרים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האמורים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בו</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להלן</w:t>
      </w:r>
      <w:r w:rsidRPr="00224AC7">
        <w:rPr>
          <w:rFonts w:ascii="Century" w:hAnsi="Century" w:cs="Miriam"/>
          <w:b/>
          <w:spacing w:val="0"/>
          <w:sz w:val="22"/>
          <w:szCs w:val="24"/>
          <w:rtl/>
        </w:rPr>
        <w:t xml:space="preserve"> - </w:t>
      </w:r>
      <w:r w:rsidRPr="00224AC7">
        <w:rPr>
          <w:rFonts w:ascii="Century" w:hAnsi="Century" w:cs="Miriam" w:hint="eastAsia"/>
          <w:b/>
          <w:spacing w:val="0"/>
          <w:sz w:val="22"/>
          <w:szCs w:val="24"/>
          <w:rtl/>
        </w:rPr>
        <w:t>הטבות</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שיינתנו</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אם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דרך</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כלל</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ואם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על</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יסוד</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תכנית</w:t>
      </w:r>
      <w:r w:rsidRPr="00224AC7">
        <w:rPr>
          <w:rFonts w:ascii="Century" w:hAnsi="Century" w:cs="Miriam"/>
          <w:b/>
          <w:spacing w:val="0"/>
          <w:sz w:val="22"/>
          <w:szCs w:val="24"/>
          <w:rtl/>
        </w:rPr>
        <w:t xml:space="preserve">, </w:t>
      </w:r>
      <w:proofErr w:type="spellStart"/>
      <w:r w:rsidRPr="00224AC7">
        <w:rPr>
          <w:rFonts w:ascii="Century" w:hAnsi="Century" w:cs="Miriam" w:hint="eastAsia"/>
          <w:b/>
          <w:spacing w:val="0"/>
          <w:sz w:val="22"/>
          <w:szCs w:val="24"/>
          <w:rtl/>
        </w:rPr>
        <w:t>הכל</w:t>
      </w:r>
      <w:proofErr w:type="spellEnd"/>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כפי</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שיפורט</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בפרקים</w:t>
      </w:r>
      <w:r w:rsidRPr="00224AC7">
        <w:rPr>
          <w:rFonts w:ascii="Century" w:hAnsi="Century" w:cs="Miriam"/>
          <w:b/>
          <w:spacing w:val="0"/>
          <w:sz w:val="22"/>
          <w:szCs w:val="24"/>
          <w:rtl/>
        </w:rPr>
        <w:t xml:space="preserve"> </w:t>
      </w:r>
      <w:r w:rsidRPr="00224AC7">
        <w:rPr>
          <w:rFonts w:ascii="Century" w:hAnsi="Century" w:cs="Miriam" w:hint="eastAsia"/>
          <w:b/>
          <w:spacing w:val="0"/>
          <w:sz w:val="22"/>
          <w:szCs w:val="24"/>
          <w:rtl/>
        </w:rPr>
        <w:t>הבאים</w:t>
      </w:r>
      <w:r>
        <w:rPr>
          <w:rFonts w:hint="cs"/>
          <w:rtl/>
        </w:rPr>
        <w:t xml:space="preserve">" (ויוער, גם אמצעים אלו שונו במהלך השנים, לצורך התאמתם למטרותיו של החוק ובשים לב למציאות המשתנה). מעיון בהוראות החוק, ניתן לחלק את ההטבות המוענקות כיום מכוח חוק עידוד </w:t>
      </w:r>
      <w:r w:rsidRPr="00F96E56">
        <w:rPr>
          <w:rFonts w:hint="cs"/>
          <w:rtl/>
        </w:rPr>
        <w:t>השקעות לשלושה סוגים: מענקי</w:t>
      </w:r>
      <w:r>
        <w:rPr>
          <w:rFonts w:hint="cs"/>
          <w:rtl/>
        </w:rPr>
        <w:t xml:space="preserve"> השקעה הניתנים על ידי המדינה (הפרק השישי לחוק); מתן הלוואות על ידי המדינה (ראו, למשל, סעיף 18ג לחוק); והטבות במס הכנסה (הפרק השביעי לחוק). בעבר, הוענקו גם הטבות מסוג ערבויות מדינה, שהוסדרו בסעיפים 40יב עד 40יח לחוק, ואולם ההסדר בעניין זה פקע ביום 31.12.1996 (</w:t>
      </w:r>
      <w:r w:rsidRPr="0062508C">
        <w:rPr>
          <w:rFonts w:hint="cs"/>
          <w:rtl/>
        </w:rPr>
        <w:t>להרחבה ב</w:t>
      </w:r>
      <w:r>
        <w:rPr>
          <w:rFonts w:hint="cs"/>
          <w:rtl/>
        </w:rPr>
        <w:t>יחס ל</w:t>
      </w:r>
      <w:r w:rsidRPr="0062508C">
        <w:rPr>
          <w:rFonts w:hint="cs"/>
          <w:rtl/>
        </w:rPr>
        <w:t xml:space="preserve">מסלול </w:t>
      </w:r>
      <w:r>
        <w:rPr>
          <w:rFonts w:hint="cs"/>
          <w:rtl/>
        </w:rPr>
        <w:t xml:space="preserve">הטבות </w:t>
      </w:r>
      <w:r w:rsidRPr="0062508C">
        <w:rPr>
          <w:rFonts w:hint="cs"/>
          <w:rtl/>
        </w:rPr>
        <w:t xml:space="preserve">זה, ראו, למשל: </w:t>
      </w:r>
      <w:r w:rsidRPr="003D335F">
        <w:rPr>
          <w:rFonts w:ascii="Century" w:hAnsi="Century" w:cs="Miriam" w:hint="cs"/>
          <w:b/>
          <w:spacing w:val="0"/>
          <w:sz w:val="22"/>
          <w:szCs w:val="24"/>
          <w:rtl/>
        </w:rPr>
        <w:t>כחלון</w:t>
      </w:r>
      <w:r>
        <w:rPr>
          <w:rFonts w:ascii="Century" w:hAnsi="Century" w:hint="cs"/>
          <w:sz w:val="22"/>
          <w:rtl/>
        </w:rPr>
        <w:t>, בעמ'</w:t>
      </w:r>
      <w:r w:rsidRPr="0062508C">
        <w:rPr>
          <w:rFonts w:ascii="Century" w:hAnsi="Century" w:hint="cs"/>
          <w:sz w:val="22"/>
          <w:rtl/>
        </w:rPr>
        <w:t xml:space="preserve"> 69-62</w:t>
      </w:r>
      <w:r w:rsidRPr="0062508C">
        <w:rPr>
          <w:rFonts w:hint="cs"/>
          <w:rtl/>
        </w:rPr>
        <w:t>).</w:t>
      </w:r>
      <w:r>
        <w:rPr>
          <w:rFonts w:hint="cs"/>
          <w:rtl/>
        </w:rPr>
        <w:t xml:space="preserve"> הערעורים שלפנינו מתרכזים בהטבות מהסוג השלישי </w:t>
      </w:r>
      <w:r>
        <w:rPr>
          <w:rtl/>
        </w:rPr>
        <w:t>–</w:t>
      </w:r>
      <w:r>
        <w:rPr>
          <w:rFonts w:hint="cs"/>
          <w:rtl/>
        </w:rPr>
        <w:t xml:space="preserve"> הטבות במס הכנסה </w:t>
      </w:r>
      <w:r>
        <w:rPr>
          <w:rtl/>
        </w:rPr>
        <w:t>–</w:t>
      </w:r>
      <w:r>
        <w:rPr>
          <w:rFonts w:hint="cs"/>
          <w:rtl/>
        </w:rPr>
        <w:t xml:space="preserve"> ובכך נמקד את מבטנו. </w:t>
      </w:r>
    </w:p>
    <w:p w:rsidR="00CF54A5" w:rsidRPr="00886006" w:rsidRDefault="00CF54A5" w:rsidP="00CF54A5">
      <w:pPr>
        <w:pStyle w:val="Ruller41"/>
        <w:rPr>
          <w:rtl/>
        </w:rPr>
      </w:pPr>
    </w:p>
    <w:p w:rsidR="00CF54A5" w:rsidRDefault="00CF54A5" w:rsidP="00CF54A5">
      <w:pPr>
        <w:pStyle w:val="Ruller4"/>
        <w:rPr>
          <w:rtl/>
        </w:rPr>
      </w:pPr>
      <w:r>
        <w:rPr>
          <w:rFonts w:hint="cs"/>
          <w:rtl/>
        </w:rPr>
        <w:t xml:space="preserve">הטבת המס עליה נסובים הערעורים שלפנינו מעוגנת בהוראות סעיפים 18א(ג)(1)(ג), 51 ו-51טז לחוק עידוד השקעות, והיא נוספה בעקבות תיקון מס' 60 לחוק, במסגרתו נחקקה הוראת סעיף 18א לחוק (סעיף 49 לחוק המדיניות הכלכלית לשנת הכספים 2005 (תיקוני חקיקה), התשס"ה-2005, 346, 399-397. לעיל ולהלן: </w:t>
      </w:r>
      <w:r w:rsidRPr="00BB39EF">
        <w:rPr>
          <w:rFonts w:ascii="Century" w:hAnsi="Century" w:cs="Miriam" w:hint="cs"/>
          <w:b/>
          <w:spacing w:val="0"/>
          <w:sz w:val="22"/>
          <w:szCs w:val="24"/>
          <w:rtl/>
        </w:rPr>
        <w:t xml:space="preserve">תיקון מס' </w:t>
      </w:r>
      <w:r>
        <w:rPr>
          <w:rFonts w:ascii="Century" w:hAnsi="Century" w:cs="Miriam" w:hint="cs"/>
          <w:b/>
          <w:spacing w:val="0"/>
          <w:sz w:val="22"/>
          <w:szCs w:val="24"/>
          <w:rtl/>
        </w:rPr>
        <w:t>6</w:t>
      </w:r>
      <w:r w:rsidRPr="00BB39EF">
        <w:rPr>
          <w:rFonts w:ascii="Century" w:hAnsi="Century" w:cs="Miriam" w:hint="cs"/>
          <w:b/>
          <w:spacing w:val="0"/>
          <w:sz w:val="22"/>
          <w:szCs w:val="24"/>
          <w:rtl/>
        </w:rPr>
        <w:t>0</w:t>
      </w:r>
      <w:r>
        <w:rPr>
          <w:rFonts w:hint="cs"/>
          <w:rtl/>
        </w:rPr>
        <w:t xml:space="preserve">). </w:t>
      </w:r>
      <w:r w:rsidRPr="00966CF1">
        <w:rPr>
          <w:rFonts w:hint="cs"/>
          <w:rtl/>
        </w:rPr>
        <w:t xml:space="preserve">במאמר מוסגר יוער כי מטרתו של תיקון מס' 60 הייתה לייעל את אופן הפעלת החוק, באמצעות יצירת "מסלול ירוק" על פיו יוכלו הנישומים, העומדים בקריטריונים הקבועים בחוק, לבקש הכרה בזכאותם להטבות המס במסגרת הדו"חות </w:t>
      </w:r>
      <w:r>
        <w:rPr>
          <w:rFonts w:hint="cs"/>
          <w:rtl/>
        </w:rPr>
        <w:t xml:space="preserve">השנתיים </w:t>
      </w:r>
      <w:r w:rsidRPr="00966CF1">
        <w:rPr>
          <w:rFonts w:hint="cs"/>
          <w:rtl/>
        </w:rPr>
        <w:t>שהם מגישים לפקיד השומה, חלף קבלת אישור מקדמי ממנהלת מרכז ההשקעות, כפי שהיה נהוג קודם לכן (</w:t>
      </w:r>
      <w:r>
        <w:rPr>
          <w:rFonts w:hint="cs"/>
          <w:rtl/>
        </w:rPr>
        <w:t xml:space="preserve">ראו </w:t>
      </w:r>
      <w:r w:rsidRPr="00966CF1">
        <w:rPr>
          <w:rFonts w:hint="cs"/>
          <w:rtl/>
        </w:rPr>
        <w:t xml:space="preserve">מבוא לחוזר מס הכנסה מס' 2/2006 "תיקון מספר 60 לחוק לעידוד השקעות הון" (12.7.2006) (להלן: </w:t>
      </w:r>
      <w:r w:rsidRPr="00966CF1">
        <w:rPr>
          <w:rFonts w:ascii="Century" w:hAnsi="Century" w:cs="Miriam" w:hint="cs"/>
          <w:b/>
          <w:spacing w:val="0"/>
          <w:sz w:val="22"/>
          <w:szCs w:val="24"/>
          <w:rtl/>
        </w:rPr>
        <w:t>חוזר מס הכנסה</w:t>
      </w:r>
      <w:r w:rsidRPr="00966CF1">
        <w:rPr>
          <w:rFonts w:hint="cs"/>
          <w:rtl/>
        </w:rPr>
        <w:t xml:space="preserve"> </w:t>
      </w:r>
      <w:r w:rsidRPr="00966CF1">
        <w:rPr>
          <w:rFonts w:ascii="Century" w:hAnsi="Century" w:cs="Miriam" w:hint="cs"/>
          <w:b/>
          <w:spacing w:val="0"/>
          <w:sz w:val="22"/>
          <w:szCs w:val="24"/>
          <w:rtl/>
        </w:rPr>
        <w:t>2/2006</w:t>
      </w:r>
      <w:r w:rsidRPr="00966CF1">
        <w:rPr>
          <w:rFonts w:hint="cs"/>
          <w:rtl/>
        </w:rPr>
        <w:t xml:space="preserve">)). בתוך כך, </w:t>
      </w:r>
      <w:r>
        <w:rPr>
          <w:rFonts w:hint="cs"/>
          <w:rtl/>
        </w:rPr>
        <w:t>סעיף 51טז לחוק עידוד השקעות מעניק הפחתה בשיעור מס החברות לחברה מועדפת שהיא בעלת "</w:t>
      </w:r>
      <w:r w:rsidRPr="00AA007A">
        <w:rPr>
          <w:rFonts w:ascii="Century" w:hAnsi="Century" w:cs="Miriam" w:hint="cs"/>
          <w:b/>
          <w:spacing w:val="0"/>
          <w:sz w:val="22"/>
          <w:szCs w:val="24"/>
          <w:rtl/>
        </w:rPr>
        <w:t>מפעל מועדף</w:t>
      </w:r>
      <w:r>
        <w:rPr>
          <w:rFonts w:hint="cs"/>
          <w:rtl/>
        </w:rPr>
        <w:t>". "</w:t>
      </w:r>
      <w:r w:rsidRPr="00AA007A">
        <w:rPr>
          <w:rFonts w:ascii="Century" w:hAnsi="Century" w:cs="Miriam" w:hint="cs"/>
          <w:b/>
          <w:spacing w:val="0"/>
          <w:sz w:val="22"/>
          <w:szCs w:val="24"/>
          <w:rtl/>
        </w:rPr>
        <w:t>מפעל מועדף</w:t>
      </w:r>
      <w:r>
        <w:rPr>
          <w:rFonts w:hint="cs"/>
          <w:rtl/>
        </w:rPr>
        <w:t>", בהתאם להגדרה בסעיף 51 לחוק, הוא "</w:t>
      </w:r>
      <w:r w:rsidRPr="00727084">
        <w:rPr>
          <w:rFonts w:ascii="Century" w:hAnsi="Century" w:cs="Miriam" w:hint="eastAsia"/>
          <w:b/>
          <w:spacing w:val="0"/>
          <w:sz w:val="22"/>
          <w:szCs w:val="24"/>
          <w:rtl/>
        </w:rPr>
        <w:t>מפעל</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תעשייתי</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שמתקיימות</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בו</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הוראות</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סעיף</w:t>
      </w:r>
      <w:r w:rsidRPr="00727084">
        <w:rPr>
          <w:rFonts w:ascii="Century" w:hAnsi="Century" w:cs="Miriam"/>
          <w:b/>
          <w:spacing w:val="0"/>
          <w:sz w:val="22"/>
          <w:szCs w:val="24"/>
          <w:rtl/>
        </w:rPr>
        <w:t xml:space="preserve"> 18</w:t>
      </w:r>
      <w:r w:rsidRPr="00727084">
        <w:rPr>
          <w:rFonts w:ascii="Century" w:hAnsi="Century" w:cs="Miriam" w:hint="eastAsia"/>
          <w:b/>
          <w:spacing w:val="0"/>
          <w:sz w:val="22"/>
          <w:szCs w:val="24"/>
          <w:rtl/>
        </w:rPr>
        <w:t>א</w:t>
      </w:r>
      <w:r w:rsidRPr="00727084">
        <w:rPr>
          <w:rFonts w:ascii="Century" w:hAnsi="Century" w:cs="Miriam"/>
          <w:b/>
          <w:spacing w:val="0"/>
          <w:sz w:val="22"/>
          <w:szCs w:val="24"/>
          <w:rtl/>
        </w:rPr>
        <w:t>(</w:t>
      </w:r>
      <w:r w:rsidRPr="00727084">
        <w:rPr>
          <w:rFonts w:ascii="Century" w:hAnsi="Century" w:cs="Miriam" w:hint="eastAsia"/>
          <w:b/>
          <w:spacing w:val="0"/>
          <w:sz w:val="22"/>
          <w:szCs w:val="24"/>
          <w:rtl/>
        </w:rPr>
        <w:t>ב</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ו</w:t>
      </w:r>
      <w:r w:rsidRPr="00727084">
        <w:rPr>
          <w:rFonts w:ascii="Century" w:hAnsi="Century" w:cs="Miriam"/>
          <w:b/>
          <w:spacing w:val="0"/>
          <w:sz w:val="22"/>
          <w:szCs w:val="24"/>
          <w:rtl/>
        </w:rPr>
        <w:t>-(</w:t>
      </w:r>
      <w:r w:rsidRPr="00727084">
        <w:rPr>
          <w:rFonts w:ascii="Century" w:hAnsi="Century" w:cs="Miriam" w:hint="eastAsia"/>
          <w:b/>
          <w:spacing w:val="0"/>
          <w:sz w:val="22"/>
          <w:szCs w:val="24"/>
          <w:rtl/>
        </w:rPr>
        <w:t>ג</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לעניין</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היותו</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מפעל</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בר</w:t>
      </w:r>
      <w:r w:rsidRPr="00727084">
        <w:rPr>
          <w:rFonts w:ascii="Century" w:hAnsi="Century" w:cs="Miriam"/>
          <w:b/>
          <w:spacing w:val="0"/>
          <w:sz w:val="22"/>
          <w:szCs w:val="24"/>
          <w:rtl/>
        </w:rPr>
        <w:t>-</w:t>
      </w:r>
      <w:r w:rsidRPr="00727084">
        <w:rPr>
          <w:rFonts w:ascii="Century" w:hAnsi="Century" w:cs="Miriam" w:hint="eastAsia"/>
          <w:b/>
          <w:spacing w:val="0"/>
          <w:sz w:val="22"/>
          <w:szCs w:val="24"/>
          <w:rtl/>
        </w:rPr>
        <w:t>תחרות</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התורם</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לתוצר</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המקומי</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הגולמי</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או</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מפעל</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בר</w:t>
      </w:r>
      <w:r w:rsidRPr="00727084">
        <w:rPr>
          <w:rFonts w:ascii="Century" w:hAnsi="Century" w:cs="Miriam"/>
          <w:b/>
          <w:spacing w:val="0"/>
          <w:sz w:val="22"/>
          <w:szCs w:val="24"/>
          <w:rtl/>
        </w:rPr>
        <w:t>-</w:t>
      </w:r>
      <w:r w:rsidRPr="00727084">
        <w:rPr>
          <w:rFonts w:ascii="Century" w:hAnsi="Century" w:cs="Miriam" w:hint="eastAsia"/>
          <w:b/>
          <w:spacing w:val="0"/>
          <w:sz w:val="22"/>
          <w:szCs w:val="24"/>
          <w:rtl/>
        </w:rPr>
        <w:t>תחרות</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בתחום</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האנרגיה</w:t>
      </w:r>
      <w:r w:rsidRPr="00727084">
        <w:rPr>
          <w:rFonts w:ascii="Century" w:hAnsi="Century" w:cs="Miriam"/>
          <w:b/>
          <w:spacing w:val="0"/>
          <w:sz w:val="22"/>
          <w:szCs w:val="24"/>
          <w:rtl/>
        </w:rPr>
        <w:t xml:space="preserve"> </w:t>
      </w:r>
      <w:r w:rsidRPr="00727084">
        <w:rPr>
          <w:rFonts w:ascii="Century" w:hAnsi="Century" w:cs="Miriam" w:hint="eastAsia"/>
          <w:b/>
          <w:spacing w:val="0"/>
          <w:sz w:val="22"/>
          <w:szCs w:val="24"/>
          <w:rtl/>
        </w:rPr>
        <w:t>המתחדשת</w:t>
      </w:r>
      <w:r>
        <w:rPr>
          <w:rFonts w:hint="cs"/>
          <w:rtl/>
        </w:rPr>
        <w:t>".</w:t>
      </w:r>
    </w:p>
    <w:p w:rsidR="00CF54A5" w:rsidRPr="004555DF" w:rsidRDefault="00CF54A5" w:rsidP="00CF54A5">
      <w:pPr>
        <w:pStyle w:val="Ruller41"/>
      </w:pPr>
    </w:p>
    <w:p w:rsidR="00CF54A5" w:rsidRDefault="00CF54A5" w:rsidP="00CF54A5">
      <w:pPr>
        <w:pStyle w:val="Ruller4"/>
        <w:numPr>
          <w:ilvl w:val="0"/>
          <w:numId w:val="0"/>
        </w:numPr>
        <w:rPr>
          <w:rtl/>
        </w:rPr>
      </w:pPr>
      <w:r>
        <w:rPr>
          <w:rtl/>
        </w:rPr>
        <w:tab/>
      </w:r>
      <w:r>
        <w:rPr>
          <w:rFonts w:hint="cs"/>
          <w:rtl/>
        </w:rPr>
        <w:t xml:space="preserve">הגדרת מפעל תעשייתי "בר-תחרות" המצויה בסעיף 18א(ג)(1) לחוק, מורכבת ממספר חלופות העשויות להביא מפעל בשערי ההגדרה. לענייננו רלוונטית החלופה השלישית, המוגדרת בסעיף 18א(ג)(1)(ג) לחוק, אשר </w:t>
      </w:r>
      <w:r w:rsidRPr="006F6EFC">
        <w:rPr>
          <w:rFonts w:hint="cs"/>
          <w:rtl/>
        </w:rPr>
        <w:t xml:space="preserve">קבע בשנים הרלוונטיות כי מפעל תעשייתי "בר-תחרות" הוא מפעל </w:t>
      </w:r>
      <w:r>
        <w:rPr>
          <w:rFonts w:hint="cs"/>
          <w:rtl/>
        </w:rPr>
        <w:t>אשר</w:t>
      </w:r>
      <w:r w:rsidRPr="006F6EFC">
        <w:rPr>
          <w:rFonts w:hint="cs"/>
          <w:rtl/>
        </w:rPr>
        <w:t xml:space="preserve"> </w:t>
      </w:r>
      <w:r>
        <w:rPr>
          <w:rFonts w:hint="cs"/>
          <w:rtl/>
        </w:rPr>
        <w:t>"</w:t>
      </w:r>
      <w:r w:rsidRPr="006F6EFC">
        <w:rPr>
          <w:rFonts w:ascii="Century" w:hAnsi="Century" w:cs="Miriam"/>
          <w:b/>
          <w:spacing w:val="0"/>
          <w:sz w:val="22"/>
          <w:szCs w:val="24"/>
          <w:rtl/>
        </w:rPr>
        <w:t xml:space="preserve">25% </w:t>
      </w:r>
      <w:r w:rsidRPr="006F6EFC">
        <w:rPr>
          <w:rFonts w:ascii="Century" w:hAnsi="Century" w:cs="Miriam" w:hint="eastAsia"/>
          <w:b/>
          <w:spacing w:val="0"/>
          <w:sz w:val="22"/>
          <w:szCs w:val="24"/>
          <w:rtl/>
        </w:rPr>
        <w:t>או</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יותר</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מכלל</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הכנסתו</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בשנת</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המס</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lastRenderedPageBreak/>
        <w:t>ממכירות</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המפעל</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הן</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ממכירות</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בשוק</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מסוים</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המונה</w:t>
      </w:r>
      <w:r w:rsidRPr="006F6EFC">
        <w:rPr>
          <w:rFonts w:ascii="Century" w:hAnsi="Century" w:cs="Miriam"/>
          <w:b/>
          <w:spacing w:val="0"/>
          <w:sz w:val="22"/>
          <w:szCs w:val="24"/>
          <w:rtl/>
        </w:rPr>
        <w:t xml:space="preserve"> </w:t>
      </w:r>
      <w:r w:rsidRPr="006F6EFC">
        <w:rPr>
          <w:rFonts w:ascii="Century" w:hAnsi="Century" w:cs="Miriam" w:hint="cs"/>
          <w:b/>
          <w:spacing w:val="0"/>
          <w:sz w:val="22"/>
          <w:szCs w:val="24"/>
          <w:rtl/>
        </w:rPr>
        <w:t>12</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מיליון</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תושבים</w:t>
      </w:r>
      <w:r w:rsidRPr="006F6EFC">
        <w:rPr>
          <w:rFonts w:ascii="Century" w:hAnsi="Century" w:cs="Miriam"/>
          <w:b/>
          <w:spacing w:val="0"/>
          <w:sz w:val="22"/>
          <w:szCs w:val="24"/>
          <w:rtl/>
        </w:rPr>
        <w:t xml:space="preserve"> </w:t>
      </w:r>
      <w:r w:rsidRPr="006F6EFC">
        <w:rPr>
          <w:rFonts w:ascii="Century" w:hAnsi="Century" w:cs="Miriam" w:hint="eastAsia"/>
          <w:b/>
          <w:spacing w:val="0"/>
          <w:sz w:val="22"/>
          <w:szCs w:val="24"/>
          <w:rtl/>
        </w:rPr>
        <w:t>לפחות</w:t>
      </w:r>
      <w:r w:rsidRPr="006F6EFC">
        <w:rPr>
          <w:rFonts w:hint="cs"/>
          <w:rtl/>
        </w:rPr>
        <w:t>"</w:t>
      </w:r>
      <w:r>
        <w:rPr>
          <w:rFonts w:hint="cs"/>
          <w:rtl/>
        </w:rPr>
        <w:t xml:space="preserve"> (להלן: </w:t>
      </w:r>
      <w:r w:rsidRPr="00086545">
        <w:rPr>
          <w:rFonts w:ascii="Century" w:hAnsi="Century" w:cs="Miriam" w:hint="cs"/>
          <w:b/>
          <w:spacing w:val="0"/>
          <w:sz w:val="22"/>
          <w:szCs w:val="24"/>
          <w:rtl/>
        </w:rPr>
        <w:t>חלופת המכירה לשוק גדול</w:t>
      </w:r>
      <w:r>
        <w:rPr>
          <w:rFonts w:hint="cs"/>
          <w:rtl/>
        </w:rPr>
        <w:t>)</w:t>
      </w:r>
      <w:r w:rsidRPr="006F6EFC">
        <w:rPr>
          <w:rFonts w:hint="cs"/>
          <w:rtl/>
        </w:rPr>
        <w:t>.</w:t>
      </w:r>
      <w:r>
        <w:rPr>
          <w:rFonts w:hint="cs"/>
          <w:rtl/>
        </w:rPr>
        <w:t xml:space="preserve"> ודוק, על מנת לקיים חלופה זו, על המפעל לעמוד בשני קריטריונים מצטברים: </w:t>
      </w:r>
      <w:r w:rsidRPr="002E74A5">
        <w:rPr>
          <w:rFonts w:ascii="Century" w:hAnsi="Century" w:cs="Miriam" w:hint="cs"/>
          <w:b/>
          <w:spacing w:val="0"/>
          <w:sz w:val="22"/>
          <w:szCs w:val="24"/>
          <w:rtl/>
        </w:rPr>
        <w:t>קריטריון היקף ההכנסות</w:t>
      </w:r>
      <w:r w:rsidRPr="002E74A5">
        <w:rPr>
          <w:rFonts w:hint="cs"/>
          <w:rtl/>
        </w:rPr>
        <w:t xml:space="preserve"> </w:t>
      </w:r>
      <w:r>
        <w:rPr>
          <w:rtl/>
        </w:rPr>
        <w:t>–</w:t>
      </w:r>
      <w:r>
        <w:rPr>
          <w:rFonts w:hint="cs"/>
          <w:rtl/>
        </w:rPr>
        <w:t xml:space="preserve"> המגדיר את היקף ההכנסות המינימאלי (בשיעור של 25%) שעל המפעל להפיק מהשוק נושא הסעיף; </w:t>
      </w:r>
      <w:r>
        <w:rPr>
          <w:rFonts w:ascii="Century" w:hAnsi="Century" w:hint="cs"/>
          <w:sz w:val="22"/>
          <w:rtl/>
        </w:rPr>
        <w:t>ו</w:t>
      </w:r>
      <w:r w:rsidRPr="002E74A5">
        <w:rPr>
          <w:rFonts w:ascii="Century" w:hAnsi="Century" w:cs="Miriam" w:hint="cs"/>
          <w:b/>
          <w:spacing w:val="0"/>
          <w:sz w:val="22"/>
          <w:szCs w:val="24"/>
          <w:rtl/>
        </w:rPr>
        <w:t>קריטריון גודל השוק</w:t>
      </w:r>
      <w:r w:rsidRPr="002E74A5">
        <w:rPr>
          <w:rFonts w:hint="cs"/>
          <w:rtl/>
        </w:rPr>
        <w:t xml:space="preserve"> </w:t>
      </w:r>
      <w:r>
        <w:rPr>
          <w:rtl/>
        </w:rPr>
        <w:t>–</w:t>
      </w:r>
      <w:r>
        <w:rPr>
          <w:rFonts w:hint="cs"/>
          <w:rtl/>
        </w:rPr>
        <w:t xml:space="preserve"> המגדיר את גודלו של השוק ממנו מופקות ההכנסות (קרי, בעל אוכלוסייה בגודל של 12 מיליון תושבים לפחות). לעניין קריטריון אחרון זה, סעיף 18א(א) לחוק מגדיר כי "</w:t>
      </w:r>
      <w:r w:rsidRPr="0077055C">
        <w:rPr>
          <w:rFonts w:ascii="Century" w:hAnsi="Century" w:cs="Miriam" w:hint="cs"/>
          <w:b/>
          <w:spacing w:val="0"/>
          <w:sz w:val="22"/>
          <w:szCs w:val="24"/>
          <w:rtl/>
        </w:rPr>
        <w:t xml:space="preserve">שוק </w:t>
      </w:r>
      <w:r w:rsidRPr="0077055C">
        <w:rPr>
          <w:rFonts w:ascii="Century" w:hAnsi="Century" w:cs="Miriam"/>
          <w:b/>
          <w:spacing w:val="0"/>
          <w:sz w:val="22"/>
          <w:szCs w:val="24"/>
          <w:rtl/>
        </w:rPr>
        <w:t>–</w:t>
      </w:r>
      <w:r w:rsidRPr="0077055C">
        <w:rPr>
          <w:rFonts w:ascii="Century" w:hAnsi="Century" w:cs="Miriam" w:hint="cs"/>
          <w:b/>
          <w:spacing w:val="0"/>
          <w:sz w:val="22"/>
          <w:szCs w:val="24"/>
          <w:rtl/>
        </w:rPr>
        <w:t xml:space="preserve"> כולל מדינה או טריטוריית מכס נפרדת</w:t>
      </w:r>
      <w:r>
        <w:rPr>
          <w:rFonts w:hint="cs"/>
          <w:rtl/>
        </w:rPr>
        <w:t xml:space="preserve">", כאשר מדינת ישראל, לרבות שטחי יהודה ושומרון וחבל עזה (להלן: </w:t>
      </w:r>
      <w:r w:rsidRPr="000345DF">
        <w:rPr>
          <w:rFonts w:ascii="Century" w:hAnsi="Century" w:cs="Miriam" w:hint="cs"/>
          <w:b/>
          <w:spacing w:val="0"/>
          <w:sz w:val="22"/>
          <w:szCs w:val="24"/>
          <w:rtl/>
        </w:rPr>
        <w:t>השוק הישראלי</w:t>
      </w:r>
      <w:r>
        <w:rPr>
          <w:rFonts w:ascii="Century" w:hAnsi="Century" w:cs="Miriam" w:hint="cs"/>
          <w:b/>
          <w:spacing w:val="0"/>
          <w:sz w:val="22"/>
          <w:szCs w:val="24"/>
          <w:rtl/>
        </w:rPr>
        <w:t xml:space="preserve"> </w:t>
      </w:r>
      <w:r w:rsidRPr="00F804BE">
        <w:rPr>
          <w:rFonts w:ascii="Century" w:hAnsi="Century" w:hint="cs"/>
          <w:sz w:val="22"/>
          <w:rtl/>
        </w:rPr>
        <w:t>או</w:t>
      </w:r>
      <w:r w:rsidRPr="00F804BE">
        <w:rPr>
          <w:rFonts w:ascii="Century" w:hAnsi="Century" w:cs="Miriam" w:hint="cs"/>
          <w:b/>
          <w:spacing w:val="0"/>
          <w:sz w:val="22"/>
          <w:szCs w:val="24"/>
          <w:rtl/>
        </w:rPr>
        <w:t xml:space="preserve"> </w:t>
      </w:r>
      <w:r>
        <w:rPr>
          <w:rFonts w:ascii="Century" w:hAnsi="Century" w:cs="Miriam" w:hint="cs"/>
          <w:b/>
          <w:spacing w:val="0"/>
          <w:sz w:val="22"/>
          <w:szCs w:val="24"/>
          <w:rtl/>
        </w:rPr>
        <w:t>השוק המקומי</w:t>
      </w:r>
      <w:r>
        <w:rPr>
          <w:rFonts w:hint="cs"/>
          <w:rtl/>
        </w:rPr>
        <w:t xml:space="preserve">), היא טריטוריית מכס אחת לצורך </w:t>
      </w:r>
      <w:r w:rsidRPr="005402CE">
        <w:rPr>
          <w:rFonts w:hint="cs"/>
          <w:rtl/>
        </w:rPr>
        <w:t>החוק (</w:t>
      </w:r>
      <w:r>
        <w:rPr>
          <w:rFonts w:hint="cs"/>
          <w:rtl/>
        </w:rPr>
        <w:t xml:space="preserve">ראו </w:t>
      </w:r>
      <w:r w:rsidRPr="005402CE">
        <w:rPr>
          <w:rFonts w:hint="cs"/>
          <w:rtl/>
        </w:rPr>
        <w:t>סעיף 2.1.1.ב. לחוזר מס הכנסה 2/2006</w:t>
      </w:r>
      <w:r>
        <w:rPr>
          <w:rFonts w:hint="cs"/>
          <w:rtl/>
        </w:rPr>
        <w:t>)</w:t>
      </w:r>
      <w:r w:rsidRPr="005402CE">
        <w:rPr>
          <w:rFonts w:hint="cs"/>
          <w:rtl/>
        </w:rPr>
        <w:t>.</w:t>
      </w:r>
    </w:p>
    <w:p w:rsidR="00CF54A5" w:rsidRDefault="00CF54A5" w:rsidP="00CF54A5">
      <w:pPr>
        <w:pStyle w:val="Ruller41"/>
        <w:rPr>
          <w:rtl/>
        </w:rPr>
      </w:pPr>
    </w:p>
    <w:p w:rsidR="00CF54A5" w:rsidRDefault="00CF54A5" w:rsidP="00CF54A5">
      <w:pPr>
        <w:pStyle w:val="Ruller4"/>
        <w:rPr>
          <w:rtl/>
        </w:rPr>
      </w:pPr>
      <w:r>
        <w:rPr>
          <w:rFonts w:hint="cs"/>
          <w:rtl/>
        </w:rPr>
        <w:t xml:space="preserve">יצוין עוד כי ביום 11.7.2013 תוקן חוק עידוד השקעות, במסגרת </w:t>
      </w:r>
      <w:r w:rsidRPr="005D7CEC">
        <w:rPr>
          <w:rFonts w:hint="eastAsia"/>
          <w:rtl/>
        </w:rPr>
        <w:t>חוק</w:t>
      </w:r>
      <w:r w:rsidRPr="005D7CEC">
        <w:rPr>
          <w:rtl/>
        </w:rPr>
        <w:t xml:space="preserve"> </w:t>
      </w:r>
      <w:r w:rsidRPr="005D7CEC">
        <w:rPr>
          <w:rFonts w:hint="eastAsia"/>
          <w:rtl/>
        </w:rPr>
        <w:t>לעידוד</w:t>
      </w:r>
      <w:r w:rsidRPr="005D7CEC">
        <w:rPr>
          <w:rtl/>
        </w:rPr>
        <w:t xml:space="preserve"> </w:t>
      </w:r>
      <w:r w:rsidRPr="005D7CEC">
        <w:rPr>
          <w:rFonts w:hint="eastAsia"/>
          <w:rtl/>
        </w:rPr>
        <w:t>השקעות</w:t>
      </w:r>
      <w:r w:rsidRPr="005D7CEC">
        <w:rPr>
          <w:rtl/>
        </w:rPr>
        <w:t xml:space="preserve"> </w:t>
      </w:r>
      <w:r w:rsidRPr="005D7CEC">
        <w:rPr>
          <w:rFonts w:hint="eastAsia"/>
          <w:rtl/>
        </w:rPr>
        <w:t>הון</w:t>
      </w:r>
      <w:r w:rsidRPr="005D7CEC">
        <w:rPr>
          <w:rtl/>
        </w:rPr>
        <w:t xml:space="preserve"> </w:t>
      </w:r>
      <w:r>
        <w:rPr>
          <w:rFonts w:hint="cs"/>
          <w:rtl/>
        </w:rPr>
        <w:t>(</w:t>
      </w:r>
      <w:r w:rsidRPr="005D7CEC">
        <w:rPr>
          <w:rFonts w:hint="eastAsia"/>
          <w:rtl/>
        </w:rPr>
        <w:t>תיקון</w:t>
      </w:r>
      <w:r w:rsidRPr="005D7CEC">
        <w:rPr>
          <w:rtl/>
        </w:rPr>
        <w:t xml:space="preserve"> </w:t>
      </w:r>
      <w:r w:rsidRPr="005D7CEC">
        <w:rPr>
          <w:rFonts w:hint="eastAsia"/>
          <w:rtl/>
        </w:rPr>
        <w:t>מס</w:t>
      </w:r>
      <w:r w:rsidRPr="005D7CEC">
        <w:rPr>
          <w:rtl/>
        </w:rPr>
        <w:t xml:space="preserve">' </w:t>
      </w:r>
      <w:r>
        <w:rPr>
          <w:rFonts w:hint="cs"/>
          <w:rtl/>
        </w:rPr>
        <w:t xml:space="preserve">70), </w:t>
      </w:r>
      <w:r w:rsidRPr="005D7CEC">
        <w:rPr>
          <w:rFonts w:hint="eastAsia"/>
          <w:rtl/>
        </w:rPr>
        <w:t>התשע</w:t>
      </w:r>
      <w:r w:rsidRPr="005D7CEC">
        <w:rPr>
          <w:rtl/>
        </w:rPr>
        <w:t>"</w:t>
      </w:r>
      <w:r w:rsidRPr="005D7CEC">
        <w:rPr>
          <w:rFonts w:hint="eastAsia"/>
          <w:rtl/>
        </w:rPr>
        <w:t>ג</w:t>
      </w:r>
      <w:r w:rsidRPr="005D7CEC">
        <w:rPr>
          <w:rtl/>
        </w:rPr>
        <w:t>-2013</w:t>
      </w:r>
      <w:r w:rsidRPr="005D7CEC">
        <w:rPr>
          <w:rFonts w:hint="cs"/>
          <w:rtl/>
        </w:rPr>
        <w:t xml:space="preserve"> </w:t>
      </w:r>
      <w:r>
        <w:rPr>
          <w:rFonts w:hint="cs"/>
          <w:rtl/>
        </w:rPr>
        <w:t>(להלן</w:t>
      </w:r>
      <w:r w:rsidRPr="0019460E">
        <w:rPr>
          <w:rFonts w:ascii="Century" w:hAnsi="Century" w:cs="Miriam" w:hint="cs"/>
          <w:b/>
          <w:spacing w:val="0"/>
          <w:sz w:val="22"/>
          <w:szCs w:val="24"/>
          <w:rtl/>
        </w:rPr>
        <w:t>: תיקון מס' 70</w:t>
      </w:r>
      <w:r>
        <w:rPr>
          <w:rFonts w:hint="cs"/>
          <w:rtl/>
        </w:rPr>
        <w:t xml:space="preserve">), ושונה קריטריון גודל השוק. וזו לשון סעיף 18א(ג)(1)(ג) לחוק לאחר תיקון מס' 70: </w:t>
      </w:r>
    </w:p>
    <w:p w:rsidR="00CF54A5" w:rsidRDefault="00CF54A5" w:rsidP="00CF54A5">
      <w:pPr>
        <w:pStyle w:val="Ruller41"/>
        <w:rPr>
          <w:rtl/>
        </w:rPr>
      </w:pPr>
    </w:p>
    <w:p w:rsidR="00CF54A5" w:rsidRPr="0019460E" w:rsidRDefault="00CF54A5" w:rsidP="00CF54A5">
      <w:pPr>
        <w:pStyle w:val="Ruller5"/>
        <w:rPr>
          <w:rFonts w:ascii="Century" w:hAnsi="Century"/>
        </w:rPr>
      </w:pPr>
      <w:r w:rsidRPr="0019460E">
        <w:rPr>
          <w:rStyle w:val="default"/>
          <w:rFonts w:ascii="Century" w:hAnsi="Century"/>
          <w:rtl/>
        </w:rPr>
        <w:t>25% או יותר מכלל הכנסתו, בשנת המס, ממכירות המפעל, הן ממכירות בשוק מסוים המונה 14 מיליון תושבים לפחות; מספר התושבים לפי פסקת משנה זו יעלה, ב-1 בינואר של כל שנת מס, בשיעור של 1.4% ביחס למספר התושבים לפי פסקת משנה זו ב-1 בינואר של שנת המס הקודמת</w:t>
      </w:r>
      <w:r>
        <w:rPr>
          <w:rStyle w:val="default"/>
          <w:rFonts w:ascii="Century" w:hAnsi="Century" w:hint="cs"/>
          <w:rtl/>
        </w:rPr>
        <w:t>.</w:t>
      </w:r>
    </w:p>
    <w:p w:rsidR="00CF54A5" w:rsidRDefault="00CF54A5" w:rsidP="00CF54A5">
      <w:pPr>
        <w:pStyle w:val="Ruller41"/>
        <w:rPr>
          <w:rtl/>
        </w:rPr>
      </w:pPr>
    </w:p>
    <w:p w:rsidR="00CF54A5" w:rsidRDefault="00CF54A5" w:rsidP="006D7623">
      <w:pPr>
        <w:pStyle w:val="Ruller41"/>
        <w:rPr>
          <w:rtl/>
        </w:rPr>
      </w:pPr>
      <w:r>
        <w:rPr>
          <w:rtl/>
        </w:rPr>
        <w:tab/>
      </w:r>
      <w:r>
        <w:rPr>
          <w:rFonts w:hint="cs"/>
          <w:rtl/>
        </w:rPr>
        <w:t>עוד נקבע במסגרת תיקון מס' 70, כי תחולתו של תיקון זה היא רטרואקטיבית, החל מיום 1.</w:t>
      </w:r>
      <w:r w:rsidRPr="0014527F">
        <w:rPr>
          <w:rFonts w:hint="cs"/>
          <w:rtl/>
        </w:rPr>
        <w:t xml:space="preserve">1.2012, ועל כן, על פני הדברים, כפי שיוצג להלן, הוא חל על עניינן של </w:t>
      </w:r>
      <w:proofErr w:type="spellStart"/>
      <w:r w:rsidRPr="0014527F">
        <w:rPr>
          <w:rFonts w:hint="cs"/>
          <w:rtl/>
        </w:rPr>
        <w:t>הנישומות</w:t>
      </w:r>
      <w:proofErr w:type="spellEnd"/>
      <w:r w:rsidRPr="0014527F">
        <w:rPr>
          <w:rFonts w:hint="cs"/>
          <w:rtl/>
        </w:rPr>
        <w:t xml:space="preserve">. </w:t>
      </w:r>
      <w:r w:rsidR="006D7623">
        <w:rPr>
          <w:rFonts w:hint="cs"/>
          <w:rtl/>
        </w:rPr>
        <w:t>לסוגיה זו</w:t>
      </w:r>
      <w:r>
        <w:rPr>
          <w:rFonts w:hint="cs"/>
          <w:rtl/>
        </w:rPr>
        <w:t>, עוד נחזור בהמשך הדברים.</w:t>
      </w:r>
    </w:p>
    <w:p w:rsidR="00CF54A5" w:rsidRDefault="00CF54A5" w:rsidP="00CF54A5">
      <w:pPr>
        <w:pStyle w:val="Ruller41"/>
        <w:rPr>
          <w:rtl/>
        </w:rPr>
      </w:pPr>
    </w:p>
    <w:p w:rsidR="00CF54A5" w:rsidRDefault="00CF54A5" w:rsidP="00CF54A5">
      <w:pPr>
        <w:pStyle w:val="Ruller41"/>
        <w:rPr>
          <w:rFonts w:ascii="Century" w:hAnsi="Century" w:cs="Miriam"/>
          <w:b/>
          <w:spacing w:val="0"/>
          <w:szCs w:val="24"/>
          <w:rtl/>
        </w:rPr>
      </w:pPr>
      <w:r w:rsidRPr="00D113F6">
        <w:rPr>
          <w:rFonts w:ascii="Century" w:hAnsi="Century" w:cs="Miriam" w:hint="cs"/>
          <w:b/>
          <w:spacing w:val="0"/>
          <w:szCs w:val="24"/>
          <w:rtl/>
        </w:rPr>
        <w:t>רקע</w:t>
      </w:r>
      <w:r>
        <w:rPr>
          <w:rFonts w:ascii="Century" w:hAnsi="Century" w:cs="Miriam" w:hint="cs"/>
          <w:b/>
          <w:spacing w:val="0"/>
          <w:szCs w:val="24"/>
          <w:rtl/>
        </w:rPr>
        <w:t xml:space="preserve"> והשתלשלות העניינים</w:t>
      </w:r>
    </w:p>
    <w:p w:rsidR="00CF54A5" w:rsidRPr="002A792B" w:rsidRDefault="00CF54A5" w:rsidP="00CF54A5">
      <w:pPr>
        <w:pStyle w:val="Ruller41"/>
        <w:rPr>
          <w:rFonts w:ascii="Century" w:hAnsi="Century"/>
          <w:rtl/>
        </w:rPr>
      </w:pPr>
    </w:p>
    <w:p w:rsidR="00CF54A5" w:rsidRDefault="00CF54A5" w:rsidP="00CF54A5">
      <w:pPr>
        <w:pStyle w:val="Ruller4"/>
        <w:rPr>
          <w:rtl/>
        </w:rPr>
      </w:pPr>
      <w:r>
        <w:rPr>
          <w:rFonts w:hint="cs"/>
          <w:rtl/>
        </w:rPr>
        <w:t xml:space="preserve">התשתית העובדתית והמשפטית בערעורי המס נושא הערעורים שלפנינו היא דומה והובאה בהרחבה על ידי בית משפט קמא. על כן, אסקור את עיקריה בקצרה. </w:t>
      </w:r>
    </w:p>
    <w:p w:rsidR="00CF54A5" w:rsidRPr="00C343AC" w:rsidRDefault="00CF54A5" w:rsidP="00CF54A5">
      <w:pPr>
        <w:pStyle w:val="Ruller41"/>
      </w:pPr>
    </w:p>
    <w:p w:rsidR="00CF54A5" w:rsidRPr="00176029" w:rsidRDefault="00CF54A5" w:rsidP="00CF54A5">
      <w:pPr>
        <w:pStyle w:val="Ruller4"/>
        <w:rPr>
          <w:rtl/>
        </w:rPr>
      </w:pPr>
      <w:r w:rsidRPr="00176029">
        <w:rPr>
          <w:rFonts w:hint="cs"/>
          <w:rtl/>
        </w:rPr>
        <w:t>ה</w:t>
      </w:r>
      <w:r>
        <w:rPr>
          <w:rFonts w:hint="cs"/>
          <w:rtl/>
        </w:rPr>
        <w:t>מערערות</w:t>
      </w:r>
      <w:r w:rsidRPr="00176029">
        <w:rPr>
          <w:rFonts w:hint="cs"/>
          <w:rtl/>
        </w:rPr>
        <w:t xml:space="preserve">, </w:t>
      </w:r>
      <w:r>
        <w:rPr>
          <w:rFonts w:hint="cs"/>
          <w:rtl/>
        </w:rPr>
        <w:t xml:space="preserve">חמש </w:t>
      </w:r>
      <w:r w:rsidRPr="00176029">
        <w:rPr>
          <w:rFonts w:hint="cs"/>
          <w:rtl/>
        </w:rPr>
        <w:t>חברות תעשייה שונות בתחומי המזון והתשתיות</w:t>
      </w:r>
      <w:r>
        <w:rPr>
          <w:rFonts w:hint="cs"/>
          <w:rtl/>
        </w:rPr>
        <w:t xml:space="preserve">, אשר מפעליהן ממוקמים באזורי פיתוח (להלן: </w:t>
      </w:r>
      <w:proofErr w:type="spellStart"/>
      <w:r w:rsidRPr="009D4658">
        <w:rPr>
          <w:rFonts w:ascii="Century" w:hAnsi="Century" w:cs="Miriam" w:hint="cs"/>
          <w:b/>
          <w:spacing w:val="0"/>
          <w:sz w:val="22"/>
          <w:szCs w:val="24"/>
          <w:rtl/>
        </w:rPr>
        <w:t>הנישומות</w:t>
      </w:r>
      <w:proofErr w:type="spellEnd"/>
      <w:r>
        <w:rPr>
          <w:rFonts w:hint="cs"/>
          <w:rtl/>
        </w:rPr>
        <w:t>)</w:t>
      </w:r>
      <w:r w:rsidRPr="00176029">
        <w:rPr>
          <w:rFonts w:hint="cs"/>
          <w:rtl/>
        </w:rPr>
        <w:t>, הגישו לפקידי השומה הרלוונטיים</w:t>
      </w:r>
      <w:r>
        <w:rPr>
          <w:rFonts w:hint="cs"/>
          <w:rtl/>
        </w:rPr>
        <w:t xml:space="preserve">, שהם המשיבים בערעורים שלפנינו (להלן: </w:t>
      </w:r>
      <w:r w:rsidRPr="009D4658">
        <w:rPr>
          <w:rFonts w:ascii="Century" w:hAnsi="Century" w:cs="Miriam" w:hint="cs"/>
          <w:b/>
          <w:spacing w:val="0"/>
          <w:sz w:val="22"/>
          <w:szCs w:val="24"/>
          <w:rtl/>
        </w:rPr>
        <w:t>פקידי השומה</w:t>
      </w:r>
      <w:r>
        <w:rPr>
          <w:rFonts w:hint="cs"/>
          <w:rtl/>
        </w:rPr>
        <w:t>),</w:t>
      </w:r>
      <w:r w:rsidRPr="00176029">
        <w:rPr>
          <w:rFonts w:hint="cs"/>
          <w:rtl/>
        </w:rPr>
        <w:t xml:space="preserve"> דו"חות מס הכנסה ביחס לשנים 2011 ו-2012 (יוער, כי חלק מערעורי המס שהגישו </w:t>
      </w:r>
      <w:proofErr w:type="spellStart"/>
      <w:r w:rsidRPr="00176029">
        <w:rPr>
          <w:rFonts w:hint="cs"/>
          <w:rtl/>
        </w:rPr>
        <w:t>הנישומות</w:t>
      </w:r>
      <w:proofErr w:type="spellEnd"/>
      <w:r w:rsidRPr="00176029">
        <w:rPr>
          <w:rFonts w:hint="cs"/>
          <w:rtl/>
        </w:rPr>
        <w:t xml:space="preserve"> עוסקים רק ביחס לאחת מהשנים הללו). במסגרת אותם דו"חות, טענו </w:t>
      </w:r>
      <w:proofErr w:type="spellStart"/>
      <w:r w:rsidRPr="00176029">
        <w:rPr>
          <w:rFonts w:hint="cs"/>
          <w:rtl/>
        </w:rPr>
        <w:t>הנישומות</w:t>
      </w:r>
      <w:proofErr w:type="spellEnd"/>
      <w:r w:rsidRPr="00176029">
        <w:rPr>
          <w:rFonts w:hint="cs"/>
          <w:rtl/>
        </w:rPr>
        <w:t xml:space="preserve"> כי יש </w:t>
      </w:r>
      <w:r w:rsidRPr="00176029">
        <w:rPr>
          <w:rFonts w:hint="cs"/>
          <w:rtl/>
        </w:rPr>
        <w:lastRenderedPageBreak/>
        <w:t xml:space="preserve">להחיל </w:t>
      </w:r>
      <w:r>
        <w:rPr>
          <w:rFonts w:hint="cs"/>
          <w:rtl/>
        </w:rPr>
        <w:t xml:space="preserve">בעניינן </w:t>
      </w:r>
      <w:r w:rsidRPr="00176029">
        <w:rPr>
          <w:rFonts w:hint="cs"/>
          <w:rtl/>
        </w:rPr>
        <w:t xml:space="preserve">את סעיף 51טז(1) לחוק עידוד השקעות המזכה בשיעור מס מופחת, בנמקן כי בשנות המס האמורות רובן המכריע של הכנסותיהן (ועבור חלק </w:t>
      </w:r>
      <w:proofErr w:type="spellStart"/>
      <w:r w:rsidRPr="00176029">
        <w:rPr>
          <w:rFonts w:hint="cs"/>
          <w:rtl/>
        </w:rPr>
        <w:t>מהנישומות</w:t>
      </w:r>
      <w:proofErr w:type="spellEnd"/>
      <w:r w:rsidRPr="00176029">
        <w:rPr>
          <w:rFonts w:hint="cs"/>
          <w:rtl/>
        </w:rPr>
        <w:t xml:space="preserve"> </w:t>
      </w:r>
      <w:r w:rsidRPr="00176029">
        <w:rPr>
          <w:rtl/>
        </w:rPr>
        <w:t>–</w:t>
      </w:r>
      <w:r w:rsidRPr="00176029">
        <w:rPr>
          <w:rFonts w:hint="cs"/>
          <w:rtl/>
        </w:rPr>
        <w:t xml:space="preserve"> כלל הכנסותיהן) </w:t>
      </w:r>
      <w:r>
        <w:rPr>
          <w:rFonts w:hint="cs"/>
          <w:rtl/>
        </w:rPr>
        <w:t>הופקו</w:t>
      </w:r>
      <w:r w:rsidRPr="00176029">
        <w:rPr>
          <w:rFonts w:hint="cs"/>
          <w:rtl/>
        </w:rPr>
        <w:t xml:space="preserve"> בשוק ה</w:t>
      </w:r>
      <w:r>
        <w:rPr>
          <w:rFonts w:hint="cs"/>
          <w:rtl/>
        </w:rPr>
        <w:t>ישראלי,</w:t>
      </w:r>
      <w:r w:rsidRPr="00176029">
        <w:rPr>
          <w:rFonts w:hint="cs"/>
          <w:rtl/>
        </w:rPr>
        <w:t xml:space="preserve"> שהחל </w:t>
      </w:r>
      <w:r>
        <w:rPr>
          <w:rFonts w:hint="cs"/>
          <w:rtl/>
        </w:rPr>
        <w:t xml:space="preserve">משנת </w:t>
      </w:r>
      <w:r w:rsidRPr="00176029">
        <w:rPr>
          <w:rFonts w:hint="cs"/>
          <w:rtl/>
        </w:rPr>
        <w:t xml:space="preserve">2011 </w:t>
      </w:r>
      <w:r>
        <w:rPr>
          <w:rFonts w:hint="cs"/>
          <w:rtl/>
        </w:rPr>
        <w:t xml:space="preserve">נטען כי </w:t>
      </w:r>
      <w:r w:rsidRPr="00176029">
        <w:rPr>
          <w:rFonts w:hint="cs"/>
          <w:rtl/>
        </w:rPr>
        <w:t>חצה את רף 12 מיליון התושבים</w:t>
      </w:r>
      <w:r>
        <w:rPr>
          <w:rFonts w:hint="cs"/>
          <w:rtl/>
        </w:rPr>
        <w:t xml:space="preserve"> </w:t>
      </w:r>
      <w:r>
        <w:rPr>
          <w:rtl/>
        </w:rPr>
        <w:t>–</w:t>
      </w:r>
      <w:r>
        <w:rPr>
          <w:rFonts w:hint="cs"/>
          <w:rtl/>
        </w:rPr>
        <w:t xml:space="preserve"> </w:t>
      </w:r>
      <w:r w:rsidRPr="00176029">
        <w:rPr>
          <w:rFonts w:hint="cs"/>
          <w:rtl/>
        </w:rPr>
        <w:t xml:space="preserve">ומכאן שהן עולות לכדי מפעל תעשייתי "בר-תחרות" לפי </w:t>
      </w:r>
      <w:r>
        <w:rPr>
          <w:rFonts w:hint="cs"/>
          <w:rtl/>
        </w:rPr>
        <w:t>חלופת המכירה לשוק גדול שב</w:t>
      </w:r>
      <w:r w:rsidRPr="00176029">
        <w:rPr>
          <w:rFonts w:hint="cs"/>
          <w:rtl/>
        </w:rPr>
        <w:t>סעיף 18א(ג)(1)(ג) לחוק</w:t>
      </w:r>
      <w:r>
        <w:rPr>
          <w:rFonts w:hint="cs"/>
          <w:rtl/>
        </w:rPr>
        <w:t>, הזכאי להטבה כאמור</w:t>
      </w:r>
      <w:r w:rsidRPr="00176029">
        <w:rPr>
          <w:rFonts w:hint="cs"/>
          <w:rtl/>
        </w:rPr>
        <w:t>.</w:t>
      </w:r>
    </w:p>
    <w:p w:rsidR="00CF54A5" w:rsidRDefault="00CF54A5" w:rsidP="00CF54A5">
      <w:pPr>
        <w:pStyle w:val="Ruller41"/>
        <w:rPr>
          <w:rtl/>
        </w:rPr>
      </w:pPr>
    </w:p>
    <w:p w:rsidR="00CF54A5" w:rsidRDefault="00CF54A5" w:rsidP="00CF54A5">
      <w:pPr>
        <w:pStyle w:val="Ruller4"/>
        <w:rPr>
          <w:rtl/>
        </w:rPr>
      </w:pPr>
      <w:r>
        <w:rPr>
          <w:rFonts w:hint="cs"/>
          <w:rtl/>
        </w:rPr>
        <w:t xml:space="preserve">לשם הנוחות, יוצגו נתוני </w:t>
      </w:r>
      <w:proofErr w:type="spellStart"/>
      <w:r>
        <w:rPr>
          <w:rFonts w:hint="cs"/>
          <w:rtl/>
        </w:rPr>
        <w:t>הנישומות</w:t>
      </w:r>
      <w:proofErr w:type="spellEnd"/>
      <w:r>
        <w:rPr>
          <w:rFonts w:hint="cs"/>
          <w:rtl/>
        </w:rPr>
        <w:t xml:space="preserve"> בטבלה שלהלן:</w:t>
      </w:r>
    </w:p>
    <w:tbl>
      <w:tblPr>
        <w:tblStyle w:val="a6"/>
        <w:tblpPr w:leftFromText="180" w:rightFromText="180" w:vertAnchor="text" w:horzAnchor="margin" w:tblpXSpec="center" w:tblpY="313"/>
        <w:bidiVisual/>
        <w:tblW w:w="9631" w:type="dxa"/>
        <w:tblLook w:val="04A0" w:firstRow="1" w:lastRow="0" w:firstColumn="1" w:lastColumn="0" w:noHBand="0" w:noVBand="1"/>
      </w:tblPr>
      <w:tblGrid>
        <w:gridCol w:w="1621"/>
        <w:gridCol w:w="1046"/>
        <w:gridCol w:w="997"/>
        <w:gridCol w:w="974"/>
        <w:gridCol w:w="1019"/>
        <w:gridCol w:w="1046"/>
        <w:gridCol w:w="997"/>
        <w:gridCol w:w="948"/>
        <w:gridCol w:w="983"/>
      </w:tblGrid>
      <w:tr w:rsidR="00CF54A5" w:rsidTr="00CF54A5">
        <w:tc>
          <w:tcPr>
            <w:tcW w:w="1621" w:type="dxa"/>
            <w:shd w:val="clear" w:color="auto" w:fill="D9D9D9" w:themeFill="background1" w:themeFillShade="D9"/>
          </w:tcPr>
          <w:p w:rsidR="00CF54A5" w:rsidRPr="001F07DA" w:rsidRDefault="00CF54A5" w:rsidP="00CF54A5">
            <w:pPr>
              <w:pStyle w:val="Ruller41"/>
              <w:jc w:val="center"/>
              <w:rPr>
                <w:b/>
                <w:bCs/>
                <w:rtl/>
              </w:rPr>
            </w:pPr>
            <w:r w:rsidRPr="001F07DA">
              <w:rPr>
                <w:rFonts w:hint="cs"/>
                <w:b/>
                <w:bCs/>
                <w:rtl/>
              </w:rPr>
              <w:t>שנת המס</w:t>
            </w:r>
          </w:p>
        </w:tc>
        <w:tc>
          <w:tcPr>
            <w:tcW w:w="4036" w:type="dxa"/>
            <w:gridSpan w:val="4"/>
            <w:shd w:val="clear" w:color="auto" w:fill="D9D9D9" w:themeFill="background1" w:themeFillShade="D9"/>
          </w:tcPr>
          <w:p w:rsidR="00CF54A5" w:rsidRPr="001F07DA" w:rsidRDefault="00CF54A5" w:rsidP="00CF54A5">
            <w:pPr>
              <w:pStyle w:val="Ruller41"/>
              <w:jc w:val="center"/>
              <w:rPr>
                <w:b/>
                <w:bCs/>
                <w:rtl/>
              </w:rPr>
            </w:pPr>
            <w:r w:rsidRPr="001F07DA">
              <w:rPr>
                <w:rFonts w:hint="cs"/>
                <w:b/>
                <w:bCs/>
                <w:rtl/>
              </w:rPr>
              <w:t>2011</w:t>
            </w:r>
          </w:p>
        </w:tc>
        <w:tc>
          <w:tcPr>
            <w:tcW w:w="3974" w:type="dxa"/>
            <w:gridSpan w:val="4"/>
            <w:shd w:val="clear" w:color="auto" w:fill="D9D9D9" w:themeFill="background1" w:themeFillShade="D9"/>
          </w:tcPr>
          <w:p w:rsidR="00CF54A5" w:rsidRPr="001F07DA" w:rsidRDefault="00CF54A5" w:rsidP="00CF54A5">
            <w:pPr>
              <w:pStyle w:val="Ruller41"/>
              <w:jc w:val="center"/>
              <w:rPr>
                <w:b/>
                <w:bCs/>
                <w:rtl/>
              </w:rPr>
            </w:pPr>
            <w:r w:rsidRPr="001F07DA">
              <w:rPr>
                <w:rFonts w:hint="cs"/>
                <w:b/>
                <w:bCs/>
                <w:rtl/>
              </w:rPr>
              <w:t>2012</w:t>
            </w:r>
          </w:p>
        </w:tc>
      </w:tr>
      <w:tr w:rsidR="00CF54A5" w:rsidTr="00CF54A5">
        <w:tc>
          <w:tcPr>
            <w:tcW w:w="1621" w:type="dxa"/>
            <w:vMerge w:val="restart"/>
            <w:shd w:val="clear" w:color="auto" w:fill="D9D9D9" w:themeFill="background1" w:themeFillShade="D9"/>
          </w:tcPr>
          <w:p w:rsidR="00CF54A5" w:rsidRDefault="00CF54A5" w:rsidP="00CF54A5">
            <w:pPr>
              <w:pStyle w:val="Ruller41"/>
              <w:jc w:val="center"/>
              <w:rPr>
                <w:rtl/>
              </w:rPr>
            </w:pPr>
            <w:proofErr w:type="spellStart"/>
            <w:r>
              <w:rPr>
                <w:rFonts w:hint="cs"/>
                <w:rtl/>
              </w:rPr>
              <w:t>הנישומה</w:t>
            </w:r>
            <w:proofErr w:type="spellEnd"/>
          </w:p>
        </w:tc>
        <w:tc>
          <w:tcPr>
            <w:tcW w:w="1046" w:type="dxa"/>
            <w:vMerge w:val="restart"/>
            <w:shd w:val="clear" w:color="auto" w:fill="D9D9D9" w:themeFill="background1" w:themeFillShade="D9"/>
            <w:vAlign w:val="center"/>
          </w:tcPr>
          <w:p w:rsidR="00CF54A5" w:rsidRDefault="00CF54A5" w:rsidP="00CF54A5">
            <w:pPr>
              <w:pStyle w:val="Ruller41"/>
              <w:jc w:val="center"/>
              <w:rPr>
                <w:rtl/>
              </w:rPr>
            </w:pPr>
            <w:r>
              <w:rPr>
                <w:rFonts w:hint="cs"/>
                <w:rtl/>
              </w:rPr>
              <w:t>מחזור מכירות</w:t>
            </w:r>
          </w:p>
          <w:p w:rsidR="00CF54A5" w:rsidRDefault="00CF54A5" w:rsidP="00CF54A5">
            <w:pPr>
              <w:pStyle w:val="Ruller41"/>
              <w:jc w:val="center"/>
              <w:rPr>
                <w:rtl/>
              </w:rPr>
            </w:pPr>
            <w:r>
              <w:rPr>
                <w:rFonts w:hint="cs"/>
                <w:rtl/>
              </w:rPr>
              <w:t>(באלפי ש"ח)</w:t>
            </w:r>
          </w:p>
        </w:tc>
        <w:tc>
          <w:tcPr>
            <w:tcW w:w="1971" w:type="dxa"/>
            <w:gridSpan w:val="2"/>
            <w:shd w:val="clear" w:color="auto" w:fill="D9D9D9" w:themeFill="background1" w:themeFillShade="D9"/>
            <w:vAlign w:val="center"/>
          </w:tcPr>
          <w:p w:rsidR="00CF54A5" w:rsidRDefault="00CF54A5" w:rsidP="00CF54A5">
            <w:pPr>
              <w:pStyle w:val="Ruller41"/>
              <w:jc w:val="center"/>
              <w:rPr>
                <w:rtl/>
              </w:rPr>
            </w:pPr>
            <w:r>
              <w:rPr>
                <w:rFonts w:hint="cs"/>
                <w:rtl/>
              </w:rPr>
              <w:t>התפלגות המכירות</w:t>
            </w:r>
          </w:p>
        </w:tc>
        <w:tc>
          <w:tcPr>
            <w:tcW w:w="1019" w:type="dxa"/>
            <w:vMerge w:val="restart"/>
            <w:shd w:val="clear" w:color="auto" w:fill="D9D9D9" w:themeFill="background1" w:themeFillShade="D9"/>
            <w:vAlign w:val="center"/>
          </w:tcPr>
          <w:p w:rsidR="00CF54A5" w:rsidRDefault="00CF54A5" w:rsidP="00CF54A5">
            <w:pPr>
              <w:pStyle w:val="Ruller41"/>
              <w:jc w:val="center"/>
              <w:rPr>
                <w:rtl/>
              </w:rPr>
            </w:pPr>
            <w:r>
              <w:rPr>
                <w:rFonts w:hint="cs"/>
                <w:rtl/>
              </w:rPr>
              <w:t>הכנסת חייבת (באלפי ש"ח)</w:t>
            </w:r>
          </w:p>
        </w:tc>
        <w:tc>
          <w:tcPr>
            <w:tcW w:w="1046" w:type="dxa"/>
            <w:vMerge w:val="restart"/>
            <w:shd w:val="clear" w:color="auto" w:fill="D9D9D9" w:themeFill="background1" w:themeFillShade="D9"/>
            <w:vAlign w:val="center"/>
          </w:tcPr>
          <w:p w:rsidR="00CF54A5" w:rsidRDefault="00CF54A5" w:rsidP="00CF54A5">
            <w:pPr>
              <w:pStyle w:val="Ruller41"/>
              <w:jc w:val="center"/>
              <w:rPr>
                <w:rtl/>
              </w:rPr>
            </w:pPr>
            <w:r>
              <w:rPr>
                <w:rFonts w:hint="cs"/>
                <w:rtl/>
              </w:rPr>
              <w:t>מחזור מכירות (באלפי ש"ח)</w:t>
            </w:r>
          </w:p>
        </w:tc>
        <w:tc>
          <w:tcPr>
            <w:tcW w:w="1945" w:type="dxa"/>
            <w:gridSpan w:val="2"/>
            <w:shd w:val="clear" w:color="auto" w:fill="D9D9D9" w:themeFill="background1" w:themeFillShade="D9"/>
            <w:vAlign w:val="center"/>
          </w:tcPr>
          <w:p w:rsidR="00CF54A5" w:rsidRDefault="00CF54A5" w:rsidP="00CF54A5">
            <w:pPr>
              <w:pStyle w:val="Ruller41"/>
              <w:jc w:val="center"/>
              <w:rPr>
                <w:rtl/>
              </w:rPr>
            </w:pPr>
            <w:r>
              <w:rPr>
                <w:rFonts w:hint="cs"/>
                <w:rtl/>
              </w:rPr>
              <w:t>התפלגות המכירות</w:t>
            </w:r>
          </w:p>
        </w:tc>
        <w:tc>
          <w:tcPr>
            <w:tcW w:w="983" w:type="dxa"/>
            <w:vMerge w:val="restart"/>
            <w:shd w:val="clear" w:color="auto" w:fill="D9D9D9" w:themeFill="background1" w:themeFillShade="D9"/>
            <w:vAlign w:val="center"/>
          </w:tcPr>
          <w:p w:rsidR="00CF54A5" w:rsidRDefault="00CF54A5" w:rsidP="00CF54A5">
            <w:pPr>
              <w:pStyle w:val="Ruller41"/>
              <w:jc w:val="center"/>
              <w:rPr>
                <w:rtl/>
              </w:rPr>
            </w:pPr>
            <w:r>
              <w:rPr>
                <w:rFonts w:hint="cs"/>
                <w:rtl/>
              </w:rPr>
              <w:t>הכנסה חייבת (באלפי ש"ח)</w:t>
            </w:r>
          </w:p>
        </w:tc>
      </w:tr>
      <w:tr w:rsidR="00CF54A5" w:rsidTr="00CF54A5">
        <w:tc>
          <w:tcPr>
            <w:tcW w:w="1621" w:type="dxa"/>
            <w:vMerge/>
            <w:shd w:val="clear" w:color="auto" w:fill="D9D9D9" w:themeFill="background1" w:themeFillShade="D9"/>
          </w:tcPr>
          <w:p w:rsidR="00CF54A5" w:rsidRDefault="00CF54A5" w:rsidP="00CF54A5">
            <w:pPr>
              <w:pStyle w:val="Ruller41"/>
              <w:rPr>
                <w:rtl/>
              </w:rPr>
            </w:pPr>
          </w:p>
        </w:tc>
        <w:tc>
          <w:tcPr>
            <w:tcW w:w="1046" w:type="dxa"/>
            <w:vMerge/>
            <w:shd w:val="clear" w:color="auto" w:fill="D9D9D9" w:themeFill="background1" w:themeFillShade="D9"/>
          </w:tcPr>
          <w:p w:rsidR="00CF54A5" w:rsidRDefault="00CF54A5" w:rsidP="00CF54A5">
            <w:pPr>
              <w:pStyle w:val="Ruller41"/>
              <w:rPr>
                <w:rtl/>
              </w:rPr>
            </w:pPr>
          </w:p>
        </w:tc>
        <w:tc>
          <w:tcPr>
            <w:tcW w:w="997" w:type="dxa"/>
            <w:shd w:val="clear" w:color="auto" w:fill="D9D9D9" w:themeFill="background1" w:themeFillShade="D9"/>
            <w:vAlign w:val="center"/>
          </w:tcPr>
          <w:p w:rsidR="00CF54A5" w:rsidRDefault="00CF54A5" w:rsidP="00CF54A5">
            <w:pPr>
              <w:pStyle w:val="Ruller41"/>
              <w:jc w:val="center"/>
              <w:rPr>
                <w:rtl/>
              </w:rPr>
            </w:pPr>
            <w:r>
              <w:rPr>
                <w:rFonts w:hint="cs"/>
                <w:rtl/>
              </w:rPr>
              <w:t>שוק ישראלי</w:t>
            </w:r>
          </w:p>
        </w:tc>
        <w:tc>
          <w:tcPr>
            <w:tcW w:w="974" w:type="dxa"/>
            <w:shd w:val="clear" w:color="auto" w:fill="D9D9D9" w:themeFill="background1" w:themeFillShade="D9"/>
            <w:vAlign w:val="center"/>
          </w:tcPr>
          <w:p w:rsidR="00CF54A5" w:rsidRDefault="00CF54A5" w:rsidP="00CF54A5">
            <w:pPr>
              <w:pStyle w:val="Ruller41"/>
              <w:jc w:val="center"/>
              <w:rPr>
                <w:rtl/>
              </w:rPr>
            </w:pPr>
            <w:r>
              <w:rPr>
                <w:rFonts w:hint="cs"/>
                <w:rtl/>
              </w:rPr>
              <w:t>שוק זר</w:t>
            </w:r>
          </w:p>
        </w:tc>
        <w:tc>
          <w:tcPr>
            <w:tcW w:w="1019" w:type="dxa"/>
            <w:vMerge/>
            <w:shd w:val="clear" w:color="auto" w:fill="D9D9D9" w:themeFill="background1" w:themeFillShade="D9"/>
            <w:vAlign w:val="center"/>
          </w:tcPr>
          <w:p w:rsidR="00CF54A5" w:rsidRDefault="00CF54A5" w:rsidP="00CF54A5">
            <w:pPr>
              <w:pStyle w:val="Ruller41"/>
              <w:jc w:val="center"/>
              <w:rPr>
                <w:rtl/>
              </w:rPr>
            </w:pPr>
          </w:p>
        </w:tc>
        <w:tc>
          <w:tcPr>
            <w:tcW w:w="1046" w:type="dxa"/>
            <w:vMerge/>
            <w:shd w:val="clear" w:color="auto" w:fill="D9D9D9" w:themeFill="background1" w:themeFillShade="D9"/>
            <w:vAlign w:val="center"/>
          </w:tcPr>
          <w:p w:rsidR="00CF54A5" w:rsidRDefault="00CF54A5" w:rsidP="00CF54A5">
            <w:pPr>
              <w:pStyle w:val="Ruller41"/>
              <w:jc w:val="center"/>
              <w:rPr>
                <w:rtl/>
              </w:rPr>
            </w:pPr>
          </w:p>
        </w:tc>
        <w:tc>
          <w:tcPr>
            <w:tcW w:w="997" w:type="dxa"/>
            <w:shd w:val="clear" w:color="auto" w:fill="D9D9D9" w:themeFill="background1" w:themeFillShade="D9"/>
            <w:vAlign w:val="center"/>
          </w:tcPr>
          <w:p w:rsidR="00CF54A5" w:rsidRDefault="00CF54A5" w:rsidP="00CF54A5">
            <w:pPr>
              <w:pStyle w:val="Ruller41"/>
              <w:jc w:val="center"/>
              <w:rPr>
                <w:rtl/>
              </w:rPr>
            </w:pPr>
            <w:r>
              <w:rPr>
                <w:rFonts w:hint="cs"/>
                <w:rtl/>
              </w:rPr>
              <w:t>שוק ישראלי</w:t>
            </w:r>
          </w:p>
        </w:tc>
        <w:tc>
          <w:tcPr>
            <w:tcW w:w="948" w:type="dxa"/>
            <w:shd w:val="clear" w:color="auto" w:fill="D9D9D9" w:themeFill="background1" w:themeFillShade="D9"/>
            <w:vAlign w:val="center"/>
          </w:tcPr>
          <w:p w:rsidR="00CF54A5" w:rsidRDefault="00CF54A5" w:rsidP="00CF54A5">
            <w:pPr>
              <w:pStyle w:val="Ruller41"/>
              <w:jc w:val="center"/>
              <w:rPr>
                <w:rtl/>
              </w:rPr>
            </w:pPr>
            <w:r>
              <w:rPr>
                <w:rFonts w:hint="cs"/>
                <w:rtl/>
              </w:rPr>
              <w:t>שוק זר</w:t>
            </w:r>
          </w:p>
        </w:tc>
        <w:tc>
          <w:tcPr>
            <w:tcW w:w="983" w:type="dxa"/>
            <w:vMerge/>
            <w:shd w:val="clear" w:color="auto" w:fill="D9D9D9" w:themeFill="background1" w:themeFillShade="D9"/>
          </w:tcPr>
          <w:p w:rsidR="00CF54A5" w:rsidRDefault="00CF54A5" w:rsidP="00CF54A5">
            <w:pPr>
              <w:pStyle w:val="Ruller41"/>
              <w:rPr>
                <w:rtl/>
              </w:rPr>
            </w:pPr>
          </w:p>
        </w:tc>
      </w:tr>
      <w:tr w:rsidR="00CF54A5" w:rsidTr="00CF54A5">
        <w:tc>
          <w:tcPr>
            <w:tcW w:w="1621" w:type="dxa"/>
          </w:tcPr>
          <w:p w:rsidR="00CF54A5" w:rsidRDefault="00CF54A5" w:rsidP="00CF54A5">
            <w:pPr>
              <w:pStyle w:val="Ruller41"/>
              <w:rPr>
                <w:rtl/>
              </w:rPr>
            </w:pPr>
            <w:proofErr w:type="spellStart"/>
            <w:r>
              <w:rPr>
                <w:rFonts w:hint="cs"/>
                <w:rtl/>
              </w:rPr>
              <w:t>זנלכל</w:t>
            </w:r>
            <w:proofErr w:type="spellEnd"/>
            <w:r>
              <w:rPr>
                <w:rFonts w:hint="cs"/>
                <w:rtl/>
              </w:rPr>
              <w:t xml:space="preserve"> בע"מ</w:t>
            </w:r>
          </w:p>
        </w:tc>
        <w:tc>
          <w:tcPr>
            <w:tcW w:w="1046" w:type="dxa"/>
          </w:tcPr>
          <w:p w:rsidR="00CF54A5" w:rsidRDefault="00CF54A5" w:rsidP="00CF54A5">
            <w:pPr>
              <w:pStyle w:val="Ruller41"/>
              <w:rPr>
                <w:rtl/>
              </w:rPr>
            </w:pPr>
            <w:r>
              <w:rPr>
                <w:rFonts w:hint="cs"/>
                <w:rtl/>
              </w:rPr>
              <w:t>170,628</w:t>
            </w:r>
          </w:p>
        </w:tc>
        <w:tc>
          <w:tcPr>
            <w:tcW w:w="997" w:type="dxa"/>
          </w:tcPr>
          <w:p w:rsidR="00CF54A5" w:rsidRDefault="00CF54A5" w:rsidP="00CF54A5">
            <w:pPr>
              <w:pStyle w:val="Ruller41"/>
              <w:rPr>
                <w:rtl/>
              </w:rPr>
            </w:pPr>
            <w:r>
              <w:rPr>
                <w:rFonts w:hint="cs"/>
                <w:rtl/>
              </w:rPr>
              <w:t>95%</w:t>
            </w:r>
          </w:p>
        </w:tc>
        <w:tc>
          <w:tcPr>
            <w:tcW w:w="974" w:type="dxa"/>
          </w:tcPr>
          <w:p w:rsidR="00CF54A5" w:rsidRDefault="00CF54A5" w:rsidP="00CF54A5">
            <w:pPr>
              <w:pStyle w:val="Ruller41"/>
              <w:rPr>
                <w:rtl/>
              </w:rPr>
            </w:pPr>
            <w:r>
              <w:rPr>
                <w:rFonts w:hint="cs"/>
                <w:rtl/>
              </w:rPr>
              <w:t>5%</w:t>
            </w:r>
          </w:p>
        </w:tc>
        <w:tc>
          <w:tcPr>
            <w:tcW w:w="1019" w:type="dxa"/>
          </w:tcPr>
          <w:p w:rsidR="00CF54A5" w:rsidRDefault="00CF54A5" w:rsidP="00CF54A5">
            <w:pPr>
              <w:pStyle w:val="Ruller41"/>
              <w:rPr>
                <w:rtl/>
              </w:rPr>
            </w:pPr>
            <w:r>
              <w:rPr>
                <w:rFonts w:hint="cs"/>
                <w:rtl/>
              </w:rPr>
              <w:t>12,522</w:t>
            </w:r>
          </w:p>
        </w:tc>
        <w:tc>
          <w:tcPr>
            <w:tcW w:w="1046" w:type="dxa"/>
          </w:tcPr>
          <w:p w:rsidR="00CF54A5" w:rsidRDefault="00CF54A5" w:rsidP="00CF54A5">
            <w:pPr>
              <w:pStyle w:val="Ruller41"/>
              <w:rPr>
                <w:rtl/>
              </w:rPr>
            </w:pPr>
            <w:r>
              <w:rPr>
                <w:rFonts w:hint="cs"/>
                <w:rtl/>
              </w:rPr>
              <w:t>164,699</w:t>
            </w:r>
          </w:p>
        </w:tc>
        <w:tc>
          <w:tcPr>
            <w:tcW w:w="997" w:type="dxa"/>
          </w:tcPr>
          <w:p w:rsidR="00CF54A5" w:rsidRDefault="00CF54A5" w:rsidP="00CF54A5">
            <w:pPr>
              <w:pStyle w:val="Ruller41"/>
              <w:rPr>
                <w:rtl/>
              </w:rPr>
            </w:pPr>
            <w:r>
              <w:rPr>
                <w:rFonts w:hint="cs"/>
                <w:rtl/>
              </w:rPr>
              <w:t>96%</w:t>
            </w:r>
          </w:p>
        </w:tc>
        <w:tc>
          <w:tcPr>
            <w:tcW w:w="948" w:type="dxa"/>
          </w:tcPr>
          <w:p w:rsidR="00CF54A5" w:rsidRDefault="00CF54A5" w:rsidP="00CF54A5">
            <w:pPr>
              <w:pStyle w:val="Ruller41"/>
              <w:rPr>
                <w:rtl/>
              </w:rPr>
            </w:pPr>
            <w:r>
              <w:rPr>
                <w:rFonts w:hint="cs"/>
                <w:rtl/>
              </w:rPr>
              <w:t>4%</w:t>
            </w:r>
          </w:p>
        </w:tc>
        <w:tc>
          <w:tcPr>
            <w:tcW w:w="983" w:type="dxa"/>
          </w:tcPr>
          <w:p w:rsidR="00CF54A5" w:rsidRDefault="00CF54A5" w:rsidP="00CF54A5">
            <w:pPr>
              <w:pStyle w:val="Ruller41"/>
              <w:rPr>
                <w:rtl/>
              </w:rPr>
            </w:pPr>
            <w:r>
              <w:rPr>
                <w:rFonts w:hint="cs"/>
                <w:rtl/>
              </w:rPr>
              <w:t>11,400</w:t>
            </w:r>
          </w:p>
        </w:tc>
      </w:tr>
      <w:tr w:rsidR="00CF54A5" w:rsidTr="00CF54A5">
        <w:tc>
          <w:tcPr>
            <w:tcW w:w="1621" w:type="dxa"/>
          </w:tcPr>
          <w:p w:rsidR="00CF54A5" w:rsidRDefault="00CF54A5" w:rsidP="00CF54A5">
            <w:pPr>
              <w:pStyle w:val="Ruller41"/>
              <w:rPr>
                <w:rtl/>
              </w:rPr>
            </w:pPr>
            <w:r>
              <w:rPr>
                <w:rFonts w:hint="cs"/>
                <w:rtl/>
              </w:rPr>
              <w:t>מדי ורד בע"מ</w:t>
            </w:r>
          </w:p>
        </w:tc>
        <w:tc>
          <w:tcPr>
            <w:tcW w:w="1046" w:type="dxa"/>
          </w:tcPr>
          <w:p w:rsidR="00CF54A5" w:rsidRDefault="00CF54A5" w:rsidP="00CF54A5">
            <w:pPr>
              <w:pStyle w:val="Ruller41"/>
              <w:jc w:val="center"/>
              <w:rPr>
                <w:rtl/>
              </w:rPr>
            </w:pPr>
            <w:r>
              <w:rPr>
                <w:rFonts w:hint="cs"/>
                <w:rtl/>
              </w:rPr>
              <w:t>-</w:t>
            </w:r>
          </w:p>
        </w:tc>
        <w:tc>
          <w:tcPr>
            <w:tcW w:w="997" w:type="dxa"/>
          </w:tcPr>
          <w:p w:rsidR="00CF54A5" w:rsidRDefault="00CF54A5" w:rsidP="00CF54A5">
            <w:pPr>
              <w:pStyle w:val="Ruller41"/>
              <w:jc w:val="center"/>
              <w:rPr>
                <w:rtl/>
              </w:rPr>
            </w:pPr>
            <w:r>
              <w:rPr>
                <w:rFonts w:hint="cs"/>
                <w:rtl/>
              </w:rPr>
              <w:t>-</w:t>
            </w:r>
          </w:p>
        </w:tc>
        <w:tc>
          <w:tcPr>
            <w:tcW w:w="974" w:type="dxa"/>
          </w:tcPr>
          <w:p w:rsidR="00CF54A5" w:rsidRDefault="00CF54A5" w:rsidP="00CF54A5">
            <w:pPr>
              <w:pStyle w:val="Ruller41"/>
              <w:jc w:val="center"/>
              <w:rPr>
                <w:rtl/>
              </w:rPr>
            </w:pPr>
            <w:r>
              <w:rPr>
                <w:rFonts w:hint="cs"/>
                <w:rtl/>
              </w:rPr>
              <w:t>-</w:t>
            </w:r>
          </w:p>
        </w:tc>
        <w:tc>
          <w:tcPr>
            <w:tcW w:w="1019" w:type="dxa"/>
          </w:tcPr>
          <w:p w:rsidR="00CF54A5" w:rsidRDefault="00CF54A5" w:rsidP="00CF54A5">
            <w:pPr>
              <w:pStyle w:val="Ruller41"/>
              <w:jc w:val="center"/>
              <w:rPr>
                <w:rtl/>
              </w:rPr>
            </w:pPr>
            <w:r>
              <w:rPr>
                <w:rFonts w:hint="cs"/>
                <w:rtl/>
              </w:rPr>
              <w:t>-</w:t>
            </w:r>
          </w:p>
        </w:tc>
        <w:tc>
          <w:tcPr>
            <w:tcW w:w="1046" w:type="dxa"/>
          </w:tcPr>
          <w:p w:rsidR="00CF54A5" w:rsidRDefault="00CF54A5" w:rsidP="00CF54A5">
            <w:pPr>
              <w:pStyle w:val="Ruller41"/>
              <w:rPr>
                <w:rtl/>
              </w:rPr>
            </w:pPr>
            <w:r>
              <w:rPr>
                <w:rFonts w:hint="cs"/>
                <w:rtl/>
              </w:rPr>
              <w:t>19,648</w:t>
            </w:r>
          </w:p>
        </w:tc>
        <w:tc>
          <w:tcPr>
            <w:tcW w:w="997" w:type="dxa"/>
          </w:tcPr>
          <w:p w:rsidR="00CF54A5" w:rsidRDefault="00CF54A5" w:rsidP="00CF54A5">
            <w:pPr>
              <w:pStyle w:val="Ruller41"/>
              <w:rPr>
                <w:rtl/>
              </w:rPr>
            </w:pPr>
            <w:r>
              <w:rPr>
                <w:rFonts w:hint="cs"/>
                <w:rtl/>
              </w:rPr>
              <w:t>100%</w:t>
            </w:r>
          </w:p>
        </w:tc>
        <w:tc>
          <w:tcPr>
            <w:tcW w:w="948" w:type="dxa"/>
          </w:tcPr>
          <w:p w:rsidR="00CF54A5" w:rsidRDefault="00CF54A5" w:rsidP="00CF54A5">
            <w:pPr>
              <w:pStyle w:val="Ruller41"/>
              <w:jc w:val="center"/>
              <w:rPr>
                <w:rtl/>
              </w:rPr>
            </w:pPr>
            <w:r>
              <w:rPr>
                <w:rFonts w:hint="cs"/>
                <w:rtl/>
              </w:rPr>
              <w:t>-</w:t>
            </w:r>
          </w:p>
        </w:tc>
        <w:tc>
          <w:tcPr>
            <w:tcW w:w="983" w:type="dxa"/>
          </w:tcPr>
          <w:p w:rsidR="00CF54A5" w:rsidRDefault="00CF54A5" w:rsidP="00CF54A5">
            <w:pPr>
              <w:pStyle w:val="Ruller41"/>
              <w:rPr>
                <w:rtl/>
              </w:rPr>
            </w:pPr>
            <w:r>
              <w:rPr>
                <w:rFonts w:hint="cs"/>
                <w:rtl/>
              </w:rPr>
              <w:t>3,312</w:t>
            </w:r>
          </w:p>
        </w:tc>
      </w:tr>
      <w:tr w:rsidR="00CF54A5" w:rsidTr="00CF54A5">
        <w:tc>
          <w:tcPr>
            <w:tcW w:w="1621" w:type="dxa"/>
          </w:tcPr>
          <w:p w:rsidR="00CF54A5" w:rsidRDefault="00CF54A5" w:rsidP="00CF54A5">
            <w:pPr>
              <w:pStyle w:val="Ruller41"/>
              <w:rPr>
                <w:rtl/>
              </w:rPr>
            </w:pPr>
            <w:proofErr w:type="spellStart"/>
            <w:r>
              <w:rPr>
                <w:rFonts w:hint="cs"/>
                <w:rtl/>
              </w:rPr>
              <w:t>דלידג</w:t>
            </w:r>
            <w:proofErr w:type="spellEnd"/>
            <w:r>
              <w:rPr>
                <w:rFonts w:hint="cs"/>
                <w:rtl/>
              </w:rPr>
              <w:t xml:space="preserve"> בע"מ</w:t>
            </w:r>
          </w:p>
        </w:tc>
        <w:tc>
          <w:tcPr>
            <w:tcW w:w="1046" w:type="dxa"/>
          </w:tcPr>
          <w:p w:rsidR="00CF54A5" w:rsidRDefault="00CF54A5" w:rsidP="00CF54A5">
            <w:pPr>
              <w:pStyle w:val="Ruller41"/>
              <w:rPr>
                <w:rtl/>
              </w:rPr>
            </w:pPr>
            <w:r>
              <w:rPr>
                <w:rFonts w:hint="cs"/>
                <w:rtl/>
              </w:rPr>
              <w:t>99,063</w:t>
            </w:r>
          </w:p>
        </w:tc>
        <w:tc>
          <w:tcPr>
            <w:tcW w:w="997" w:type="dxa"/>
          </w:tcPr>
          <w:p w:rsidR="00CF54A5" w:rsidRDefault="00CF54A5" w:rsidP="00CF54A5">
            <w:pPr>
              <w:pStyle w:val="Ruller41"/>
              <w:rPr>
                <w:rtl/>
              </w:rPr>
            </w:pPr>
            <w:r>
              <w:rPr>
                <w:rFonts w:hint="cs"/>
                <w:rtl/>
              </w:rPr>
              <w:t>100%</w:t>
            </w:r>
          </w:p>
        </w:tc>
        <w:tc>
          <w:tcPr>
            <w:tcW w:w="974" w:type="dxa"/>
          </w:tcPr>
          <w:p w:rsidR="00CF54A5" w:rsidRDefault="00CF54A5" w:rsidP="00CF54A5">
            <w:pPr>
              <w:pStyle w:val="Ruller41"/>
              <w:jc w:val="center"/>
              <w:rPr>
                <w:rtl/>
              </w:rPr>
            </w:pPr>
            <w:r>
              <w:rPr>
                <w:rFonts w:hint="cs"/>
                <w:rtl/>
              </w:rPr>
              <w:t>-</w:t>
            </w:r>
          </w:p>
        </w:tc>
        <w:tc>
          <w:tcPr>
            <w:tcW w:w="1019" w:type="dxa"/>
          </w:tcPr>
          <w:p w:rsidR="00CF54A5" w:rsidRDefault="00CF54A5" w:rsidP="00CF54A5">
            <w:pPr>
              <w:pStyle w:val="Ruller41"/>
              <w:rPr>
                <w:rtl/>
              </w:rPr>
            </w:pPr>
            <w:r>
              <w:rPr>
                <w:rFonts w:hint="cs"/>
                <w:rtl/>
              </w:rPr>
              <w:t>1,493</w:t>
            </w:r>
          </w:p>
        </w:tc>
        <w:tc>
          <w:tcPr>
            <w:tcW w:w="1046" w:type="dxa"/>
          </w:tcPr>
          <w:p w:rsidR="00CF54A5" w:rsidRDefault="00CF54A5" w:rsidP="00CF54A5">
            <w:pPr>
              <w:pStyle w:val="Ruller41"/>
              <w:jc w:val="center"/>
              <w:rPr>
                <w:rtl/>
              </w:rPr>
            </w:pPr>
            <w:r>
              <w:rPr>
                <w:rFonts w:hint="cs"/>
                <w:rtl/>
              </w:rPr>
              <w:t>-</w:t>
            </w:r>
          </w:p>
        </w:tc>
        <w:tc>
          <w:tcPr>
            <w:tcW w:w="997" w:type="dxa"/>
          </w:tcPr>
          <w:p w:rsidR="00CF54A5" w:rsidRDefault="00CF54A5" w:rsidP="00CF54A5">
            <w:pPr>
              <w:pStyle w:val="Ruller41"/>
              <w:jc w:val="center"/>
              <w:rPr>
                <w:rtl/>
              </w:rPr>
            </w:pPr>
            <w:r>
              <w:rPr>
                <w:rFonts w:hint="cs"/>
                <w:rtl/>
              </w:rPr>
              <w:t>-</w:t>
            </w:r>
          </w:p>
        </w:tc>
        <w:tc>
          <w:tcPr>
            <w:tcW w:w="948" w:type="dxa"/>
          </w:tcPr>
          <w:p w:rsidR="00CF54A5" w:rsidRDefault="00CF54A5" w:rsidP="00CF54A5">
            <w:pPr>
              <w:pStyle w:val="Ruller41"/>
              <w:jc w:val="center"/>
              <w:rPr>
                <w:rtl/>
              </w:rPr>
            </w:pPr>
            <w:r>
              <w:rPr>
                <w:rFonts w:hint="cs"/>
                <w:rtl/>
              </w:rPr>
              <w:t>-</w:t>
            </w:r>
          </w:p>
        </w:tc>
        <w:tc>
          <w:tcPr>
            <w:tcW w:w="983" w:type="dxa"/>
          </w:tcPr>
          <w:p w:rsidR="00CF54A5" w:rsidRDefault="00CF54A5" w:rsidP="00CF54A5">
            <w:pPr>
              <w:pStyle w:val="Ruller41"/>
              <w:jc w:val="center"/>
              <w:rPr>
                <w:rtl/>
              </w:rPr>
            </w:pPr>
            <w:r>
              <w:rPr>
                <w:rFonts w:hint="cs"/>
                <w:rtl/>
              </w:rPr>
              <w:t>-</w:t>
            </w:r>
          </w:p>
        </w:tc>
      </w:tr>
      <w:tr w:rsidR="00CF54A5" w:rsidTr="00CF54A5">
        <w:tc>
          <w:tcPr>
            <w:tcW w:w="1621" w:type="dxa"/>
          </w:tcPr>
          <w:p w:rsidR="00CF54A5" w:rsidRDefault="00CF54A5" w:rsidP="00CF54A5">
            <w:pPr>
              <w:pStyle w:val="Ruller41"/>
              <w:rPr>
                <w:rtl/>
              </w:rPr>
            </w:pPr>
            <w:proofErr w:type="spellStart"/>
            <w:r>
              <w:rPr>
                <w:rFonts w:hint="cs"/>
                <w:rtl/>
              </w:rPr>
              <w:t>סובחי</w:t>
            </w:r>
            <w:proofErr w:type="spellEnd"/>
            <w:r>
              <w:rPr>
                <w:rFonts w:hint="cs"/>
                <w:rtl/>
              </w:rPr>
              <w:t xml:space="preserve"> </w:t>
            </w:r>
            <w:proofErr w:type="spellStart"/>
            <w:r>
              <w:rPr>
                <w:rFonts w:hint="cs"/>
                <w:rtl/>
              </w:rPr>
              <w:t>נח'לה</w:t>
            </w:r>
            <w:proofErr w:type="spellEnd"/>
            <w:r>
              <w:rPr>
                <w:rFonts w:hint="cs"/>
                <w:rtl/>
              </w:rPr>
              <w:t xml:space="preserve"> ובניו בע"מ</w:t>
            </w:r>
          </w:p>
        </w:tc>
        <w:tc>
          <w:tcPr>
            <w:tcW w:w="1046" w:type="dxa"/>
          </w:tcPr>
          <w:p w:rsidR="00CF54A5" w:rsidRDefault="00CF54A5" w:rsidP="00CF54A5">
            <w:pPr>
              <w:pStyle w:val="Ruller41"/>
              <w:rPr>
                <w:rtl/>
              </w:rPr>
            </w:pPr>
            <w:r>
              <w:rPr>
                <w:rFonts w:hint="cs"/>
                <w:rtl/>
              </w:rPr>
              <w:t>68,566</w:t>
            </w:r>
          </w:p>
        </w:tc>
        <w:tc>
          <w:tcPr>
            <w:tcW w:w="997" w:type="dxa"/>
          </w:tcPr>
          <w:p w:rsidR="00CF54A5" w:rsidRDefault="00CF54A5" w:rsidP="00CF54A5">
            <w:pPr>
              <w:pStyle w:val="Ruller41"/>
              <w:rPr>
                <w:rtl/>
              </w:rPr>
            </w:pPr>
            <w:r>
              <w:rPr>
                <w:rFonts w:hint="cs"/>
                <w:rtl/>
              </w:rPr>
              <w:t>99.95%</w:t>
            </w:r>
          </w:p>
        </w:tc>
        <w:tc>
          <w:tcPr>
            <w:tcW w:w="974" w:type="dxa"/>
          </w:tcPr>
          <w:p w:rsidR="00CF54A5" w:rsidRDefault="00CF54A5" w:rsidP="00CF54A5">
            <w:pPr>
              <w:pStyle w:val="Ruller41"/>
              <w:rPr>
                <w:rtl/>
              </w:rPr>
            </w:pPr>
            <w:r>
              <w:rPr>
                <w:rFonts w:hint="cs"/>
                <w:rtl/>
              </w:rPr>
              <w:t>0.05%</w:t>
            </w:r>
          </w:p>
        </w:tc>
        <w:tc>
          <w:tcPr>
            <w:tcW w:w="1019" w:type="dxa"/>
          </w:tcPr>
          <w:p w:rsidR="00CF54A5" w:rsidRDefault="00CF54A5" w:rsidP="00CF54A5">
            <w:pPr>
              <w:pStyle w:val="Ruller41"/>
              <w:rPr>
                <w:rtl/>
              </w:rPr>
            </w:pPr>
            <w:r>
              <w:rPr>
                <w:rFonts w:hint="cs"/>
                <w:rtl/>
              </w:rPr>
              <w:t>10,800</w:t>
            </w:r>
          </w:p>
        </w:tc>
        <w:tc>
          <w:tcPr>
            <w:tcW w:w="1046" w:type="dxa"/>
          </w:tcPr>
          <w:p w:rsidR="00CF54A5" w:rsidRDefault="00CF54A5" w:rsidP="00CF54A5">
            <w:pPr>
              <w:pStyle w:val="Ruller41"/>
              <w:rPr>
                <w:rtl/>
              </w:rPr>
            </w:pPr>
            <w:r>
              <w:rPr>
                <w:rFonts w:hint="cs"/>
                <w:rtl/>
              </w:rPr>
              <w:t>80,569</w:t>
            </w:r>
          </w:p>
        </w:tc>
        <w:tc>
          <w:tcPr>
            <w:tcW w:w="997" w:type="dxa"/>
          </w:tcPr>
          <w:p w:rsidR="00CF54A5" w:rsidRDefault="00CF54A5" w:rsidP="00CF54A5">
            <w:pPr>
              <w:pStyle w:val="Ruller41"/>
              <w:rPr>
                <w:rtl/>
              </w:rPr>
            </w:pPr>
            <w:r>
              <w:rPr>
                <w:rFonts w:hint="cs"/>
                <w:rtl/>
              </w:rPr>
              <w:t>99.96%</w:t>
            </w:r>
          </w:p>
        </w:tc>
        <w:tc>
          <w:tcPr>
            <w:tcW w:w="948" w:type="dxa"/>
          </w:tcPr>
          <w:p w:rsidR="00CF54A5" w:rsidRDefault="00CF54A5" w:rsidP="00CF54A5">
            <w:pPr>
              <w:pStyle w:val="Ruller41"/>
              <w:rPr>
                <w:rtl/>
              </w:rPr>
            </w:pPr>
            <w:r>
              <w:rPr>
                <w:rFonts w:hint="cs"/>
                <w:rtl/>
              </w:rPr>
              <w:t>0.04%</w:t>
            </w:r>
          </w:p>
        </w:tc>
        <w:tc>
          <w:tcPr>
            <w:tcW w:w="983" w:type="dxa"/>
          </w:tcPr>
          <w:p w:rsidR="00CF54A5" w:rsidRDefault="00CF54A5" w:rsidP="00CF54A5">
            <w:pPr>
              <w:pStyle w:val="Ruller41"/>
              <w:rPr>
                <w:rtl/>
              </w:rPr>
            </w:pPr>
            <w:r>
              <w:rPr>
                <w:rFonts w:hint="cs"/>
                <w:rtl/>
              </w:rPr>
              <w:t>10,600</w:t>
            </w:r>
          </w:p>
        </w:tc>
      </w:tr>
      <w:tr w:rsidR="00CF54A5" w:rsidTr="00CF54A5">
        <w:tc>
          <w:tcPr>
            <w:tcW w:w="1621" w:type="dxa"/>
          </w:tcPr>
          <w:p w:rsidR="00CF54A5" w:rsidRDefault="00CF54A5" w:rsidP="00CF54A5">
            <w:pPr>
              <w:pStyle w:val="Ruller41"/>
              <w:rPr>
                <w:rtl/>
              </w:rPr>
            </w:pPr>
            <w:proofErr w:type="spellStart"/>
            <w:r>
              <w:rPr>
                <w:rFonts w:hint="cs"/>
                <w:rtl/>
              </w:rPr>
              <w:t>טופגאם</w:t>
            </w:r>
            <w:proofErr w:type="spellEnd"/>
            <w:r>
              <w:rPr>
                <w:rFonts w:hint="cs"/>
                <w:rtl/>
              </w:rPr>
              <w:t xml:space="preserve"> תעשיות בע"מ</w:t>
            </w:r>
          </w:p>
        </w:tc>
        <w:tc>
          <w:tcPr>
            <w:tcW w:w="1046" w:type="dxa"/>
          </w:tcPr>
          <w:p w:rsidR="00CF54A5" w:rsidRDefault="00CF54A5" w:rsidP="00CF54A5">
            <w:pPr>
              <w:pStyle w:val="Ruller41"/>
              <w:rPr>
                <w:rtl/>
              </w:rPr>
            </w:pPr>
            <w:r>
              <w:rPr>
                <w:rFonts w:hint="cs"/>
                <w:rtl/>
              </w:rPr>
              <w:t>29,438</w:t>
            </w:r>
          </w:p>
        </w:tc>
        <w:tc>
          <w:tcPr>
            <w:tcW w:w="997" w:type="dxa"/>
          </w:tcPr>
          <w:p w:rsidR="00CF54A5" w:rsidRDefault="00CF54A5" w:rsidP="00CF54A5">
            <w:pPr>
              <w:pStyle w:val="Ruller41"/>
              <w:rPr>
                <w:rtl/>
              </w:rPr>
            </w:pPr>
            <w:r>
              <w:rPr>
                <w:rFonts w:hint="cs"/>
                <w:rtl/>
              </w:rPr>
              <w:t>98%</w:t>
            </w:r>
          </w:p>
        </w:tc>
        <w:tc>
          <w:tcPr>
            <w:tcW w:w="974" w:type="dxa"/>
          </w:tcPr>
          <w:p w:rsidR="00CF54A5" w:rsidRDefault="00CF54A5" w:rsidP="00CF54A5">
            <w:pPr>
              <w:pStyle w:val="Ruller41"/>
              <w:rPr>
                <w:rtl/>
              </w:rPr>
            </w:pPr>
            <w:r>
              <w:rPr>
                <w:rFonts w:hint="cs"/>
                <w:rtl/>
              </w:rPr>
              <w:t>2%</w:t>
            </w:r>
          </w:p>
        </w:tc>
        <w:tc>
          <w:tcPr>
            <w:tcW w:w="1019" w:type="dxa"/>
          </w:tcPr>
          <w:p w:rsidR="00CF54A5" w:rsidRDefault="00CF54A5" w:rsidP="00CF54A5">
            <w:pPr>
              <w:pStyle w:val="Ruller41"/>
              <w:rPr>
                <w:rtl/>
              </w:rPr>
            </w:pPr>
            <w:r>
              <w:rPr>
                <w:rFonts w:hint="cs"/>
                <w:rtl/>
              </w:rPr>
              <w:t>2,925</w:t>
            </w:r>
          </w:p>
        </w:tc>
        <w:tc>
          <w:tcPr>
            <w:tcW w:w="1046" w:type="dxa"/>
          </w:tcPr>
          <w:p w:rsidR="00CF54A5" w:rsidRDefault="00CF54A5" w:rsidP="00CF54A5">
            <w:pPr>
              <w:pStyle w:val="Ruller41"/>
              <w:rPr>
                <w:rtl/>
              </w:rPr>
            </w:pPr>
            <w:r>
              <w:rPr>
                <w:rFonts w:hint="cs"/>
                <w:rtl/>
              </w:rPr>
              <w:t>36,518</w:t>
            </w:r>
          </w:p>
        </w:tc>
        <w:tc>
          <w:tcPr>
            <w:tcW w:w="997" w:type="dxa"/>
          </w:tcPr>
          <w:p w:rsidR="00CF54A5" w:rsidRDefault="00CF54A5" w:rsidP="00CF54A5">
            <w:pPr>
              <w:pStyle w:val="Ruller41"/>
              <w:rPr>
                <w:rtl/>
              </w:rPr>
            </w:pPr>
            <w:r>
              <w:rPr>
                <w:rFonts w:hint="cs"/>
                <w:rtl/>
              </w:rPr>
              <w:t>97%</w:t>
            </w:r>
          </w:p>
        </w:tc>
        <w:tc>
          <w:tcPr>
            <w:tcW w:w="948" w:type="dxa"/>
          </w:tcPr>
          <w:p w:rsidR="00CF54A5" w:rsidRDefault="00CF54A5" w:rsidP="00CF54A5">
            <w:pPr>
              <w:pStyle w:val="Ruller41"/>
              <w:rPr>
                <w:rtl/>
              </w:rPr>
            </w:pPr>
            <w:r>
              <w:rPr>
                <w:rFonts w:hint="cs"/>
                <w:rtl/>
              </w:rPr>
              <w:t>3%</w:t>
            </w:r>
          </w:p>
        </w:tc>
        <w:tc>
          <w:tcPr>
            <w:tcW w:w="983" w:type="dxa"/>
          </w:tcPr>
          <w:p w:rsidR="00CF54A5" w:rsidRDefault="00CF54A5" w:rsidP="00CF54A5">
            <w:pPr>
              <w:pStyle w:val="Ruller41"/>
              <w:rPr>
                <w:rtl/>
              </w:rPr>
            </w:pPr>
            <w:r>
              <w:rPr>
                <w:rFonts w:hint="cs"/>
                <w:rtl/>
              </w:rPr>
              <w:t>4,108</w:t>
            </w:r>
          </w:p>
        </w:tc>
      </w:tr>
    </w:tbl>
    <w:p w:rsidR="00CF54A5" w:rsidRPr="00F73ED1" w:rsidRDefault="00CF54A5" w:rsidP="00CF54A5">
      <w:pPr>
        <w:pStyle w:val="Ruller41"/>
        <w:rPr>
          <w:rtl/>
        </w:rPr>
      </w:pPr>
    </w:p>
    <w:p w:rsidR="009E082C" w:rsidRDefault="009E082C" w:rsidP="009E082C">
      <w:pPr>
        <w:pStyle w:val="Ruller4"/>
        <w:numPr>
          <w:ilvl w:val="0"/>
          <w:numId w:val="0"/>
        </w:numPr>
      </w:pPr>
    </w:p>
    <w:p w:rsidR="00CF54A5" w:rsidRDefault="00CF54A5" w:rsidP="00CF54A5">
      <w:pPr>
        <w:pStyle w:val="Ruller4"/>
        <w:rPr>
          <w:rtl/>
        </w:rPr>
      </w:pPr>
      <w:r>
        <w:rPr>
          <w:rFonts w:hint="cs"/>
          <w:rtl/>
        </w:rPr>
        <w:t xml:space="preserve">פקידי השומה הרלוונטיים לא קיבלו את עמדת </w:t>
      </w:r>
      <w:proofErr w:type="spellStart"/>
      <w:r>
        <w:rPr>
          <w:rFonts w:hint="cs"/>
          <w:rtl/>
        </w:rPr>
        <w:t>הנישומות</w:t>
      </w:r>
      <w:proofErr w:type="spellEnd"/>
      <w:r>
        <w:rPr>
          <w:rFonts w:hint="cs"/>
          <w:rtl/>
        </w:rPr>
        <w:t xml:space="preserve"> משני טעמים מרכזיים: </w:t>
      </w:r>
      <w:r w:rsidRPr="00B65797">
        <w:rPr>
          <w:rFonts w:ascii="Century" w:hAnsi="Century" w:cs="Miriam" w:hint="cs"/>
          <w:b/>
          <w:spacing w:val="0"/>
          <w:sz w:val="22"/>
          <w:szCs w:val="24"/>
          <w:rtl/>
        </w:rPr>
        <w:t>הטעם הראשון</w:t>
      </w:r>
      <w:r>
        <w:rPr>
          <w:rFonts w:hint="cs"/>
          <w:rtl/>
        </w:rPr>
        <w:t xml:space="preserve"> נעוץ בעמדת פקידי השומה לפיה הגדרת מפעל תעשייתי </w:t>
      </w:r>
      <w:r w:rsidRPr="006541EC">
        <w:rPr>
          <w:rFonts w:ascii="Century" w:hAnsi="Century" w:hint="cs"/>
          <w:sz w:val="22"/>
          <w:rtl/>
        </w:rPr>
        <w:t>"בר-תחרות"</w:t>
      </w:r>
      <w:r w:rsidRPr="006541EC">
        <w:rPr>
          <w:rFonts w:hint="cs"/>
          <w:rtl/>
        </w:rPr>
        <w:t xml:space="preserve"> </w:t>
      </w:r>
      <w:r>
        <w:rPr>
          <w:rFonts w:hint="cs"/>
          <w:rtl/>
        </w:rPr>
        <w:t xml:space="preserve">לפי חלופת המכירה לשוק גדול שבסעיף </w:t>
      </w:r>
      <w:r w:rsidRPr="00176029">
        <w:rPr>
          <w:rFonts w:hint="cs"/>
          <w:rtl/>
        </w:rPr>
        <w:t>18א(ג)(1)(ג) לחוק</w:t>
      </w:r>
      <w:r>
        <w:rPr>
          <w:rFonts w:hint="cs"/>
          <w:rtl/>
        </w:rPr>
        <w:t xml:space="preserve"> חלה רק על מפעלים שלמעלה מרבע מהכנסותיהם נובע מייצוא ל</w:t>
      </w:r>
      <w:r w:rsidRPr="0014527F">
        <w:rPr>
          <w:rFonts w:ascii="Century" w:hAnsi="Century" w:cs="Miriam" w:hint="cs"/>
          <w:b/>
          <w:spacing w:val="0"/>
          <w:sz w:val="22"/>
          <w:szCs w:val="24"/>
          <w:rtl/>
        </w:rPr>
        <w:t xml:space="preserve">שוק </w:t>
      </w:r>
      <w:r>
        <w:rPr>
          <w:rFonts w:ascii="Century" w:hAnsi="Century" w:cs="Miriam" w:hint="cs"/>
          <w:b/>
          <w:spacing w:val="0"/>
          <w:sz w:val="22"/>
          <w:szCs w:val="24"/>
          <w:rtl/>
        </w:rPr>
        <w:t xml:space="preserve">גדול </w:t>
      </w:r>
      <w:r w:rsidRPr="009D4658">
        <w:rPr>
          <w:rFonts w:ascii="Century" w:hAnsi="Century" w:cs="Miriam" w:hint="cs"/>
          <w:b/>
          <w:spacing w:val="0"/>
          <w:sz w:val="22"/>
          <w:szCs w:val="24"/>
          <w:u w:val="single"/>
          <w:rtl/>
        </w:rPr>
        <w:t>זר</w:t>
      </w:r>
      <w:r w:rsidRPr="0014527F">
        <w:rPr>
          <w:rFonts w:ascii="Century" w:hAnsi="Century" w:cs="Miriam" w:hint="cs"/>
          <w:b/>
          <w:spacing w:val="0"/>
          <w:sz w:val="22"/>
          <w:szCs w:val="24"/>
          <w:rtl/>
        </w:rPr>
        <w:t xml:space="preserve"> </w:t>
      </w:r>
      <w:r>
        <w:rPr>
          <w:rFonts w:hint="cs"/>
          <w:rtl/>
        </w:rPr>
        <w:t xml:space="preserve">(דהיינו, הכנסות שמקורן בשוק המקומי, הוא השוק הישראלי, אינן מאפשרות עמידה בתנאי זה). </w:t>
      </w:r>
      <w:r w:rsidRPr="00B65797">
        <w:rPr>
          <w:rFonts w:ascii="Century" w:hAnsi="Century" w:cs="Miriam" w:hint="cs"/>
          <w:b/>
          <w:spacing w:val="0"/>
          <w:sz w:val="22"/>
          <w:szCs w:val="24"/>
          <w:rtl/>
        </w:rPr>
        <w:t>הטעם השני</w:t>
      </w:r>
      <w:r>
        <w:rPr>
          <w:rFonts w:hint="cs"/>
          <w:rtl/>
        </w:rPr>
        <w:t xml:space="preserve"> קשור לכך שלא הוכח כי בשנת 2011 השוק הישראלי מנה 12 מיליון תושבים לפחות, כדרישת הסעיף, ולפיכך </w:t>
      </w:r>
      <w:proofErr w:type="spellStart"/>
      <w:r w:rsidR="00857EAA">
        <w:rPr>
          <w:rFonts w:hint="cs"/>
          <w:rtl/>
        </w:rPr>
        <w:t>הנישומות</w:t>
      </w:r>
      <w:proofErr w:type="spellEnd"/>
      <w:r w:rsidR="00857EAA">
        <w:rPr>
          <w:rFonts w:hint="cs"/>
          <w:rtl/>
        </w:rPr>
        <w:t xml:space="preserve"> </w:t>
      </w:r>
      <w:r>
        <w:rPr>
          <w:rFonts w:hint="cs"/>
          <w:rtl/>
        </w:rPr>
        <w:t>לא עמד</w:t>
      </w:r>
      <w:r w:rsidR="00857EAA">
        <w:rPr>
          <w:rFonts w:hint="cs"/>
          <w:rtl/>
        </w:rPr>
        <w:t>ו</w:t>
      </w:r>
      <w:r>
        <w:rPr>
          <w:rFonts w:hint="cs"/>
          <w:rtl/>
        </w:rPr>
        <w:t xml:space="preserve"> בקריטריון גודל השוק. ממילא, בכל הנוגע לשנת 2012, במסגרת תיקון מס' 70, שונתה הדרישה האמורה, כך שעל מנת למלא אחר ההגדרה של מפעל תעשייתי "בר-תחרות" </w:t>
      </w:r>
      <w:r w:rsidR="00857EAA">
        <w:rPr>
          <w:rFonts w:hint="cs"/>
          <w:rtl/>
        </w:rPr>
        <w:t xml:space="preserve">על פי חלופת המכירה לשוק גדול </w:t>
      </w:r>
      <w:r>
        <w:rPr>
          <w:rFonts w:hint="cs"/>
          <w:rtl/>
        </w:rPr>
        <w:t xml:space="preserve">נדרש כי מקורן של ההכנסות יהא בשוק המונה למעלה מ-14 מיליון תושבים, ואין חולק כי השוק הישראלי אינו עומד בדרישה זו בשנת 2012. לפיכך, קבעו פקידי השומה כי על </w:t>
      </w:r>
      <w:proofErr w:type="spellStart"/>
      <w:r>
        <w:rPr>
          <w:rFonts w:hint="cs"/>
          <w:rtl/>
        </w:rPr>
        <w:t>הנישומות</w:t>
      </w:r>
      <w:proofErr w:type="spellEnd"/>
      <w:r>
        <w:rPr>
          <w:rFonts w:hint="cs"/>
          <w:rtl/>
        </w:rPr>
        <w:t xml:space="preserve"> לשלם על הכנסותיהן בשנים 2011 ו-2012 בהתאם לשיעור מס </w:t>
      </w:r>
      <w:r>
        <w:rPr>
          <w:rFonts w:hint="cs"/>
          <w:rtl/>
        </w:rPr>
        <w:lastRenderedPageBreak/>
        <w:t xml:space="preserve">החברות הקבוע בסעיף 126 לפקודת מס הכנסה [נוסח חדש] (להלן: </w:t>
      </w:r>
      <w:r w:rsidRPr="00500334">
        <w:rPr>
          <w:rFonts w:ascii="Century" w:hAnsi="Century" w:cs="Miriam" w:hint="cs"/>
          <w:b/>
          <w:spacing w:val="0"/>
          <w:sz w:val="22"/>
          <w:szCs w:val="24"/>
          <w:rtl/>
        </w:rPr>
        <w:t>הפקודה</w:t>
      </w:r>
      <w:r w:rsidRPr="00500334">
        <w:rPr>
          <w:rFonts w:hint="cs"/>
          <w:rtl/>
        </w:rPr>
        <w:t xml:space="preserve"> </w:t>
      </w:r>
      <w:r>
        <w:rPr>
          <w:rFonts w:hint="cs"/>
          <w:rtl/>
        </w:rPr>
        <w:t xml:space="preserve">או </w:t>
      </w:r>
      <w:r w:rsidRPr="00500334">
        <w:rPr>
          <w:rFonts w:ascii="Century" w:hAnsi="Century" w:cs="Miriam" w:hint="cs"/>
          <w:b/>
          <w:spacing w:val="0"/>
          <w:sz w:val="22"/>
          <w:szCs w:val="24"/>
          <w:rtl/>
        </w:rPr>
        <w:t>פקודת מס הכנסה</w:t>
      </w:r>
      <w:r>
        <w:rPr>
          <w:rFonts w:hint="cs"/>
          <w:rtl/>
        </w:rPr>
        <w:t>).</w:t>
      </w:r>
    </w:p>
    <w:p w:rsidR="00CF54A5" w:rsidRPr="005D7CEC" w:rsidRDefault="00CF54A5" w:rsidP="00CF54A5">
      <w:pPr>
        <w:pStyle w:val="Ruller41"/>
        <w:rPr>
          <w:rtl/>
        </w:rPr>
      </w:pPr>
    </w:p>
    <w:p w:rsidR="00CF54A5" w:rsidRDefault="00CF54A5" w:rsidP="00CF54A5">
      <w:pPr>
        <w:pStyle w:val="Ruller4"/>
        <w:rPr>
          <w:rtl/>
        </w:rPr>
      </w:pPr>
      <w:r>
        <w:rPr>
          <w:rFonts w:hint="cs"/>
          <w:rtl/>
        </w:rPr>
        <w:t xml:space="preserve">ויובהר, ההבחנה </w:t>
      </w:r>
      <w:proofErr w:type="spellStart"/>
      <w:r>
        <w:rPr>
          <w:rFonts w:hint="cs"/>
          <w:rtl/>
        </w:rPr>
        <w:t>המיסויית</w:t>
      </w:r>
      <w:proofErr w:type="spellEnd"/>
      <w:r>
        <w:rPr>
          <w:rFonts w:hint="cs"/>
          <w:rtl/>
        </w:rPr>
        <w:t xml:space="preserve"> בין שתי העמדות היא בעלת השלכות כלכליות משמעותיות: אם תתקבל עמדת </w:t>
      </w:r>
      <w:proofErr w:type="spellStart"/>
      <w:r>
        <w:rPr>
          <w:rFonts w:hint="cs"/>
          <w:rtl/>
        </w:rPr>
        <w:t>הנישומות</w:t>
      </w:r>
      <w:proofErr w:type="spellEnd"/>
      <w:r>
        <w:rPr>
          <w:rFonts w:hint="cs"/>
          <w:rtl/>
        </w:rPr>
        <w:t>, הן יהיו זכאיות לשיעור מס חברות מופחת</w:t>
      </w:r>
      <w:r w:rsidR="00857EAA">
        <w:rPr>
          <w:rFonts w:hint="cs"/>
          <w:rtl/>
        </w:rPr>
        <w:t>,</w:t>
      </w:r>
      <w:r>
        <w:rPr>
          <w:rFonts w:hint="cs"/>
          <w:rtl/>
        </w:rPr>
        <w:t xml:space="preserve"> שעמד בשנים הרלוונטיות על 10%; לעומת זאת, ככל שתיוותר על כנה עמדת פקידי השומה, יוסיף להיות מוטל על </w:t>
      </w:r>
      <w:proofErr w:type="spellStart"/>
      <w:r>
        <w:rPr>
          <w:rFonts w:hint="cs"/>
          <w:rtl/>
        </w:rPr>
        <w:t>הנישומות</w:t>
      </w:r>
      <w:proofErr w:type="spellEnd"/>
      <w:r>
        <w:rPr>
          <w:rFonts w:hint="cs"/>
          <w:rtl/>
        </w:rPr>
        <w:t xml:space="preserve"> שיעור מס החברות הרגיל, אשר עמד בשעתו על 24%-25%.</w:t>
      </w:r>
    </w:p>
    <w:p w:rsidR="00CF54A5" w:rsidRPr="00176029" w:rsidRDefault="00CF54A5" w:rsidP="00CF54A5">
      <w:pPr>
        <w:pStyle w:val="Ruller41"/>
        <w:rPr>
          <w:rtl/>
        </w:rPr>
      </w:pPr>
    </w:p>
    <w:p w:rsidR="00CF54A5" w:rsidRPr="003A2F9F" w:rsidRDefault="00CF54A5" w:rsidP="00CF54A5">
      <w:pPr>
        <w:pStyle w:val="Ruller4"/>
        <w:rPr>
          <w:rtl/>
        </w:rPr>
      </w:pPr>
      <w:r>
        <w:rPr>
          <w:rFonts w:hint="cs"/>
          <w:rtl/>
        </w:rPr>
        <w:t xml:space="preserve">על רקע מחלוקות אלה הגישו </w:t>
      </w:r>
      <w:proofErr w:type="spellStart"/>
      <w:r>
        <w:rPr>
          <w:rFonts w:hint="cs"/>
          <w:rtl/>
        </w:rPr>
        <w:t>הנישומות</w:t>
      </w:r>
      <w:proofErr w:type="spellEnd"/>
      <w:r>
        <w:rPr>
          <w:rFonts w:hint="cs"/>
          <w:rtl/>
        </w:rPr>
        <w:t xml:space="preserve"> ערעורי מס לבתי המשפט המחוזיים בחיפה, בנצרת ובבאר שבע, והדיון </w:t>
      </w:r>
      <w:r w:rsidRPr="00F50098">
        <w:rPr>
          <w:rFonts w:hint="cs"/>
          <w:rtl/>
        </w:rPr>
        <w:t>בהם אוחד</w:t>
      </w:r>
      <w:r w:rsidRPr="003F062F">
        <w:rPr>
          <w:rFonts w:hint="cs"/>
          <w:rtl/>
        </w:rPr>
        <w:t xml:space="preserve"> </w:t>
      </w:r>
      <w:r w:rsidRPr="00F50098">
        <w:rPr>
          <w:rFonts w:hint="cs"/>
          <w:rtl/>
        </w:rPr>
        <w:t>ונדון לפני בית המשפט המחוזי</w:t>
      </w:r>
      <w:r>
        <w:rPr>
          <w:rFonts w:hint="cs"/>
          <w:rtl/>
        </w:rPr>
        <w:t xml:space="preserve"> בחיפה</w:t>
      </w:r>
      <w:r w:rsidRPr="00F50098">
        <w:rPr>
          <w:rFonts w:hint="cs"/>
          <w:rtl/>
        </w:rPr>
        <w:t>, נוכח הזהות בשאלות המשפטיות העולות בהם</w:t>
      </w:r>
      <w:r>
        <w:rPr>
          <w:rFonts w:hint="cs"/>
          <w:rtl/>
        </w:rPr>
        <w:t>.</w:t>
      </w:r>
      <w:r w:rsidRPr="00F50098">
        <w:rPr>
          <w:rFonts w:hint="cs"/>
          <w:color w:val="A6A6A6" w:themeColor="background1" w:themeShade="A6"/>
          <w:rtl/>
        </w:rPr>
        <w:t xml:space="preserve"> </w:t>
      </w:r>
    </w:p>
    <w:p w:rsidR="00CF54A5" w:rsidRDefault="00CF54A5" w:rsidP="00CF54A5">
      <w:pPr>
        <w:pStyle w:val="Ruller41"/>
        <w:rPr>
          <w:rtl/>
        </w:rPr>
      </w:pPr>
    </w:p>
    <w:p w:rsidR="00CF54A5" w:rsidRPr="00D113F6" w:rsidRDefault="00CF54A5" w:rsidP="00CF54A5">
      <w:pPr>
        <w:pStyle w:val="Ruller41"/>
        <w:rPr>
          <w:rFonts w:ascii="Century" w:hAnsi="Century" w:cs="Miriam"/>
          <w:b/>
          <w:spacing w:val="0"/>
          <w:szCs w:val="24"/>
          <w:rtl/>
        </w:rPr>
      </w:pPr>
      <w:r w:rsidRPr="00D113F6">
        <w:rPr>
          <w:rFonts w:ascii="Century" w:hAnsi="Century" w:cs="Miriam" w:hint="cs"/>
          <w:b/>
          <w:spacing w:val="0"/>
          <w:szCs w:val="24"/>
          <w:rtl/>
        </w:rPr>
        <w:t xml:space="preserve">פסק הדין </w:t>
      </w:r>
      <w:r>
        <w:rPr>
          <w:rFonts w:ascii="Century" w:hAnsi="Century" w:cs="Miriam" w:hint="cs"/>
          <w:b/>
          <w:spacing w:val="0"/>
          <w:szCs w:val="24"/>
          <w:rtl/>
        </w:rPr>
        <w:t>נ</w:t>
      </w:r>
      <w:r w:rsidRPr="00D113F6">
        <w:rPr>
          <w:rFonts w:ascii="Century" w:hAnsi="Century" w:cs="Miriam" w:hint="cs"/>
          <w:b/>
          <w:spacing w:val="0"/>
          <w:szCs w:val="24"/>
          <w:rtl/>
        </w:rPr>
        <w:t>ושא הערעורים</w:t>
      </w:r>
    </w:p>
    <w:p w:rsidR="00CF54A5" w:rsidRDefault="00CF54A5" w:rsidP="00CF54A5">
      <w:pPr>
        <w:pStyle w:val="Ruller41"/>
        <w:rPr>
          <w:rtl/>
        </w:rPr>
      </w:pPr>
    </w:p>
    <w:p w:rsidR="00CF54A5" w:rsidRDefault="00CF54A5" w:rsidP="00CF54A5">
      <w:pPr>
        <w:pStyle w:val="Ruller4"/>
        <w:rPr>
          <w:rtl/>
        </w:rPr>
      </w:pPr>
      <w:r>
        <w:rPr>
          <w:sz w:val="14"/>
          <w:szCs w:val="14"/>
        </w:rPr>
        <w:t> </w:t>
      </w:r>
      <w:r>
        <w:rPr>
          <w:rtl/>
        </w:rPr>
        <w:t xml:space="preserve">בפסק דין מפורט ומנומק מיום </w:t>
      </w:r>
      <w:r>
        <w:rPr>
          <w:rFonts w:hint="cs"/>
          <w:rtl/>
        </w:rPr>
        <w:t>19</w:t>
      </w:r>
      <w:r>
        <w:rPr>
          <w:rtl/>
        </w:rPr>
        <w:t>.</w:t>
      </w:r>
      <w:r>
        <w:rPr>
          <w:rFonts w:hint="cs"/>
          <w:rtl/>
        </w:rPr>
        <w:t>3</w:t>
      </w:r>
      <w:r>
        <w:rPr>
          <w:rtl/>
        </w:rPr>
        <w:t>.201</w:t>
      </w:r>
      <w:r>
        <w:rPr>
          <w:rFonts w:hint="cs"/>
          <w:rtl/>
        </w:rPr>
        <w:t>9</w:t>
      </w:r>
      <w:r>
        <w:rPr>
          <w:rtl/>
        </w:rPr>
        <w:t xml:space="preserve"> דחה בית משפט </w:t>
      </w:r>
      <w:r>
        <w:rPr>
          <w:rFonts w:hint="cs"/>
          <w:rtl/>
        </w:rPr>
        <w:t>קמא</w:t>
      </w:r>
      <w:r>
        <w:rPr>
          <w:rtl/>
        </w:rPr>
        <w:t xml:space="preserve"> את </w:t>
      </w:r>
      <w:r>
        <w:rPr>
          <w:rFonts w:hint="cs"/>
          <w:rtl/>
        </w:rPr>
        <w:t>ערעורי המס</w:t>
      </w:r>
      <w:r>
        <w:rPr>
          <w:rtl/>
        </w:rPr>
        <w:t>.</w:t>
      </w:r>
      <w:r>
        <w:rPr>
          <w:rFonts w:hint="cs"/>
          <w:rtl/>
        </w:rPr>
        <w:t xml:space="preserve"> לאחר שסקר את הוראותיו של חוק עידוד השקעות ועמד על כללי הפרשנות בדיני המס, פנה בית משפט קמא לבחון את פרשנות חלופת המכירה לשוק גדול כפי שנקבעה בסעיף 18א(ג)(1)(ג) לחוק.</w:t>
      </w:r>
    </w:p>
    <w:p w:rsidR="00CF54A5" w:rsidRPr="00B86867" w:rsidRDefault="00CF54A5" w:rsidP="00CF54A5">
      <w:pPr>
        <w:pStyle w:val="Ruller41"/>
      </w:pPr>
    </w:p>
    <w:p w:rsidR="00CF54A5" w:rsidRDefault="00CF54A5" w:rsidP="00CF54A5">
      <w:pPr>
        <w:pStyle w:val="Ruller4"/>
        <w:rPr>
          <w:rtl/>
        </w:rPr>
      </w:pPr>
      <w:r>
        <w:rPr>
          <w:rFonts w:hint="cs"/>
          <w:rtl/>
        </w:rPr>
        <w:t xml:space="preserve">בית משפט קמא דחה את עמדת פקידי השומה לפיה חלופת המכירה לשוק גדול מוגבלת רק למפעלים הפועלים למטרות ייצוא, ומכאן שהשוק בו מדובר בסעיף הנזכר הוא השוק הזר בלבד. נקבע, כי מבחינה לשונית, אין בסעיף 18א(ג)(1)(ג) לחוק כל התייחסות למיקומו הגיאוגרפי של השוק בו מתבצעות המכירות, ואף הגדרת ה"שוק" המצויה בסעיף 18א(א) לחוק נעדרת כל התייחסות כאמור. לפיכך, נפסק כי לשון הסעיף מכילה בגדרה גם הכנסות המופקות מהשוק הישראלי, בכפוף לכך ששוק זה עומד בקריטריון גודל השוק. עוד הוטעם כי במסקנה זו תומכים הן חוזר מס הכנסה 2/2006, בגדרו צוין כי הגדרת ה"שוק" כוללת גם את השוק הישראלי (ראו סעיף 2.1.1.(ב) לחוזר הנזכר), והן דברי ההסבר להצעת החוק לתיקון מס' 60, אשר נעדרים כל התייחסות המעידה כי כוונת המחוקק הייתה להוסיף </w:t>
      </w:r>
      <w:proofErr w:type="spellStart"/>
      <w:r>
        <w:rPr>
          <w:rFonts w:hint="cs"/>
          <w:rtl/>
        </w:rPr>
        <w:t>תניית</w:t>
      </w:r>
      <w:proofErr w:type="spellEnd"/>
      <w:r>
        <w:rPr>
          <w:rFonts w:hint="cs"/>
          <w:rtl/>
        </w:rPr>
        <w:t xml:space="preserve"> ייצוא כאמור. זאת ועוד, בית משפט קמא עמד על כך כי </w:t>
      </w:r>
      <w:r>
        <w:rPr>
          <w:rtl/>
        </w:rPr>
        <w:t xml:space="preserve">לוּ </w:t>
      </w:r>
      <w:r>
        <w:rPr>
          <w:rFonts w:hint="cs"/>
          <w:rtl/>
        </w:rPr>
        <w:t>רצה המחוקק להגביל את הסעיף למטרות ייצוא, יש לצפות כי היה עושה זאת במפורש, כפי שעשה במסגרת הוראות אחרות המצויות בחוק עידוד השקעות וכן במסגרת חוקים אחרים.</w:t>
      </w:r>
    </w:p>
    <w:p w:rsidR="00CF54A5" w:rsidRDefault="00CF54A5" w:rsidP="00CF54A5">
      <w:pPr>
        <w:pStyle w:val="Ruller41"/>
        <w:rPr>
          <w:rtl/>
        </w:rPr>
      </w:pPr>
    </w:p>
    <w:p w:rsidR="00CF54A5" w:rsidRPr="00A8284A" w:rsidRDefault="00CF54A5" w:rsidP="00572431">
      <w:pPr>
        <w:pStyle w:val="Ruller4"/>
        <w:rPr>
          <w:rtl/>
        </w:rPr>
      </w:pPr>
      <w:r w:rsidRPr="00A8284A">
        <w:rPr>
          <w:rFonts w:hint="cs"/>
          <w:rtl/>
        </w:rPr>
        <w:t xml:space="preserve">מבחינה תכליתית, </w:t>
      </w:r>
      <w:r>
        <w:rPr>
          <w:rFonts w:hint="cs"/>
          <w:rtl/>
        </w:rPr>
        <w:t xml:space="preserve">בחן בית </w:t>
      </w:r>
      <w:r w:rsidRPr="00A8284A">
        <w:rPr>
          <w:rFonts w:hint="cs"/>
          <w:rtl/>
        </w:rPr>
        <w:t xml:space="preserve">משפט קמא הן את התכלית </w:t>
      </w:r>
      <w:r>
        <w:rPr>
          <w:rFonts w:hint="cs"/>
          <w:rtl/>
        </w:rPr>
        <w:t>הסובייקטיבית</w:t>
      </w:r>
      <w:r w:rsidRPr="00A8284A">
        <w:rPr>
          <w:rFonts w:hint="cs"/>
          <w:rtl/>
        </w:rPr>
        <w:t xml:space="preserve"> והן את התכלית ה</w:t>
      </w:r>
      <w:r>
        <w:rPr>
          <w:rFonts w:hint="cs"/>
          <w:rtl/>
        </w:rPr>
        <w:t>אובייקטיבי</w:t>
      </w:r>
      <w:r w:rsidRPr="00A8284A">
        <w:rPr>
          <w:rFonts w:hint="cs"/>
          <w:rtl/>
        </w:rPr>
        <w:t>ת העומדות בבסיס</w:t>
      </w:r>
      <w:r>
        <w:rPr>
          <w:rFonts w:hint="cs"/>
          <w:rtl/>
        </w:rPr>
        <w:t xml:space="preserve"> חלופת המכירה לשוק </w:t>
      </w:r>
      <w:r w:rsidR="00572431">
        <w:rPr>
          <w:rFonts w:hint="cs"/>
          <w:rtl/>
        </w:rPr>
        <w:t>ג</w:t>
      </w:r>
      <w:r>
        <w:rPr>
          <w:rFonts w:hint="cs"/>
          <w:rtl/>
        </w:rPr>
        <w:t>דול,</w:t>
      </w:r>
      <w:r w:rsidRPr="00A8284A">
        <w:rPr>
          <w:rFonts w:hint="cs"/>
          <w:rtl/>
        </w:rPr>
        <w:t xml:space="preserve"> ומצא כי הן אינן תומכות במסקנה </w:t>
      </w:r>
      <w:r>
        <w:rPr>
          <w:rFonts w:hint="cs"/>
          <w:rtl/>
        </w:rPr>
        <w:t>לפיה יש</w:t>
      </w:r>
      <w:r w:rsidRPr="00A8284A">
        <w:rPr>
          <w:rFonts w:hint="cs"/>
          <w:rtl/>
        </w:rPr>
        <w:t xml:space="preserve"> לקרוא את הסעיף ככזה המוגבל </w:t>
      </w:r>
      <w:r>
        <w:rPr>
          <w:rFonts w:hint="cs"/>
          <w:rtl/>
        </w:rPr>
        <w:t>להכנסות שמקורן בייצוא בלבד</w:t>
      </w:r>
      <w:r w:rsidRPr="00A8284A">
        <w:rPr>
          <w:rFonts w:hint="cs"/>
          <w:rtl/>
        </w:rPr>
        <w:t>.</w:t>
      </w:r>
      <w:r>
        <w:rPr>
          <w:rFonts w:hint="cs"/>
          <w:rtl/>
        </w:rPr>
        <w:t xml:space="preserve"> בבחינת התכלית הסובייקטיבית,</w:t>
      </w:r>
      <w:r w:rsidRPr="00A8284A">
        <w:rPr>
          <w:rFonts w:hint="cs"/>
          <w:rtl/>
        </w:rPr>
        <w:t xml:space="preserve"> </w:t>
      </w:r>
      <w:r>
        <w:rPr>
          <w:rFonts w:hint="cs"/>
          <w:rtl/>
        </w:rPr>
        <w:t>נפסק</w:t>
      </w:r>
      <w:r w:rsidRPr="00A8284A">
        <w:rPr>
          <w:rFonts w:hint="cs"/>
          <w:rtl/>
        </w:rPr>
        <w:t xml:space="preserve"> כי אומנם עיון בדברי הכנסת ובדיוני הוועדות מעלה כי המחוקק ראה בהוראת הסעיף דנן </w:t>
      </w:r>
      <w:proofErr w:type="spellStart"/>
      <w:r w:rsidRPr="00A8284A">
        <w:rPr>
          <w:rFonts w:hint="cs"/>
          <w:rtl/>
        </w:rPr>
        <w:t>ככזו</w:t>
      </w:r>
      <w:proofErr w:type="spellEnd"/>
      <w:r w:rsidRPr="00A8284A">
        <w:rPr>
          <w:rFonts w:hint="cs"/>
          <w:rtl/>
        </w:rPr>
        <w:t xml:space="preserve"> שנועדה לקדם ולעודד </w:t>
      </w:r>
      <w:r>
        <w:rPr>
          <w:rFonts w:hint="cs"/>
          <w:rtl/>
        </w:rPr>
        <w:t xml:space="preserve">פעולות </w:t>
      </w:r>
      <w:r w:rsidRPr="00A8284A">
        <w:rPr>
          <w:rFonts w:hint="cs"/>
          <w:rtl/>
        </w:rPr>
        <w:t xml:space="preserve">ייצוא, </w:t>
      </w:r>
      <w:r>
        <w:rPr>
          <w:rFonts w:hint="cs"/>
          <w:rtl/>
        </w:rPr>
        <w:t>אך</w:t>
      </w:r>
      <w:r w:rsidRPr="00A8284A">
        <w:rPr>
          <w:rFonts w:hint="cs"/>
          <w:rtl/>
        </w:rPr>
        <w:t xml:space="preserve"> לא מדובר במטרה העיקרית והיחידה, לאור קביעת המחוקק את קריטריון גודל השוק</w:t>
      </w:r>
      <w:r>
        <w:rPr>
          <w:rFonts w:hint="cs"/>
          <w:rtl/>
        </w:rPr>
        <w:t>;</w:t>
      </w:r>
      <w:r w:rsidRPr="00A8284A">
        <w:rPr>
          <w:rFonts w:hint="cs"/>
          <w:rtl/>
        </w:rPr>
        <w:t xml:space="preserve"> ומכל מקום</w:t>
      </w:r>
      <w:r w:rsidR="00572431">
        <w:rPr>
          <w:rFonts w:hint="cs"/>
          <w:rtl/>
        </w:rPr>
        <w:t>,</w:t>
      </w:r>
      <w:r w:rsidRPr="00A8284A">
        <w:rPr>
          <w:rFonts w:hint="cs"/>
          <w:rtl/>
        </w:rPr>
        <w:t xml:space="preserve"> מההיסטוריה החקיקתית נלמד כי המחוקק בחר, באופן </w:t>
      </w:r>
      <w:r>
        <w:rPr>
          <w:rFonts w:hint="cs"/>
          <w:rtl/>
        </w:rPr>
        <w:t>מודע ו</w:t>
      </w:r>
      <w:r w:rsidRPr="00A8284A">
        <w:rPr>
          <w:rFonts w:hint="cs"/>
          <w:rtl/>
        </w:rPr>
        <w:t>מכוון, שלא לכלול בהוראת הסעיף תנאי של ייצוא</w:t>
      </w:r>
      <w:r>
        <w:rPr>
          <w:rFonts w:hint="cs"/>
          <w:rtl/>
        </w:rPr>
        <w:t>, לאור התחייבותה של ישראל, במסגרת הסכמי הסחר עליהם היא חתומה, שלא להעניק הקלות, ובכלל זה הטבות מס, המותנות בייצוא</w:t>
      </w:r>
      <w:r w:rsidRPr="00A8284A">
        <w:rPr>
          <w:rFonts w:hint="cs"/>
          <w:rtl/>
        </w:rPr>
        <w:t xml:space="preserve">. </w:t>
      </w:r>
      <w:r>
        <w:rPr>
          <w:rFonts w:hint="cs"/>
          <w:rtl/>
        </w:rPr>
        <w:t>בבחינת התכלית האובייקטיבית, נקבע כי הגם שניתן למצוא בחלק ממטרותיו של חוק עידוד השקעות המנויות בסעיף 1 לחוק עיגון למטרה של עידוד ייצוא, מטרות החוק אינן מכוונות לעידוד ייצוא דווקא, ואף התכלית המפורשת העולה מהוראת סעיף 18א לחוק איננה משמיעה כי תנאי הייצוא הוא חלק מתחייב ממנה. יתרה מכך, קריאת תנאי הייצוא אל תוך התכלית האובייקטיבית של הוראת הסעיף הנדונה איננה תואמת את התחייבויותיה של מדינת ישראל במסגרת הסכמי הסחר, וגם מטעם זה יש לדחות את הפרשנות המוצעת על ידי פקידי השומה. אשר על כן, קבע בית משפט קמא כי חלופת המכירה לשוק גדול שבסעיף 18א(ג)(1)(ג) לחוק חלה על הכנסות שמקורן במכירות המתבצעות הן בשוק הישראלי והן בשוק זר, ובלבד שמדובר בשוק גדול לפי קריטריון גודל השוק.</w:t>
      </w:r>
    </w:p>
    <w:p w:rsidR="00CF54A5" w:rsidRDefault="00CF54A5" w:rsidP="00CF54A5">
      <w:pPr>
        <w:pStyle w:val="Ruller41"/>
        <w:rPr>
          <w:rtl/>
        </w:rPr>
      </w:pPr>
    </w:p>
    <w:p w:rsidR="00CF54A5" w:rsidRPr="0067727F" w:rsidRDefault="00CF54A5" w:rsidP="00CF54A5">
      <w:pPr>
        <w:pStyle w:val="Ruller4"/>
        <w:rPr>
          <w:rtl/>
        </w:rPr>
      </w:pPr>
      <w:r>
        <w:rPr>
          <w:rFonts w:hint="cs"/>
          <w:rtl/>
        </w:rPr>
        <w:t>לאחר דברים אלה, נדרש בית משפט קמא לבחינתו של קריטריון גודל השוק. נקבע, כי המועד שבו יש לבחון את קריטריון גודל השוק הוא על בסיס שנתי, דהיינו לאורך כל שנת המס, וזאת בהלימה ליחידת הזמן הרלוונטית לסוגיה</w:t>
      </w:r>
      <w:r>
        <w:rPr>
          <w:rtl/>
        </w:rPr>
        <w:t xml:space="preserve"> </w:t>
      </w:r>
      <w:r>
        <w:rPr>
          <w:rFonts w:hint="eastAsia"/>
          <w:rtl/>
        </w:rPr>
        <w:t>ב</w:t>
      </w:r>
      <w:r>
        <w:rPr>
          <w:rFonts w:hint="cs"/>
          <w:rtl/>
        </w:rPr>
        <w:t>ה</w:t>
      </w:r>
      <w:r>
        <w:rPr>
          <w:rtl/>
        </w:rPr>
        <w:t xml:space="preserve"> </w:t>
      </w:r>
      <w:r>
        <w:rPr>
          <w:rFonts w:hint="eastAsia"/>
          <w:rtl/>
        </w:rPr>
        <w:t>עסקינן</w:t>
      </w:r>
      <w:r>
        <w:rPr>
          <w:rFonts w:hint="cs"/>
          <w:rtl/>
        </w:rPr>
        <w:t>. אם תאמר אחרת, הטעים בית משפט קמא, יידרשו בדיקות מרובות של גודל השוק בכל רגע נתון בו מתבצעת מכירה, דבר שאינו תמיד אפשרי ויש בו כדי להגביר את אי הוודאות. לנוכח האמור, קבע בית משפט קמא</w:t>
      </w:r>
      <w:r w:rsidR="00572431">
        <w:rPr>
          <w:rFonts w:hint="cs"/>
          <w:rtl/>
        </w:rPr>
        <w:t>,</w:t>
      </w:r>
      <w:r>
        <w:rPr>
          <w:rFonts w:hint="cs"/>
          <w:rtl/>
        </w:rPr>
        <w:t xml:space="preserve"> כי בהינתן שאין מחלוקת כי השוק הישראלי מנה יותר מ-12 מיליון תושבים רק מאמצע שנת 2011, </w:t>
      </w:r>
      <w:proofErr w:type="spellStart"/>
      <w:r>
        <w:rPr>
          <w:rFonts w:hint="cs"/>
          <w:rtl/>
        </w:rPr>
        <w:t>הנישומות</w:t>
      </w:r>
      <w:proofErr w:type="spellEnd"/>
      <w:r>
        <w:rPr>
          <w:rFonts w:hint="cs"/>
          <w:rtl/>
        </w:rPr>
        <w:t xml:space="preserve"> אינן זכאיות להטבת מס בעבור שנת המס הזו, ודין ערעורי המס ביחס לשנת 2011 להידחות.</w:t>
      </w:r>
    </w:p>
    <w:p w:rsidR="00CF54A5" w:rsidRDefault="00CF54A5" w:rsidP="00CF54A5">
      <w:pPr>
        <w:pStyle w:val="Ruller41"/>
        <w:rPr>
          <w:rtl/>
        </w:rPr>
      </w:pPr>
    </w:p>
    <w:p w:rsidR="00CF54A5" w:rsidRDefault="00CF54A5" w:rsidP="00CF54A5">
      <w:pPr>
        <w:pStyle w:val="Ruller4"/>
      </w:pPr>
      <w:r>
        <w:rPr>
          <w:rFonts w:hint="cs"/>
          <w:rtl/>
        </w:rPr>
        <w:t xml:space="preserve">בכל הנוגע לשנת 2012, עבר בית משפט קמא לדון בתוקפו של תיקון מס' 70, אשר כאמור הגדיל באופן רטרואקטיבי את הדרישה בקריטריון גודל השוק ל-14 מיליון תושבים לשנה זו </w:t>
      </w:r>
      <w:r>
        <w:rPr>
          <w:rtl/>
        </w:rPr>
        <w:t>–</w:t>
      </w:r>
      <w:r>
        <w:rPr>
          <w:rFonts w:hint="cs"/>
          <w:rtl/>
        </w:rPr>
        <w:t xml:space="preserve"> דרישה שאין חולק כי השוק הישראלי לא עמד בה. תחילה ציין בית </w:t>
      </w:r>
      <w:r>
        <w:rPr>
          <w:rFonts w:hint="cs"/>
          <w:rtl/>
        </w:rPr>
        <w:lastRenderedPageBreak/>
        <w:t xml:space="preserve">משפט קמא כי על אף, שבדרך הכלל, הפסיקה אינה רואה בעין יפה חקיקה </w:t>
      </w:r>
      <w:r w:rsidRPr="004A29DC">
        <w:rPr>
          <w:rFonts w:hint="cs"/>
          <w:rtl/>
        </w:rPr>
        <w:t>רטרואקטיבית</w:t>
      </w:r>
      <w:r>
        <w:rPr>
          <w:rFonts w:hint="cs"/>
          <w:rtl/>
        </w:rPr>
        <w:t xml:space="preserve">, אין בדין הישראלי כל איסור על חקיקה שכזו, ולעיתים היא אף רצויה. עוד ציין בית משפט קמא כי כוונת נסחי תיקון מס' 70 הייתה להשלים את חקיקתו במהלך שנת 2012, ובכך להימנע מהוראת התחולה הרטרואקטיבית. ואולם, לאור פיזורה של הכנסת ה-18 לא הושלם הליך החקיקה במהלך שנת 2012, ועל כן נוספה הוראת התחולה האמורה. לאחר דברים אלה, בית משפט קמא הצביע על כך שדרך המלך לתקיפת תיקון מס' 70, ובכלל זה את הוראת התחולה המצויה בו, היא באמצעות הגשת עתירה לבית המשפט הגבוה לצדק (בדרך של תקיפה ישירה), ולא במסגרת ערעורי המס דנן (בדרך של תקיפה עקיפה), וגם נסיבות העניין אינן מלמדות כי יש לסטות מדרך זו, בשים לב לסוג הטענות המועלות על ידי </w:t>
      </w:r>
      <w:proofErr w:type="spellStart"/>
      <w:r>
        <w:rPr>
          <w:rFonts w:hint="cs"/>
          <w:rtl/>
        </w:rPr>
        <w:t>הנישומות</w:t>
      </w:r>
      <w:proofErr w:type="spellEnd"/>
      <w:r>
        <w:rPr>
          <w:rFonts w:hint="cs"/>
          <w:rtl/>
        </w:rPr>
        <w:t xml:space="preserve"> והיקף השלכותיהן. אף על פי כן, בהינתן שסוגיה זו לא זכתה להתייחסות של ממש בטיעוני הצדדים, קבע בית משפט קמא כי יש לבחון במסגרת ערעורי המס את טענות </w:t>
      </w:r>
      <w:proofErr w:type="spellStart"/>
      <w:r>
        <w:rPr>
          <w:rFonts w:hint="cs"/>
          <w:rtl/>
        </w:rPr>
        <w:t>הנישומות</w:t>
      </w:r>
      <w:proofErr w:type="spellEnd"/>
      <w:r>
        <w:rPr>
          <w:rFonts w:hint="cs"/>
          <w:rtl/>
        </w:rPr>
        <w:t xml:space="preserve"> לגופן. בתוך כך, דחה בית משפט קמא את טענת </w:t>
      </w:r>
      <w:proofErr w:type="spellStart"/>
      <w:r>
        <w:rPr>
          <w:rFonts w:hint="cs"/>
          <w:rtl/>
        </w:rPr>
        <w:t>הנישומות</w:t>
      </w:r>
      <w:proofErr w:type="spellEnd"/>
      <w:r>
        <w:rPr>
          <w:rFonts w:hint="cs"/>
          <w:rtl/>
        </w:rPr>
        <w:t xml:space="preserve"> כי נפלו פגמים בהליך החקיקה ואת טענתן כי התיקון אינו חוקתי לאור הפגיעה בזכות הקניין שלהן. </w:t>
      </w:r>
    </w:p>
    <w:p w:rsidR="00CF54A5" w:rsidRDefault="00CF54A5" w:rsidP="00CF54A5">
      <w:pPr>
        <w:pStyle w:val="Ruller4"/>
        <w:numPr>
          <w:ilvl w:val="0"/>
          <w:numId w:val="0"/>
        </w:numPr>
      </w:pPr>
    </w:p>
    <w:p w:rsidR="00CF54A5" w:rsidRDefault="00CF54A5" w:rsidP="00CF54A5">
      <w:pPr>
        <w:pStyle w:val="Ruller4"/>
        <w:numPr>
          <w:ilvl w:val="0"/>
          <w:numId w:val="0"/>
        </w:numPr>
        <w:rPr>
          <w:rtl/>
        </w:rPr>
      </w:pPr>
      <w:r>
        <w:rPr>
          <w:rtl/>
        </w:rPr>
        <w:tab/>
      </w:r>
      <w:r>
        <w:rPr>
          <w:rFonts w:hint="cs"/>
          <w:rtl/>
        </w:rPr>
        <w:t>בכל הנוגע לפגמים הנטענים בהליך החקיקה, נפסק כי אף אם היה טעם לפגם בניסיון לקצר את הליכי החקיקה, הוא התרפא בעקבות פיזורה של הכנסת ה-</w:t>
      </w:r>
      <w:r w:rsidR="00572431">
        <w:rPr>
          <w:rFonts w:hint="cs"/>
          <w:rtl/>
        </w:rPr>
        <w:t>,</w:t>
      </w:r>
      <w:r>
        <w:rPr>
          <w:rFonts w:hint="cs"/>
          <w:rtl/>
        </w:rPr>
        <w:t xml:space="preserve">18 וכפועל יוצא דחיית הדיונים בוועדת הכספים ובמליאת הכנסת באופן שהותיר זמן רב לבחון את התיקון המוצע; וכי בכל הנוגע למסד הנתונים שהונח בפני ועדת הכספים ומליאת הכנסת, נקבע כי הגם שניתן היה להוסיף למסד זה נתונים רלוונטיים, אין מדובר בפגם היורד לשורש ההליך המצדיק את ביטולה של הוראת התחולה, וזאת הן משום שהיה בפני חברי הכנסת מסד נתונים מספק לצורך קבלת החלטה סבירה, הן לנוכח מודעותם של חברי הכנסת לחסר בנתונים מסוימים ונכונותם להסתפק בחומר ובנתונים בעל-פה שהוצגו בפניהם, והן בשים לב להלכות החלות בדבר היקף התערבותו של בית המשפט בהליך החקיקה. </w:t>
      </w:r>
    </w:p>
    <w:p w:rsidR="00CF54A5" w:rsidRDefault="00CF54A5" w:rsidP="00CF54A5">
      <w:pPr>
        <w:pStyle w:val="Ruller4"/>
        <w:numPr>
          <w:ilvl w:val="0"/>
          <w:numId w:val="0"/>
        </w:numPr>
        <w:rPr>
          <w:rtl/>
        </w:rPr>
      </w:pPr>
    </w:p>
    <w:p w:rsidR="00CF54A5" w:rsidRDefault="00CF54A5" w:rsidP="00572431">
      <w:pPr>
        <w:pStyle w:val="Ruller4"/>
        <w:numPr>
          <w:ilvl w:val="0"/>
          <w:numId w:val="0"/>
        </w:numPr>
        <w:rPr>
          <w:rtl/>
        </w:rPr>
      </w:pPr>
      <w:r>
        <w:rPr>
          <w:rtl/>
        </w:rPr>
        <w:tab/>
      </w:r>
      <w:r>
        <w:rPr>
          <w:rFonts w:hint="cs"/>
          <w:rtl/>
        </w:rPr>
        <w:t xml:space="preserve">באשר לחוקתיות התיקון, נקבע כי אף תחת ההנחה כי הוראת התחולה פוגעת בזכות הקניין של </w:t>
      </w:r>
      <w:proofErr w:type="spellStart"/>
      <w:r>
        <w:rPr>
          <w:rFonts w:hint="cs"/>
          <w:rtl/>
        </w:rPr>
        <w:t>הנישומות</w:t>
      </w:r>
      <w:proofErr w:type="spellEnd"/>
      <w:r>
        <w:rPr>
          <w:rFonts w:hint="cs"/>
          <w:rtl/>
        </w:rPr>
        <w:t xml:space="preserve">, היא עומדת בתנאי פסקת ההגבלה. בית משפט קמא דחה את טענת פקידי השומה לפיה תכליתו של תיקון מס' 70 היא להבהיר כי הטבת המס הניתנת מכוח הוראת סעיף 18א(ג)(1)(ג) לחוק מיועדת למפעלים הפועלים למטרות ייצוא בלבד. יחד עם זאת, מצא בית משפט קמא כי הוראת התחולה בתיקון מס' 70 נועדה להבטיח כי הטבת המס תינתן אך ורק למגזרים מסוימים, ולא באופן נרחב, וזאת בהלימה לתכליתו של חוק עידוד השקעות, וכי אלמלא הוראת התחולה מרבית החברות </w:t>
      </w:r>
      <w:r>
        <w:rPr>
          <w:rFonts w:hint="cs"/>
          <w:rtl/>
        </w:rPr>
        <w:lastRenderedPageBreak/>
        <w:t>במשק היו זכאיות להטבות מס באופן החורג מגדר כוונותיו של המחוקק, ואשר לא ניתן לו פתרון תקציבי. לפיכך, נקבע כי תכליתה של הוראת התחולה היא ראויה, ואף הולמת את ערכיה של המדינה. עוד נקבע כי מדובר בפגיעה מ</w:t>
      </w:r>
      <w:r w:rsidR="00572431">
        <w:rPr>
          <w:rFonts w:hint="cs"/>
          <w:rtl/>
        </w:rPr>
        <w:t>ידתית, שכן אין מדובר בשלילת הטבת מס לה</w:t>
      </w:r>
      <w:r>
        <w:rPr>
          <w:rFonts w:hint="cs"/>
          <w:rtl/>
        </w:rPr>
        <w:t xml:space="preserve"> היו זכאיות </w:t>
      </w:r>
      <w:proofErr w:type="spellStart"/>
      <w:r>
        <w:rPr>
          <w:rFonts w:hint="cs"/>
          <w:rtl/>
        </w:rPr>
        <w:t>הנישומות</w:t>
      </w:r>
      <w:proofErr w:type="spellEnd"/>
      <w:r>
        <w:rPr>
          <w:rFonts w:hint="cs"/>
          <w:rtl/>
        </w:rPr>
        <w:t xml:space="preserve"> בעבר, בהינתן </w:t>
      </w:r>
      <w:proofErr w:type="spellStart"/>
      <w:r>
        <w:rPr>
          <w:rFonts w:hint="cs"/>
          <w:rtl/>
        </w:rPr>
        <w:t>שהנישומות</w:t>
      </w:r>
      <w:proofErr w:type="spellEnd"/>
      <w:r>
        <w:rPr>
          <w:rFonts w:hint="cs"/>
          <w:rtl/>
        </w:rPr>
        <w:t xml:space="preserve"> מעולם לא נהנו מהטב</w:t>
      </w:r>
      <w:r w:rsidR="00572431">
        <w:rPr>
          <w:rFonts w:hint="cs"/>
          <w:rtl/>
        </w:rPr>
        <w:t>ה</w:t>
      </w:r>
      <w:r>
        <w:rPr>
          <w:rFonts w:hint="cs"/>
          <w:rtl/>
        </w:rPr>
        <w:t xml:space="preserve"> </w:t>
      </w:r>
      <w:r w:rsidR="00572431">
        <w:rPr>
          <w:rFonts w:hint="cs"/>
          <w:rtl/>
        </w:rPr>
        <w:t>זו</w:t>
      </w:r>
      <w:r w:rsidRPr="007E37B0">
        <w:rPr>
          <w:rFonts w:hint="cs"/>
          <w:rtl/>
        </w:rPr>
        <w:t xml:space="preserve">, וממילא אין לנישום זכות קנויה להמשיך ולקבל הטבות מס שקיבל בעבר. </w:t>
      </w:r>
      <w:r>
        <w:rPr>
          <w:rFonts w:hint="cs"/>
          <w:rtl/>
        </w:rPr>
        <w:t xml:space="preserve">זאת עוד, בית משפט קמא קבע כי </w:t>
      </w:r>
      <w:proofErr w:type="spellStart"/>
      <w:r>
        <w:rPr>
          <w:rFonts w:hint="cs"/>
          <w:rtl/>
        </w:rPr>
        <w:t>הנישומות</w:t>
      </w:r>
      <w:proofErr w:type="spellEnd"/>
      <w:r>
        <w:rPr>
          <w:rFonts w:hint="cs"/>
          <w:rtl/>
        </w:rPr>
        <w:t xml:space="preserve"> ידעו על ייעודו של תיקון מס' 70 בטרם הגישו את </w:t>
      </w:r>
      <w:proofErr w:type="spellStart"/>
      <w:r>
        <w:rPr>
          <w:rFonts w:hint="cs"/>
          <w:rtl/>
        </w:rPr>
        <w:t>דו"חותיהן</w:t>
      </w:r>
      <w:proofErr w:type="spellEnd"/>
      <w:r>
        <w:rPr>
          <w:rFonts w:hint="cs"/>
          <w:rtl/>
        </w:rPr>
        <w:t xml:space="preserve"> לשנת 2012, וכן היו מודעות למחלוקות ביחס לנתונים הדמוגרפיים של השוק הישראלי, ועל כן, מנקודת מבטן, לא היה זה סביר להניח כי יזכו להטבת המס המבוקשת. </w:t>
      </w:r>
    </w:p>
    <w:p w:rsidR="00CF54A5" w:rsidRDefault="00CF54A5" w:rsidP="00CF54A5">
      <w:pPr>
        <w:pStyle w:val="Ruller41"/>
        <w:rPr>
          <w:rtl/>
        </w:rPr>
      </w:pPr>
    </w:p>
    <w:p w:rsidR="00CF54A5" w:rsidRDefault="00CF54A5" w:rsidP="00CF54A5">
      <w:pPr>
        <w:pStyle w:val="Ruller41"/>
        <w:rPr>
          <w:rtl/>
        </w:rPr>
      </w:pPr>
      <w:r>
        <w:rPr>
          <w:rtl/>
        </w:rPr>
        <w:tab/>
      </w:r>
      <w:r>
        <w:rPr>
          <w:rFonts w:hint="cs"/>
          <w:rtl/>
        </w:rPr>
        <w:t>על פסק דין זה הוגשו הערעורים שלפנינו.</w:t>
      </w:r>
    </w:p>
    <w:p w:rsidR="00CF54A5" w:rsidRDefault="00CF54A5" w:rsidP="00CF54A5">
      <w:pPr>
        <w:pStyle w:val="Ruller41"/>
        <w:rPr>
          <w:rtl/>
        </w:rPr>
      </w:pPr>
    </w:p>
    <w:p w:rsidR="00CF54A5" w:rsidRDefault="00CF54A5" w:rsidP="00CF54A5">
      <w:pPr>
        <w:pStyle w:val="Ruller4"/>
        <w:rPr>
          <w:rtl/>
        </w:rPr>
      </w:pPr>
      <w:r w:rsidRPr="00AB4B10">
        <w:rPr>
          <w:rFonts w:hint="cs"/>
          <w:rtl/>
        </w:rPr>
        <w:t>יוער, כי אחד ה</w:t>
      </w:r>
      <w:r>
        <w:rPr>
          <w:rFonts w:hint="cs"/>
          <w:rtl/>
        </w:rPr>
        <w:t xml:space="preserve">הליכים </w:t>
      </w:r>
      <w:r w:rsidRPr="00AB4B10">
        <w:rPr>
          <w:rFonts w:hint="cs"/>
          <w:rtl/>
        </w:rPr>
        <w:t xml:space="preserve">עוסק בערעור מס שהגישה חברת </w:t>
      </w:r>
      <w:proofErr w:type="spellStart"/>
      <w:r w:rsidRPr="00AB4B10">
        <w:rPr>
          <w:rFonts w:hint="cs"/>
          <w:rtl/>
        </w:rPr>
        <w:t>זנלכל</w:t>
      </w:r>
      <w:proofErr w:type="spellEnd"/>
      <w:r w:rsidRPr="00AB4B10">
        <w:rPr>
          <w:rFonts w:hint="cs"/>
          <w:rtl/>
        </w:rPr>
        <w:t xml:space="preserve"> בע"מ (להלן: </w:t>
      </w:r>
      <w:r w:rsidRPr="00AB4B10">
        <w:rPr>
          <w:rFonts w:ascii="Century" w:hAnsi="Century" w:cs="Miriam" w:hint="cs"/>
          <w:b/>
          <w:spacing w:val="0"/>
          <w:sz w:val="22"/>
          <w:szCs w:val="24"/>
          <w:rtl/>
        </w:rPr>
        <w:t xml:space="preserve">חברת </w:t>
      </w:r>
      <w:proofErr w:type="spellStart"/>
      <w:r w:rsidRPr="00AB4B10">
        <w:rPr>
          <w:rFonts w:ascii="Century" w:hAnsi="Century" w:cs="Miriam" w:hint="cs"/>
          <w:b/>
          <w:spacing w:val="0"/>
          <w:sz w:val="22"/>
          <w:szCs w:val="24"/>
          <w:rtl/>
        </w:rPr>
        <w:t>זנלכל</w:t>
      </w:r>
      <w:proofErr w:type="spellEnd"/>
      <w:r w:rsidRPr="00AB4B10">
        <w:rPr>
          <w:rFonts w:hint="cs"/>
          <w:rtl/>
        </w:rPr>
        <w:t>) ביחס לשנת המס 2013 (ע"מ 12962-12-18). במסגרת הליך זה, הס</w:t>
      </w:r>
      <w:r>
        <w:rPr>
          <w:rFonts w:hint="cs"/>
          <w:rtl/>
        </w:rPr>
        <w:t xml:space="preserve">כימו הצדדים כי פסק דינו של בית </w:t>
      </w:r>
      <w:r w:rsidRPr="00AB4B10">
        <w:rPr>
          <w:rFonts w:hint="cs"/>
          <w:rtl/>
        </w:rPr>
        <w:t xml:space="preserve">משפט קמא, על מכלול נימוקיו, יחול גם על ערעור מס זה הנוגע לשנת </w:t>
      </w:r>
      <w:r w:rsidRPr="0000176F">
        <w:rPr>
          <w:rFonts w:hint="cs"/>
          <w:rtl/>
        </w:rPr>
        <w:t xml:space="preserve">2013, כך שיידחה הערעור. לצד זאת, </w:t>
      </w:r>
      <w:r w:rsidRPr="00AB4B10">
        <w:rPr>
          <w:rFonts w:hint="cs"/>
          <w:rtl/>
        </w:rPr>
        <w:t>הוסכם כי "</w:t>
      </w:r>
      <w:r w:rsidRPr="00AB4B10">
        <w:rPr>
          <w:rFonts w:ascii="Century" w:hAnsi="Century" w:cs="Miriam" w:hint="cs"/>
          <w:b/>
          <w:spacing w:val="0"/>
          <w:sz w:val="22"/>
          <w:szCs w:val="24"/>
          <w:rtl/>
        </w:rPr>
        <w:t xml:space="preserve">אין בהסכמת הצדדים... כדי לשלול את זכות </w:t>
      </w:r>
      <w:r w:rsidRPr="009B55AB">
        <w:rPr>
          <w:rFonts w:ascii="Century" w:hAnsi="Century" w:hint="cs"/>
          <w:sz w:val="22"/>
          <w:rtl/>
        </w:rPr>
        <w:t xml:space="preserve">[חברת </w:t>
      </w:r>
      <w:proofErr w:type="spellStart"/>
      <w:r w:rsidRPr="009B55AB">
        <w:rPr>
          <w:rFonts w:ascii="Century" w:hAnsi="Century" w:hint="cs"/>
          <w:sz w:val="22"/>
          <w:rtl/>
        </w:rPr>
        <w:t>זנלכל</w:t>
      </w:r>
      <w:proofErr w:type="spellEnd"/>
      <w:r w:rsidRPr="009B55AB">
        <w:rPr>
          <w:rFonts w:ascii="Century" w:hAnsi="Century" w:hint="cs"/>
          <w:sz w:val="22"/>
          <w:rtl/>
        </w:rPr>
        <w:t>]</w:t>
      </w:r>
      <w:r w:rsidRPr="00AB4B10">
        <w:rPr>
          <w:rFonts w:ascii="Century" w:hAnsi="Century" w:cs="Miriam" w:hint="cs"/>
          <w:b/>
          <w:spacing w:val="0"/>
          <w:sz w:val="22"/>
          <w:szCs w:val="24"/>
          <w:rtl/>
        </w:rPr>
        <w:t xml:space="preserve"> מלהגיש... על פסק הדין בערעור הנוכחי, ערעור לבית המשפט העליון וכן להגיש בקשה לאחדו עם הערעור שהוגש ביום 7.5.2019 על ידי </w:t>
      </w:r>
      <w:r w:rsidRPr="009B55AB">
        <w:rPr>
          <w:rFonts w:ascii="Century" w:hAnsi="Century" w:hint="cs"/>
          <w:sz w:val="22"/>
          <w:rtl/>
        </w:rPr>
        <w:t xml:space="preserve">[חברת </w:t>
      </w:r>
      <w:proofErr w:type="spellStart"/>
      <w:r w:rsidRPr="009B55AB">
        <w:rPr>
          <w:rFonts w:ascii="Century" w:hAnsi="Century" w:hint="cs"/>
          <w:sz w:val="22"/>
          <w:rtl/>
        </w:rPr>
        <w:t>זנלכל</w:t>
      </w:r>
      <w:proofErr w:type="spellEnd"/>
      <w:r w:rsidRPr="009B55AB">
        <w:rPr>
          <w:rFonts w:ascii="Century" w:hAnsi="Century" w:hint="cs"/>
          <w:sz w:val="22"/>
          <w:rtl/>
        </w:rPr>
        <w:t>]</w:t>
      </w:r>
      <w:r w:rsidRPr="00AB4B10">
        <w:rPr>
          <w:rFonts w:ascii="Century" w:hAnsi="Century" w:cs="Miriam" w:hint="cs"/>
          <w:b/>
          <w:spacing w:val="0"/>
          <w:sz w:val="22"/>
          <w:szCs w:val="24"/>
          <w:rtl/>
        </w:rPr>
        <w:t>.</w:t>
      </w:r>
      <w:r w:rsidRPr="008A239C">
        <w:rPr>
          <w:rFonts w:ascii="Century" w:hAnsi="Century" w:cs="Miriam" w:hint="cs"/>
          <w:b/>
          <w:spacing w:val="0"/>
          <w:sz w:val="22"/>
          <w:szCs w:val="24"/>
          <w:rtl/>
        </w:rPr>
        <w:t xml:space="preserve">.. על פסק הדין המוקדם, במסגרת </w:t>
      </w:r>
      <w:r w:rsidRPr="00AB4B10">
        <w:rPr>
          <w:rFonts w:ascii="Century" w:hAnsi="Century" w:cs="Miriam" w:hint="cs"/>
          <w:b/>
          <w:spacing w:val="0"/>
          <w:sz w:val="22"/>
          <w:szCs w:val="24"/>
          <w:rtl/>
        </w:rPr>
        <w:t>ע"א 3129/19</w:t>
      </w:r>
      <w:r w:rsidRPr="00AB4B10">
        <w:rPr>
          <w:rFonts w:hint="cs"/>
          <w:rtl/>
        </w:rPr>
        <w:t xml:space="preserve">" (סעיף 4 להודעת הצדדים). בהתאם, ביום 7.5.2019 ניתן תוקף של פסק דין להסכמות הצדדים וערעור המס נדחה, ובהמשך הגישה חברת </w:t>
      </w:r>
      <w:proofErr w:type="spellStart"/>
      <w:r w:rsidRPr="00AB4B10">
        <w:rPr>
          <w:rFonts w:hint="cs"/>
          <w:rtl/>
        </w:rPr>
        <w:t>זנלכל</w:t>
      </w:r>
      <w:proofErr w:type="spellEnd"/>
      <w:r w:rsidRPr="00AB4B10">
        <w:rPr>
          <w:rFonts w:hint="cs"/>
          <w:rtl/>
        </w:rPr>
        <w:t xml:space="preserve"> את ערעורה במסגרת ע"א 3995/19.</w:t>
      </w:r>
    </w:p>
    <w:p w:rsidR="00CF54A5" w:rsidRDefault="00CF54A5" w:rsidP="00CF54A5">
      <w:pPr>
        <w:pStyle w:val="Ruller41"/>
        <w:rPr>
          <w:rtl/>
        </w:rPr>
      </w:pPr>
    </w:p>
    <w:p w:rsidR="00CF54A5" w:rsidRPr="00C61C90" w:rsidRDefault="00CF54A5" w:rsidP="00CF54A5">
      <w:pPr>
        <w:pStyle w:val="Ruller4"/>
        <w:rPr>
          <w:rtl/>
        </w:rPr>
      </w:pPr>
      <w:r>
        <w:rPr>
          <w:rFonts w:hint="cs"/>
          <w:rtl/>
        </w:rPr>
        <w:t xml:space="preserve">עוד יוער כי לפני בית המשפט המחוזי בתל אביב-יפו (כב' השופט </w:t>
      </w:r>
      <w:r w:rsidRPr="00C61C90">
        <w:rPr>
          <w:rFonts w:ascii="Century" w:hAnsi="Century" w:cs="Miriam" w:hint="cs"/>
          <w:b/>
          <w:spacing w:val="0"/>
          <w:sz w:val="22"/>
          <w:szCs w:val="24"/>
          <w:rtl/>
        </w:rPr>
        <w:t xml:space="preserve">מגן </w:t>
      </w:r>
      <w:proofErr w:type="spellStart"/>
      <w:r w:rsidRPr="00C61C90">
        <w:rPr>
          <w:rFonts w:ascii="Century" w:hAnsi="Century" w:cs="Miriam" w:hint="cs"/>
          <w:b/>
          <w:spacing w:val="0"/>
          <w:sz w:val="22"/>
          <w:szCs w:val="24"/>
          <w:rtl/>
        </w:rPr>
        <w:t>אלטוביה</w:t>
      </w:r>
      <w:proofErr w:type="spellEnd"/>
      <w:r>
        <w:rPr>
          <w:rFonts w:hint="cs"/>
          <w:rtl/>
        </w:rPr>
        <w:t>) מתנהלים ערעורי מס נוספים העוסקים באותה סוגיה שבמחלוקת (ע"מ 45128-03-15 ונוספים), כאשר בהתאם להחלטת בית המשפט מיום 2.7.2020, ובהסכמת הצדדים שם, ההליך מעוכב עד למתן פסק הדין בערעורים שלפנינו.</w:t>
      </w:r>
    </w:p>
    <w:p w:rsidR="00CF54A5" w:rsidRDefault="00CF54A5" w:rsidP="00CF54A5">
      <w:pPr>
        <w:pStyle w:val="Ruller41"/>
        <w:rPr>
          <w:rtl/>
        </w:rPr>
      </w:pPr>
    </w:p>
    <w:p w:rsidR="00CF54A5" w:rsidRPr="00D113F6" w:rsidRDefault="00CF54A5" w:rsidP="00CF54A5">
      <w:pPr>
        <w:pStyle w:val="Ruller41"/>
        <w:rPr>
          <w:rFonts w:ascii="Century" w:hAnsi="Century" w:cs="Miriam"/>
          <w:b/>
          <w:spacing w:val="0"/>
          <w:szCs w:val="24"/>
          <w:rtl/>
        </w:rPr>
      </w:pPr>
      <w:r w:rsidRPr="00D113F6">
        <w:rPr>
          <w:rFonts w:ascii="Century" w:hAnsi="Century" w:cs="Miriam" w:hint="cs"/>
          <w:b/>
          <w:spacing w:val="0"/>
          <w:szCs w:val="24"/>
          <w:rtl/>
        </w:rPr>
        <w:t xml:space="preserve">טענות </w:t>
      </w:r>
      <w:proofErr w:type="spellStart"/>
      <w:r>
        <w:rPr>
          <w:rFonts w:ascii="Century" w:hAnsi="Century" w:cs="Miriam" w:hint="cs"/>
          <w:b/>
          <w:spacing w:val="0"/>
          <w:szCs w:val="24"/>
          <w:rtl/>
        </w:rPr>
        <w:t>הנישומות</w:t>
      </w:r>
      <w:proofErr w:type="spellEnd"/>
    </w:p>
    <w:p w:rsidR="00CF54A5" w:rsidRDefault="00CF54A5" w:rsidP="00CF54A5">
      <w:pPr>
        <w:pStyle w:val="Ruller41"/>
        <w:rPr>
          <w:rtl/>
        </w:rPr>
      </w:pPr>
    </w:p>
    <w:p w:rsidR="00CF54A5" w:rsidRDefault="00CF54A5" w:rsidP="00CF54A5">
      <w:pPr>
        <w:pStyle w:val="Ruller4"/>
        <w:rPr>
          <w:rtl/>
        </w:rPr>
      </w:pPr>
      <w:r>
        <w:rPr>
          <w:rFonts w:hint="cs"/>
          <w:rtl/>
        </w:rPr>
        <w:t xml:space="preserve">בפתח ערעורן (שהוגש במסגרת ע"א 3129/19) מדגישות ארבע </w:t>
      </w:r>
      <w:proofErr w:type="spellStart"/>
      <w:r>
        <w:rPr>
          <w:rFonts w:hint="cs"/>
          <w:rtl/>
        </w:rPr>
        <w:t>מהנישומות</w:t>
      </w:r>
      <w:proofErr w:type="spellEnd"/>
      <w:r>
        <w:rPr>
          <w:rFonts w:hint="cs"/>
          <w:rtl/>
        </w:rPr>
        <w:t xml:space="preserve"> המיוצגות יחדיו </w:t>
      </w:r>
      <w:r>
        <w:rPr>
          <w:rtl/>
        </w:rPr>
        <w:t>–</w:t>
      </w:r>
      <w:r>
        <w:rPr>
          <w:rFonts w:hint="cs"/>
          <w:rtl/>
        </w:rPr>
        <w:t xml:space="preserve"> חברת </w:t>
      </w:r>
      <w:proofErr w:type="spellStart"/>
      <w:r>
        <w:rPr>
          <w:rFonts w:hint="cs"/>
          <w:rtl/>
        </w:rPr>
        <w:t>זנלכל</w:t>
      </w:r>
      <w:proofErr w:type="spellEnd"/>
      <w:r>
        <w:rPr>
          <w:rFonts w:hint="cs"/>
          <w:rtl/>
        </w:rPr>
        <w:t xml:space="preserve">, חברת מדי ורד בע"מ, חברת </w:t>
      </w:r>
      <w:proofErr w:type="spellStart"/>
      <w:r>
        <w:rPr>
          <w:rFonts w:hint="cs"/>
          <w:rtl/>
        </w:rPr>
        <w:t>דלידג</w:t>
      </w:r>
      <w:proofErr w:type="spellEnd"/>
      <w:r>
        <w:rPr>
          <w:rFonts w:hint="cs"/>
          <w:rtl/>
        </w:rPr>
        <w:t xml:space="preserve"> בע"מ וחברת </w:t>
      </w:r>
      <w:proofErr w:type="spellStart"/>
      <w:r>
        <w:rPr>
          <w:rFonts w:hint="cs"/>
          <w:rtl/>
        </w:rPr>
        <w:t>סובחי</w:t>
      </w:r>
      <w:proofErr w:type="spellEnd"/>
      <w:r>
        <w:rPr>
          <w:rFonts w:hint="cs"/>
          <w:rtl/>
        </w:rPr>
        <w:t xml:space="preserve"> </w:t>
      </w:r>
      <w:proofErr w:type="spellStart"/>
      <w:r>
        <w:rPr>
          <w:rFonts w:hint="cs"/>
          <w:rtl/>
        </w:rPr>
        <w:t>נח'לה</w:t>
      </w:r>
      <w:proofErr w:type="spellEnd"/>
      <w:r>
        <w:rPr>
          <w:rFonts w:hint="cs"/>
          <w:rtl/>
        </w:rPr>
        <w:t xml:space="preserve"> ובניו בע"מ (להלן, יחדיו: </w:t>
      </w:r>
      <w:r>
        <w:rPr>
          <w:rFonts w:ascii="Century" w:hAnsi="Century" w:cs="Miriam" w:hint="cs"/>
          <w:b/>
          <w:spacing w:val="0"/>
          <w:sz w:val="22"/>
          <w:szCs w:val="24"/>
          <w:rtl/>
        </w:rPr>
        <w:t xml:space="preserve">ארבע </w:t>
      </w:r>
      <w:proofErr w:type="spellStart"/>
      <w:r w:rsidRPr="00451704">
        <w:rPr>
          <w:rFonts w:ascii="Century" w:hAnsi="Century" w:cs="Miriam" w:hint="cs"/>
          <w:b/>
          <w:spacing w:val="0"/>
          <w:sz w:val="22"/>
          <w:szCs w:val="24"/>
          <w:rtl/>
        </w:rPr>
        <w:t>הנישומות</w:t>
      </w:r>
      <w:proofErr w:type="spellEnd"/>
      <w:r>
        <w:rPr>
          <w:rFonts w:hint="cs"/>
          <w:rtl/>
        </w:rPr>
        <w:t xml:space="preserve">) </w:t>
      </w:r>
      <w:r>
        <w:rPr>
          <w:rtl/>
        </w:rPr>
        <w:t>–</w:t>
      </w:r>
      <w:r>
        <w:rPr>
          <w:rFonts w:hint="cs"/>
          <w:rtl/>
        </w:rPr>
        <w:t xml:space="preserve"> כי טענתן לפיה חלופת המכיר</w:t>
      </w:r>
      <w:r w:rsidR="00560EBD">
        <w:rPr>
          <w:rFonts w:hint="cs"/>
          <w:rtl/>
        </w:rPr>
        <w:t>ה</w:t>
      </w:r>
      <w:r>
        <w:rPr>
          <w:rFonts w:hint="cs"/>
          <w:rtl/>
        </w:rPr>
        <w:t xml:space="preserve"> לשוק גדול הקבועה בסעיף 18א(ג)(1)(ג) לחוק עידוד השקעות אינה מוגבלת </w:t>
      </w:r>
      <w:r>
        <w:rPr>
          <w:rFonts w:hint="cs"/>
          <w:rtl/>
        </w:rPr>
        <w:lastRenderedPageBreak/>
        <w:t xml:space="preserve">להכנסות שמקורן בייצוא לשוק זר בלבד, קרי </w:t>
      </w:r>
      <w:r>
        <w:rPr>
          <w:rtl/>
        </w:rPr>
        <w:t>–</w:t>
      </w:r>
      <w:r>
        <w:rPr>
          <w:rFonts w:hint="cs"/>
          <w:rtl/>
        </w:rPr>
        <w:t xml:space="preserve"> אין לקרוא לתוך הוראת החוק </w:t>
      </w:r>
      <w:proofErr w:type="spellStart"/>
      <w:r>
        <w:rPr>
          <w:rFonts w:hint="cs"/>
          <w:rtl/>
        </w:rPr>
        <w:t>תניית</w:t>
      </w:r>
      <w:proofErr w:type="spellEnd"/>
      <w:r>
        <w:rPr>
          <w:rFonts w:hint="cs"/>
          <w:rtl/>
        </w:rPr>
        <w:t xml:space="preserve"> ייצוא </w:t>
      </w:r>
      <w:r>
        <w:rPr>
          <w:rtl/>
        </w:rPr>
        <w:t>–</w:t>
      </w:r>
      <w:r>
        <w:rPr>
          <w:rFonts w:hint="cs"/>
          <w:rtl/>
        </w:rPr>
        <w:t xml:space="preserve"> התקבלה במלואה על ידי בית משפט קמא, ומפנות הן לנימוקיו בעניין זה. </w:t>
      </w:r>
    </w:p>
    <w:p w:rsidR="00CF54A5" w:rsidRDefault="00CF54A5" w:rsidP="00CF54A5">
      <w:pPr>
        <w:pStyle w:val="Ruller41"/>
        <w:rPr>
          <w:rtl/>
        </w:rPr>
      </w:pPr>
    </w:p>
    <w:p w:rsidR="00CF54A5" w:rsidRPr="0002664C" w:rsidRDefault="00CF54A5" w:rsidP="00CF54A5">
      <w:pPr>
        <w:pStyle w:val="Ruller4"/>
        <w:rPr>
          <w:rtl/>
        </w:rPr>
      </w:pPr>
      <w:r>
        <w:rPr>
          <w:rFonts w:hint="cs"/>
          <w:rtl/>
        </w:rPr>
        <w:t xml:space="preserve">אשר לקריטריון גודל השוק, ארבע </w:t>
      </w:r>
      <w:proofErr w:type="spellStart"/>
      <w:r>
        <w:rPr>
          <w:rFonts w:hint="cs"/>
          <w:rtl/>
        </w:rPr>
        <w:t>הנישומות</w:t>
      </w:r>
      <w:proofErr w:type="spellEnd"/>
      <w:r>
        <w:rPr>
          <w:rFonts w:hint="cs"/>
          <w:rtl/>
        </w:rPr>
        <w:t xml:space="preserve"> מלינות על קביעות בית משפט קמא, הן לעניין שנת 2011 והן לעניין שנת 2012. בכל הנוגע לשנת 2011, טוענות ארבע </w:t>
      </w:r>
      <w:proofErr w:type="spellStart"/>
      <w:r>
        <w:rPr>
          <w:rFonts w:hint="cs"/>
          <w:rtl/>
        </w:rPr>
        <w:t>הנישומות</w:t>
      </w:r>
      <w:proofErr w:type="spellEnd"/>
      <w:r>
        <w:rPr>
          <w:rFonts w:hint="cs"/>
          <w:rtl/>
        </w:rPr>
        <w:t xml:space="preserve"> כי בית משפט קמא לא הכריע במחלוקת הדמוגרפית העובדתית </w:t>
      </w:r>
      <w:r>
        <w:rPr>
          <w:rtl/>
        </w:rPr>
        <w:t>–</w:t>
      </w:r>
      <w:r>
        <w:rPr>
          <w:rFonts w:hint="cs"/>
          <w:rtl/>
        </w:rPr>
        <w:t xml:space="preserve"> מהו המועד בו חצה השוק הישראלי את רף 12 מיליון התושבים </w:t>
      </w:r>
      <w:r>
        <w:rPr>
          <w:rtl/>
        </w:rPr>
        <w:t>–</w:t>
      </w:r>
      <w:r>
        <w:rPr>
          <w:rFonts w:hint="cs"/>
          <w:rtl/>
        </w:rPr>
        <w:t xml:space="preserve"> באשר סבר בטעות כי </w:t>
      </w:r>
      <w:proofErr w:type="spellStart"/>
      <w:r>
        <w:rPr>
          <w:rFonts w:hint="cs"/>
          <w:rtl/>
        </w:rPr>
        <w:t>הנישומות</w:t>
      </w:r>
      <w:proofErr w:type="spellEnd"/>
      <w:r>
        <w:rPr>
          <w:rFonts w:hint="cs"/>
          <w:rtl/>
        </w:rPr>
        <w:t xml:space="preserve"> מכירות בכך שהשוק הישראלי מנה 12 מיליון תושבים רק במהלך שנת 2011, בעוד לטענתן הדבר אירע במחצית שנת 2010, ולכל המאוחר בראשית שנת 2011. ממילא, נטען כי שגה בית משפט קמא כאשר קבע כי המועד לבחינת גודל השוק הוא לאורך כל שנת המס. לשיטתן, המועד הקובע הוא מועד המכירה, ובהינתן ש-25% ממכירותיהן של </w:t>
      </w:r>
      <w:proofErr w:type="spellStart"/>
      <w:r>
        <w:rPr>
          <w:rFonts w:hint="cs"/>
          <w:rtl/>
        </w:rPr>
        <w:t>הנישומות</w:t>
      </w:r>
      <w:proofErr w:type="spellEnd"/>
      <w:r>
        <w:rPr>
          <w:rFonts w:hint="cs"/>
          <w:rtl/>
        </w:rPr>
        <w:t xml:space="preserve"> התבצעו במהלך הרבעון האחרון של שנת 2011, שאז גם לפי קביעת בית משפט קמא מנה השוק הישראלי למעלה מ-12 מיליון תושבים, הרי שהן עומדות בקריטריון גודל השוק. כן טוענות ארבע </w:t>
      </w:r>
      <w:proofErr w:type="spellStart"/>
      <w:r>
        <w:rPr>
          <w:rFonts w:hint="cs"/>
          <w:rtl/>
        </w:rPr>
        <w:t>הנישומות</w:t>
      </w:r>
      <w:proofErr w:type="spellEnd"/>
      <w:r>
        <w:rPr>
          <w:rFonts w:hint="cs"/>
          <w:rtl/>
        </w:rPr>
        <w:t xml:space="preserve"> כי מדידת גודל השוק במועד המכירה אינה מגלה קושי מעשי, בעוד הדרישה למדידה לאורך כל שנת המס איננה מקדמת יעילות או ודאות, וכי רשות המיסים הייתה יכולה להסיר את אי הוודאות ולמנוע מחלוקות באמצעות פרסום גודל השווקים בעולם שמתעורר לגביהם ספק, כפי שהיא עושה זאת בהקשרים אחרים, בפרט כאשר מדובר במספר מדינות מועט שגודלן נסוב סביב 12 מיליון תושבים (ואשר לגביהן יכולה להתעורר מחלוקת). זאת ועוד, אף אם יש מקום לקבוע מועד קשיח לבחינת גודל השוק, אין כל יתרון בהעדפת ראשיתה של שנת המס על פני סופה, וכי קביעת תום שנת המס כמועד הקובע, בדומה להוראות אחרות המתעדכנות בתום שנת המס </w:t>
      </w:r>
      <w:r>
        <w:rPr>
          <w:rtl/>
        </w:rPr>
        <w:t>–</w:t>
      </w:r>
      <w:r>
        <w:rPr>
          <w:rFonts w:hint="cs"/>
          <w:rtl/>
        </w:rPr>
        <w:t xml:space="preserve"> היא עדיפה, בפרט כשמדובר בנתון חיצוני כשלצדדים אין כל השפעה עליו. לחלופין, נטען כי יש למדוד את גודל השוק במחצית שנת המס (אפשרות שנטען כי הועלתה גם על ידי פקידי השומה בהליך קמא), ולחלופי </w:t>
      </w:r>
      <w:proofErr w:type="spellStart"/>
      <w:r>
        <w:rPr>
          <w:rFonts w:hint="cs"/>
          <w:rtl/>
        </w:rPr>
        <w:t>חלופין</w:t>
      </w:r>
      <w:proofErr w:type="spellEnd"/>
      <w:r>
        <w:rPr>
          <w:rFonts w:hint="cs"/>
          <w:rtl/>
        </w:rPr>
        <w:t xml:space="preserve"> ניתן לקבוע כי הטבת המס תינתן באופן יחסי, בהתאם לתקופה בה חצה גודל השוק את הרף הנדרש.</w:t>
      </w:r>
    </w:p>
    <w:p w:rsidR="00CF54A5" w:rsidRDefault="00CF54A5" w:rsidP="00CF54A5">
      <w:pPr>
        <w:pStyle w:val="Ruller41"/>
        <w:rPr>
          <w:rtl/>
        </w:rPr>
      </w:pPr>
    </w:p>
    <w:p w:rsidR="00CF54A5" w:rsidRDefault="00CF54A5" w:rsidP="00CF54A5">
      <w:pPr>
        <w:pStyle w:val="Ruller4"/>
        <w:rPr>
          <w:rtl/>
        </w:rPr>
      </w:pPr>
      <w:r>
        <w:rPr>
          <w:rFonts w:hint="cs"/>
          <w:rtl/>
        </w:rPr>
        <w:t xml:space="preserve">אשר לשנת 2012, ארבע </w:t>
      </w:r>
      <w:proofErr w:type="spellStart"/>
      <w:r>
        <w:rPr>
          <w:rFonts w:hint="cs"/>
          <w:rtl/>
        </w:rPr>
        <w:t>הנישומות</w:t>
      </w:r>
      <w:proofErr w:type="spellEnd"/>
      <w:r>
        <w:rPr>
          <w:rFonts w:hint="cs"/>
          <w:rtl/>
        </w:rPr>
        <w:t xml:space="preserve"> גורסות כי אין חולק שבשנה זו מנה השוק הישראלי מעל ל-12 מיליון תושבים, באופן שמגבש את זכאותן להטבת המס, וכי ההוראה הרטרואקטיבית שנקבעה בתיקון מס' 70, המשנה </w:t>
      </w:r>
      <w:r w:rsidRPr="00FC71C2">
        <w:rPr>
          <w:rFonts w:hint="cs"/>
          <w:rtl/>
        </w:rPr>
        <w:t>מזכאותן</w:t>
      </w:r>
      <w:r>
        <w:rPr>
          <w:rFonts w:hint="cs"/>
          <w:rtl/>
        </w:rPr>
        <w:t xml:space="preserve"> למפרע</w:t>
      </w:r>
      <w:r w:rsidRPr="00FC71C2">
        <w:rPr>
          <w:rFonts w:hint="cs"/>
          <w:rtl/>
        </w:rPr>
        <w:t>, היא חסרת תקדים ואינה חוקתית</w:t>
      </w:r>
      <w:r>
        <w:rPr>
          <w:rFonts w:hint="cs"/>
          <w:rtl/>
        </w:rPr>
        <w:t>,</w:t>
      </w:r>
      <w:r w:rsidRPr="00FC71C2">
        <w:rPr>
          <w:rFonts w:hint="cs"/>
          <w:rtl/>
        </w:rPr>
        <w:t xml:space="preserve"> ו</w:t>
      </w:r>
      <w:r>
        <w:rPr>
          <w:rFonts w:hint="cs"/>
          <w:rtl/>
        </w:rPr>
        <w:t xml:space="preserve">על כן </w:t>
      </w:r>
      <w:r w:rsidRPr="00FC71C2">
        <w:rPr>
          <w:rFonts w:hint="cs"/>
          <w:rtl/>
        </w:rPr>
        <w:t>די</w:t>
      </w:r>
      <w:r>
        <w:rPr>
          <w:rFonts w:hint="cs"/>
          <w:rtl/>
        </w:rPr>
        <w:t xml:space="preserve">נה בטלות. בתוך כך, מונות ארבע </w:t>
      </w:r>
      <w:proofErr w:type="spellStart"/>
      <w:r>
        <w:rPr>
          <w:rFonts w:hint="cs"/>
          <w:rtl/>
        </w:rPr>
        <w:t>הנישומות</w:t>
      </w:r>
      <w:proofErr w:type="spellEnd"/>
      <w:r>
        <w:rPr>
          <w:rFonts w:hint="cs"/>
          <w:rtl/>
        </w:rPr>
        <w:t xml:space="preserve"> מספר פגמים שנפלו בחקיקת הוראה זו: </w:t>
      </w:r>
      <w:r w:rsidRPr="00AB34C1">
        <w:rPr>
          <w:rFonts w:ascii="Century" w:hAnsi="Century" w:cs="Miriam" w:hint="cs"/>
          <w:b/>
          <w:spacing w:val="0"/>
          <w:sz w:val="22"/>
          <w:szCs w:val="24"/>
          <w:rtl/>
        </w:rPr>
        <w:t>הפגם הראשון</w:t>
      </w:r>
      <w:r w:rsidRPr="00AB34C1">
        <w:rPr>
          <w:rFonts w:hint="cs"/>
          <w:rtl/>
        </w:rPr>
        <w:t xml:space="preserve"> </w:t>
      </w:r>
      <w:r>
        <w:rPr>
          <w:rFonts w:hint="cs"/>
          <w:rtl/>
        </w:rPr>
        <w:t xml:space="preserve">עניינו בכך שהכנסת אישרה, באופן מודע, חקיקה אשר סותרת את התחייבויותיה של המדינה במסגרת הסכמי הסחר עליהם </w:t>
      </w:r>
      <w:r>
        <w:rPr>
          <w:rFonts w:hint="cs"/>
          <w:rtl/>
        </w:rPr>
        <w:lastRenderedPageBreak/>
        <w:t xml:space="preserve">חתמה עם מדינות העולם, </w:t>
      </w:r>
      <w:r w:rsidRPr="00181E2C">
        <w:rPr>
          <w:rFonts w:hint="cs"/>
          <w:rtl/>
        </w:rPr>
        <w:t>ותוך הטעיית אותן מדינות</w:t>
      </w:r>
      <w:r>
        <w:rPr>
          <w:rFonts w:hint="cs"/>
          <w:rtl/>
        </w:rPr>
        <w:t xml:space="preserve"> (דהיינו, במקום להתנות את הטבת המס בתנאי ייצוא באופן מפורש, הותנתה ההטבה במכירות לשוק המונה אוכלוסיית תושבים העולה על זו שבשוק המקומי); </w:t>
      </w:r>
      <w:r w:rsidRPr="00AB34C1">
        <w:rPr>
          <w:rFonts w:ascii="Century" w:hAnsi="Century" w:cs="Miriam" w:hint="cs"/>
          <w:b/>
          <w:spacing w:val="0"/>
          <w:sz w:val="22"/>
          <w:szCs w:val="24"/>
          <w:rtl/>
        </w:rPr>
        <w:t>הפגם השני</w:t>
      </w:r>
      <w:r w:rsidRPr="00AB34C1">
        <w:rPr>
          <w:rFonts w:hint="cs"/>
          <w:rtl/>
        </w:rPr>
        <w:t xml:space="preserve"> </w:t>
      </w:r>
      <w:r>
        <w:rPr>
          <w:rFonts w:hint="cs"/>
          <w:rtl/>
        </w:rPr>
        <w:t xml:space="preserve">עניינו בטענה כי הממשלה והכנסת אישרו, שלא במודע ובהתבסס על חוות דעת משפטית שגויה ומטעה שהוצגה להן, חקיקה רטרואקטיבית המשנה את המצב המשפטי הקיים תוך פגיעה בנישומים, ובכלל זאת </w:t>
      </w:r>
      <w:proofErr w:type="spellStart"/>
      <w:r>
        <w:rPr>
          <w:rFonts w:hint="cs"/>
          <w:rtl/>
        </w:rPr>
        <w:t>בנישומות</w:t>
      </w:r>
      <w:proofErr w:type="spellEnd"/>
      <w:r>
        <w:rPr>
          <w:rFonts w:hint="cs"/>
          <w:rtl/>
        </w:rPr>
        <w:t xml:space="preserve">, אשר היו זכאים להטבה בשנת 2012, והכול תחת ההנחה כי מדובר בתיקון מבהיר, שאך נועד לשמר את המצב הקיים מבלי שיש גורמים הנפגעים מהתיקון לחוק. ההנחה המוטעית בבסיס חוות הדעת, כך על פי הטענה, הייתה כי חברות שמקור הכנסותיהן אינו מייצוא כלל אינן זכאיות להטבה, בעוד הוראת הסעיף הנדונה אינה כוללת תנאי </w:t>
      </w:r>
      <w:r w:rsidRPr="00FC71C2">
        <w:rPr>
          <w:rFonts w:hint="cs"/>
          <w:rtl/>
        </w:rPr>
        <w:t>כאמור;</w:t>
      </w:r>
      <w:r>
        <w:rPr>
          <w:rFonts w:hint="cs"/>
          <w:rtl/>
        </w:rPr>
        <w:t xml:space="preserve"> </w:t>
      </w:r>
      <w:r w:rsidRPr="00E106C6">
        <w:rPr>
          <w:rFonts w:ascii="Century" w:hAnsi="Century" w:cs="Miriam" w:hint="cs"/>
          <w:b/>
          <w:spacing w:val="0"/>
          <w:sz w:val="22"/>
          <w:szCs w:val="24"/>
          <w:rtl/>
        </w:rPr>
        <w:t>הפגם השלישי</w:t>
      </w:r>
      <w:r w:rsidRPr="001927A0">
        <w:rPr>
          <w:rFonts w:hint="cs"/>
          <w:rtl/>
        </w:rPr>
        <w:t xml:space="preserve"> </w:t>
      </w:r>
      <w:r>
        <w:rPr>
          <w:rFonts w:hint="cs"/>
          <w:rtl/>
        </w:rPr>
        <w:t xml:space="preserve">נוגע לטענה כי החקיקה מפלה בין יצרנים, על בסיס השוק בו הם פועלים, מבלי שהיא נשענת על </w:t>
      </w:r>
      <w:r w:rsidRPr="004E4284">
        <w:rPr>
          <w:rFonts w:hint="cs"/>
          <w:rtl/>
        </w:rPr>
        <w:t>הצדקה כלכלית</w:t>
      </w:r>
      <w:r>
        <w:rPr>
          <w:rFonts w:hint="cs"/>
          <w:rtl/>
        </w:rPr>
        <w:t xml:space="preserve"> של ממש ובאופן המזיק למשק הישראלי והפוגע בהגשמת מטרות החוק המפורשות, ובפרט המטרות של קידום התעסוקה ועידוד הפעילות בפריפריה, אותן מקדמות </w:t>
      </w:r>
      <w:proofErr w:type="spellStart"/>
      <w:r>
        <w:rPr>
          <w:rFonts w:hint="cs"/>
          <w:rtl/>
        </w:rPr>
        <w:t>הנישומות</w:t>
      </w:r>
      <w:proofErr w:type="spellEnd"/>
      <w:r>
        <w:rPr>
          <w:rFonts w:hint="cs"/>
          <w:rtl/>
        </w:rPr>
        <w:t xml:space="preserve"> בפעילותן; </w:t>
      </w:r>
      <w:r w:rsidRPr="00E106C6">
        <w:rPr>
          <w:rFonts w:ascii="Century" w:hAnsi="Century" w:cs="Miriam" w:hint="cs"/>
          <w:b/>
          <w:spacing w:val="0"/>
          <w:sz w:val="22"/>
          <w:szCs w:val="24"/>
          <w:rtl/>
        </w:rPr>
        <w:t>הפגם הרביעי</w:t>
      </w:r>
      <w:r w:rsidRPr="00AB7699">
        <w:rPr>
          <w:rFonts w:hint="cs"/>
          <w:rtl/>
        </w:rPr>
        <w:t xml:space="preserve"> </w:t>
      </w:r>
      <w:r>
        <w:rPr>
          <w:rFonts w:hint="cs"/>
          <w:rtl/>
        </w:rPr>
        <w:t xml:space="preserve">נוגע למצגים שהוצגו בפני הממשלה והכנסת בהליך החקיקה, כאשר טענת ארבע </w:t>
      </w:r>
      <w:proofErr w:type="spellStart"/>
      <w:r>
        <w:rPr>
          <w:rFonts w:hint="cs"/>
          <w:rtl/>
        </w:rPr>
        <w:t>הנישומות</w:t>
      </w:r>
      <w:proofErr w:type="spellEnd"/>
      <w:r>
        <w:rPr>
          <w:rFonts w:hint="cs"/>
          <w:rtl/>
        </w:rPr>
        <w:t xml:space="preserve"> היא כי ממצגים אלה הוחסרו נתונים ועובדות רבים הנדרשים לצורך קיום דיון ענייני. </w:t>
      </w:r>
    </w:p>
    <w:p w:rsidR="00CF54A5" w:rsidRDefault="00CF54A5" w:rsidP="00CF54A5">
      <w:pPr>
        <w:pStyle w:val="Ruller41"/>
        <w:rPr>
          <w:rtl/>
        </w:rPr>
      </w:pPr>
    </w:p>
    <w:p w:rsidR="00CF54A5" w:rsidRDefault="00CF54A5" w:rsidP="00CF54A5">
      <w:pPr>
        <w:pStyle w:val="Ruller41"/>
        <w:rPr>
          <w:rtl/>
        </w:rPr>
      </w:pPr>
      <w:r>
        <w:rPr>
          <w:rtl/>
        </w:rPr>
        <w:tab/>
      </w:r>
      <w:r>
        <w:rPr>
          <w:rFonts w:hint="cs"/>
          <w:rtl/>
        </w:rPr>
        <w:t xml:space="preserve">לטענת ארבע </w:t>
      </w:r>
      <w:proofErr w:type="spellStart"/>
      <w:r>
        <w:rPr>
          <w:rFonts w:hint="cs"/>
          <w:rtl/>
        </w:rPr>
        <w:t>הנישומות</w:t>
      </w:r>
      <w:proofErr w:type="spellEnd"/>
      <w:r w:rsidRPr="00431A78">
        <w:rPr>
          <w:rFonts w:hint="cs"/>
          <w:rtl/>
        </w:rPr>
        <w:t xml:space="preserve">, </w:t>
      </w:r>
      <w:r>
        <w:rPr>
          <w:rFonts w:hint="cs"/>
          <w:rtl/>
        </w:rPr>
        <w:t xml:space="preserve">בעוד שבית </w:t>
      </w:r>
      <w:r w:rsidRPr="00431A78">
        <w:rPr>
          <w:rFonts w:hint="cs"/>
          <w:rtl/>
        </w:rPr>
        <w:t>משפט קמא סבר כי יש בפגם הראשון כדי להביא לפסילת החקיקה, אך מצא כי אין להורות כן לאור הרצון למנוע גרעון מס, המהווה לגישתו תכלית ראויה כשלעצמה</w:t>
      </w:r>
      <w:r>
        <w:rPr>
          <w:rFonts w:hint="cs"/>
          <w:rtl/>
        </w:rPr>
        <w:t xml:space="preserve"> </w:t>
      </w:r>
      <w:r>
        <w:rPr>
          <w:rtl/>
        </w:rPr>
        <w:t>–</w:t>
      </w:r>
      <w:r w:rsidRPr="00431A78">
        <w:rPr>
          <w:rFonts w:hint="cs"/>
          <w:rtl/>
        </w:rPr>
        <w:t xml:space="preserve"> שילובם</w:t>
      </w:r>
      <w:r>
        <w:rPr>
          <w:rFonts w:hint="cs"/>
          <w:rtl/>
        </w:rPr>
        <w:t xml:space="preserve"> של כל הפגמים גם יחד מביא למסקנה כי מדובר בחקיקה פסולה שאינה משקפת תכלית ראויה, הנוגדת את ערכי המדינה ואשר הנזק הטמון בה עולה על תועלתה. כך במיוחד</w:t>
      </w:r>
      <w:r w:rsidR="00560EBD">
        <w:rPr>
          <w:rFonts w:hint="cs"/>
          <w:rtl/>
        </w:rPr>
        <w:t>,</w:t>
      </w:r>
      <w:r>
        <w:rPr>
          <w:rFonts w:hint="cs"/>
          <w:rtl/>
        </w:rPr>
        <w:t xml:space="preserve"> כאשר עסקינן בחקיקה רטרואקטיבית הפוגעת בקניין, שאז סטנדרט הביקורת השיפוטית הראוי הוא גבוה </w:t>
      </w:r>
      <w:r w:rsidRPr="009F32FB">
        <w:rPr>
          <w:rFonts w:hint="cs"/>
          <w:rtl/>
        </w:rPr>
        <w:t xml:space="preserve">יותר. בהקשר זה מבהירות ארבע </w:t>
      </w:r>
      <w:proofErr w:type="spellStart"/>
      <w:r w:rsidRPr="009F32FB">
        <w:rPr>
          <w:rFonts w:hint="cs"/>
          <w:rtl/>
        </w:rPr>
        <w:t>הנישומות</w:t>
      </w:r>
      <w:proofErr w:type="spellEnd"/>
      <w:r w:rsidRPr="009F32FB">
        <w:rPr>
          <w:rFonts w:hint="cs"/>
          <w:rtl/>
        </w:rPr>
        <w:t xml:space="preserve"> כי חקיקה רטרואקטיבית המתייחסת לשיעור המס הנגבה מהכנסה שכבר הופקה והתגבשה חבות המס בגינה, מהווה נטילה שלטונית, באשר משמעותה הגדלת חבות המס בדיעבד, ועל כן בפי</w:t>
      </w:r>
      <w:r>
        <w:rPr>
          <w:rFonts w:hint="cs"/>
          <w:rtl/>
        </w:rPr>
        <w:t xml:space="preserve"> ארבע </w:t>
      </w:r>
      <w:proofErr w:type="spellStart"/>
      <w:r>
        <w:rPr>
          <w:rFonts w:hint="cs"/>
          <w:rtl/>
        </w:rPr>
        <w:t>הנישומות</w:t>
      </w:r>
      <w:proofErr w:type="spellEnd"/>
      <w:r w:rsidRPr="009F32FB">
        <w:rPr>
          <w:rFonts w:hint="cs"/>
          <w:rtl/>
        </w:rPr>
        <w:t xml:space="preserve"> טענה לנטילת זכות ואין מדובר בטענת הסתמכות או ציפייה לזכות. עוד טוענות ארבע </w:t>
      </w:r>
      <w:proofErr w:type="spellStart"/>
      <w:r w:rsidRPr="009F32FB">
        <w:rPr>
          <w:rFonts w:hint="cs"/>
          <w:rtl/>
        </w:rPr>
        <w:t>הנישומות</w:t>
      </w:r>
      <w:proofErr w:type="spellEnd"/>
      <w:r>
        <w:rPr>
          <w:rFonts w:hint="cs"/>
          <w:rtl/>
        </w:rPr>
        <w:t xml:space="preserve"> כי שגה בית משפט קמא בהתבססו על התכלית לפיה הוראת התחולה הרטרואקטיבית נועדה להבטיח כי הטבת המס לא תינתן באופן נרחב. זאת, שכן ההשפעה של ביטול הוראת התחולה היא מצומצמת, ונוגעת למספר מועט של חברות שטענו לזכאות בזמן אמת, וממילא לא הוכח האומדן הכספי הכרוך בביטולה של הוראה זו, לא בפני חברי הכנסת בעת חקיקתה ולא בפני בית משפט קמא. ואולם, אפילו היה מקום להתבסס על תכלית זו, היה צורך לאזנה אל מול התכליות המשתקפות מחוק </w:t>
      </w:r>
      <w:r>
        <w:rPr>
          <w:rFonts w:hint="cs"/>
          <w:rtl/>
        </w:rPr>
        <w:lastRenderedPageBreak/>
        <w:t xml:space="preserve">עידוד השקעות אותן מקדמות </w:t>
      </w:r>
      <w:proofErr w:type="spellStart"/>
      <w:r>
        <w:rPr>
          <w:rFonts w:hint="cs"/>
          <w:rtl/>
        </w:rPr>
        <w:t>הנישומות</w:t>
      </w:r>
      <w:proofErr w:type="spellEnd"/>
      <w:r>
        <w:rPr>
          <w:rFonts w:hint="cs"/>
          <w:rtl/>
        </w:rPr>
        <w:t xml:space="preserve"> בפעילותן ואל מול הנזקים הכרוכים בחקיקה דנן (ובכלל זה הפרת הסכמי הסחר, הטעיית מדינות העולם ויצירת הסדר כלכלי מפלה ומזיק).</w:t>
      </w:r>
    </w:p>
    <w:p w:rsidR="00CF54A5" w:rsidRDefault="00CF54A5" w:rsidP="00CF54A5">
      <w:pPr>
        <w:pStyle w:val="Ruller41"/>
        <w:rPr>
          <w:rtl/>
        </w:rPr>
      </w:pPr>
    </w:p>
    <w:p w:rsidR="00CF54A5" w:rsidRDefault="00CF54A5" w:rsidP="00CF54A5">
      <w:pPr>
        <w:pStyle w:val="Ruller4"/>
        <w:rPr>
          <w:rtl/>
        </w:rPr>
      </w:pPr>
      <w:r>
        <w:rPr>
          <w:rFonts w:hint="cs"/>
          <w:rtl/>
        </w:rPr>
        <w:t xml:space="preserve">חברת </w:t>
      </w:r>
      <w:proofErr w:type="spellStart"/>
      <w:r>
        <w:rPr>
          <w:rFonts w:hint="cs"/>
          <w:rtl/>
        </w:rPr>
        <w:t>טופגאם</w:t>
      </w:r>
      <w:proofErr w:type="spellEnd"/>
      <w:r>
        <w:rPr>
          <w:rFonts w:hint="cs"/>
          <w:rtl/>
        </w:rPr>
        <w:t xml:space="preserve"> תעשיות ממתקים בע"מ (להלן: </w:t>
      </w:r>
      <w:r w:rsidRPr="00243341">
        <w:rPr>
          <w:rFonts w:ascii="Century" w:hAnsi="Century" w:cs="Miriam" w:hint="cs"/>
          <w:b/>
          <w:spacing w:val="0"/>
          <w:sz w:val="22"/>
          <w:szCs w:val="24"/>
          <w:rtl/>
        </w:rPr>
        <w:t xml:space="preserve">חברת </w:t>
      </w:r>
      <w:proofErr w:type="spellStart"/>
      <w:r w:rsidRPr="00243341">
        <w:rPr>
          <w:rFonts w:ascii="Century" w:hAnsi="Century" w:cs="Miriam" w:hint="cs"/>
          <w:b/>
          <w:spacing w:val="0"/>
          <w:sz w:val="22"/>
          <w:szCs w:val="24"/>
          <w:rtl/>
        </w:rPr>
        <w:t>טופגאם</w:t>
      </w:r>
      <w:proofErr w:type="spellEnd"/>
      <w:r>
        <w:rPr>
          <w:rFonts w:hint="cs"/>
          <w:rtl/>
        </w:rPr>
        <w:t xml:space="preserve">), אשר הגישה את ערעורה בנפרד (במסגרת ע"א 3138/19), סבורה אף היא כי יש לקבל את הערעורים, ומעלה טענות דומות (ואף זהות) לאלו שהועלו על ידי ארבע </w:t>
      </w:r>
      <w:proofErr w:type="spellStart"/>
      <w:r>
        <w:rPr>
          <w:rFonts w:hint="cs"/>
          <w:rtl/>
        </w:rPr>
        <w:t>הנישומות</w:t>
      </w:r>
      <w:proofErr w:type="spellEnd"/>
      <w:r>
        <w:rPr>
          <w:rFonts w:hint="cs"/>
          <w:rtl/>
        </w:rPr>
        <w:t xml:space="preserve"> (לעיל ולהלן, יכונו חברת </w:t>
      </w:r>
      <w:proofErr w:type="spellStart"/>
      <w:r>
        <w:rPr>
          <w:rFonts w:hint="cs"/>
          <w:rtl/>
        </w:rPr>
        <w:t>טופגאם</w:t>
      </w:r>
      <w:proofErr w:type="spellEnd"/>
      <w:r>
        <w:rPr>
          <w:rFonts w:hint="cs"/>
          <w:rtl/>
        </w:rPr>
        <w:t xml:space="preserve"> וארבע </w:t>
      </w:r>
      <w:proofErr w:type="spellStart"/>
      <w:r>
        <w:rPr>
          <w:rFonts w:hint="cs"/>
          <w:rtl/>
        </w:rPr>
        <w:t>הנישומות</w:t>
      </w:r>
      <w:proofErr w:type="spellEnd"/>
      <w:r>
        <w:rPr>
          <w:rFonts w:hint="cs"/>
          <w:rtl/>
        </w:rPr>
        <w:t xml:space="preserve">: </w:t>
      </w:r>
      <w:proofErr w:type="spellStart"/>
      <w:r w:rsidRPr="00AA20E7">
        <w:rPr>
          <w:rFonts w:ascii="Century" w:hAnsi="Century" w:cs="Miriam" w:hint="cs"/>
          <w:b/>
          <w:spacing w:val="0"/>
          <w:sz w:val="22"/>
          <w:szCs w:val="24"/>
          <w:rtl/>
        </w:rPr>
        <w:t>הנישומות</w:t>
      </w:r>
      <w:proofErr w:type="spellEnd"/>
      <w:r>
        <w:rPr>
          <w:rFonts w:hint="cs"/>
          <w:rtl/>
        </w:rPr>
        <w:t xml:space="preserve"> או </w:t>
      </w:r>
      <w:r w:rsidRPr="00422E39">
        <w:rPr>
          <w:rFonts w:ascii="Century" w:hAnsi="Century" w:cs="Miriam" w:hint="cs"/>
          <w:b/>
          <w:spacing w:val="0"/>
          <w:sz w:val="22"/>
          <w:szCs w:val="24"/>
          <w:rtl/>
        </w:rPr>
        <w:t>המערערות</w:t>
      </w:r>
      <w:r>
        <w:rPr>
          <w:rFonts w:hint="cs"/>
          <w:rtl/>
        </w:rPr>
        <w:t xml:space="preserve">). לצד זאת, חברת </w:t>
      </w:r>
      <w:proofErr w:type="spellStart"/>
      <w:r>
        <w:rPr>
          <w:rFonts w:hint="cs"/>
          <w:rtl/>
        </w:rPr>
        <w:t>טופגאם</w:t>
      </w:r>
      <w:proofErr w:type="spellEnd"/>
      <w:r>
        <w:rPr>
          <w:rFonts w:hint="cs"/>
          <w:rtl/>
        </w:rPr>
        <w:t xml:space="preserve"> מדגישה כי לשיטתה המועד הקובע לבחינת גודל השוק הוא סוף שנת המס, בהינתן שעל דרך הכלל הבחינה על פי הפקודה והחוק נעשית בסוף השנה, ומשום שמדובר במועד הפרקטי ביותר, בעוד קביעת בית משפט קמא לפיה יש לעמוד בקריטריון גודל השוק בכל יום ויום במהלך שנת המס נעדרת עיגון חקיקתי מינימאלי. עוד טוענת חברת </w:t>
      </w:r>
      <w:proofErr w:type="spellStart"/>
      <w:r>
        <w:rPr>
          <w:rFonts w:hint="cs"/>
          <w:rtl/>
        </w:rPr>
        <w:t>טופגאם</w:t>
      </w:r>
      <w:proofErr w:type="spellEnd"/>
      <w:r>
        <w:rPr>
          <w:rFonts w:hint="cs"/>
          <w:rtl/>
        </w:rPr>
        <w:t xml:space="preserve"> כי הפגיעה שעלולה להיגרם לאוצר המדינה מביטול הוראת התחולה שבתיקון מס' 70 אינה מקימה הצדקה לסטות מהדין, והדברים אמורים ביתר שאת כאשר מדובר בחוקי עידוד שמטרתם לקדם סדר עדיפויות מסוים, באופן שלא אמור להיות מושפע, לשיטתה, משיקולי תקציב. לבסוף, חברת </w:t>
      </w:r>
      <w:proofErr w:type="spellStart"/>
      <w:r>
        <w:rPr>
          <w:rFonts w:hint="cs"/>
          <w:rtl/>
        </w:rPr>
        <w:t>טופגאם</w:t>
      </w:r>
      <w:proofErr w:type="spellEnd"/>
      <w:r>
        <w:rPr>
          <w:rFonts w:hint="cs"/>
          <w:rtl/>
        </w:rPr>
        <w:t xml:space="preserve"> גורסת כי גם אם לא מתקיימים בעניינה התנאים הקבועים בסעיף 18א(ג)(1) לחוק, באף אחת מהחלופות, הרי שעדיין קמה הצדקה להכיר בה כמפעל תעשייתי "בר-תחרות" נוכח פעילותה באזור פיתוח והתחרות עמה היא מתמודדת מול חברות המייבאות מחו"ל.</w:t>
      </w:r>
    </w:p>
    <w:p w:rsidR="00CF54A5" w:rsidRDefault="00CF54A5" w:rsidP="00CF54A5">
      <w:pPr>
        <w:pStyle w:val="Ruller41"/>
        <w:rPr>
          <w:rtl/>
        </w:rPr>
      </w:pPr>
    </w:p>
    <w:p w:rsidR="00CF54A5" w:rsidRPr="00D113F6" w:rsidRDefault="00CF54A5" w:rsidP="00CF54A5">
      <w:pPr>
        <w:pStyle w:val="Ruller41"/>
        <w:rPr>
          <w:rFonts w:ascii="Century" w:hAnsi="Century" w:cs="Miriam"/>
          <w:b/>
          <w:spacing w:val="0"/>
          <w:szCs w:val="24"/>
          <w:rtl/>
        </w:rPr>
      </w:pPr>
      <w:r w:rsidRPr="00D113F6">
        <w:rPr>
          <w:rFonts w:ascii="Century" w:hAnsi="Century" w:cs="Miriam" w:hint="cs"/>
          <w:b/>
          <w:spacing w:val="0"/>
          <w:szCs w:val="24"/>
          <w:rtl/>
        </w:rPr>
        <w:t xml:space="preserve">טענות </w:t>
      </w:r>
      <w:r>
        <w:rPr>
          <w:rFonts w:ascii="Century" w:hAnsi="Century" w:cs="Miriam" w:hint="cs"/>
          <w:b/>
          <w:spacing w:val="0"/>
          <w:szCs w:val="24"/>
          <w:rtl/>
        </w:rPr>
        <w:t>פקידי השומה</w:t>
      </w:r>
    </w:p>
    <w:p w:rsidR="00CF54A5" w:rsidRDefault="00CF54A5" w:rsidP="00CF54A5">
      <w:pPr>
        <w:pStyle w:val="Ruller41"/>
        <w:rPr>
          <w:rtl/>
        </w:rPr>
      </w:pPr>
    </w:p>
    <w:p w:rsidR="00CF54A5" w:rsidRDefault="00CF54A5" w:rsidP="00CF54A5">
      <w:pPr>
        <w:pStyle w:val="Ruller4"/>
        <w:rPr>
          <w:rtl/>
        </w:rPr>
      </w:pPr>
      <w:r>
        <w:rPr>
          <w:rFonts w:hint="cs"/>
          <w:rtl/>
        </w:rPr>
        <w:t xml:space="preserve">פקידי השומה, מנגד, סבורים כי דין הערעורים להידחות, וזאת מן הטעם העיקרי שהטבת המס הנדונה חלה רק על מכירות לשווקים זרים (וזאת, בשונה מקביעתו של בית משפט קמא בעניין זה), בעוד שאין חולק כי </w:t>
      </w:r>
      <w:proofErr w:type="spellStart"/>
      <w:r>
        <w:rPr>
          <w:rFonts w:hint="cs"/>
          <w:rtl/>
        </w:rPr>
        <w:t>הנישומות</w:t>
      </w:r>
      <w:proofErr w:type="spellEnd"/>
      <w:r>
        <w:rPr>
          <w:rFonts w:hint="cs"/>
          <w:rtl/>
        </w:rPr>
        <w:t xml:space="preserve"> אינן עומדות בתנאי זה. לטענתם, מאז נחקק תיקון מס' 60, במסגרתו נוספה הגדרת מפעל תעשייתי "בר-תחרות", היה ברור לכול </w:t>
      </w:r>
      <w:r>
        <w:rPr>
          <w:rtl/>
        </w:rPr>
        <w:t>–</w:t>
      </w:r>
      <w:r>
        <w:rPr>
          <w:rFonts w:hint="cs"/>
          <w:rtl/>
        </w:rPr>
        <w:t xml:space="preserve"> למחוקק, לרשות המיסים, לנישומים ולמייצגים כאחד </w:t>
      </w:r>
      <w:r>
        <w:rPr>
          <w:rtl/>
        </w:rPr>
        <w:t>–</w:t>
      </w:r>
      <w:r>
        <w:rPr>
          <w:rFonts w:hint="cs"/>
          <w:rtl/>
        </w:rPr>
        <w:t xml:space="preserve"> כי הטבת המס מיועדת לחברות הפועלות בשווקים הזרים בלבד, וכי פרשנות </w:t>
      </w:r>
      <w:proofErr w:type="spellStart"/>
      <w:r>
        <w:rPr>
          <w:rFonts w:hint="cs"/>
          <w:rtl/>
        </w:rPr>
        <w:t>הנישומות</w:t>
      </w:r>
      <w:proofErr w:type="spellEnd"/>
      <w:r>
        <w:rPr>
          <w:rFonts w:hint="cs"/>
          <w:rtl/>
        </w:rPr>
        <w:t xml:space="preserve"> לפיה הטבת המס מכוונת גם למכירה בשוק הישראלי מנוגדת ללשון הוראות חוק עידוד השקעות, לתכלית העומדת בבסיסן ולהיסטוריה החקיקתית שלהן. </w:t>
      </w:r>
    </w:p>
    <w:p w:rsidR="00CF54A5" w:rsidRDefault="00CF54A5" w:rsidP="00CF54A5">
      <w:pPr>
        <w:pStyle w:val="Ruller41"/>
        <w:rPr>
          <w:rtl/>
        </w:rPr>
      </w:pPr>
    </w:p>
    <w:p w:rsidR="00CF54A5" w:rsidRDefault="00CF54A5" w:rsidP="00CF54A5">
      <w:pPr>
        <w:pStyle w:val="Ruller4"/>
        <w:rPr>
          <w:rtl/>
        </w:rPr>
      </w:pPr>
      <w:r>
        <w:rPr>
          <w:rFonts w:hint="cs"/>
          <w:rtl/>
        </w:rPr>
        <w:t>מן הבחינה הלשונית, טוענים פקידי השומה כי המטרה היחידה מבין מטרות חוק עידוד השקעות העוסקת בתחרות ואשר רלוונטית להטבת המס הנדונה היא "</w:t>
      </w:r>
      <w:r w:rsidRPr="00A721E6">
        <w:rPr>
          <w:rFonts w:ascii="Century" w:hAnsi="Century" w:cs="Miriam" w:hint="cs"/>
          <w:b/>
          <w:spacing w:val="0"/>
          <w:sz w:val="22"/>
          <w:szCs w:val="24"/>
          <w:rtl/>
        </w:rPr>
        <w:t xml:space="preserve">שיפור </w:t>
      </w:r>
      <w:r w:rsidRPr="00A721E6">
        <w:rPr>
          <w:rFonts w:ascii="Century" w:hAnsi="Century" w:cs="Miriam" w:hint="cs"/>
          <w:b/>
          <w:spacing w:val="0"/>
          <w:sz w:val="22"/>
          <w:szCs w:val="24"/>
          <w:rtl/>
        </w:rPr>
        <w:lastRenderedPageBreak/>
        <w:t>יכולתו של המגזר להתמודד בתנאי תחרות בשווקים בין-לאומיים</w:t>
      </w:r>
      <w:r>
        <w:rPr>
          <w:rFonts w:hint="cs"/>
          <w:rtl/>
        </w:rPr>
        <w:t>" (סעיף 1(2) לחוק), ועל כן קביעת המתחם הלשוני צריכה להיעשות בשים לב למטרה זו. לכך מוסיפים פקידי השומה כי בחינת לשונה של חלופת המכירה לשוק גדול, בה עוסקים הערעורים דנן, על רקע שתי החלופות האחרות הקבועות בסעיף 18א(ג)(1) לחוק (ובפרט החלופה השנייה שבסעיף 18א(ג)(1)(ב)</w:t>
      </w:r>
      <w:r w:rsidR="006071E7">
        <w:rPr>
          <w:rFonts w:hint="cs"/>
          <w:rtl/>
        </w:rPr>
        <w:t xml:space="preserve"> לחוק</w:t>
      </w:r>
      <w:r>
        <w:rPr>
          <w:rFonts w:hint="cs"/>
          <w:rtl/>
        </w:rPr>
        <w:t xml:space="preserve">), מלמדת כי החלתה על השוק הישראלי היא פשטנית מדי ולוקה בחסר. זאת, שכן, החלופות השנייה והשלישית מתכתבות זו עם זו, במובן הזה שהחלופה השלישית מכוונת למפעלים אשר אינם עומדים בתנאיה של החלופה השנייה. מכאן שאם ייקבע כי בגדר החלופה השלישית נכנסות גם מכירות המתבצעות בשוק הישראלי, במידה רבה יתייתר הצורך בחלופה </w:t>
      </w:r>
      <w:r w:rsidRPr="0022183F">
        <w:rPr>
          <w:rFonts w:hint="cs"/>
          <w:rtl/>
        </w:rPr>
        <w:t xml:space="preserve">השנייה, שכן מרבית המפעלים בארץ לא יתקשו לעמוד בתנאי של רבע מהמכירות לשוק </w:t>
      </w:r>
      <w:r>
        <w:rPr>
          <w:rFonts w:hint="cs"/>
          <w:rtl/>
        </w:rPr>
        <w:t>הישראלי</w:t>
      </w:r>
      <w:r w:rsidRPr="0022183F">
        <w:rPr>
          <w:rFonts w:hint="cs"/>
          <w:rtl/>
        </w:rPr>
        <w:t xml:space="preserve"> ויכנסו בגדר החלופה השלישית.</w:t>
      </w:r>
      <w:r>
        <w:rPr>
          <w:rFonts w:hint="cs"/>
          <w:rtl/>
        </w:rPr>
        <w:t xml:space="preserve"> בנסיבות אלה, הפרשנות שלפיה החלופה השלישית, חלופת המכירה לשוק גדול, אינה חלה על מכירות לשוק הישראלי היא בוודאי בעלת אחיזה לשונית, וזו אף הפרשנות המתבקשת בשים לב למכלול הוראות החוק.</w:t>
      </w:r>
    </w:p>
    <w:p w:rsidR="00CF54A5" w:rsidRDefault="00CF54A5" w:rsidP="00CF54A5">
      <w:pPr>
        <w:pStyle w:val="Ruller41"/>
        <w:rPr>
          <w:rtl/>
        </w:rPr>
      </w:pPr>
    </w:p>
    <w:p w:rsidR="00CF54A5" w:rsidRDefault="00CF54A5" w:rsidP="00CF54A5">
      <w:pPr>
        <w:pStyle w:val="Ruller4"/>
        <w:rPr>
          <w:rtl/>
        </w:rPr>
      </w:pPr>
      <w:r>
        <w:rPr>
          <w:rFonts w:hint="cs"/>
          <w:rtl/>
        </w:rPr>
        <w:t>מן הבחינה התכליתית, עומדים פקידי השומה על כך שתכלית הטבת המס היא לתמרץ מפעלים להשתלב בתחרות הבינלאומית, שכן "</w:t>
      </w:r>
      <w:r w:rsidRPr="000B5F28">
        <w:rPr>
          <w:rFonts w:ascii="Century" w:hAnsi="Century" w:cs="Miriam" w:hint="cs"/>
          <w:b/>
          <w:spacing w:val="0"/>
          <w:sz w:val="22"/>
          <w:szCs w:val="24"/>
          <w:rtl/>
        </w:rPr>
        <w:t>מפעל בר-תחרות התורם לתוצר המקומי הגולמי</w:t>
      </w:r>
      <w:r>
        <w:rPr>
          <w:rFonts w:hint="cs"/>
          <w:rtl/>
        </w:rPr>
        <w:t>", כהגדרת סעיף 51 לחוק, מיועד לכלול בגדרו מפעלים שמכירותיהם מופנות לשווקים זרים</w:t>
      </w:r>
      <w:r>
        <w:rPr>
          <w:rFonts w:hint="cs"/>
          <w:color w:val="A6A6A6" w:themeColor="background1" w:themeShade="A6"/>
          <w:rtl/>
        </w:rPr>
        <w:t xml:space="preserve"> </w:t>
      </w:r>
      <w:r>
        <w:rPr>
          <w:rtl/>
        </w:rPr>
        <w:t>–</w:t>
      </w:r>
      <w:r>
        <w:rPr>
          <w:rFonts w:hint="cs"/>
          <w:rtl/>
        </w:rPr>
        <w:t xml:space="preserve"> מכירות אשר נטען כי הן תורמות באופן ישיר להגדלת התוצר הלאומי הגולמי. כך נלמד מההיסטוריה החקיקתית של תיקון מס' 60 (אשר במסגרתו נוספה </w:t>
      </w:r>
      <w:r w:rsidR="007B5B58">
        <w:rPr>
          <w:rFonts w:hint="cs"/>
          <w:rtl/>
        </w:rPr>
        <w:t xml:space="preserve">כאמור </w:t>
      </w:r>
      <w:r>
        <w:rPr>
          <w:rFonts w:hint="cs"/>
          <w:rtl/>
        </w:rPr>
        <w:t>ההגדרה של מפעל תעשייתי "בר-תחרות") ודברי ההסבר לו; מתיקוניו של הסעיף במשך השנים, ובפרט תיקון מס' 70; מהוראות אחרות בחוק עידוד השקעות; מהחלטות מיסוי שניתנו לאורך השנים; ומהפסיקה. עוד מדגישים פקידי השומה כי במועד חקיקתו של תיקון מס' 60, השוק המקומי (הכולל את ישראל יחד עם שטחי יהודה ושומרון וחבל עזה</w:t>
      </w:r>
      <w:r w:rsidRPr="00317B40">
        <w:rPr>
          <w:rFonts w:hint="cs"/>
          <w:rtl/>
        </w:rPr>
        <w:t>) מנה גם לפי האומדנים</w:t>
      </w:r>
      <w:r>
        <w:rPr>
          <w:rFonts w:hint="cs"/>
          <w:rtl/>
        </w:rPr>
        <w:t xml:space="preserve"> הנדיבים ביותר כ-10 מיליון תושבים. מכאן, שאילו התכוון המחוקק להעניק את הטבת המס הנדונה גם לשוק הישראלי, הרי שמלכתחילה היה קובע רף התואם את גודל האוכלוסייה בשוק הישראלי באותה העת; וכי אין בכך שבמועד שרירותי כזה או אחר גדלה האוכלוסייה המקומית ועברה את הרף הקבוע בסעיף כדי לשנות מכוונתו של המחוקק וממדיניותו המובהקת.</w:t>
      </w:r>
    </w:p>
    <w:p w:rsidR="00CF54A5" w:rsidRDefault="00CF54A5" w:rsidP="00CF54A5">
      <w:pPr>
        <w:pStyle w:val="Ruller41"/>
        <w:rPr>
          <w:rtl/>
        </w:rPr>
      </w:pPr>
    </w:p>
    <w:p w:rsidR="00CF54A5" w:rsidRDefault="00CF54A5" w:rsidP="007B5B58">
      <w:pPr>
        <w:pStyle w:val="Ruller4"/>
        <w:rPr>
          <w:rtl/>
        </w:rPr>
      </w:pPr>
      <w:r>
        <w:rPr>
          <w:rFonts w:hint="cs"/>
          <w:rtl/>
        </w:rPr>
        <w:t xml:space="preserve">בכל הנוגע למחויבויותיה של מדינת ישראל במסגרת הסכמי הסחר הבינלאומיים, פקידי השומה טוענים כי בית משפט קמא נפל לכלל טעות עת שהניח כי פרשנות תכליתה של חלופת המכירה לשוק גדול כמתייחסת למכירות לשוק זר בלבד אינה מתיישבת עם הסכמי הסחר עליהם חתמה המדינה. </w:t>
      </w:r>
      <w:r w:rsidRPr="006E291E">
        <w:rPr>
          <w:rFonts w:ascii="Century" w:hAnsi="Century" w:cs="Miriam" w:hint="cs"/>
          <w:b/>
          <w:spacing w:val="0"/>
          <w:sz w:val="22"/>
          <w:szCs w:val="24"/>
          <w:rtl/>
        </w:rPr>
        <w:t>ראשית</w:t>
      </w:r>
      <w:r>
        <w:rPr>
          <w:rFonts w:hint="cs"/>
          <w:rtl/>
        </w:rPr>
        <w:t xml:space="preserve">, נטען כי קביעה לפיה </w:t>
      </w:r>
      <w:r>
        <w:rPr>
          <w:rFonts w:hint="cs"/>
          <w:rtl/>
        </w:rPr>
        <w:lastRenderedPageBreak/>
        <w:t>המדינה הפרה את מחויבויותיה הבינלאומי</w:t>
      </w:r>
      <w:r w:rsidR="007B5B58">
        <w:rPr>
          <w:rFonts w:hint="cs"/>
          <w:rtl/>
        </w:rPr>
        <w:t>ו</w:t>
      </w:r>
      <w:r>
        <w:rPr>
          <w:rFonts w:hint="cs"/>
          <w:rtl/>
        </w:rPr>
        <w:t>ת מחייבת בחינה מהותית ומעמיקה מזו שנערכה בפסק הדין, וכי על פי עמדתו של משרד הכלכלה והמסחר</w:t>
      </w:r>
      <w:r w:rsidR="007B5B58">
        <w:rPr>
          <w:rFonts w:hint="cs"/>
          <w:rtl/>
        </w:rPr>
        <w:t xml:space="preserve"> (האמון על הנושא)</w:t>
      </w:r>
      <w:r>
        <w:rPr>
          <w:rFonts w:hint="cs"/>
          <w:rtl/>
        </w:rPr>
        <w:t xml:space="preserve"> לא קיימת סתירה בין הוראות חוק עידוד השקעות לבין הסכמי הסחר שישראל היא צד להם. כן נטען כי אין בבחירה לנקוט במשנה זהירות באמצעות העדפת נוסח אחד על משנהו כדי להעיד אחרת. </w:t>
      </w:r>
      <w:r w:rsidRPr="006E291E">
        <w:rPr>
          <w:rFonts w:ascii="Century" w:hAnsi="Century" w:cs="Miriam" w:hint="cs"/>
          <w:b/>
          <w:spacing w:val="0"/>
          <w:sz w:val="22"/>
          <w:szCs w:val="24"/>
          <w:rtl/>
        </w:rPr>
        <w:t>שנית</w:t>
      </w:r>
      <w:r>
        <w:rPr>
          <w:rFonts w:hint="cs"/>
          <w:rtl/>
        </w:rPr>
        <w:t>, הסמכות לאכוף את הסכמי הסחר האמורים ולהעלות טענות בנוגע להפרתם נתונה למדינות שהן צד להם, ולא לאחרים, ואף אחת לכמה שנים ישראל נדרשת להגיש דיווחים ותרגום של חוקים הנוגעים לסחר הבינלאומי, וכן להשיב על שאילתות המועברות מהמדינות השונות. ואכן, מדינות שונות (ובכלל זה ארה"ב והאיחוד האירופי) הגישו למדינת ישראל שאילתות בעניין חלופת המכירה לשוק גדול, ולאחר שניתן מענה על ידי ישראל</w:t>
      </w:r>
      <w:r w:rsidR="007B5B58">
        <w:rPr>
          <w:rFonts w:hint="cs"/>
          <w:rtl/>
        </w:rPr>
        <w:t>,</w:t>
      </w:r>
      <w:r>
        <w:rPr>
          <w:rFonts w:hint="cs"/>
          <w:rtl/>
        </w:rPr>
        <w:t xml:space="preserve"> אף מדינה לא פנתה לערכאות ליישוב סכסוכים של ארגון הסחר העולמי (</w:t>
      </w:r>
      <w:r w:rsidRPr="00A65246">
        <w:rPr>
          <w:rFonts w:asciiTheme="majorBidi" w:hAnsiTheme="majorBidi" w:cstheme="majorBidi"/>
        </w:rPr>
        <w:t>World Trade Organization</w:t>
      </w:r>
      <w:r>
        <w:rPr>
          <w:rFonts w:hint="cs"/>
          <w:rtl/>
        </w:rPr>
        <w:t xml:space="preserve">), שהן הערכאות המוסמכות לדון בטענות בדבר הפרה לכאורית של הסכמי הסחר. מכאן, משמדינות שהן צד להסכמי הסחר לא רואות בהוראות חוק עידוד השקעות משום הפרה, קביעת בית משפט קמא מעוררת קושי. </w:t>
      </w:r>
      <w:r w:rsidRPr="00ED17E3">
        <w:rPr>
          <w:rFonts w:ascii="Century" w:hAnsi="Century" w:cs="Miriam" w:hint="cs"/>
          <w:b/>
          <w:spacing w:val="0"/>
          <w:sz w:val="22"/>
          <w:szCs w:val="24"/>
          <w:rtl/>
        </w:rPr>
        <w:t>לבסוף</w:t>
      </w:r>
      <w:r>
        <w:rPr>
          <w:rFonts w:hint="cs"/>
          <w:rtl/>
        </w:rPr>
        <w:t xml:space="preserve">, אפילו הייתה סתירה בין הוראת החוק הנדונה לבין מחויבויותיה הבינלאומיות של ישראל (ולא כך היא, לשיטת פקידי השומה), בהינתן הכלל לפיו בהתקיים סתירה בין הוראת חוק פנימית לבין מחויבות הסכמית במשפט הבינלאומי </w:t>
      </w:r>
      <w:r>
        <w:rPr>
          <w:rtl/>
        </w:rPr>
        <w:t>–</w:t>
      </w:r>
      <w:r>
        <w:rPr>
          <w:rFonts w:hint="cs"/>
          <w:rtl/>
        </w:rPr>
        <w:t xml:space="preserve"> הוראת החוק הספציפית גוברת, הרי שלא היה מקום לכופף את תכליתה של הוראת החוק הנדונה למחויבויותיה הבינלאומיות של המדינה במסגרת הסכמי הסחר.</w:t>
      </w:r>
    </w:p>
    <w:p w:rsidR="00CF54A5" w:rsidRDefault="00CF54A5" w:rsidP="00CF54A5">
      <w:pPr>
        <w:pStyle w:val="Ruller41"/>
        <w:rPr>
          <w:rtl/>
        </w:rPr>
      </w:pPr>
    </w:p>
    <w:p w:rsidR="00CF54A5" w:rsidRDefault="00CF54A5" w:rsidP="00943BC8">
      <w:pPr>
        <w:pStyle w:val="Ruller4"/>
        <w:rPr>
          <w:rtl/>
        </w:rPr>
      </w:pPr>
      <w:r>
        <w:rPr>
          <w:rFonts w:hint="cs"/>
          <w:rtl/>
        </w:rPr>
        <w:t xml:space="preserve">לשיטת פקידי השומה, די באמור עד כה כדי לדחות את הערעורים. בצד זאת, הם מוסיפים כי מכל מקום </w:t>
      </w:r>
      <w:proofErr w:type="spellStart"/>
      <w:r>
        <w:rPr>
          <w:rFonts w:hint="cs"/>
          <w:rtl/>
        </w:rPr>
        <w:t>הנישומות</w:t>
      </w:r>
      <w:proofErr w:type="spellEnd"/>
      <w:r>
        <w:rPr>
          <w:rFonts w:hint="cs"/>
          <w:rtl/>
        </w:rPr>
        <w:t xml:space="preserve"> אינן עומדת בקריטריון גודל השוק, ומכאן שממילא אין הן זכאיות להטבת המס</w:t>
      </w:r>
      <w:r w:rsidRPr="003E6722">
        <w:rPr>
          <w:rFonts w:hint="cs"/>
          <w:rtl/>
        </w:rPr>
        <w:t>. אשר לשנת 2011, טוענים</w:t>
      </w:r>
      <w:r>
        <w:rPr>
          <w:rFonts w:hint="cs"/>
          <w:rtl/>
        </w:rPr>
        <w:t xml:space="preserve"> פקידי השומה כי יש לדחות את טענת </w:t>
      </w:r>
      <w:proofErr w:type="spellStart"/>
      <w:r>
        <w:rPr>
          <w:rFonts w:hint="cs"/>
          <w:rtl/>
        </w:rPr>
        <w:t>הנישומות</w:t>
      </w:r>
      <w:proofErr w:type="spellEnd"/>
      <w:r>
        <w:rPr>
          <w:rFonts w:hint="cs"/>
          <w:rtl/>
        </w:rPr>
        <w:t xml:space="preserve"> לפיה השוק </w:t>
      </w:r>
      <w:r w:rsidR="00943BC8">
        <w:rPr>
          <w:rFonts w:hint="cs"/>
          <w:rtl/>
        </w:rPr>
        <w:t>הישראלי</w:t>
      </w:r>
      <w:r>
        <w:rPr>
          <w:rFonts w:hint="cs"/>
          <w:rtl/>
        </w:rPr>
        <w:t xml:space="preserve"> חצה את רף 12 מיליון התושבים במחצית שנת 2010, וזאת הן מהטעם שטענה זו לא הועלתה לפני בית משפט קמא, וממילא לא נדונה, הן משום שהיא סותרת את טענתן המקורית כי המועד בו מנה השוק </w:t>
      </w:r>
      <w:r w:rsidR="00943BC8">
        <w:rPr>
          <w:rFonts w:hint="cs"/>
          <w:rtl/>
        </w:rPr>
        <w:t>הישראלי</w:t>
      </w:r>
      <w:r>
        <w:rPr>
          <w:rFonts w:hint="cs"/>
          <w:rtl/>
        </w:rPr>
        <w:t xml:space="preserve"> יותר מ-12 מיליון תושבים הוא במחצית שנת 2011 (או בסמוך לכך), והן משום שמדובר בניסיון לתקוף קביעה עובדתית שאין ערכאת הערעור נוהגת להתערב בה. עוד טוענים פקידי השומה כי </w:t>
      </w:r>
      <w:proofErr w:type="spellStart"/>
      <w:r>
        <w:rPr>
          <w:rFonts w:hint="cs"/>
          <w:rtl/>
        </w:rPr>
        <w:t>הנישומות</w:t>
      </w:r>
      <w:proofErr w:type="spellEnd"/>
      <w:r>
        <w:rPr>
          <w:rFonts w:hint="cs"/>
          <w:rtl/>
        </w:rPr>
        <w:t xml:space="preserve"> אינן מתמודדות בערעוריהן עם קביעתו של בית משפט קמא באשר למועד שבו יש לבחון את גודל השוק, </w:t>
      </w:r>
      <w:r w:rsidRPr="003E6722">
        <w:rPr>
          <w:rFonts w:hint="cs"/>
          <w:rtl/>
        </w:rPr>
        <w:t>ומדגישים</w:t>
      </w:r>
      <w:r>
        <w:rPr>
          <w:rFonts w:hint="cs"/>
          <w:rtl/>
        </w:rPr>
        <w:t xml:space="preserve"> הם כי לשיטתם קריטריון גודל השוק צריך להתקיים לאורך כל שנת המס תוך שהם חוזרים על נימוקיו של בית משפט קמא. </w:t>
      </w:r>
    </w:p>
    <w:p w:rsidR="00CF54A5" w:rsidRDefault="00CF54A5" w:rsidP="00CF54A5">
      <w:pPr>
        <w:pStyle w:val="Ruller41"/>
        <w:rPr>
          <w:rtl/>
        </w:rPr>
      </w:pPr>
    </w:p>
    <w:p w:rsidR="00CF54A5" w:rsidRDefault="00CF54A5" w:rsidP="00943BC8">
      <w:pPr>
        <w:pStyle w:val="Ruller4"/>
        <w:rPr>
          <w:rtl/>
        </w:rPr>
      </w:pPr>
      <w:r w:rsidRPr="003E6722">
        <w:rPr>
          <w:rFonts w:hint="cs"/>
          <w:rtl/>
        </w:rPr>
        <w:lastRenderedPageBreak/>
        <w:t>אשר לשנת 2012,</w:t>
      </w:r>
      <w:r>
        <w:rPr>
          <w:rFonts w:hint="cs"/>
          <w:rtl/>
        </w:rPr>
        <w:t xml:space="preserve"> פקידי השומה מציינים תחילה כי הטענה לפיה השוק הישראלי מנה מעל 12 מיליון תושבים</w:t>
      </w:r>
      <w:r w:rsidRPr="008A5A7C">
        <w:rPr>
          <w:rFonts w:hint="cs"/>
          <w:rtl/>
        </w:rPr>
        <w:t xml:space="preserve"> </w:t>
      </w:r>
      <w:r>
        <w:rPr>
          <w:rFonts w:hint="cs"/>
          <w:rtl/>
        </w:rPr>
        <w:t xml:space="preserve">לאורך כל שנת 2012 לא הוכחה בבית משפט קמא, וממילא בית משפט קמא לא הכריע בה. כן מוסיפים הם כי למרות </w:t>
      </w:r>
      <w:proofErr w:type="spellStart"/>
      <w:r>
        <w:rPr>
          <w:rFonts w:hint="cs"/>
          <w:rtl/>
        </w:rPr>
        <w:t>שהנישומות</w:t>
      </w:r>
      <w:proofErr w:type="spellEnd"/>
      <w:r>
        <w:rPr>
          <w:rFonts w:hint="cs"/>
          <w:rtl/>
        </w:rPr>
        <w:t xml:space="preserve"> </w:t>
      </w:r>
      <w:proofErr w:type="spellStart"/>
      <w:r>
        <w:rPr>
          <w:rFonts w:hint="cs"/>
          <w:rtl/>
        </w:rPr>
        <w:t>ומייצגיהן</w:t>
      </w:r>
      <w:proofErr w:type="spellEnd"/>
      <w:r>
        <w:rPr>
          <w:rFonts w:hint="cs"/>
          <w:rtl/>
        </w:rPr>
        <w:t xml:space="preserve"> היו מודעים בזמן אמת לתיקון מס' 70, במשך מספר שנים לא עתרו לביטולו, ואף כאשר עשו כן, היה עליהם לעשות זאת באמצעות הגשת עתירה לבית משפט זה בשבתו כבית משפט גבוה לצדק, ולא בגדר ההליך קמא, ועל כן לא היה מקום להידרש לטענות בדבר אי חוקיות תיקון מס' 70, ובפרט להוראת התחולה הקבועה בו. ואולם, גם לגופם של דברים, סבורים פקידי השומה כי טענות </w:t>
      </w:r>
      <w:proofErr w:type="spellStart"/>
      <w:r>
        <w:rPr>
          <w:rFonts w:hint="cs"/>
          <w:rtl/>
        </w:rPr>
        <w:t>הנישומות</w:t>
      </w:r>
      <w:proofErr w:type="spellEnd"/>
      <w:r>
        <w:rPr>
          <w:rFonts w:hint="cs"/>
          <w:rtl/>
        </w:rPr>
        <w:t xml:space="preserve"> אינן מגלות כל עילה להתערבות בהוראות תיקון מס' 70. פקידי השומה מצביעים על כך שתיקון מס' 70 הוא תיקון חקיקה מבהיר שנועד להתמודד עם ניסיונן של חברות (ובכלל זה </w:t>
      </w:r>
      <w:proofErr w:type="spellStart"/>
      <w:r>
        <w:rPr>
          <w:rFonts w:hint="cs"/>
          <w:rtl/>
        </w:rPr>
        <w:t>הנישומות</w:t>
      </w:r>
      <w:proofErr w:type="spellEnd"/>
      <w:r>
        <w:rPr>
          <w:rFonts w:hint="cs"/>
          <w:rtl/>
        </w:rPr>
        <w:t xml:space="preserve">) להיכנס בגדר </w:t>
      </w:r>
      <w:r w:rsidR="00943BC8">
        <w:rPr>
          <w:rFonts w:hint="cs"/>
          <w:rtl/>
        </w:rPr>
        <w:t>חלופת המכירה לשוק גדול</w:t>
      </w:r>
      <w:r>
        <w:rPr>
          <w:rFonts w:hint="cs"/>
          <w:rtl/>
        </w:rPr>
        <w:t>, עת התקרב השוק הישראלי לרף 12 מיליון התושבים, על אף שהיה ברור לכול כי בגדר חלופה זו נכנסים רק</w:t>
      </w:r>
      <w:r w:rsidR="00943BC8">
        <w:rPr>
          <w:rFonts w:hint="cs"/>
          <w:rtl/>
        </w:rPr>
        <w:t xml:space="preserve"> מפעלים שמכירותיהם מופנות לשוק </w:t>
      </w:r>
      <w:r>
        <w:rPr>
          <w:rFonts w:hint="cs"/>
          <w:rtl/>
        </w:rPr>
        <w:t xml:space="preserve">זר. מכאן, שטענת </w:t>
      </w:r>
      <w:proofErr w:type="spellStart"/>
      <w:r>
        <w:rPr>
          <w:rFonts w:hint="cs"/>
          <w:rtl/>
        </w:rPr>
        <w:t>הנישומות</w:t>
      </w:r>
      <w:proofErr w:type="spellEnd"/>
      <w:r>
        <w:rPr>
          <w:rFonts w:hint="cs"/>
          <w:rtl/>
        </w:rPr>
        <w:t xml:space="preserve"> כי הן היו זכאיות להטבת המס והסתמכו עליה </w:t>
      </w:r>
      <w:r>
        <w:rPr>
          <w:rtl/>
        </w:rPr>
        <w:t>–</w:t>
      </w:r>
      <w:r w:rsidR="00943BC8">
        <w:rPr>
          <w:rFonts w:hint="cs"/>
          <w:rtl/>
        </w:rPr>
        <w:t xml:space="preserve"> </w:t>
      </w:r>
      <w:r>
        <w:rPr>
          <w:rFonts w:hint="cs"/>
          <w:rtl/>
        </w:rPr>
        <w:t xml:space="preserve">מוקשית היא. ממילא, חקיקה רטרואקטיבית, ובכלל זה חקיקה רטרואקטיבית בדיני המס שמטרתה להבהיר פרשנותו של דין קיים, אינה, כשלעצמה, מגלה עילה להתערבות שיפוטית. </w:t>
      </w:r>
    </w:p>
    <w:p w:rsidR="00CF54A5" w:rsidRDefault="00CF54A5" w:rsidP="00CF54A5">
      <w:pPr>
        <w:pStyle w:val="Ruller41"/>
        <w:rPr>
          <w:rtl/>
        </w:rPr>
      </w:pPr>
    </w:p>
    <w:p w:rsidR="00CF54A5" w:rsidRDefault="00CF54A5" w:rsidP="00CF54A5">
      <w:pPr>
        <w:pStyle w:val="Ruller4"/>
      </w:pPr>
      <w:r>
        <w:rPr>
          <w:rFonts w:hint="cs"/>
          <w:rtl/>
        </w:rPr>
        <w:t xml:space="preserve">עוד טוענים פקידי השומה כי </w:t>
      </w:r>
      <w:proofErr w:type="spellStart"/>
      <w:r>
        <w:rPr>
          <w:rFonts w:hint="cs"/>
          <w:rtl/>
        </w:rPr>
        <w:t>הנישומות</w:t>
      </w:r>
      <w:proofErr w:type="spellEnd"/>
      <w:r>
        <w:rPr>
          <w:rFonts w:hint="cs"/>
          <w:rtl/>
        </w:rPr>
        <w:t xml:space="preserve"> לא הצליחו להוכיח כי נפל פגם כלשהו בהליך חקיקה, לא כל שכן פגם מהותי היורד לשורש ההליך ואשר רק בו יש כדי להצדיק התערבות שיפוטית: לא הוכח כי תיקון מס' 70 עומד בסתירה להסכמי הסחר עליהם חתומה מדינת ישראל, וממילא גם אם היה מוכח כאמור, אין הדבר רלוונטי להוראת התחולה הרטרואקטיבית (ולתיקון מס' 70 בכללותו) אותה תוקפות </w:t>
      </w:r>
      <w:proofErr w:type="spellStart"/>
      <w:r>
        <w:rPr>
          <w:rFonts w:hint="cs"/>
          <w:rtl/>
        </w:rPr>
        <w:t>הנישומות</w:t>
      </w:r>
      <w:proofErr w:type="spellEnd"/>
      <w:r>
        <w:rPr>
          <w:rFonts w:hint="cs"/>
          <w:rtl/>
        </w:rPr>
        <w:t xml:space="preserve">; חלופת המכירה לשוק גדול מעולם לא נועדה לכלול מפעלים המייצרים לשוק הישראלי, כדוגמת מפעליהן של </w:t>
      </w:r>
      <w:proofErr w:type="spellStart"/>
      <w:r>
        <w:rPr>
          <w:rFonts w:hint="cs"/>
          <w:rtl/>
        </w:rPr>
        <w:t>הנישומות</w:t>
      </w:r>
      <w:proofErr w:type="spellEnd"/>
      <w:r>
        <w:rPr>
          <w:rFonts w:hint="cs"/>
          <w:rtl/>
        </w:rPr>
        <w:t xml:space="preserve">, והדבר היה ברור לכול, כך שלא היה מקום לבחון האם מפעלים שעיקר מכירותיהם הם לשוק הישראלי עשויים להיפגע מהתיקון, וחברי הכנסת בוודאי לא הוטעו בקשר למהותו של התיקון והצורך בו; תבונתו של החוק או של המדיניות הפיסקאלית של המחוקק אינה עומדת לבחינתו של בית המשפט ואף טענה בדבר הפליה איננה רלוונטית לביקורת חוקתית המופנית כלפי הליך החקיקה; בפני חברי הכנסת עמדה תשתית עובדתית מספקת המאפשרת קבלתה של החלטה סבירה, ואפילו אם חסרו מהמצגים שהוצגו בפני חברי הכנסת נתונים מסוימים, הם היו מודעים לכך ובחרו שלא לבקש נתונים נוספים. </w:t>
      </w:r>
    </w:p>
    <w:p w:rsidR="00CF54A5" w:rsidRDefault="00CF54A5" w:rsidP="00CF54A5">
      <w:pPr>
        <w:pStyle w:val="Ruller4"/>
        <w:numPr>
          <w:ilvl w:val="0"/>
          <w:numId w:val="0"/>
        </w:numPr>
        <w:rPr>
          <w:rtl/>
        </w:rPr>
      </w:pPr>
    </w:p>
    <w:p w:rsidR="00CF54A5" w:rsidRPr="007370A3" w:rsidRDefault="00CF54A5" w:rsidP="00CF54A5">
      <w:pPr>
        <w:pStyle w:val="Ruller4"/>
        <w:numPr>
          <w:ilvl w:val="0"/>
          <w:numId w:val="0"/>
        </w:numPr>
        <w:rPr>
          <w:rtl/>
        </w:rPr>
      </w:pPr>
      <w:r>
        <w:rPr>
          <w:rtl/>
        </w:rPr>
        <w:lastRenderedPageBreak/>
        <w:tab/>
      </w:r>
      <w:r>
        <w:rPr>
          <w:rFonts w:hint="cs"/>
          <w:rtl/>
        </w:rPr>
        <w:t xml:space="preserve">באופן דומה, טוענים פקידי השומה, כי </w:t>
      </w:r>
      <w:proofErr w:type="spellStart"/>
      <w:r>
        <w:rPr>
          <w:rFonts w:hint="cs"/>
          <w:rtl/>
        </w:rPr>
        <w:t>הנישומות</w:t>
      </w:r>
      <w:proofErr w:type="spellEnd"/>
      <w:r>
        <w:rPr>
          <w:rFonts w:hint="cs"/>
          <w:rtl/>
        </w:rPr>
        <w:t xml:space="preserve"> אף לא הצליחו להוכיח כי תיקון מס' 70, ובפרט הוראת התחולה הרטרואקטיבית אליה מופנות עיקר הטענות, לא עומדים בתנאיה של פסקת ההגבלה, וכן מטילים הם ספק בהנחתו של בית משפט קמא כי נפגעה זכות הקניין של </w:t>
      </w:r>
      <w:proofErr w:type="spellStart"/>
      <w:r>
        <w:rPr>
          <w:rFonts w:hint="cs"/>
          <w:rtl/>
        </w:rPr>
        <w:t>הנישומות</w:t>
      </w:r>
      <w:proofErr w:type="spellEnd"/>
      <w:r>
        <w:rPr>
          <w:rFonts w:hint="cs"/>
          <w:rtl/>
        </w:rPr>
        <w:t>.</w:t>
      </w:r>
    </w:p>
    <w:p w:rsidR="00CF54A5" w:rsidRDefault="00CF54A5" w:rsidP="00CF54A5">
      <w:pPr>
        <w:pStyle w:val="Ruller41"/>
        <w:rPr>
          <w:rtl/>
        </w:rPr>
      </w:pPr>
    </w:p>
    <w:p w:rsidR="00CF54A5" w:rsidRPr="00E35745" w:rsidRDefault="00CF54A5" w:rsidP="00CF54A5">
      <w:pPr>
        <w:pStyle w:val="Ruller41"/>
        <w:rPr>
          <w:rFonts w:ascii="Century" w:hAnsi="Century" w:cs="Miriam"/>
          <w:b/>
          <w:spacing w:val="0"/>
          <w:szCs w:val="24"/>
          <w:rtl/>
        </w:rPr>
      </w:pPr>
      <w:r w:rsidRPr="00E35745">
        <w:rPr>
          <w:rFonts w:ascii="Century" w:hAnsi="Century" w:cs="Miriam" w:hint="cs"/>
          <w:b/>
          <w:spacing w:val="0"/>
          <w:szCs w:val="24"/>
          <w:rtl/>
        </w:rPr>
        <w:t>סיכומי התשובה</w:t>
      </w:r>
      <w:r>
        <w:rPr>
          <w:rFonts w:ascii="Century" w:hAnsi="Century" w:cs="Miriam" w:hint="cs"/>
          <w:b/>
          <w:spacing w:val="0"/>
          <w:szCs w:val="24"/>
          <w:rtl/>
        </w:rPr>
        <w:t xml:space="preserve"> מטעם </w:t>
      </w:r>
      <w:proofErr w:type="spellStart"/>
      <w:r>
        <w:rPr>
          <w:rFonts w:ascii="Century" w:hAnsi="Century" w:cs="Miriam" w:hint="cs"/>
          <w:b/>
          <w:spacing w:val="0"/>
          <w:szCs w:val="24"/>
          <w:rtl/>
        </w:rPr>
        <w:t>הנישומות</w:t>
      </w:r>
      <w:proofErr w:type="spellEnd"/>
    </w:p>
    <w:p w:rsidR="00CF54A5" w:rsidRDefault="00CF54A5" w:rsidP="00CF54A5">
      <w:pPr>
        <w:pStyle w:val="Ruller41"/>
        <w:rPr>
          <w:rtl/>
        </w:rPr>
      </w:pPr>
    </w:p>
    <w:p w:rsidR="00CF54A5" w:rsidRDefault="00CF54A5" w:rsidP="00CF54A5">
      <w:pPr>
        <w:pStyle w:val="Ruller4"/>
        <w:rPr>
          <w:rtl/>
        </w:rPr>
      </w:pPr>
      <w:r>
        <w:rPr>
          <w:rFonts w:hint="cs"/>
          <w:rtl/>
        </w:rPr>
        <w:t xml:space="preserve">בסיכומי התשובה דוחות </w:t>
      </w:r>
      <w:proofErr w:type="spellStart"/>
      <w:r>
        <w:rPr>
          <w:rFonts w:hint="cs"/>
          <w:rtl/>
        </w:rPr>
        <w:t>הנישומות</w:t>
      </w:r>
      <w:proofErr w:type="spellEnd"/>
      <w:r>
        <w:rPr>
          <w:rFonts w:hint="cs"/>
          <w:rtl/>
        </w:rPr>
        <w:t xml:space="preserve"> את טענות פקידי השומה וחוזרות על נימוקיהן. בתוך כך, מוסיפות </w:t>
      </w:r>
      <w:proofErr w:type="spellStart"/>
      <w:r>
        <w:rPr>
          <w:rFonts w:hint="cs"/>
          <w:rtl/>
        </w:rPr>
        <w:t>הנישומות</w:t>
      </w:r>
      <w:proofErr w:type="spellEnd"/>
      <w:r>
        <w:rPr>
          <w:rFonts w:hint="cs"/>
          <w:rtl/>
        </w:rPr>
        <w:t xml:space="preserve"> כי הטענה</w:t>
      </w:r>
      <w:r w:rsidR="00291E93">
        <w:rPr>
          <w:rFonts w:hint="cs"/>
          <w:rtl/>
        </w:rPr>
        <w:t>,</w:t>
      </w:r>
      <w:r>
        <w:rPr>
          <w:rFonts w:hint="cs"/>
          <w:rtl/>
        </w:rPr>
        <w:t xml:space="preserve"> לפיה האכסניה המתאימה לבירור טענותיהן בדבר חוקתיות תיקון מס' 70 היא במסגרת תקיפה ישירה בבית משפט זה </w:t>
      </w:r>
      <w:r>
        <w:rPr>
          <w:rtl/>
        </w:rPr>
        <w:t>–</w:t>
      </w:r>
      <w:r>
        <w:rPr>
          <w:rFonts w:hint="cs"/>
          <w:rtl/>
        </w:rPr>
        <w:t xml:space="preserve"> לא הועלתה בנימוקי השומה ואין מקום להידרש אליה עתה. ממילא, עניינן מתמקד בהוראת התחולה הרטרואקטיבית ביחס לרשימה סגורה של חברות שנפגעו ואשר העלו את הטענה בזמן אמת ובנוגע לתקופה קצובה. כן דוחות הן את הטענה לשיהוי, משהגישו את דוחות המס שלהן במועד. </w:t>
      </w:r>
    </w:p>
    <w:p w:rsidR="00CF54A5" w:rsidRDefault="00CF54A5" w:rsidP="00CF54A5">
      <w:pPr>
        <w:pStyle w:val="Ruller41"/>
        <w:rPr>
          <w:rtl/>
        </w:rPr>
      </w:pPr>
    </w:p>
    <w:p w:rsidR="00CF54A5" w:rsidRDefault="00CF54A5" w:rsidP="00CF54A5">
      <w:pPr>
        <w:pStyle w:val="Ruller4"/>
        <w:rPr>
          <w:rtl/>
        </w:rPr>
      </w:pPr>
      <w:r>
        <w:rPr>
          <w:rFonts w:hint="cs"/>
          <w:rtl/>
        </w:rPr>
        <w:t xml:space="preserve">להשלמת התמונה יצוין כי בעקבות הדיון שנערך לפנינו, במהלכו הושמעו טענות הצדדים בעל-פה והערנו את אשר הערנו, הודיע בא-כוחה של חברת </w:t>
      </w:r>
      <w:proofErr w:type="spellStart"/>
      <w:r>
        <w:rPr>
          <w:rFonts w:hint="cs"/>
          <w:rtl/>
        </w:rPr>
        <w:t>טופגאם</w:t>
      </w:r>
      <w:proofErr w:type="spellEnd"/>
      <w:r>
        <w:rPr>
          <w:rFonts w:hint="cs"/>
          <w:rtl/>
        </w:rPr>
        <w:t xml:space="preserve"> כי החברה חוזרת בה מן הערעור שהגישה (ע"א 3138/19). לאור חזרתה מהערעור לא פורטו לעיל טיעונים פרטניים שעלו בעניינה. על כן, עומדים להכרעתנו שני הערעורים שהגישו ארבע </w:t>
      </w:r>
      <w:proofErr w:type="spellStart"/>
      <w:r>
        <w:rPr>
          <w:rFonts w:hint="cs"/>
          <w:rtl/>
        </w:rPr>
        <w:t>הנישומות</w:t>
      </w:r>
      <w:proofErr w:type="spellEnd"/>
      <w:r>
        <w:rPr>
          <w:rFonts w:hint="cs"/>
          <w:rtl/>
        </w:rPr>
        <w:t xml:space="preserve"> מזה (ע"א 3129/19) וחברת </w:t>
      </w:r>
      <w:proofErr w:type="spellStart"/>
      <w:r>
        <w:rPr>
          <w:rFonts w:hint="cs"/>
          <w:rtl/>
        </w:rPr>
        <w:t>זנלכל</w:t>
      </w:r>
      <w:proofErr w:type="spellEnd"/>
      <w:r>
        <w:rPr>
          <w:rFonts w:hint="cs"/>
          <w:rtl/>
        </w:rPr>
        <w:t xml:space="preserve"> מזה (ע"א 3995/19 המתייחס לשנת 2013).</w:t>
      </w:r>
    </w:p>
    <w:p w:rsidR="00CF54A5" w:rsidRDefault="00CF54A5" w:rsidP="00CF54A5">
      <w:pPr>
        <w:pStyle w:val="Ruller41"/>
        <w:rPr>
          <w:rtl/>
        </w:rPr>
      </w:pPr>
    </w:p>
    <w:p w:rsidR="00CF54A5" w:rsidRDefault="00CF54A5" w:rsidP="00CF54A5">
      <w:pPr>
        <w:pStyle w:val="Ruller41"/>
        <w:rPr>
          <w:rFonts w:ascii="Century" w:hAnsi="Century" w:cs="Miriam"/>
          <w:b/>
          <w:spacing w:val="0"/>
          <w:szCs w:val="24"/>
          <w:rtl/>
        </w:rPr>
      </w:pPr>
      <w:r w:rsidRPr="00D113F6">
        <w:rPr>
          <w:rFonts w:ascii="Century" w:hAnsi="Century" w:cs="Miriam" w:hint="cs"/>
          <w:b/>
          <w:spacing w:val="0"/>
          <w:szCs w:val="24"/>
          <w:rtl/>
        </w:rPr>
        <w:t>דיון והכרעה</w:t>
      </w:r>
    </w:p>
    <w:p w:rsidR="00CF54A5" w:rsidRDefault="00CF54A5" w:rsidP="00CF54A5">
      <w:pPr>
        <w:pStyle w:val="Ruller41"/>
        <w:rPr>
          <w:rFonts w:ascii="Century" w:hAnsi="Century"/>
          <w:rtl/>
        </w:rPr>
      </w:pPr>
    </w:p>
    <w:p w:rsidR="003F18E9" w:rsidRDefault="00CF54A5" w:rsidP="003F18E9">
      <w:pPr>
        <w:pStyle w:val="Ruller4"/>
        <w:tabs>
          <w:tab w:val="clear" w:pos="800"/>
          <w:tab w:val="clear" w:pos="907"/>
        </w:tabs>
      </w:pPr>
      <w:r w:rsidRPr="00CA1988">
        <w:rPr>
          <w:rFonts w:hint="cs"/>
          <w:rtl/>
        </w:rPr>
        <w:t>הערעורים</w:t>
      </w:r>
      <w:r>
        <w:rPr>
          <w:rFonts w:hint="cs"/>
          <w:rtl/>
        </w:rPr>
        <w:t xml:space="preserve"> שלפנינו נסובים סביב השאלה האם </w:t>
      </w:r>
      <w:proofErr w:type="spellStart"/>
      <w:r>
        <w:rPr>
          <w:rFonts w:hint="cs"/>
          <w:rtl/>
        </w:rPr>
        <w:t>הנישומות</w:t>
      </w:r>
      <w:proofErr w:type="spellEnd"/>
      <w:r>
        <w:rPr>
          <w:rFonts w:hint="cs"/>
          <w:rtl/>
        </w:rPr>
        <w:t xml:space="preserve"> עומדות בתנאים המזכים אותן בהטבת המס לפי חלופת המכירה לשוק גדול שבסעיף 18א(ג)(1)(ג) לחוק עידוד השקעות. כמובהר, המדובר בהטבת מס הניתנת מכוח סעיף 18א לחוק לנישום העונה לאחת משלוש החלופות להגדרת "מפעל תעשייתי" שהינו "בר-תחרות" הקבועות בסעיף 18א(ג)(1) לחוק. החלופה בה עסקינן היא החלופה השלישית להגדרה, חלופת המכירה לשוק גדול, שבעת הרלוונטית הציבה את הדרישה הבאה: "</w:t>
      </w:r>
      <w:r w:rsidRPr="002A3AD8">
        <w:rPr>
          <w:rFonts w:ascii="Century" w:hAnsi="Century" w:cs="Miriam"/>
          <w:b/>
          <w:spacing w:val="0"/>
          <w:sz w:val="22"/>
          <w:szCs w:val="24"/>
          <w:rtl/>
        </w:rPr>
        <w:t xml:space="preserve">25% </w:t>
      </w:r>
      <w:r w:rsidRPr="002A3AD8">
        <w:rPr>
          <w:rFonts w:ascii="Century" w:hAnsi="Century" w:cs="Miriam" w:hint="eastAsia"/>
          <w:b/>
          <w:spacing w:val="0"/>
          <w:sz w:val="22"/>
          <w:szCs w:val="24"/>
          <w:rtl/>
        </w:rPr>
        <w:t>או</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יותר</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מכלל</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הכנסתו</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בשנת</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המס</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ממכירות</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המפעל</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הן</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ממכירות</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בשוק</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מסוים</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המונה</w:t>
      </w:r>
      <w:r w:rsidRPr="002A3AD8">
        <w:rPr>
          <w:rFonts w:ascii="Century" w:hAnsi="Century" w:cs="Miriam"/>
          <w:b/>
          <w:spacing w:val="0"/>
          <w:sz w:val="22"/>
          <w:szCs w:val="24"/>
          <w:rtl/>
        </w:rPr>
        <w:t xml:space="preserve"> </w:t>
      </w:r>
      <w:r w:rsidRPr="002A3AD8">
        <w:rPr>
          <w:rFonts w:ascii="Century" w:hAnsi="Century" w:cs="Miriam" w:hint="cs"/>
          <w:b/>
          <w:spacing w:val="0"/>
          <w:sz w:val="22"/>
          <w:szCs w:val="24"/>
          <w:rtl/>
        </w:rPr>
        <w:t>12</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מיליון</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תושבים</w:t>
      </w:r>
      <w:r w:rsidRPr="002A3AD8">
        <w:rPr>
          <w:rFonts w:ascii="Century" w:hAnsi="Century" w:cs="Miriam"/>
          <w:b/>
          <w:spacing w:val="0"/>
          <w:sz w:val="22"/>
          <w:szCs w:val="24"/>
          <w:rtl/>
        </w:rPr>
        <w:t xml:space="preserve"> </w:t>
      </w:r>
      <w:r w:rsidRPr="002A3AD8">
        <w:rPr>
          <w:rFonts w:ascii="Century" w:hAnsi="Century" w:cs="Miriam" w:hint="eastAsia"/>
          <w:b/>
          <w:spacing w:val="0"/>
          <w:sz w:val="22"/>
          <w:szCs w:val="24"/>
          <w:rtl/>
        </w:rPr>
        <w:t>לפחות</w:t>
      </w:r>
      <w:r w:rsidRPr="006F6EFC">
        <w:rPr>
          <w:rFonts w:hint="cs"/>
          <w:rtl/>
        </w:rPr>
        <w:t>"</w:t>
      </w:r>
      <w:r>
        <w:rPr>
          <w:rFonts w:hint="cs"/>
          <w:rtl/>
        </w:rPr>
        <w:t xml:space="preserve">. </w:t>
      </w:r>
      <w:proofErr w:type="spellStart"/>
      <w:r>
        <w:rPr>
          <w:rFonts w:hint="cs"/>
          <w:rtl/>
        </w:rPr>
        <w:t>הנישומות</w:t>
      </w:r>
      <w:proofErr w:type="spellEnd"/>
      <w:r>
        <w:rPr>
          <w:rFonts w:hint="cs"/>
          <w:rtl/>
        </w:rPr>
        <w:t xml:space="preserve"> מבקשות לבוא בגדר חלופה זו בגין מכירותיהן בשוק הישראלי, ואין חולק כי אינן יכולות לבוא בגדרה בגין מכירות לשוק </w:t>
      </w:r>
      <w:r>
        <w:rPr>
          <w:rFonts w:hint="cs"/>
          <w:rtl/>
        </w:rPr>
        <w:lastRenderedPageBreak/>
        <w:t xml:space="preserve">זר כלשהו. המחלוקות בין הצדדים עוסקות בשתי שאלות מרכזיות: </w:t>
      </w:r>
      <w:r w:rsidRPr="002A3AD8">
        <w:rPr>
          <w:rFonts w:ascii="Century" w:hAnsi="Century" w:cs="Miriam" w:hint="cs"/>
          <w:b/>
          <w:spacing w:val="0"/>
          <w:sz w:val="22"/>
          <w:szCs w:val="24"/>
          <w:rtl/>
        </w:rPr>
        <w:t>ראשית</w:t>
      </w:r>
      <w:r>
        <w:rPr>
          <w:rFonts w:hint="cs"/>
          <w:rtl/>
        </w:rPr>
        <w:t xml:space="preserve">, האם יש לקרוא לתוך חלופת המכירה לשוק גדול את דרישת הייצוא, דהיינו הדרישה כי המכירה תהיה לשוק גדול </w:t>
      </w:r>
      <w:r w:rsidRPr="002A3AD8">
        <w:rPr>
          <w:rFonts w:ascii="Century" w:hAnsi="Century" w:cs="Miriam" w:hint="cs"/>
          <w:b/>
          <w:spacing w:val="0"/>
          <w:sz w:val="22"/>
          <w:szCs w:val="24"/>
          <w:u w:val="single"/>
          <w:rtl/>
        </w:rPr>
        <w:t>זר</w:t>
      </w:r>
      <w:r>
        <w:rPr>
          <w:rFonts w:hint="cs"/>
          <w:rtl/>
        </w:rPr>
        <w:t xml:space="preserve"> (להלן: </w:t>
      </w:r>
      <w:r w:rsidRPr="002A3AD8">
        <w:rPr>
          <w:rFonts w:ascii="Century" w:hAnsi="Century" w:cs="Miriam" w:hint="cs"/>
          <w:b/>
          <w:spacing w:val="0"/>
          <w:sz w:val="22"/>
          <w:szCs w:val="24"/>
          <w:rtl/>
        </w:rPr>
        <w:t>דרישת הייצוא</w:t>
      </w:r>
      <w:r>
        <w:rPr>
          <w:rFonts w:hint="cs"/>
          <w:rtl/>
        </w:rPr>
        <w:t xml:space="preserve">); </w:t>
      </w:r>
      <w:r w:rsidRPr="002A3AD8">
        <w:rPr>
          <w:rFonts w:ascii="Century" w:hAnsi="Century" w:cs="Miriam" w:hint="cs"/>
          <w:b/>
          <w:spacing w:val="0"/>
          <w:sz w:val="22"/>
          <w:szCs w:val="24"/>
          <w:rtl/>
        </w:rPr>
        <w:t>שנית</w:t>
      </w:r>
      <w:r>
        <w:rPr>
          <w:rFonts w:hint="cs"/>
          <w:rtl/>
        </w:rPr>
        <w:t xml:space="preserve">, בהנחה שאין לקרוא את דרישת הייצוא לתוך חלופת המכירה לשוק גדול, האם השוק הישראלי עמד בשנים 2011 ו-2012 בקריטריון גודל השוק שקבע המחוקק (להלן: </w:t>
      </w:r>
      <w:r w:rsidRPr="002A3AD8">
        <w:rPr>
          <w:rFonts w:ascii="Century" w:hAnsi="Century" w:cs="Miriam" w:hint="cs"/>
          <w:b/>
          <w:spacing w:val="0"/>
          <w:sz w:val="22"/>
          <w:szCs w:val="24"/>
          <w:rtl/>
        </w:rPr>
        <w:t>עמידת השוק הישראלי בקריטריון גודל השוק</w:t>
      </w:r>
      <w:r>
        <w:rPr>
          <w:rFonts w:hint="cs"/>
          <w:rtl/>
        </w:rPr>
        <w:t xml:space="preserve">). ודוק, על מנת </w:t>
      </w:r>
      <w:proofErr w:type="spellStart"/>
      <w:r>
        <w:rPr>
          <w:rFonts w:hint="cs"/>
          <w:rtl/>
        </w:rPr>
        <w:t>שהנישומות</w:t>
      </w:r>
      <w:proofErr w:type="spellEnd"/>
      <w:r>
        <w:rPr>
          <w:rFonts w:hint="cs"/>
          <w:rtl/>
        </w:rPr>
        <w:t xml:space="preserve"> יהיו זכאיות להטבת המס נדרש כי עמדתן תתקבל ביחס לשתי השאלות שבמחלוקת, דהיינו שייקבע כי חלופת המכירה לשוק גדול אינה מציבה דרישת </w:t>
      </w:r>
      <w:r w:rsidR="003F18E9">
        <w:rPr>
          <w:rFonts w:hint="cs"/>
          <w:rtl/>
        </w:rPr>
        <w:t>י</w:t>
      </w:r>
      <w:r>
        <w:rPr>
          <w:rFonts w:hint="cs"/>
          <w:rtl/>
        </w:rPr>
        <w:t xml:space="preserve">יצוא, וכי השוק הישראלי עמד בשנים 2011 ו-2012 בקריטריון גודל השוק. לעומת זאת, על מנת שתתקבל עמדת פקידי השומה די שתתקבל עמדתם ביחס לאחת מהשאלות שבמחלוקת. כזכור, בית משפט קמא קיבל את עמדת </w:t>
      </w:r>
      <w:proofErr w:type="spellStart"/>
      <w:r>
        <w:rPr>
          <w:rFonts w:hint="cs"/>
          <w:rtl/>
        </w:rPr>
        <w:t>הנישומות</w:t>
      </w:r>
      <w:proofErr w:type="spellEnd"/>
      <w:r>
        <w:rPr>
          <w:rFonts w:hint="cs"/>
          <w:rtl/>
        </w:rPr>
        <w:t xml:space="preserve"> ביחס לדרישת הייצוא, אך דחה את עמדתן ביחס לעמידת השוק הישראלי בקריטריון גודל השוק. </w:t>
      </w:r>
    </w:p>
    <w:p w:rsidR="003F18E9" w:rsidRDefault="003F18E9" w:rsidP="003F18E9">
      <w:pPr>
        <w:pStyle w:val="Ruller4"/>
        <w:numPr>
          <w:ilvl w:val="0"/>
          <w:numId w:val="0"/>
        </w:numPr>
        <w:tabs>
          <w:tab w:val="clear" w:pos="800"/>
        </w:tabs>
        <w:rPr>
          <w:rtl/>
        </w:rPr>
      </w:pPr>
    </w:p>
    <w:p w:rsidR="00CF54A5" w:rsidRDefault="00CF54A5" w:rsidP="003F18E9">
      <w:pPr>
        <w:pStyle w:val="Ruller4"/>
        <w:numPr>
          <w:ilvl w:val="0"/>
          <w:numId w:val="0"/>
        </w:numPr>
        <w:tabs>
          <w:tab w:val="clear" w:pos="800"/>
        </w:tabs>
        <w:ind w:firstLine="720"/>
        <w:rPr>
          <w:rtl/>
        </w:rPr>
      </w:pPr>
      <w:r>
        <w:rPr>
          <w:rFonts w:hint="cs"/>
          <w:rtl/>
        </w:rPr>
        <w:t>אקדים מסקנה לדיון, ואבהיר כי לשיטתי יש לקבל את עמדת פקידי השומה בשתי השאלות שבמחלוקת. ממילא דין הערעורים להידחות. להלן אפרט את נימוקיי.</w:t>
      </w:r>
    </w:p>
    <w:p w:rsidR="00CF54A5" w:rsidRDefault="00CF54A5" w:rsidP="00CF54A5">
      <w:pPr>
        <w:pStyle w:val="Ruller41"/>
        <w:rPr>
          <w:rFonts w:ascii="Century" w:hAnsi="Century"/>
          <w:rtl/>
        </w:rPr>
      </w:pPr>
    </w:p>
    <w:p w:rsidR="00CF54A5" w:rsidRDefault="00CF54A5" w:rsidP="00CF54A5">
      <w:pPr>
        <w:pStyle w:val="Ruller41"/>
        <w:rPr>
          <w:rFonts w:ascii="Century" w:hAnsi="Century" w:cs="Miriam"/>
          <w:b/>
          <w:spacing w:val="0"/>
          <w:szCs w:val="24"/>
          <w:rtl/>
        </w:rPr>
      </w:pPr>
      <w:r w:rsidRPr="00B91054">
        <w:rPr>
          <w:rFonts w:ascii="Century" w:hAnsi="Century" w:cs="Miriam" w:hint="cs"/>
          <w:b/>
          <w:spacing w:val="0"/>
          <w:szCs w:val="24"/>
          <w:rtl/>
        </w:rPr>
        <w:t>כללי הפרשנות בדיני המיסים</w:t>
      </w:r>
    </w:p>
    <w:p w:rsidR="00CF54A5" w:rsidRDefault="00CF54A5" w:rsidP="00CF54A5">
      <w:pPr>
        <w:pStyle w:val="Ruller41"/>
        <w:rPr>
          <w:rFonts w:ascii="Century" w:hAnsi="Century"/>
          <w:rtl/>
        </w:rPr>
      </w:pPr>
    </w:p>
    <w:p w:rsidR="00CF54A5" w:rsidRDefault="00CF54A5" w:rsidP="00CF54A5">
      <w:pPr>
        <w:pStyle w:val="Ruller4"/>
        <w:rPr>
          <w:rtl/>
        </w:rPr>
      </w:pPr>
      <w:r>
        <w:rPr>
          <w:rFonts w:hint="cs"/>
          <w:rtl/>
        </w:rPr>
        <w:t xml:space="preserve">אפתח בהצגה קצרה של כללי הפרשנות החלים בדיני המיסים </w:t>
      </w:r>
      <w:r>
        <w:rPr>
          <w:rtl/>
        </w:rPr>
        <w:t>–</w:t>
      </w:r>
      <w:r>
        <w:rPr>
          <w:rFonts w:hint="cs"/>
          <w:rtl/>
        </w:rPr>
        <w:t xml:space="preserve"> כללים אשר ילוו את מהלך דיוננו, הן ביחס לשאלה האם הטבת המס מותנית בדרישת ייצוא והן ביחס לבחינה האם השוק הישראלי עמד בקריטריון גודל השוק בשנים 2011 ו-2012.</w:t>
      </w:r>
    </w:p>
    <w:p w:rsidR="00CF54A5" w:rsidRPr="00493C81" w:rsidRDefault="00CF54A5" w:rsidP="00CF54A5">
      <w:pPr>
        <w:pStyle w:val="Ruller41"/>
        <w:rPr>
          <w:rtl/>
        </w:rPr>
      </w:pPr>
    </w:p>
    <w:p w:rsidR="00CF54A5" w:rsidRDefault="00CF54A5" w:rsidP="00CF54A5">
      <w:pPr>
        <w:pStyle w:val="Ruller4"/>
        <w:rPr>
          <w:rFonts w:ascii="FrankRuehl" w:hAnsi="FrankRuehl"/>
          <w:sz w:val="28"/>
          <w:rtl/>
        </w:rPr>
      </w:pPr>
      <w:r>
        <w:rPr>
          <w:rFonts w:hint="cs"/>
          <w:rtl/>
        </w:rPr>
        <w:t xml:space="preserve">הלכה מושרשת וידועה היא כי דיני המס כפופים לכללי הפרשנות הרגילים החלים על פרשנות חוקים, המאמצים את תורת הפרשנות התכליתית </w:t>
      </w:r>
      <w:r w:rsidRPr="00564883">
        <w:rPr>
          <w:rtl/>
        </w:rPr>
        <w:t>(</w:t>
      </w:r>
      <w:r>
        <w:rPr>
          <w:rFonts w:hint="cs"/>
          <w:rtl/>
        </w:rPr>
        <w:t xml:space="preserve">ראו, מיני רבים: </w:t>
      </w:r>
      <w:r w:rsidRPr="00564883">
        <w:rPr>
          <w:rtl/>
        </w:rPr>
        <w:t xml:space="preserve">ע"א 534/79 </w:t>
      </w:r>
      <w:r w:rsidRPr="00564883">
        <w:rPr>
          <w:rFonts w:cs="Miriam"/>
          <w:b/>
          <w:spacing w:val="0"/>
          <w:szCs w:val="24"/>
          <w:rtl/>
        </w:rPr>
        <w:t>אפרת נ' מדינת ישראל</w:t>
      </w:r>
      <w:r w:rsidRPr="00564883">
        <w:rPr>
          <w:rtl/>
        </w:rPr>
        <w:t>, פ"ד לה(4) 729, 735 (1985); ע</w:t>
      </w:r>
      <w:r>
        <w:rPr>
          <w:rFonts w:hint="cs"/>
          <w:rtl/>
        </w:rPr>
        <w:t xml:space="preserve">ניין </w:t>
      </w:r>
      <w:r w:rsidRPr="00564883">
        <w:rPr>
          <w:rFonts w:cs="Miriam"/>
          <w:b/>
          <w:spacing w:val="0"/>
          <w:szCs w:val="24"/>
          <w:rtl/>
        </w:rPr>
        <w:t>עיט ציוד ליבוא</w:t>
      </w:r>
      <w:r w:rsidRPr="00564883">
        <w:rPr>
          <w:rtl/>
        </w:rPr>
        <w:t xml:space="preserve">, </w:t>
      </w:r>
      <w:r>
        <w:rPr>
          <w:rFonts w:hint="cs"/>
          <w:rtl/>
        </w:rPr>
        <w:t xml:space="preserve">בעמ' 215-214; </w:t>
      </w:r>
      <w:r w:rsidRPr="00547427">
        <w:rPr>
          <w:rFonts w:ascii="Century" w:hAnsi="Century" w:hint="eastAsia"/>
          <w:sz w:val="22"/>
          <w:rtl/>
        </w:rPr>
        <w:t>ע</w:t>
      </w:r>
      <w:r w:rsidRPr="00547427">
        <w:rPr>
          <w:rFonts w:ascii="Century" w:hAnsi="Century"/>
          <w:sz w:val="22"/>
          <w:rtl/>
        </w:rPr>
        <w:t>"</w:t>
      </w:r>
      <w:r w:rsidRPr="00547427">
        <w:rPr>
          <w:rFonts w:ascii="Century" w:hAnsi="Century" w:hint="eastAsia"/>
          <w:sz w:val="22"/>
          <w:rtl/>
        </w:rPr>
        <w:t>א</w:t>
      </w:r>
      <w:r w:rsidRPr="00547427">
        <w:rPr>
          <w:rFonts w:ascii="Century" w:hAnsi="Century"/>
          <w:sz w:val="22"/>
          <w:rtl/>
        </w:rPr>
        <w:t xml:space="preserve"> 1779/18 </w:t>
      </w:r>
      <w:r w:rsidRPr="00547427">
        <w:rPr>
          <w:rFonts w:ascii="Century" w:hAnsi="Century" w:cs="Miriam" w:hint="eastAsia"/>
          <w:b/>
          <w:spacing w:val="0"/>
          <w:sz w:val="22"/>
          <w:szCs w:val="24"/>
          <w:rtl/>
        </w:rPr>
        <w:t>תלמי</w:t>
      </w:r>
      <w:r w:rsidRPr="00547427">
        <w:rPr>
          <w:rFonts w:ascii="Century" w:hAnsi="Century" w:cs="Miriam"/>
          <w:b/>
          <w:spacing w:val="0"/>
          <w:sz w:val="22"/>
          <w:szCs w:val="24"/>
          <w:rtl/>
        </w:rPr>
        <w:t xml:space="preserve"> </w:t>
      </w:r>
      <w:r w:rsidRPr="00547427">
        <w:rPr>
          <w:rFonts w:ascii="Century" w:hAnsi="Century" w:cs="Miriam" w:hint="eastAsia"/>
          <w:b/>
          <w:spacing w:val="0"/>
          <w:sz w:val="22"/>
          <w:szCs w:val="24"/>
          <w:rtl/>
        </w:rPr>
        <w:t>נ</w:t>
      </w:r>
      <w:r w:rsidRPr="00547427">
        <w:rPr>
          <w:rFonts w:ascii="Century" w:hAnsi="Century" w:cs="Miriam"/>
          <w:b/>
          <w:spacing w:val="0"/>
          <w:sz w:val="22"/>
          <w:szCs w:val="24"/>
          <w:rtl/>
        </w:rPr>
        <w:t xml:space="preserve">' </w:t>
      </w:r>
      <w:r w:rsidRPr="00547427">
        <w:rPr>
          <w:rFonts w:ascii="Century" w:hAnsi="Century" w:cs="Miriam" w:hint="eastAsia"/>
          <w:b/>
          <w:spacing w:val="0"/>
          <w:sz w:val="22"/>
          <w:szCs w:val="24"/>
          <w:rtl/>
        </w:rPr>
        <w:t>פקיד</w:t>
      </w:r>
      <w:r w:rsidRPr="00547427">
        <w:rPr>
          <w:rFonts w:ascii="Century" w:hAnsi="Century" w:cs="Miriam"/>
          <w:b/>
          <w:spacing w:val="0"/>
          <w:sz w:val="22"/>
          <w:szCs w:val="24"/>
          <w:rtl/>
        </w:rPr>
        <w:t xml:space="preserve"> </w:t>
      </w:r>
      <w:r w:rsidRPr="00547427">
        <w:rPr>
          <w:rFonts w:ascii="Century" w:hAnsi="Century" w:cs="Miriam" w:hint="eastAsia"/>
          <w:b/>
          <w:spacing w:val="0"/>
          <w:sz w:val="22"/>
          <w:szCs w:val="24"/>
          <w:rtl/>
        </w:rPr>
        <w:t>שומה</w:t>
      </w:r>
      <w:r w:rsidRPr="00547427">
        <w:rPr>
          <w:rFonts w:ascii="Century" w:hAnsi="Century" w:cs="Miriam"/>
          <w:b/>
          <w:spacing w:val="0"/>
          <w:sz w:val="22"/>
          <w:szCs w:val="24"/>
          <w:rtl/>
        </w:rPr>
        <w:t xml:space="preserve"> </w:t>
      </w:r>
      <w:r w:rsidRPr="00547427">
        <w:rPr>
          <w:rFonts w:ascii="Century" w:hAnsi="Century" w:cs="Miriam" w:hint="eastAsia"/>
          <w:b/>
          <w:spacing w:val="0"/>
          <w:sz w:val="22"/>
          <w:szCs w:val="24"/>
          <w:rtl/>
        </w:rPr>
        <w:t>כפר</w:t>
      </w:r>
      <w:r w:rsidRPr="00547427">
        <w:rPr>
          <w:rFonts w:ascii="Century" w:hAnsi="Century" w:cs="Miriam"/>
          <w:b/>
          <w:spacing w:val="0"/>
          <w:sz w:val="22"/>
          <w:szCs w:val="24"/>
          <w:rtl/>
        </w:rPr>
        <w:t xml:space="preserve"> </w:t>
      </w:r>
      <w:r w:rsidRPr="00547427">
        <w:rPr>
          <w:rFonts w:ascii="Century" w:hAnsi="Century" w:cs="Miriam" w:hint="eastAsia"/>
          <w:b/>
          <w:spacing w:val="0"/>
          <w:sz w:val="22"/>
          <w:szCs w:val="24"/>
          <w:rtl/>
        </w:rPr>
        <w:t>סבא</w:t>
      </w:r>
      <w:r>
        <w:rPr>
          <w:rFonts w:ascii="Century" w:hAnsi="Century" w:hint="cs"/>
          <w:sz w:val="22"/>
          <w:rtl/>
        </w:rPr>
        <w:t>, פסקה 36</w:t>
      </w:r>
      <w:r w:rsidRPr="00547427">
        <w:rPr>
          <w:rFonts w:ascii="Century" w:hAnsi="Century"/>
          <w:sz w:val="22"/>
          <w:rtl/>
        </w:rPr>
        <w:t xml:space="preserve"> (2.12.2020)</w:t>
      </w:r>
      <w:r w:rsidRPr="00564883">
        <w:rPr>
          <w:rtl/>
        </w:rPr>
        <w:t xml:space="preserve">). </w:t>
      </w:r>
      <w:r w:rsidRPr="00564883">
        <w:rPr>
          <w:rFonts w:ascii="FrankRuehl" w:hAnsi="FrankRuehl"/>
          <w:sz w:val="28"/>
          <w:rtl/>
        </w:rPr>
        <w:t xml:space="preserve">עמד על כך השופט (כתוארו אז) </w:t>
      </w:r>
      <w:r w:rsidRPr="00564883">
        <w:rPr>
          <w:rFonts w:cs="Miriam" w:hint="cs"/>
          <w:b/>
          <w:spacing w:val="0"/>
          <w:szCs w:val="24"/>
          <w:rtl/>
        </w:rPr>
        <w:t>אהרן ברק</w:t>
      </w:r>
      <w:r w:rsidRPr="00564883">
        <w:rPr>
          <w:rFonts w:ascii="FrankRuehl" w:hAnsi="FrankRuehl"/>
          <w:sz w:val="28"/>
          <w:rtl/>
        </w:rPr>
        <w:t>:</w:t>
      </w:r>
    </w:p>
    <w:p w:rsidR="00CF54A5" w:rsidRPr="00564883" w:rsidRDefault="00CF54A5" w:rsidP="00CF54A5">
      <w:pPr>
        <w:pStyle w:val="Ruller41"/>
        <w:rPr>
          <w:rtl/>
        </w:rPr>
      </w:pPr>
    </w:p>
    <w:p w:rsidR="00CF54A5" w:rsidRDefault="00CF54A5" w:rsidP="00CF54A5">
      <w:pPr>
        <w:pStyle w:val="ruller50"/>
        <w:rPr>
          <w:rFonts w:ascii="Century" w:hAnsi="Century" w:cs="FrankRuehl"/>
          <w:szCs w:val="28"/>
          <w:rtl/>
        </w:rPr>
      </w:pPr>
      <w:r w:rsidRPr="00564883">
        <w:rPr>
          <w:rFonts w:ascii="Century" w:hAnsi="Century" w:cs="FrankRuehl"/>
          <w:szCs w:val="28"/>
          <w:rtl/>
        </w:rPr>
        <w:t>כללים אלה, המשמשים לפירוש חוקים בדרך כלל, משמשים גם לפירושם של חוקי מסים. אין להם לחוק</w:t>
      </w:r>
      <w:r>
        <w:rPr>
          <w:rFonts w:ascii="Century" w:hAnsi="Century" w:cs="FrankRuehl"/>
          <w:szCs w:val="28"/>
          <w:rtl/>
        </w:rPr>
        <w:t>י המסים כללי פרשנות משלהם</w:t>
      </w:r>
      <w:r>
        <w:rPr>
          <w:rFonts w:ascii="Century" w:hAnsi="Century" w:cs="FrankRuehl" w:hint="cs"/>
          <w:szCs w:val="28"/>
          <w:rtl/>
        </w:rPr>
        <w:t xml:space="preserve">. </w:t>
      </w:r>
      <w:r w:rsidRPr="00564883">
        <w:rPr>
          <w:rFonts w:ascii="Century" w:hAnsi="Century" w:cs="FrankRuehl"/>
          <w:szCs w:val="28"/>
          <w:rtl/>
        </w:rPr>
        <w:t xml:space="preserve">כמו כל חוק אחר, גם לעניין חוק מס נקודת המוצא היא לשון החוק, והשאלה היא, אם לאפשרויות השונות יש עיגון, ולו מינימאלי, בלשון ההוראה. מבין האפשרויות הלשוניות השונות יש לבחור אותה אפשרות, המגשימה את מטרתה של חקיקת המס. לעתים מטרת החקיקה היא הטלת מס, </w:t>
      </w:r>
      <w:r w:rsidRPr="00564883">
        <w:rPr>
          <w:rFonts w:ascii="Century" w:hAnsi="Century" w:cs="FrankRuehl"/>
          <w:szCs w:val="28"/>
          <w:rtl/>
        </w:rPr>
        <w:lastRenderedPageBreak/>
        <w:t xml:space="preserve">ולעתים מטרתה היא פטור ממס. בזו כבזו על הפרשן </w:t>
      </w:r>
      <w:proofErr w:type="spellStart"/>
      <w:r w:rsidRPr="00564883">
        <w:rPr>
          <w:rFonts w:ascii="Century" w:hAnsi="Century" w:cs="FrankRuehl"/>
          <w:szCs w:val="28"/>
          <w:rtl/>
        </w:rPr>
        <w:t>ליתן</w:t>
      </w:r>
      <w:proofErr w:type="spellEnd"/>
      <w:r w:rsidRPr="00564883">
        <w:rPr>
          <w:rFonts w:ascii="Century" w:hAnsi="Century" w:cs="FrankRuehl"/>
          <w:szCs w:val="28"/>
          <w:rtl/>
        </w:rPr>
        <w:t xml:space="preserve"> אותו פירוש, המביא להגשמת תכלית החקיקה (</w:t>
      </w:r>
      <w:r>
        <w:rPr>
          <w:rFonts w:ascii="Century" w:hAnsi="Century" w:cs="FrankRuehl" w:hint="cs"/>
          <w:szCs w:val="28"/>
          <w:rtl/>
        </w:rPr>
        <w:t xml:space="preserve">ההפניות הפנימיות הושמטו; </w:t>
      </w:r>
      <w:r w:rsidRPr="00564883">
        <w:rPr>
          <w:rFonts w:ascii="Century" w:hAnsi="Century" w:cs="FrankRuehl"/>
          <w:szCs w:val="28"/>
          <w:rtl/>
        </w:rPr>
        <w:t xml:space="preserve">ע"א 165/82 </w:t>
      </w:r>
      <w:r w:rsidRPr="00564883">
        <w:rPr>
          <w:rFonts w:ascii="Century" w:hAnsi="Century" w:cs="Miriam"/>
          <w:b/>
          <w:spacing w:val="0"/>
          <w:szCs w:val="24"/>
          <w:rtl/>
        </w:rPr>
        <w:t>קיבוץ חצור נ' פקיד שומה רחובות</w:t>
      </w:r>
      <w:r w:rsidRPr="00564883">
        <w:rPr>
          <w:rFonts w:ascii="Century" w:hAnsi="Century" w:cs="FrankRuehl"/>
          <w:szCs w:val="28"/>
          <w:rtl/>
        </w:rPr>
        <w:t xml:space="preserve">, פ"ד לט(2) 70, 75 (1985) (להלן: </w:t>
      </w:r>
      <w:r w:rsidRPr="00564883">
        <w:rPr>
          <w:rFonts w:ascii="Century" w:hAnsi="Century" w:cs="Miriam" w:hint="cs"/>
          <w:b/>
          <w:spacing w:val="0"/>
          <w:szCs w:val="24"/>
          <w:rtl/>
        </w:rPr>
        <w:t>עניין חצור</w:t>
      </w:r>
      <w:r w:rsidRPr="00564883">
        <w:rPr>
          <w:rFonts w:ascii="Century" w:hAnsi="Century" w:cs="FrankRuehl"/>
          <w:szCs w:val="28"/>
          <w:rtl/>
        </w:rPr>
        <w:t>)).</w:t>
      </w:r>
    </w:p>
    <w:p w:rsidR="00CF54A5" w:rsidRDefault="00CF54A5" w:rsidP="00CF54A5">
      <w:pPr>
        <w:pStyle w:val="ruller50"/>
        <w:rPr>
          <w:rFonts w:ascii="Century" w:hAnsi="Century" w:cs="FrankRuehl"/>
          <w:szCs w:val="28"/>
          <w:rtl/>
        </w:rPr>
      </w:pPr>
    </w:p>
    <w:p w:rsidR="00CF54A5" w:rsidRPr="00564883" w:rsidRDefault="00CF54A5" w:rsidP="00CF54A5">
      <w:pPr>
        <w:pStyle w:val="ruller50"/>
        <w:rPr>
          <w:rFonts w:ascii="Century" w:hAnsi="Century" w:cs="FrankRuehl"/>
          <w:szCs w:val="28"/>
          <w:rtl/>
        </w:rPr>
      </w:pPr>
    </w:p>
    <w:p w:rsidR="00CF54A5" w:rsidRDefault="00CF54A5" w:rsidP="00CF54A5">
      <w:pPr>
        <w:pStyle w:val="Ruller4"/>
        <w:rPr>
          <w:rtl/>
        </w:rPr>
      </w:pPr>
      <w:r>
        <w:rPr>
          <w:rFonts w:hint="cs"/>
          <w:rtl/>
        </w:rPr>
        <w:t xml:space="preserve">הנה כי כן, נקודת המוצא היא לשון החוק, כאשר מבין האפשרויות הלשוניות השונות יש לבחור בפרשנות אשר מגשימה את התכלית המונחת בבסיסו של החוק </w:t>
      </w:r>
      <w:r>
        <w:rPr>
          <w:rtl/>
        </w:rPr>
        <w:t>–</w:t>
      </w:r>
      <w:r>
        <w:rPr>
          <w:rFonts w:hint="cs"/>
          <w:rtl/>
        </w:rPr>
        <w:t xml:space="preserve"> ובעניינו חוק עידוד השקעות (</w:t>
      </w:r>
      <w:r w:rsidRPr="00F224BE">
        <w:rPr>
          <w:rFonts w:hint="eastAsia"/>
          <w:rtl/>
        </w:rPr>
        <w:t>ע</w:t>
      </w:r>
      <w:r w:rsidRPr="00F224BE">
        <w:rPr>
          <w:rtl/>
        </w:rPr>
        <w:t>"</w:t>
      </w:r>
      <w:r w:rsidRPr="00F224BE">
        <w:rPr>
          <w:rFonts w:hint="eastAsia"/>
          <w:rtl/>
        </w:rPr>
        <w:t>א</w:t>
      </w:r>
      <w:r w:rsidRPr="00F224BE">
        <w:rPr>
          <w:rtl/>
        </w:rPr>
        <w:t xml:space="preserve"> 8569/06 </w:t>
      </w:r>
      <w:r w:rsidRPr="00F224BE">
        <w:rPr>
          <w:rFonts w:ascii="Century" w:hAnsi="Century" w:cs="Miriam" w:hint="eastAsia"/>
          <w:b/>
          <w:spacing w:val="0"/>
          <w:sz w:val="22"/>
          <w:szCs w:val="24"/>
          <w:rtl/>
        </w:rPr>
        <w:t>מנהל</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מיסוי</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מקרקעין</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חיפה</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נ</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פוליטי</w:t>
      </w:r>
      <w:r w:rsidRPr="00F224BE">
        <w:rPr>
          <w:rtl/>
        </w:rPr>
        <w:t xml:space="preserve">, </w:t>
      </w:r>
      <w:r>
        <w:rPr>
          <w:rFonts w:hint="cs"/>
          <w:rtl/>
        </w:rPr>
        <w:t xml:space="preserve">פ"ד </w:t>
      </w:r>
      <w:r w:rsidRPr="00F224BE">
        <w:rPr>
          <w:rFonts w:hint="eastAsia"/>
          <w:rtl/>
        </w:rPr>
        <w:t>סב</w:t>
      </w:r>
      <w:r w:rsidRPr="00F224BE">
        <w:rPr>
          <w:rtl/>
        </w:rPr>
        <w:t>(4) 280</w:t>
      </w:r>
      <w:r>
        <w:rPr>
          <w:rFonts w:hint="cs"/>
          <w:rtl/>
        </w:rPr>
        <w:t>, 302</w:t>
      </w:r>
      <w:r w:rsidRPr="00F224BE">
        <w:rPr>
          <w:rtl/>
        </w:rPr>
        <w:t xml:space="preserve"> (2008)</w:t>
      </w:r>
      <w:r>
        <w:rPr>
          <w:rFonts w:hint="cs"/>
          <w:rtl/>
        </w:rPr>
        <w:t xml:space="preserve">; </w:t>
      </w:r>
      <w:r>
        <w:rPr>
          <w:rFonts w:ascii="Arimo" w:hAnsi="Arimo"/>
          <w:rtl/>
        </w:rPr>
        <w:t>ע"א 8570</w:t>
      </w:r>
      <w:r>
        <w:rPr>
          <w:rFonts w:ascii="Arimo" w:hAnsi="Arimo" w:hint="cs"/>
          <w:rtl/>
        </w:rPr>
        <w:t>/</w:t>
      </w:r>
      <w:r>
        <w:rPr>
          <w:rFonts w:ascii="Arimo" w:hAnsi="Arimo"/>
          <w:rtl/>
        </w:rPr>
        <w:t xml:space="preserve">06 </w:t>
      </w:r>
      <w:r w:rsidRPr="00F224BE">
        <w:rPr>
          <w:rFonts w:ascii="Century" w:hAnsi="Century" w:cs="Miriam"/>
          <w:b/>
          <w:spacing w:val="0"/>
          <w:sz w:val="22"/>
          <w:szCs w:val="24"/>
          <w:rtl/>
        </w:rPr>
        <w:t xml:space="preserve">פקיד שומה תל אביב 5 ואח' נ' </w:t>
      </w:r>
      <w:proofErr w:type="spellStart"/>
      <w:r w:rsidRPr="00F224BE">
        <w:rPr>
          <w:rFonts w:ascii="Century" w:hAnsi="Century" w:cs="Miriam"/>
          <w:b/>
          <w:spacing w:val="0"/>
          <w:sz w:val="22"/>
          <w:szCs w:val="24"/>
          <w:rtl/>
        </w:rPr>
        <w:t>בז'ה</w:t>
      </w:r>
      <w:proofErr w:type="spellEnd"/>
      <w:r>
        <w:rPr>
          <w:rFonts w:ascii="Arimo" w:hAnsi="Arimo" w:hint="cs"/>
          <w:rtl/>
        </w:rPr>
        <w:t>, פסקה ל' (12.3.2009)</w:t>
      </w:r>
      <w:r>
        <w:rPr>
          <w:rFonts w:hint="cs"/>
          <w:rtl/>
        </w:rPr>
        <w:t>). תכלית החוק היא הערכים והאינטרסים שהחוק נועד להגשים, עליהם ניתן ללמוד, בין השאר, מלשון החוק, ממיקומה והקשרה של ההוראה בחוק, מההיסטוריה החקיקתית, מעקרונות היסוד של השיטה ומכל מקור אמין אחר (</w:t>
      </w:r>
      <w:r w:rsidRPr="00F224BE">
        <w:rPr>
          <w:rFonts w:ascii="Arimo" w:hAnsi="Arimo" w:hint="eastAsia"/>
          <w:rtl/>
        </w:rPr>
        <w:t>ע</w:t>
      </w:r>
      <w:r w:rsidRPr="00F224BE">
        <w:rPr>
          <w:rFonts w:ascii="Arimo" w:hAnsi="Arimo"/>
          <w:rtl/>
        </w:rPr>
        <w:t>"</w:t>
      </w:r>
      <w:r w:rsidRPr="00F224BE">
        <w:rPr>
          <w:rFonts w:ascii="Arimo" w:hAnsi="Arimo" w:hint="eastAsia"/>
          <w:rtl/>
        </w:rPr>
        <w:t>א</w:t>
      </w:r>
      <w:r w:rsidRPr="00F224BE">
        <w:rPr>
          <w:rFonts w:ascii="Arimo" w:hAnsi="Arimo"/>
          <w:rtl/>
        </w:rPr>
        <w:t xml:space="preserve"> 93/88 </w:t>
      </w:r>
      <w:r w:rsidRPr="00F224BE">
        <w:rPr>
          <w:rFonts w:ascii="Century" w:hAnsi="Century" w:cs="Miriam" w:hint="eastAsia"/>
          <w:b/>
          <w:spacing w:val="0"/>
          <w:sz w:val="22"/>
          <w:szCs w:val="24"/>
          <w:rtl/>
        </w:rPr>
        <w:t>מעבדות</w:t>
      </w:r>
      <w:r w:rsidRPr="00F224BE">
        <w:rPr>
          <w:rFonts w:ascii="Century" w:hAnsi="Century" w:cs="Miriam"/>
          <w:b/>
          <w:spacing w:val="0"/>
          <w:sz w:val="22"/>
          <w:szCs w:val="24"/>
          <w:rtl/>
        </w:rPr>
        <w:t xml:space="preserve"> </w:t>
      </w:r>
      <w:proofErr w:type="spellStart"/>
      <w:r w:rsidRPr="00F224BE">
        <w:rPr>
          <w:rFonts w:ascii="Century" w:hAnsi="Century" w:cs="Miriam" w:hint="eastAsia"/>
          <w:b/>
          <w:spacing w:val="0"/>
          <w:sz w:val="22"/>
          <w:szCs w:val="24"/>
          <w:rtl/>
        </w:rPr>
        <w:t>טרבינול</w:t>
      </w:r>
      <w:proofErr w:type="spellEnd"/>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ישראל</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בע</w:t>
      </w:r>
      <w:r w:rsidRPr="00F224BE">
        <w:rPr>
          <w:rFonts w:ascii="Century" w:hAnsi="Century" w:cs="Miriam"/>
          <w:b/>
          <w:spacing w:val="0"/>
          <w:sz w:val="22"/>
          <w:szCs w:val="24"/>
          <w:rtl/>
        </w:rPr>
        <w:t>"</w:t>
      </w:r>
      <w:r w:rsidRPr="00F224BE">
        <w:rPr>
          <w:rFonts w:ascii="Century" w:hAnsi="Century" w:cs="Miriam" w:hint="eastAsia"/>
          <w:b/>
          <w:spacing w:val="0"/>
          <w:sz w:val="22"/>
          <w:szCs w:val="24"/>
          <w:rtl/>
        </w:rPr>
        <w:t>מ</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נ</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פקיד</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שומה</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למפעלים</w:t>
      </w:r>
      <w:r w:rsidRPr="00F224BE">
        <w:rPr>
          <w:rFonts w:ascii="Century" w:hAnsi="Century" w:cs="Miriam"/>
          <w:b/>
          <w:spacing w:val="0"/>
          <w:sz w:val="22"/>
          <w:szCs w:val="24"/>
          <w:rtl/>
        </w:rPr>
        <w:t xml:space="preserve"> </w:t>
      </w:r>
      <w:r w:rsidRPr="00F224BE">
        <w:rPr>
          <w:rFonts w:ascii="Century" w:hAnsi="Century" w:cs="Miriam" w:hint="eastAsia"/>
          <w:b/>
          <w:spacing w:val="0"/>
          <w:sz w:val="22"/>
          <w:szCs w:val="24"/>
          <w:rtl/>
        </w:rPr>
        <w:t>גדולים</w:t>
      </w:r>
      <w:r w:rsidRPr="00F224BE">
        <w:rPr>
          <w:rFonts w:ascii="Arimo" w:hAnsi="Arimo"/>
          <w:rtl/>
        </w:rPr>
        <w:t xml:space="preserve">, </w:t>
      </w:r>
      <w:r w:rsidRPr="00F224BE">
        <w:rPr>
          <w:rFonts w:ascii="Arimo" w:hAnsi="Arimo" w:hint="eastAsia"/>
          <w:rtl/>
        </w:rPr>
        <w:t>פ</w:t>
      </w:r>
      <w:r w:rsidRPr="00F224BE">
        <w:rPr>
          <w:rFonts w:ascii="Arimo" w:hAnsi="Arimo"/>
          <w:rtl/>
        </w:rPr>
        <w:t>"</w:t>
      </w:r>
      <w:r w:rsidRPr="00F224BE">
        <w:rPr>
          <w:rFonts w:ascii="Arimo" w:hAnsi="Arimo" w:hint="eastAsia"/>
          <w:rtl/>
        </w:rPr>
        <w:t>ד</w:t>
      </w:r>
      <w:r w:rsidRPr="00F224BE">
        <w:rPr>
          <w:rFonts w:ascii="Arimo" w:hAnsi="Arimo"/>
          <w:rtl/>
        </w:rPr>
        <w:t xml:space="preserve"> </w:t>
      </w:r>
      <w:r w:rsidRPr="00F224BE">
        <w:rPr>
          <w:rFonts w:ascii="Arimo" w:hAnsi="Arimo" w:hint="eastAsia"/>
          <w:rtl/>
        </w:rPr>
        <w:t>מו</w:t>
      </w:r>
      <w:r w:rsidRPr="00F224BE">
        <w:rPr>
          <w:rFonts w:ascii="Arimo" w:hAnsi="Arimo"/>
          <w:rtl/>
        </w:rPr>
        <w:t xml:space="preserve">(2) 385, 396 (1992); </w:t>
      </w:r>
      <w:r>
        <w:rPr>
          <w:rFonts w:ascii="Arimo" w:hAnsi="Arimo"/>
          <w:rtl/>
        </w:rPr>
        <w:t>ע"א 41</w:t>
      </w:r>
      <w:r>
        <w:rPr>
          <w:rFonts w:ascii="Arimo" w:hAnsi="Arimo" w:hint="cs"/>
          <w:rtl/>
        </w:rPr>
        <w:t>/</w:t>
      </w:r>
      <w:r>
        <w:rPr>
          <w:rFonts w:ascii="Arimo" w:hAnsi="Arimo"/>
          <w:rtl/>
        </w:rPr>
        <w:t xml:space="preserve">96 </w:t>
      </w:r>
      <w:proofErr w:type="spellStart"/>
      <w:r w:rsidRPr="00F224BE">
        <w:rPr>
          <w:rFonts w:ascii="Century" w:hAnsi="Century" w:cs="Miriam"/>
          <w:b/>
          <w:spacing w:val="0"/>
          <w:sz w:val="22"/>
          <w:szCs w:val="24"/>
          <w:rtl/>
        </w:rPr>
        <w:t>קסוטו</w:t>
      </w:r>
      <w:proofErr w:type="spellEnd"/>
      <w:r w:rsidRPr="00F224BE">
        <w:rPr>
          <w:rFonts w:ascii="Century" w:hAnsi="Century" w:cs="Miriam"/>
          <w:b/>
          <w:spacing w:val="0"/>
          <w:sz w:val="22"/>
          <w:szCs w:val="24"/>
          <w:rtl/>
        </w:rPr>
        <w:t xml:space="preserve"> סוכנויות ביטוח בע"מ נ' מנהל מס ערך מוסף</w:t>
      </w:r>
      <w:r>
        <w:rPr>
          <w:rFonts w:ascii="Arimo" w:hAnsi="Arimo"/>
          <w:rtl/>
        </w:rPr>
        <w:t xml:space="preserve">, פ"ד </w:t>
      </w:r>
      <w:proofErr w:type="spellStart"/>
      <w:r>
        <w:rPr>
          <w:rFonts w:ascii="Arimo" w:hAnsi="Arimo"/>
          <w:rtl/>
        </w:rPr>
        <w:t>נג</w:t>
      </w:r>
      <w:proofErr w:type="spellEnd"/>
      <w:r>
        <w:rPr>
          <w:rFonts w:ascii="Arimo" w:hAnsi="Arimo"/>
          <w:rtl/>
        </w:rPr>
        <w:t>(1) 862</w:t>
      </w:r>
      <w:r>
        <w:rPr>
          <w:rFonts w:hint="cs"/>
          <w:rtl/>
        </w:rPr>
        <w:t xml:space="preserve">, 872 (1999); </w:t>
      </w:r>
      <w:r w:rsidRPr="00E67448">
        <w:rPr>
          <w:rFonts w:hint="eastAsia"/>
          <w:rtl/>
        </w:rPr>
        <w:t>ע</w:t>
      </w:r>
      <w:r w:rsidRPr="00E67448">
        <w:rPr>
          <w:rtl/>
        </w:rPr>
        <w:t>"</w:t>
      </w:r>
      <w:r w:rsidRPr="00E67448">
        <w:rPr>
          <w:rFonts w:hint="eastAsia"/>
          <w:rtl/>
        </w:rPr>
        <w:t>א</w:t>
      </w:r>
      <w:r w:rsidRPr="00E67448">
        <w:rPr>
          <w:rtl/>
        </w:rPr>
        <w:t xml:space="preserve"> 3185/03 </w:t>
      </w:r>
      <w:r w:rsidRPr="00E67448">
        <w:rPr>
          <w:rFonts w:ascii="Century" w:hAnsi="Century" w:cs="Miriam" w:hint="eastAsia"/>
          <w:b/>
          <w:spacing w:val="0"/>
          <w:sz w:val="22"/>
          <w:szCs w:val="24"/>
          <w:rtl/>
        </w:rPr>
        <w:t>מנהל</w:t>
      </w:r>
      <w:r w:rsidRPr="00E67448">
        <w:rPr>
          <w:rFonts w:ascii="Century" w:hAnsi="Century" w:cs="Miriam"/>
          <w:b/>
          <w:spacing w:val="0"/>
          <w:sz w:val="22"/>
          <w:szCs w:val="24"/>
          <w:rtl/>
        </w:rPr>
        <w:t xml:space="preserve"> </w:t>
      </w:r>
      <w:r w:rsidRPr="00E67448">
        <w:rPr>
          <w:rFonts w:ascii="Century" w:hAnsi="Century" w:cs="Miriam" w:hint="eastAsia"/>
          <w:b/>
          <w:spacing w:val="0"/>
          <w:sz w:val="22"/>
          <w:szCs w:val="24"/>
          <w:rtl/>
        </w:rPr>
        <w:t>מס</w:t>
      </w:r>
      <w:r w:rsidRPr="00E67448">
        <w:rPr>
          <w:rFonts w:ascii="Century" w:hAnsi="Century" w:cs="Miriam"/>
          <w:b/>
          <w:spacing w:val="0"/>
          <w:sz w:val="22"/>
          <w:szCs w:val="24"/>
          <w:rtl/>
        </w:rPr>
        <w:t xml:space="preserve"> </w:t>
      </w:r>
      <w:r w:rsidRPr="00E67448">
        <w:rPr>
          <w:rFonts w:ascii="Century" w:hAnsi="Century" w:cs="Miriam" w:hint="eastAsia"/>
          <w:b/>
          <w:spacing w:val="0"/>
          <w:sz w:val="22"/>
          <w:szCs w:val="24"/>
          <w:rtl/>
        </w:rPr>
        <w:t>שבח</w:t>
      </w:r>
      <w:r w:rsidRPr="00E67448">
        <w:rPr>
          <w:rFonts w:ascii="Century" w:hAnsi="Century" w:cs="Miriam"/>
          <w:b/>
          <w:spacing w:val="0"/>
          <w:sz w:val="22"/>
          <w:szCs w:val="24"/>
          <w:rtl/>
        </w:rPr>
        <w:t xml:space="preserve"> </w:t>
      </w:r>
      <w:r w:rsidRPr="00E67448">
        <w:rPr>
          <w:rFonts w:ascii="Century" w:hAnsi="Century" w:cs="Miriam" w:hint="eastAsia"/>
          <w:b/>
          <w:spacing w:val="0"/>
          <w:sz w:val="22"/>
          <w:szCs w:val="24"/>
          <w:rtl/>
        </w:rPr>
        <w:t>מקרקעין</w:t>
      </w:r>
      <w:r w:rsidRPr="00E67448">
        <w:rPr>
          <w:rFonts w:ascii="Century" w:hAnsi="Century" w:cs="Miriam"/>
          <w:b/>
          <w:spacing w:val="0"/>
          <w:sz w:val="22"/>
          <w:szCs w:val="24"/>
          <w:rtl/>
        </w:rPr>
        <w:t xml:space="preserve">, </w:t>
      </w:r>
      <w:r w:rsidRPr="00E67448">
        <w:rPr>
          <w:rFonts w:ascii="Century" w:hAnsi="Century" w:cs="Miriam" w:hint="eastAsia"/>
          <w:b/>
          <w:spacing w:val="0"/>
          <w:sz w:val="22"/>
          <w:szCs w:val="24"/>
          <w:rtl/>
        </w:rPr>
        <w:t>מרכז</w:t>
      </w:r>
      <w:r w:rsidRPr="00E67448">
        <w:rPr>
          <w:rFonts w:ascii="Century" w:hAnsi="Century" w:cs="Miriam"/>
          <w:b/>
          <w:spacing w:val="0"/>
          <w:sz w:val="22"/>
          <w:szCs w:val="24"/>
          <w:rtl/>
        </w:rPr>
        <w:t xml:space="preserve"> </w:t>
      </w:r>
      <w:r w:rsidRPr="00E67448">
        <w:rPr>
          <w:rFonts w:ascii="Century" w:hAnsi="Century" w:cs="Miriam" w:hint="eastAsia"/>
          <w:b/>
          <w:spacing w:val="0"/>
          <w:sz w:val="22"/>
          <w:szCs w:val="24"/>
          <w:rtl/>
        </w:rPr>
        <w:t>נ</w:t>
      </w:r>
      <w:r w:rsidRPr="00E67448">
        <w:rPr>
          <w:rFonts w:ascii="Century" w:hAnsi="Century" w:cs="Miriam"/>
          <w:b/>
          <w:spacing w:val="0"/>
          <w:sz w:val="22"/>
          <w:szCs w:val="24"/>
          <w:rtl/>
        </w:rPr>
        <w:t xml:space="preserve">' </w:t>
      </w:r>
      <w:proofErr w:type="spellStart"/>
      <w:r w:rsidRPr="00E67448">
        <w:rPr>
          <w:rFonts w:ascii="Century" w:hAnsi="Century" w:cs="Miriam" w:hint="eastAsia"/>
          <w:b/>
          <w:spacing w:val="0"/>
          <w:sz w:val="22"/>
          <w:szCs w:val="24"/>
          <w:rtl/>
        </w:rPr>
        <w:t>פלם</w:t>
      </w:r>
      <w:proofErr w:type="spellEnd"/>
      <w:r w:rsidRPr="00E67448">
        <w:rPr>
          <w:rtl/>
        </w:rPr>
        <w:t xml:space="preserve">, </w:t>
      </w:r>
      <w:r w:rsidRPr="00E67448">
        <w:rPr>
          <w:rFonts w:hint="eastAsia"/>
          <w:rtl/>
        </w:rPr>
        <w:t>פ</w:t>
      </w:r>
      <w:r w:rsidRPr="00E67448">
        <w:rPr>
          <w:rtl/>
        </w:rPr>
        <w:t>"</w:t>
      </w:r>
      <w:r w:rsidRPr="00E67448">
        <w:rPr>
          <w:rFonts w:hint="eastAsia"/>
          <w:rtl/>
        </w:rPr>
        <w:t>ד</w:t>
      </w:r>
      <w:r w:rsidRPr="00E67448">
        <w:rPr>
          <w:rtl/>
        </w:rPr>
        <w:t xml:space="preserve"> </w:t>
      </w:r>
      <w:r w:rsidRPr="00E67448">
        <w:rPr>
          <w:rFonts w:hint="eastAsia"/>
          <w:rtl/>
        </w:rPr>
        <w:t>נט</w:t>
      </w:r>
      <w:r>
        <w:rPr>
          <w:rtl/>
        </w:rPr>
        <w:t>(1) 123, 13</w:t>
      </w:r>
      <w:r>
        <w:rPr>
          <w:rFonts w:hint="cs"/>
          <w:rtl/>
        </w:rPr>
        <w:t>1-130</w:t>
      </w:r>
      <w:r>
        <w:rPr>
          <w:rtl/>
        </w:rPr>
        <w:t xml:space="preserve"> (2004)</w:t>
      </w:r>
      <w:r>
        <w:rPr>
          <w:rFonts w:hint="cs"/>
          <w:rtl/>
        </w:rPr>
        <w:t>). זאת ועוד, כאשר עסקינן בפרשנות חוקי המס</w:t>
      </w:r>
      <w:r w:rsidRPr="00E67448">
        <w:rPr>
          <w:rFonts w:ascii="Century" w:hAnsi="Century" w:hint="cs"/>
          <w:sz w:val="22"/>
          <w:rtl/>
        </w:rPr>
        <w:t>, "</w:t>
      </w:r>
      <w:r w:rsidRPr="00E67448">
        <w:rPr>
          <w:rFonts w:ascii="Century" w:hAnsi="Century" w:cs="Miriam" w:hint="cs"/>
          <w:b/>
          <w:spacing w:val="0"/>
          <w:sz w:val="22"/>
          <w:szCs w:val="24"/>
          <w:rtl/>
        </w:rPr>
        <w:t>יש להביא בחשבון גם את העקרונות העומדים בבסיס שיטת המס הנהוגה; את ההיגיון הכלכלי והתכלית הפיסקאלית של החוק; את המדיניות הכלכלית והחברתית שביקש המחוקק לקדם באמצעות ההוראות העומדות לפירוש</w:t>
      </w:r>
      <w:r w:rsidRPr="00E67448">
        <w:rPr>
          <w:rFonts w:ascii="Century" w:hAnsi="Century" w:hint="cs"/>
          <w:sz w:val="22"/>
          <w:rtl/>
        </w:rPr>
        <w:t>"</w:t>
      </w:r>
      <w:r w:rsidRPr="00E67448">
        <w:rPr>
          <w:rFonts w:ascii="Century" w:hAnsi="Century"/>
          <w:sz w:val="22"/>
          <w:rtl/>
        </w:rPr>
        <w:t xml:space="preserve"> (ע"א 7034/99 </w:t>
      </w:r>
      <w:r w:rsidRPr="00E67448">
        <w:rPr>
          <w:rFonts w:ascii="Century" w:hAnsi="Century" w:cs="Miriam"/>
          <w:b/>
          <w:spacing w:val="0"/>
          <w:sz w:val="22"/>
          <w:szCs w:val="24"/>
          <w:rtl/>
        </w:rPr>
        <w:t>פקיד שומה כפר סבא נ' דר</w:t>
      </w:r>
      <w:r w:rsidRPr="00E67448">
        <w:rPr>
          <w:rFonts w:ascii="Century" w:hAnsi="Century"/>
          <w:sz w:val="22"/>
          <w:rtl/>
        </w:rPr>
        <w:t xml:space="preserve">, פ"ד נח(4) 913, 925 (2004). </w:t>
      </w:r>
      <w:r w:rsidRPr="00E67448">
        <w:rPr>
          <w:rFonts w:ascii="FrankRuehl" w:hAnsi="FrankRuehl"/>
          <w:sz w:val="28"/>
          <w:rtl/>
        </w:rPr>
        <w:t>ראו גם:</w:t>
      </w:r>
      <w:r w:rsidRPr="00E67448">
        <w:rPr>
          <w:rFonts w:ascii="FrankRuehl" w:hAnsi="FrankRuehl" w:hint="cs"/>
          <w:sz w:val="28"/>
          <w:rtl/>
        </w:rPr>
        <w:t xml:space="preserve"> </w:t>
      </w:r>
      <w:r w:rsidRPr="00E67448">
        <w:rPr>
          <w:rFonts w:ascii="Arimo" w:hAnsi="Arimo"/>
          <w:rtl/>
        </w:rPr>
        <w:t>ע"א 1240</w:t>
      </w:r>
      <w:r w:rsidRPr="00E67448">
        <w:rPr>
          <w:rFonts w:ascii="Arimo" w:hAnsi="Arimo" w:hint="cs"/>
          <w:rtl/>
        </w:rPr>
        <w:t>/</w:t>
      </w:r>
      <w:r w:rsidRPr="00E67448">
        <w:rPr>
          <w:rFonts w:ascii="Arimo" w:hAnsi="Arimo"/>
          <w:rtl/>
        </w:rPr>
        <w:t xml:space="preserve">00 </w:t>
      </w:r>
      <w:r w:rsidRPr="00E67448">
        <w:rPr>
          <w:rFonts w:ascii="Century" w:hAnsi="Century" w:cs="Miriam"/>
          <w:b/>
          <w:spacing w:val="0"/>
          <w:sz w:val="22"/>
          <w:szCs w:val="24"/>
          <w:rtl/>
        </w:rPr>
        <w:t>פקיד שומה תל-אביב 1 נ' סיוון</w:t>
      </w:r>
      <w:r w:rsidRPr="00E67448">
        <w:rPr>
          <w:rFonts w:ascii="Arimo" w:hAnsi="Arimo"/>
          <w:rtl/>
        </w:rPr>
        <w:t>,</w:t>
      </w:r>
      <w:r w:rsidRPr="00E67448">
        <w:rPr>
          <w:rFonts w:ascii="Arimo" w:hAnsi="Arimo" w:hint="cs"/>
          <w:rtl/>
        </w:rPr>
        <w:t xml:space="preserve"> פ"ד</w:t>
      </w:r>
      <w:r w:rsidRPr="00E67448">
        <w:rPr>
          <w:rFonts w:ascii="Arimo" w:hAnsi="Arimo"/>
          <w:rtl/>
        </w:rPr>
        <w:t xml:space="preserve"> נט(4) 588</w:t>
      </w:r>
      <w:r w:rsidRPr="00E67448">
        <w:rPr>
          <w:rFonts w:ascii="Arimo" w:hAnsi="Arimo" w:hint="cs"/>
          <w:rtl/>
        </w:rPr>
        <w:t>, 610-609 (2005)).</w:t>
      </w:r>
      <w:r w:rsidRPr="00E67448">
        <w:rPr>
          <w:rFonts w:ascii="FrankRuehl" w:hAnsi="FrankRuehl"/>
          <w:sz w:val="28"/>
          <w:rtl/>
        </w:rPr>
        <w:t xml:space="preserve"> </w:t>
      </w:r>
      <w:r w:rsidRPr="005E648F">
        <w:rPr>
          <w:rFonts w:ascii="FrankRuehl" w:hAnsi="FrankRuehl"/>
          <w:sz w:val="28"/>
          <w:rtl/>
        </w:rPr>
        <w:t xml:space="preserve">עוד יודגש כי רק אם לאחר </w:t>
      </w:r>
      <w:r>
        <w:rPr>
          <w:rFonts w:ascii="FrankRuehl" w:hAnsi="FrankRuehl" w:hint="cs"/>
          <w:sz w:val="28"/>
          <w:rtl/>
        </w:rPr>
        <w:t>שמוצתה</w:t>
      </w:r>
      <w:r w:rsidRPr="005E648F">
        <w:rPr>
          <w:rFonts w:ascii="FrankRuehl" w:hAnsi="FrankRuehl"/>
          <w:sz w:val="28"/>
          <w:rtl/>
        </w:rPr>
        <w:t xml:space="preserve"> בחינת המקורות הללו </w:t>
      </w:r>
      <w:r>
        <w:rPr>
          <w:rFonts w:ascii="FrankRuehl" w:hAnsi="FrankRuehl" w:hint="cs"/>
          <w:sz w:val="28"/>
          <w:rtl/>
        </w:rPr>
        <w:t>ו</w:t>
      </w:r>
      <w:r w:rsidRPr="005E648F">
        <w:rPr>
          <w:rFonts w:ascii="FrankRuehl" w:hAnsi="FrankRuehl"/>
          <w:sz w:val="28"/>
          <w:rtl/>
        </w:rPr>
        <w:t>נותרנו עם אי-בהירות בדבר הפירוש התכליתי של הוראת חוק המס</w:t>
      </w:r>
      <w:r>
        <w:rPr>
          <w:rFonts w:ascii="FrankRuehl" w:hAnsi="FrankRuehl" w:hint="cs"/>
          <w:sz w:val="28"/>
          <w:rtl/>
        </w:rPr>
        <w:t xml:space="preserve"> הנדונה</w:t>
      </w:r>
      <w:r w:rsidRPr="005E648F">
        <w:rPr>
          <w:rFonts w:ascii="FrankRuehl" w:hAnsi="FrankRuehl"/>
          <w:sz w:val="28"/>
          <w:rtl/>
        </w:rPr>
        <w:t>, או אז תועדף הפרשנות המקלה עם הנישום</w:t>
      </w:r>
      <w:r>
        <w:rPr>
          <w:rFonts w:ascii="FrankRuehl" w:hAnsi="FrankRuehl" w:hint="cs"/>
          <w:sz w:val="28"/>
          <w:rtl/>
        </w:rPr>
        <w:t xml:space="preserve"> (</w:t>
      </w:r>
      <w:r w:rsidRPr="00115BFF">
        <w:rPr>
          <w:rFonts w:ascii="Arimo" w:hAnsi="Arimo" w:hint="eastAsia"/>
          <w:rtl/>
        </w:rPr>
        <w:t>ע</w:t>
      </w:r>
      <w:r w:rsidRPr="00115BFF">
        <w:rPr>
          <w:rFonts w:ascii="Arimo" w:hAnsi="Arimo"/>
          <w:rtl/>
        </w:rPr>
        <w:t>"</w:t>
      </w:r>
      <w:r w:rsidRPr="00115BFF">
        <w:rPr>
          <w:rFonts w:ascii="Arimo" w:hAnsi="Arimo" w:hint="eastAsia"/>
          <w:rtl/>
        </w:rPr>
        <w:t>א</w:t>
      </w:r>
      <w:r w:rsidRPr="00115BFF">
        <w:rPr>
          <w:rFonts w:ascii="Arimo" w:hAnsi="Arimo"/>
          <w:rtl/>
        </w:rPr>
        <w:t xml:space="preserve"> 702</w:t>
      </w:r>
      <w:r>
        <w:rPr>
          <w:rFonts w:ascii="Arimo" w:hAnsi="Arimo" w:hint="cs"/>
          <w:rtl/>
        </w:rPr>
        <w:t>/</w:t>
      </w:r>
      <w:r w:rsidRPr="00115BFF">
        <w:rPr>
          <w:rFonts w:ascii="Arimo" w:hAnsi="Arimo"/>
          <w:rtl/>
        </w:rPr>
        <w:t xml:space="preserve">84 </w:t>
      </w:r>
      <w:r w:rsidRPr="00115BFF">
        <w:rPr>
          <w:rFonts w:ascii="Century" w:hAnsi="Century" w:cs="Miriam" w:hint="eastAsia"/>
          <w:b/>
          <w:spacing w:val="0"/>
          <w:sz w:val="22"/>
          <w:szCs w:val="24"/>
          <w:rtl/>
        </w:rPr>
        <w:t>יובל</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גד</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בע</w:t>
      </w:r>
      <w:r w:rsidRPr="00115BFF">
        <w:rPr>
          <w:rFonts w:ascii="Century" w:hAnsi="Century" w:cs="Miriam"/>
          <w:b/>
          <w:spacing w:val="0"/>
          <w:sz w:val="22"/>
          <w:szCs w:val="24"/>
          <w:rtl/>
        </w:rPr>
        <w:t>"</w:t>
      </w:r>
      <w:r w:rsidRPr="00115BFF">
        <w:rPr>
          <w:rFonts w:ascii="Century" w:hAnsi="Century" w:cs="Miriam" w:hint="eastAsia"/>
          <w:b/>
          <w:spacing w:val="0"/>
          <w:sz w:val="22"/>
          <w:szCs w:val="24"/>
          <w:rtl/>
        </w:rPr>
        <w:t>מ</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נ</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מנהל</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מס</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שבח</w:t>
      </w:r>
      <w:r w:rsidRPr="00115BFF">
        <w:rPr>
          <w:rFonts w:ascii="Century" w:hAnsi="Century" w:cs="Miriam"/>
          <w:b/>
          <w:spacing w:val="0"/>
          <w:sz w:val="22"/>
          <w:szCs w:val="24"/>
          <w:rtl/>
        </w:rPr>
        <w:t xml:space="preserve"> </w:t>
      </w:r>
      <w:r w:rsidRPr="00115BFF">
        <w:rPr>
          <w:rFonts w:ascii="Century" w:hAnsi="Century" w:cs="Miriam" w:hint="eastAsia"/>
          <w:b/>
          <w:spacing w:val="0"/>
          <w:sz w:val="22"/>
          <w:szCs w:val="24"/>
          <w:rtl/>
        </w:rPr>
        <w:t>מקרקעין</w:t>
      </w:r>
      <w:r w:rsidRPr="00115BFF">
        <w:rPr>
          <w:rFonts w:ascii="Arimo" w:hAnsi="Arimo"/>
          <w:rtl/>
        </w:rPr>
        <w:t>,</w:t>
      </w:r>
      <w:r>
        <w:rPr>
          <w:rFonts w:ascii="Arimo" w:hAnsi="Arimo" w:hint="cs"/>
          <w:rtl/>
        </w:rPr>
        <w:t xml:space="preserve"> פ"ד</w:t>
      </w:r>
      <w:r w:rsidRPr="00115BFF">
        <w:rPr>
          <w:rFonts w:ascii="Arimo" w:hAnsi="Arimo"/>
          <w:rtl/>
        </w:rPr>
        <w:t xml:space="preserve"> </w:t>
      </w:r>
      <w:r w:rsidRPr="00115BFF">
        <w:rPr>
          <w:rFonts w:ascii="Arimo" w:hAnsi="Arimo" w:hint="eastAsia"/>
          <w:rtl/>
        </w:rPr>
        <w:t>מ</w:t>
      </w:r>
      <w:r w:rsidRPr="00115BFF">
        <w:rPr>
          <w:rFonts w:ascii="Arimo" w:hAnsi="Arimo"/>
          <w:rtl/>
        </w:rPr>
        <w:t>(4) 802</w:t>
      </w:r>
      <w:r>
        <w:rPr>
          <w:rFonts w:ascii="Arimo" w:hAnsi="Arimo" w:hint="cs"/>
          <w:rtl/>
        </w:rPr>
        <w:t xml:space="preserve">, 812 (1987); </w:t>
      </w:r>
      <w:r>
        <w:rPr>
          <w:rFonts w:ascii="Arimo" w:hAnsi="Arimo"/>
          <w:rtl/>
        </w:rPr>
        <w:t>ע"א 662</w:t>
      </w:r>
      <w:r>
        <w:rPr>
          <w:rFonts w:ascii="Arimo" w:hAnsi="Arimo" w:hint="cs"/>
          <w:rtl/>
        </w:rPr>
        <w:t>/</w:t>
      </w:r>
      <w:r>
        <w:rPr>
          <w:rFonts w:ascii="Arimo" w:hAnsi="Arimo"/>
          <w:rtl/>
        </w:rPr>
        <w:t xml:space="preserve">85 </w:t>
      </w:r>
      <w:r w:rsidRPr="00E67448">
        <w:rPr>
          <w:rFonts w:ascii="Century" w:hAnsi="Century" w:cs="Miriam"/>
          <w:b/>
          <w:spacing w:val="0"/>
          <w:sz w:val="22"/>
          <w:szCs w:val="24"/>
          <w:rtl/>
        </w:rPr>
        <w:t>מנהל מס קניה נ' כנפי מתכת בע"מ</w:t>
      </w:r>
      <w:r>
        <w:rPr>
          <w:rFonts w:ascii="Arimo" w:hAnsi="Arimo"/>
          <w:rtl/>
        </w:rPr>
        <w:t>,</w:t>
      </w:r>
      <w:r>
        <w:rPr>
          <w:rFonts w:ascii="Arimo" w:hAnsi="Arimo" w:hint="cs"/>
          <w:rtl/>
        </w:rPr>
        <w:t xml:space="preserve"> פ"ד</w:t>
      </w:r>
      <w:r>
        <w:rPr>
          <w:rFonts w:ascii="Arimo" w:hAnsi="Arimo"/>
          <w:rtl/>
        </w:rPr>
        <w:t xml:space="preserve"> מג(2) </w:t>
      </w:r>
      <w:r>
        <w:rPr>
          <w:rFonts w:ascii="Arimo" w:hAnsi="Arimo" w:hint="cs"/>
          <w:rtl/>
        </w:rPr>
        <w:t>3, 10 (1989);</w:t>
      </w:r>
      <w:r w:rsidRPr="00B64692">
        <w:rPr>
          <w:rFonts w:ascii="Century" w:hAnsi="Century" w:hint="cs"/>
          <w:sz w:val="22"/>
          <w:rtl/>
        </w:rPr>
        <w:t xml:space="preserve"> </w:t>
      </w:r>
      <w:r w:rsidRPr="00B64692">
        <w:rPr>
          <w:rFonts w:ascii="Century" w:hAnsi="Century" w:hint="eastAsia"/>
          <w:sz w:val="22"/>
          <w:rtl/>
        </w:rPr>
        <w:t>ע</w:t>
      </w:r>
      <w:r w:rsidRPr="00B64692">
        <w:rPr>
          <w:rFonts w:ascii="Century" w:hAnsi="Century"/>
          <w:sz w:val="22"/>
          <w:rtl/>
        </w:rPr>
        <w:t>"</w:t>
      </w:r>
      <w:r w:rsidRPr="00B64692">
        <w:rPr>
          <w:rFonts w:ascii="Century" w:hAnsi="Century" w:hint="eastAsia"/>
          <w:sz w:val="22"/>
          <w:rtl/>
        </w:rPr>
        <w:t>א</w:t>
      </w:r>
      <w:r w:rsidRPr="00B64692">
        <w:rPr>
          <w:rFonts w:ascii="Century" w:hAnsi="Century"/>
          <w:sz w:val="22"/>
          <w:rtl/>
        </w:rPr>
        <w:t xml:space="preserve"> 7765/04 </w:t>
      </w:r>
      <w:r w:rsidRPr="00B64692">
        <w:rPr>
          <w:rFonts w:ascii="Century" w:hAnsi="Century" w:cs="Miriam" w:hint="eastAsia"/>
          <w:b/>
          <w:spacing w:val="0"/>
          <w:sz w:val="22"/>
          <w:szCs w:val="24"/>
          <w:rtl/>
        </w:rPr>
        <w:t>מנהל</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מיסוי</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מקרקעין</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רחובות</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נ</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זכי</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דוגה</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ובניו</w:t>
      </w:r>
      <w:r w:rsidRPr="00B64692">
        <w:rPr>
          <w:rFonts w:ascii="Century" w:hAnsi="Century" w:cs="Miriam"/>
          <w:b/>
          <w:spacing w:val="0"/>
          <w:sz w:val="22"/>
          <w:szCs w:val="24"/>
          <w:rtl/>
        </w:rPr>
        <w:t xml:space="preserve"> </w:t>
      </w:r>
      <w:r w:rsidRPr="00B64692">
        <w:rPr>
          <w:rFonts w:ascii="Century" w:hAnsi="Century" w:cs="Miriam" w:hint="eastAsia"/>
          <w:b/>
          <w:spacing w:val="0"/>
          <w:sz w:val="22"/>
          <w:szCs w:val="24"/>
          <w:rtl/>
        </w:rPr>
        <w:t>בע</w:t>
      </w:r>
      <w:r w:rsidRPr="00B64692">
        <w:rPr>
          <w:rFonts w:ascii="Century" w:hAnsi="Century" w:cs="Miriam"/>
          <w:b/>
          <w:spacing w:val="0"/>
          <w:sz w:val="22"/>
          <w:szCs w:val="24"/>
          <w:rtl/>
        </w:rPr>
        <w:t>"</w:t>
      </w:r>
      <w:r w:rsidRPr="00B64692">
        <w:rPr>
          <w:rFonts w:ascii="Century" w:hAnsi="Century" w:cs="Miriam" w:hint="eastAsia"/>
          <w:b/>
          <w:spacing w:val="0"/>
          <w:sz w:val="22"/>
          <w:szCs w:val="24"/>
          <w:rtl/>
        </w:rPr>
        <w:t>מ</w:t>
      </w:r>
      <w:r>
        <w:rPr>
          <w:rFonts w:ascii="Century" w:hAnsi="Century" w:hint="cs"/>
          <w:sz w:val="22"/>
          <w:rtl/>
        </w:rPr>
        <w:t xml:space="preserve">, </w:t>
      </w:r>
      <w:r w:rsidRPr="00B64692">
        <w:rPr>
          <w:rFonts w:ascii="Century" w:hAnsi="Century" w:hint="cs"/>
          <w:sz w:val="22"/>
          <w:rtl/>
        </w:rPr>
        <w:t>פסקה 55</w:t>
      </w:r>
      <w:r w:rsidRPr="00B64692">
        <w:rPr>
          <w:rFonts w:ascii="Century" w:hAnsi="Century"/>
          <w:sz w:val="22"/>
          <w:rtl/>
        </w:rPr>
        <w:t xml:space="preserve"> (</w:t>
      </w:r>
      <w:r w:rsidRPr="00B64692">
        <w:rPr>
          <w:rFonts w:ascii="Century" w:hAnsi="Century" w:hint="cs"/>
          <w:sz w:val="22"/>
          <w:rtl/>
        </w:rPr>
        <w:t>5.8.2010</w:t>
      </w:r>
      <w:r w:rsidRPr="00B64692">
        <w:rPr>
          <w:rFonts w:ascii="Century" w:hAnsi="Century"/>
          <w:sz w:val="22"/>
          <w:rtl/>
        </w:rPr>
        <w:t>)</w:t>
      </w:r>
      <w:r w:rsidRPr="00B64692">
        <w:rPr>
          <w:rFonts w:ascii="Century" w:hAnsi="Century" w:hint="cs"/>
          <w:sz w:val="22"/>
          <w:rtl/>
        </w:rPr>
        <w:t xml:space="preserve">; </w:t>
      </w:r>
      <w:r w:rsidRPr="00B64692">
        <w:rPr>
          <w:rFonts w:ascii="Century" w:hAnsi="Century"/>
          <w:sz w:val="22"/>
          <w:rtl/>
        </w:rPr>
        <w:t xml:space="preserve">אהרן ברק "פרשנות דיני המסים" </w:t>
      </w:r>
      <w:r w:rsidRPr="00B64692">
        <w:rPr>
          <w:rFonts w:ascii="Century" w:hAnsi="Century" w:cs="Miriam" w:hint="cs"/>
          <w:b/>
          <w:spacing w:val="0"/>
          <w:sz w:val="22"/>
          <w:szCs w:val="24"/>
          <w:rtl/>
        </w:rPr>
        <w:t>משפטים</w:t>
      </w:r>
      <w:r w:rsidRPr="00B64692">
        <w:rPr>
          <w:rFonts w:ascii="Century" w:hAnsi="Century"/>
          <w:sz w:val="22"/>
          <w:rtl/>
        </w:rPr>
        <w:t xml:space="preserve"> </w:t>
      </w:r>
      <w:proofErr w:type="spellStart"/>
      <w:r w:rsidRPr="00B64692">
        <w:rPr>
          <w:rFonts w:ascii="Century" w:hAnsi="Century"/>
          <w:sz w:val="22"/>
          <w:rtl/>
        </w:rPr>
        <w:t>כח</w:t>
      </w:r>
      <w:proofErr w:type="spellEnd"/>
      <w:r w:rsidRPr="00B64692">
        <w:rPr>
          <w:rFonts w:ascii="Century" w:hAnsi="Century"/>
          <w:sz w:val="22"/>
          <w:rtl/>
        </w:rPr>
        <w:t xml:space="preserve"> 425, 441 (1997)).</w:t>
      </w:r>
      <w:r w:rsidRPr="005E648F">
        <w:rPr>
          <w:rFonts w:ascii="Century" w:hAnsi="Century"/>
          <w:sz w:val="22"/>
          <w:rtl/>
        </w:rPr>
        <w:t xml:space="preserve"> זאת, נעשה בזכרנו כי</w:t>
      </w:r>
      <w:r w:rsidRPr="005E648F">
        <w:rPr>
          <w:rFonts w:ascii="FrankRuehl" w:hAnsi="FrankRuehl"/>
          <w:sz w:val="28"/>
          <w:rtl/>
        </w:rPr>
        <w:t xml:space="preserve"> </w:t>
      </w:r>
      <w:r w:rsidRPr="005E648F">
        <w:rPr>
          <w:rFonts w:ascii="Century" w:hAnsi="Century" w:hint="cs"/>
          <w:sz w:val="22"/>
          <w:rtl/>
        </w:rPr>
        <w:t>"</w:t>
      </w:r>
      <w:r w:rsidRPr="005E648F">
        <w:rPr>
          <w:rFonts w:ascii="Century" w:hAnsi="Century" w:cs="Miriam" w:hint="cs"/>
          <w:b/>
          <w:spacing w:val="0"/>
          <w:sz w:val="22"/>
          <w:szCs w:val="24"/>
          <w:rtl/>
        </w:rPr>
        <w:t>טובתו של נישום אחד היא לעתים רעתו של נישום אחר</w:t>
      </w:r>
      <w:r w:rsidRPr="005E648F">
        <w:rPr>
          <w:rFonts w:ascii="Century" w:hAnsi="Century" w:hint="cs"/>
          <w:sz w:val="22"/>
          <w:rtl/>
        </w:rPr>
        <w:t>"</w:t>
      </w:r>
      <w:r w:rsidRPr="005E648F">
        <w:rPr>
          <w:rFonts w:ascii="FrankRuehl" w:hAnsi="FrankRuehl"/>
          <w:sz w:val="28"/>
          <w:rtl/>
        </w:rPr>
        <w:t xml:space="preserve"> (עניין </w:t>
      </w:r>
      <w:r w:rsidRPr="005E648F">
        <w:rPr>
          <w:rFonts w:ascii="Century" w:hAnsi="Century" w:cs="Miriam" w:hint="cs"/>
          <w:b/>
          <w:spacing w:val="0"/>
          <w:sz w:val="22"/>
          <w:szCs w:val="24"/>
          <w:rtl/>
        </w:rPr>
        <w:t>חצור</w:t>
      </w:r>
      <w:r w:rsidRPr="005E648F">
        <w:rPr>
          <w:rFonts w:ascii="Century" w:hAnsi="Century"/>
          <w:sz w:val="22"/>
          <w:rtl/>
        </w:rPr>
        <w:t>, בעמ' 75).</w:t>
      </w:r>
    </w:p>
    <w:p w:rsidR="00CF54A5" w:rsidRPr="005E648F" w:rsidRDefault="00CF54A5" w:rsidP="00CF54A5">
      <w:pPr>
        <w:pStyle w:val="Ruller41"/>
        <w:rPr>
          <w:rtl/>
        </w:rPr>
      </w:pPr>
    </w:p>
    <w:p w:rsidR="00CF54A5" w:rsidRDefault="00CF54A5" w:rsidP="00CF54A5">
      <w:pPr>
        <w:pStyle w:val="Ruller41"/>
        <w:rPr>
          <w:rFonts w:ascii="Century" w:hAnsi="Century"/>
          <w:rtl/>
        </w:rPr>
      </w:pPr>
      <w:r>
        <w:rPr>
          <w:rFonts w:ascii="Century" w:hAnsi="Century"/>
          <w:rtl/>
        </w:rPr>
        <w:tab/>
      </w:r>
      <w:r>
        <w:rPr>
          <w:rFonts w:ascii="Century" w:hAnsi="Century" w:hint="cs"/>
          <w:rtl/>
        </w:rPr>
        <w:t>על רקע כללים אלה נפנה לבחון את השאלות שלפנינו.</w:t>
      </w:r>
    </w:p>
    <w:p w:rsidR="00CF54A5" w:rsidRDefault="00CF54A5" w:rsidP="00CF54A5">
      <w:pPr>
        <w:pStyle w:val="Ruller41"/>
        <w:rPr>
          <w:rFonts w:ascii="Century" w:hAnsi="Century"/>
          <w:rtl/>
        </w:rPr>
      </w:pPr>
    </w:p>
    <w:p w:rsidR="00CF54A5" w:rsidRPr="00255F65" w:rsidRDefault="00CF54A5" w:rsidP="00CF54A5">
      <w:pPr>
        <w:pStyle w:val="Ruller41"/>
        <w:rPr>
          <w:rFonts w:ascii="Century" w:hAnsi="Century" w:cs="Miriam"/>
          <w:b/>
          <w:spacing w:val="0"/>
          <w:szCs w:val="24"/>
          <w:rtl/>
        </w:rPr>
      </w:pPr>
      <w:r>
        <w:rPr>
          <w:rFonts w:ascii="Century" w:hAnsi="Century" w:cs="Miriam" w:hint="cs"/>
          <w:b/>
          <w:spacing w:val="0"/>
          <w:szCs w:val="24"/>
          <w:rtl/>
        </w:rPr>
        <w:t xml:space="preserve">דרישת הייצוא </w:t>
      </w:r>
      <w:r>
        <w:rPr>
          <w:rFonts w:ascii="Century" w:hAnsi="Century" w:cs="Miriam"/>
          <w:b/>
          <w:spacing w:val="0"/>
          <w:szCs w:val="24"/>
          <w:rtl/>
        </w:rPr>
        <w:t>–</w:t>
      </w:r>
      <w:r>
        <w:rPr>
          <w:rFonts w:ascii="Century" w:hAnsi="Century" w:cs="Miriam" w:hint="cs"/>
          <w:b/>
          <w:spacing w:val="0"/>
          <w:szCs w:val="24"/>
          <w:rtl/>
        </w:rPr>
        <w:t xml:space="preserve"> האם יש לקרוא לתוך חלופת המכירה לשוק גדול את הדרישה כי ידובר בשוק זר?</w:t>
      </w:r>
    </w:p>
    <w:p w:rsidR="00CF54A5" w:rsidRDefault="00CF54A5" w:rsidP="00CF54A5">
      <w:pPr>
        <w:pStyle w:val="Ruller41"/>
        <w:rPr>
          <w:rFonts w:ascii="Century" w:hAnsi="Century"/>
          <w:rtl/>
        </w:rPr>
      </w:pPr>
    </w:p>
    <w:p w:rsidR="00CF54A5" w:rsidRDefault="00CF54A5" w:rsidP="00CF54A5">
      <w:pPr>
        <w:pStyle w:val="Ruller4"/>
        <w:rPr>
          <w:rtl/>
        </w:rPr>
      </w:pPr>
      <w:r>
        <w:rPr>
          <w:rFonts w:hint="cs"/>
          <w:rtl/>
        </w:rPr>
        <w:lastRenderedPageBreak/>
        <w:t>פקידי השומה גורסים כאמור כי מעת נחקק תיקון מס' 60 ונוספה חלופת המכירה לשוק גדול שבסעיף 18א(ג)(1)</w:t>
      </w:r>
      <w:r w:rsidR="004A52AD">
        <w:rPr>
          <w:rFonts w:hint="cs"/>
          <w:rtl/>
        </w:rPr>
        <w:t>(ג)</w:t>
      </w:r>
      <w:r>
        <w:rPr>
          <w:rFonts w:hint="cs"/>
          <w:rtl/>
        </w:rPr>
        <w:t xml:space="preserve"> לחוק, היה ברור לכול כי הטבה זו נועדה לעודד מפ</w:t>
      </w:r>
      <w:r w:rsidR="009A71A0">
        <w:rPr>
          <w:rFonts w:hint="cs"/>
          <w:rtl/>
        </w:rPr>
        <w:t xml:space="preserve">עלים למקד את מכירותיהם בשווקים </w:t>
      </w:r>
      <w:r>
        <w:rPr>
          <w:rFonts w:hint="cs"/>
          <w:rtl/>
        </w:rPr>
        <w:t xml:space="preserve">זרים, ועל כן יש לפרש לשיטתם את הוראת הסעיף כך שההטבה מוגבלת למטרות ייצוא בלבד, אפילו אם המפעל עומד ביתר דרישות הסעיף. </w:t>
      </w:r>
      <w:proofErr w:type="spellStart"/>
      <w:r>
        <w:rPr>
          <w:rFonts w:hint="cs"/>
          <w:rtl/>
        </w:rPr>
        <w:t>הנישומות</w:t>
      </w:r>
      <w:proofErr w:type="spellEnd"/>
      <w:r>
        <w:rPr>
          <w:rFonts w:hint="cs"/>
          <w:rtl/>
        </w:rPr>
        <w:t xml:space="preserve">, לעומת זאת, דוחות את פרשנות פקידי השומה וסומכות ידיהן על נימוקיו של בית משפט קמא בסוגיה זו. </w:t>
      </w:r>
    </w:p>
    <w:p w:rsidR="00CF54A5" w:rsidRDefault="00CF54A5" w:rsidP="00CF54A5">
      <w:pPr>
        <w:pStyle w:val="Ruller41"/>
        <w:rPr>
          <w:rtl/>
        </w:rPr>
      </w:pPr>
    </w:p>
    <w:p w:rsidR="00CF54A5" w:rsidRDefault="00CF54A5" w:rsidP="00CF54A5">
      <w:pPr>
        <w:pStyle w:val="Ruller41"/>
        <w:rPr>
          <w:rtl/>
        </w:rPr>
      </w:pPr>
      <w:r>
        <w:rPr>
          <w:rtl/>
        </w:rPr>
        <w:tab/>
      </w:r>
      <w:r w:rsidRPr="007D7CD3">
        <w:rPr>
          <w:rFonts w:ascii="Century" w:hAnsi="Century" w:cs="Miriam" w:hint="cs"/>
          <w:b/>
          <w:spacing w:val="0"/>
          <w:szCs w:val="24"/>
          <w:rtl/>
        </w:rPr>
        <w:t>הערה דיונית</w:t>
      </w:r>
      <w:r>
        <w:rPr>
          <w:rFonts w:hint="cs"/>
          <w:rtl/>
        </w:rPr>
        <w:t xml:space="preserve">: פקידי השומה אומנם לא הגישו ערעור על פסק הדין של בית משפט קמא, ואולם, זאת בהינתן שתוצאת פסק הדין, לפיה נדחו ערעורי המס, מקובלת עליהם. מכאן שלא היה באפשרותם להשיג על נימוקיו של בית משפט קמא העומדים בבסיס תוצאה זו, באמצעות הגשת ערעור מטעמם, אך אין מניעה כי יעלו השגות אלה במסגרת תגובתם לערעורים שהוגשו על ידי </w:t>
      </w:r>
      <w:proofErr w:type="spellStart"/>
      <w:r>
        <w:rPr>
          <w:rFonts w:hint="cs"/>
          <w:rtl/>
        </w:rPr>
        <w:t>הנישומות</w:t>
      </w:r>
      <w:proofErr w:type="spellEnd"/>
      <w:r>
        <w:rPr>
          <w:rFonts w:hint="cs"/>
          <w:rtl/>
        </w:rPr>
        <w:t xml:space="preserve"> (ראו, למשל: </w:t>
      </w:r>
      <w:r>
        <w:rPr>
          <w:rFonts w:ascii="Arimo" w:hAnsi="Arimo"/>
          <w:rtl/>
        </w:rPr>
        <w:t>בש"א 4691</w:t>
      </w:r>
      <w:r>
        <w:rPr>
          <w:rFonts w:ascii="Arimo" w:hAnsi="Arimo" w:hint="cs"/>
          <w:rtl/>
        </w:rPr>
        <w:t>/</w:t>
      </w:r>
      <w:r>
        <w:rPr>
          <w:rFonts w:ascii="Arimo" w:hAnsi="Arimo"/>
          <w:rtl/>
        </w:rPr>
        <w:t xml:space="preserve">91 </w:t>
      </w:r>
      <w:r w:rsidRPr="00F569F9">
        <w:rPr>
          <w:rFonts w:ascii="Century" w:hAnsi="Century" w:cs="Miriam"/>
          <w:b/>
          <w:spacing w:val="0"/>
          <w:szCs w:val="24"/>
          <w:rtl/>
        </w:rPr>
        <w:t>מדינת ישראל נ' אוזן</w:t>
      </w:r>
      <w:r>
        <w:rPr>
          <w:rFonts w:ascii="Arimo" w:hAnsi="Arimo"/>
          <w:rtl/>
        </w:rPr>
        <w:t>,</w:t>
      </w:r>
      <w:r>
        <w:rPr>
          <w:rFonts w:ascii="Arimo" w:hAnsi="Arimo" w:hint="cs"/>
          <w:rtl/>
        </w:rPr>
        <w:t xml:space="preserve"> פ"ד</w:t>
      </w:r>
      <w:r>
        <w:rPr>
          <w:rFonts w:ascii="Arimo" w:hAnsi="Arimo"/>
          <w:rtl/>
        </w:rPr>
        <w:t xml:space="preserve"> מה(5) 695</w:t>
      </w:r>
      <w:r>
        <w:rPr>
          <w:rFonts w:ascii="Arimo" w:hAnsi="Arimo" w:hint="cs"/>
          <w:rtl/>
        </w:rPr>
        <w:t xml:space="preserve">, 699 (1991); </w:t>
      </w:r>
      <w:r>
        <w:rPr>
          <w:rFonts w:ascii="Arimo" w:hAnsi="Arimo"/>
          <w:rtl/>
        </w:rPr>
        <w:t>ע"א 761</w:t>
      </w:r>
      <w:r>
        <w:rPr>
          <w:rFonts w:ascii="Arimo" w:hAnsi="Arimo" w:hint="cs"/>
          <w:rtl/>
        </w:rPr>
        <w:t>/</w:t>
      </w:r>
      <w:r>
        <w:rPr>
          <w:rFonts w:ascii="Arimo" w:hAnsi="Arimo"/>
          <w:rtl/>
        </w:rPr>
        <w:t xml:space="preserve">85 </w:t>
      </w:r>
      <w:r w:rsidRPr="00660CCD">
        <w:rPr>
          <w:rFonts w:ascii="Century" w:hAnsi="Century" w:cs="Miriam"/>
          <w:b/>
          <w:spacing w:val="0"/>
          <w:szCs w:val="24"/>
          <w:rtl/>
        </w:rPr>
        <w:t>ליפשיץ נ' הוועדה המקומית לתכנון ולבנייה, ראשון-לציון</w:t>
      </w:r>
      <w:r>
        <w:rPr>
          <w:rFonts w:ascii="Arimo" w:hAnsi="Arimo"/>
          <w:rtl/>
        </w:rPr>
        <w:t>,</w:t>
      </w:r>
      <w:r>
        <w:rPr>
          <w:rFonts w:ascii="Arimo" w:hAnsi="Arimo" w:hint="cs"/>
          <w:rtl/>
        </w:rPr>
        <w:t xml:space="preserve"> פ"ד</w:t>
      </w:r>
      <w:r>
        <w:rPr>
          <w:rFonts w:ascii="Arimo" w:hAnsi="Arimo"/>
          <w:rtl/>
        </w:rPr>
        <w:t xml:space="preserve"> מו(1) 342</w:t>
      </w:r>
      <w:r>
        <w:rPr>
          <w:rFonts w:hint="cs"/>
          <w:rtl/>
        </w:rPr>
        <w:t>, 347 (1991)</w:t>
      </w:r>
      <w:r>
        <w:rPr>
          <w:rFonts w:ascii="Arimo" w:hAnsi="Arimo" w:hint="cs"/>
          <w:rtl/>
        </w:rPr>
        <w:t xml:space="preserve">; </w:t>
      </w:r>
      <w:r>
        <w:rPr>
          <w:rFonts w:ascii="Arimo" w:hAnsi="Arimo"/>
          <w:rtl/>
        </w:rPr>
        <w:t>ע"א 6138</w:t>
      </w:r>
      <w:r>
        <w:rPr>
          <w:rFonts w:ascii="Arimo" w:hAnsi="Arimo" w:hint="cs"/>
          <w:rtl/>
        </w:rPr>
        <w:t>/</w:t>
      </w:r>
      <w:r>
        <w:rPr>
          <w:rFonts w:ascii="Arimo" w:hAnsi="Arimo"/>
          <w:rtl/>
        </w:rPr>
        <w:t xml:space="preserve">93 </w:t>
      </w:r>
      <w:r w:rsidRPr="00935083">
        <w:rPr>
          <w:rFonts w:ascii="Century" w:hAnsi="Century" w:cs="Miriam"/>
          <w:b/>
          <w:spacing w:val="0"/>
          <w:szCs w:val="24"/>
          <w:rtl/>
        </w:rPr>
        <w:t>הארגון למימוש האמנה על ביטחון סוציאלי נ' אברהמי</w:t>
      </w:r>
      <w:r>
        <w:rPr>
          <w:rFonts w:ascii="Arimo" w:hAnsi="Arimo"/>
          <w:rtl/>
        </w:rPr>
        <w:t>,</w:t>
      </w:r>
      <w:r>
        <w:rPr>
          <w:rFonts w:ascii="Arimo" w:hAnsi="Arimo" w:hint="cs"/>
          <w:rtl/>
        </w:rPr>
        <w:t xml:space="preserve"> פ"ד</w:t>
      </w:r>
      <w:r>
        <w:rPr>
          <w:rFonts w:ascii="Arimo" w:hAnsi="Arimo"/>
          <w:rtl/>
        </w:rPr>
        <w:t xml:space="preserve"> נ(1) 441</w:t>
      </w:r>
      <w:r>
        <w:rPr>
          <w:rFonts w:hint="cs"/>
          <w:rtl/>
        </w:rPr>
        <w:t xml:space="preserve">, 447-446 (1996)). </w:t>
      </w:r>
    </w:p>
    <w:p w:rsidR="00CF54A5" w:rsidRPr="00C232C0" w:rsidRDefault="00CF54A5" w:rsidP="00CF54A5">
      <w:pPr>
        <w:pStyle w:val="Ruller41"/>
      </w:pPr>
    </w:p>
    <w:p w:rsidR="00CF54A5" w:rsidRDefault="00CF54A5" w:rsidP="00CF54A5">
      <w:pPr>
        <w:pStyle w:val="Ruller4"/>
        <w:rPr>
          <w:rtl/>
        </w:rPr>
      </w:pPr>
      <w:r>
        <w:rPr>
          <w:rFonts w:hint="cs"/>
          <w:rtl/>
        </w:rPr>
        <w:t>התזה הפרשנית שהציעו פקידי השומה מבקשת להבחין בין מכירות שהופקו בשוק הישראלי, עליהן לא אמורה לחול הטבת המס לשיטתם, לבין מכירות שהופקו בשוק זר, אליהן מכוונת הטבת המס. אלא מאי? שלשונו של סעיף 18א(ג)(1)(ג) לחוק אינה כוללת הבחנה בין מכירה לשוק זר לבין מכירה לשוק הישראלי, וממילא אינה כוללת כל תנאי או הגבלה כי הזכאות להטבת המס הניתנת מכוחה של חלופת המכירה לשוק גדול כפופה להכנסות שהופקו ממכירות לשווקים זרים בלבד. כל שנאמר בהוראת סעיף זה בתקופה הרלוונטית הוא כי לפחות רבע מסך ההכנסות מקורו ממכירות "</w:t>
      </w:r>
      <w:r w:rsidRPr="00B1629F">
        <w:rPr>
          <w:rFonts w:ascii="Century" w:hAnsi="Century" w:cs="Miriam" w:hint="cs"/>
          <w:b/>
          <w:spacing w:val="0"/>
          <w:sz w:val="22"/>
          <w:szCs w:val="24"/>
          <w:rtl/>
        </w:rPr>
        <w:t>בשוק מסוים המונה 12 מיליון תושבים לפחות</w:t>
      </w:r>
      <w:r>
        <w:rPr>
          <w:rFonts w:hint="cs"/>
          <w:rtl/>
        </w:rPr>
        <w:t xml:space="preserve">", כאשר גם הגדרת ה"שוק" שבסעיף 18א(א) לחוק אינה מרמזת על הבחנה כאמור. זאת ועוד, במסגרת חוזר מס הכנסה 2/2006 הובהר מפורשות כי השוק הישראלי מהווה אף הוא "שוק" לצורך החוק, ומכאן, לכאורה, שאם רצה המחוקק </w:t>
      </w:r>
      <w:proofErr w:type="spellStart"/>
      <w:r>
        <w:rPr>
          <w:rFonts w:hint="cs"/>
          <w:rtl/>
        </w:rPr>
        <w:t>להחריג</w:t>
      </w:r>
      <w:proofErr w:type="spellEnd"/>
      <w:r>
        <w:rPr>
          <w:rFonts w:hint="cs"/>
          <w:rtl/>
        </w:rPr>
        <w:t xml:space="preserve"> שוק זה מתחולת הסעיף, הבהרה זו לא הייתה נדרשת.</w:t>
      </w:r>
    </w:p>
    <w:p w:rsidR="00CF54A5" w:rsidRPr="00B1629F" w:rsidRDefault="00CF54A5" w:rsidP="00CF54A5">
      <w:pPr>
        <w:pStyle w:val="Ruller41"/>
        <w:rPr>
          <w:rtl/>
        </w:rPr>
      </w:pPr>
    </w:p>
    <w:p w:rsidR="00CF54A5" w:rsidRDefault="00CF54A5" w:rsidP="00CF54A5">
      <w:pPr>
        <w:pStyle w:val="Ruller4"/>
        <w:rPr>
          <w:rtl/>
        </w:rPr>
      </w:pPr>
      <w:r>
        <w:rPr>
          <w:rFonts w:hint="cs"/>
          <w:rtl/>
        </w:rPr>
        <w:t>לעומת לשונו השותקת, בחינת תכליתו של הסעיף, על פי המקורות שהוצגו בפנינו, מעלה כי המחוקק לא התכוון להעניק את הטבת המס האמורה לחברות שכל פעילותן מתרכזת בשוק המקומי, אלא לחברות שמפעליהם פועלים בזירה הבינלאומית</w:t>
      </w:r>
      <w:r w:rsidRPr="00430EBD">
        <w:rPr>
          <w:rFonts w:hint="cs"/>
          <w:rtl/>
        </w:rPr>
        <w:t xml:space="preserve">, אם באופן מלא ואם באופן חלקי (ומעל רף מינימאלי כקבוע בסעיף). כך </w:t>
      </w:r>
      <w:r>
        <w:rPr>
          <w:rFonts w:hint="cs"/>
          <w:rtl/>
        </w:rPr>
        <w:t xml:space="preserve">בדברי ההסבר </w:t>
      </w:r>
      <w:r>
        <w:rPr>
          <w:rFonts w:hint="cs"/>
          <w:rtl/>
        </w:rPr>
        <w:lastRenderedPageBreak/>
        <w:t>לתיקון מס' 60 הודגש כי "</w:t>
      </w:r>
      <w:r w:rsidRPr="00CF2083">
        <w:rPr>
          <w:rFonts w:ascii="Century" w:hAnsi="Century" w:cs="Miriam" w:hint="cs"/>
          <w:b/>
          <w:spacing w:val="0"/>
          <w:szCs w:val="24"/>
          <w:rtl/>
        </w:rPr>
        <w:t>מטרת החוק, בין השאר, היא לעודד את המשק הישראלי להשתלב בתחרות הגלובלית ולהגדיל את הצמיחה</w:t>
      </w:r>
      <w:r>
        <w:rPr>
          <w:rFonts w:hint="cs"/>
          <w:rtl/>
        </w:rPr>
        <w:t xml:space="preserve">" (דברי ההסבר להצעת חוק המדיניות הכלכלית לשנת הכספים 2005 (תיקוני חקיקה), התשס"ה-2004, </w:t>
      </w:r>
      <w:proofErr w:type="spellStart"/>
      <w:r>
        <w:rPr>
          <w:rFonts w:hint="cs"/>
          <w:rtl/>
        </w:rPr>
        <w:t>ה"ח</w:t>
      </w:r>
      <w:proofErr w:type="spellEnd"/>
      <w:r>
        <w:rPr>
          <w:rFonts w:hint="cs"/>
          <w:rtl/>
        </w:rPr>
        <w:t xml:space="preserve"> הממשלה 354, 412 (להלן: </w:t>
      </w:r>
      <w:r w:rsidRPr="00CF2083">
        <w:rPr>
          <w:rFonts w:ascii="Century" w:hAnsi="Century" w:cs="Miriam" w:hint="cs"/>
          <w:b/>
          <w:spacing w:val="0"/>
          <w:sz w:val="22"/>
          <w:szCs w:val="24"/>
          <w:rtl/>
        </w:rPr>
        <w:t>דברי ההסבר לתיקון מס' 60</w:t>
      </w:r>
      <w:r>
        <w:rPr>
          <w:rFonts w:hint="cs"/>
          <w:rtl/>
        </w:rPr>
        <w:t>). והשוו לסעיף 1(2) לחוק עידוד השקעות שתוקן מספר שנים לאחר מכן), ובכל הנוגע להטבת המס הנדונה נכתב כי "</w:t>
      </w:r>
      <w:r w:rsidRPr="00CF2083">
        <w:rPr>
          <w:rFonts w:ascii="Century" w:hAnsi="Century" w:cs="Miriam" w:hint="cs"/>
          <w:b/>
          <w:spacing w:val="0"/>
          <w:szCs w:val="24"/>
          <w:rtl/>
        </w:rPr>
        <w:t>מוצע לקבוע כי התנאי הבסיסי לקבלת הטבות לפי החוק המוצע (הן במסלול מענקים והן במסלול החלופי) יהיה שהמפעל (תעשייתי או בית מלון) יתרום לעצמאות הכלכלית של משק המדינה, והוא בר-תחרות התורם לתוצר המקומי הגולמי</w:t>
      </w:r>
      <w:r>
        <w:rPr>
          <w:rFonts w:hint="cs"/>
          <w:rtl/>
        </w:rPr>
        <w:t>" (שם). באופן דומה, בפתח הישיבה של הקריאה הראשונה של הצעת החוק, הדגיש שר התעשייה, המסחר והתעסוקה דאז, מר אהוד אולמרט, כי "</w:t>
      </w:r>
      <w:r w:rsidRPr="00CF2083">
        <w:rPr>
          <w:rFonts w:ascii="Century" w:hAnsi="Century" w:cs="Miriam" w:hint="eastAsia"/>
          <w:b/>
          <w:spacing w:val="0"/>
          <w:sz w:val="22"/>
          <w:szCs w:val="24"/>
          <w:rtl/>
        </w:rPr>
        <w:t>צריך</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להבין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משהו</w:t>
      </w:r>
      <w:r w:rsidRPr="00CF2083">
        <w:rPr>
          <w:rFonts w:ascii="Century" w:hAnsi="Century" w:cs="Miriam"/>
          <w:b/>
          <w:spacing w:val="0"/>
          <w:sz w:val="22"/>
          <w:szCs w:val="24"/>
          <w:rtl/>
        </w:rPr>
        <w:t xml:space="preserve"> - </w:t>
      </w:r>
      <w:r w:rsidRPr="00CF2083">
        <w:rPr>
          <w:rFonts w:ascii="Century" w:hAnsi="Century" w:cs="Miriam" w:hint="eastAsia"/>
          <w:b/>
          <w:spacing w:val="0"/>
          <w:sz w:val="22"/>
          <w:szCs w:val="24"/>
          <w:rtl/>
        </w:rPr>
        <w:t>שעידוד</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השקעות</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מבחינת</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ישראל</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הוא</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בסופו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של</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דבר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בתחרות</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שבינינו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לבין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העולם</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כולו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כלומר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התחרות</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היא</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לא</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בתוך</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ישראל</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בין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צפון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לדרום</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בין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מזרח</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למערב</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בין</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אזור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פיתוח</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לאזור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פיתוח</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פלוס</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לאזור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קו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עימות</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או</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לאזור</w:t>
      </w:r>
      <w:r w:rsidRPr="00CF2083">
        <w:rPr>
          <w:rFonts w:ascii="Century" w:hAnsi="Century" w:cs="Miriam"/>
          <w:b/>
          <w:spacing w:val="0"/>
          <w:sz w:val="22"/>
          <w:szCs w:val="24"/>
          <w:rtl/>
        </w:rPr>
        <w:t xml:space="preserve"> </w:t>
      </w:r>
      <w:r w:rsidRPr="00CF2083">
        <w:rPr>
          <w:rFonts w:ascii="Century" w:hAnsi="Century" w:cs="Miriam" w:hint="eastAsia"/>
          <w:b/>
          <w:spacing w:val="0"/>
          <w:sz w:val="22"/>
          <w:szCs w:val="24"/>
          <w:rtl/>
        </w:rPr>
        <w:t>אחר</w:t>
      </w:r>
      <w:r w:rsidRPr="00CF2083">
        <w:rPr>
          <w:rFonts w:ascii="Century" w:hAnsi="Century" w:cs="Miriam"/>
          <w:b/>
          <w:spacing w:val="0"/>
          <w:sz w:val="22"/>
          <w:szCs w:val="24"/>
          <w:rtl/>
        </w:rPr>
        <w:t>.</w:t>
      </w:r>
      <w:r w:rsidRPr="00CF2083">
        <w:rPr>
          <w:rFonts w:ascii="Century" w:hAnsi="Century" w:cs="Miriam" w:hint="cs"/>
          <w:b/>
          <w:spacing w:val="0"/>
          <w:sz w:val="22"/>
          <w:szCs w:val="24"/>
          <w:rtl/>
        </w:rPr>
        <w:t xml:space="preserve"> </w:t>
      </w:r>
      <w:r w:rsidRPr="00CF2083">
        <w:rPr>
          <w:rFonts w:ascii="Century" w:hAnsi="Century" w:hint="cs"/>
          <w:sz w:val="22"/>
          <w:rtl/>
        </w:rPr>
        <w:t>[...]</w:t>
      </w:r>
      <w:r w:rsidRPr="00CF2083">
        <w:rPr>
          <w:rFonts w:ascii="Century" w:hAnsi="Century" w:cs="Miriam" w:hint="cs"/>
          <w:b/>
          <w:spacing w:val="0"/>
          <w:sz w:val="22"/>
          <w:szCs w:val="24"/>
          <w:rtl/>
        </w:rPr>
        <w:t xml:space="preserve"> לכן, בראש ובראשונה, אנחנו צריכים לראות</w:t>
      </w:r>
      <w:r w:rsidRPr="00CF2083">
        <w:rPr>
          <w:rFonts w:ascii="Century" w:hAnsi="Century" w:cs="Miriam"/>
          <w:b/>
          <w:spacing w:val="0"/>
          <w:sz w:val="22"/>
          <w:szCs w:val="24"/>
          <w:rtl/>
        </w:rPr>
        <w:t xml:space="preserve"> </w:t>
      </w:r>
      <w:r w:rsidRPr="00CF2083">
        <w:rPr>
          <w:rFonts w:ascii="Century" w:hAnsi="Century" w:cs="Miriam" w:hint="cs"/>
          <w:b/>
          <w:spacing w:val="0"/>
          <w:sz w:val="22"/>
          <w:szCs w:val="24"/>
          <w:rtl/>
        </w:rPr>
        <w:t>את המדינה כולה בהשוואה למדינות אחרות, ולא בהכרח אזורים שונים בתוך המדינה, בהשוואה שבין זה לבין זולתו, משום שיכול להיות שבהשוואות האלה נעשה כל מיני הבחנות, אבל נחמיץ את היכולת ליצור בישראל סביבה תחרותית בהשוואה למדינות אחרות בעולם. זה המבחן העיקרי, ועל-פיו נצטרך לשפוט את החלופות השונות שהחוק הזה מציע</w:t>
      </w:r>
      <w:r>
        <w:rPr>
          <w:rFonts w:hint="cs"/>
          <w:rtl/>
        </w:rPr>
        <w:t>" (פרוטוקול ישיבה 208 של הכנסת ה-16, 16 (12.1.2005)).</w:t>
      </w:r>
    </w:p>
    <w:p w:rsidR="00CF54A5" w:rsidRDefault="00CF54A5" w:rsidP="00CF54A5">
      <w:pPr>
        <w:pStyle w:val="Ruller41"/>
        <w:rPr>
          <w:rtl/>
        </w:rPr>
      </w:pPr>
    </w:p>
    <w:p w:rsidR="00CF54A5" w:rsidRDefault="00CF54A5" w:rsidP="00CF54A5">
      <w:pPr>
        <w:pStyle w:val="Ruller4"/>
        <w:rPr>
          <w:rtl/>
        </w:rPr>
      </w:pPr>
      <w:r>
        <w:rPr>
          <w:rFonts w:hint="cs"/>
          <w:rtl/>
        </w:rPr>
        <w:t>זאת ועוד. השאלה האם מפעל תעשייתי בר-תחרות התורם לתוצר המקומי הגולמי הוא בהכרח מפעל שלפחות 25% ממכירותיו הוצמחו בשוק זר הועלתה באופן מפורש במסגרת הדיונים בוועדת הכספים בקשר להצעת החוק לתיקון מס' 60. כך, למשל, לאחר שהוצגו שלוש החלופות שבסעיף 18א(ג)(1) לחוק על ידי מר אמיר לוי, נציג משרד האוצר בוועדה, שאל חבר הכנסת אברהם בייגה שוחט, על משמעות סעיף ההטבה על השוק המקומי באומרו כי "</w:t>
      </w:r>
      <w:r w:rsidRPr="007800C7">
        <w:rPr>
          <w:rFonts w:ascii="Century" w:hAnsi="Century" w:cs="Miriam" w:hint="cs"/>
          <w:b/>
          <w:spacing w:val="0"/>
          <w:sz w:val="22"/>
          <w:szCs w:val="24"/>
          <w:rtl/>
        </w:rPr>
        <w:t xml:space="preserve">בשוק מקומי, אפילו אם זה בירוחם או מצפה רמון </w:t>
      </w:r>
      <w:r w:rsidRPr="007800C7">
        <w:rPr>
          <w:rFonts w:ascii="Century" w:hAnsi="Century" w:cs="Miriam"/>
          <w:b/>
          <w:spacing w:val="0"/>
          <w:sz w:val="22"/>
          <w:szCs w:val="24"/>
          <w:rtl/>
        </w:rPr>
        <w:t>–</w:t>
      </w:r>
      <w:r w:rsidRPr="007800C7">
        <w:rPr>
          <w:rFonts w:ascii="Century" w:hAnsi="Century" w:cs="Miriam" w:hint="cs"/>
          <w:b/>
          <w:spacing w:val="0"/>
          <w:sz w:val="22"/>
          <w:szCs w:val="24"/>
          <w:rtl/>
        </w:rPr>
        <w:t xml:space="preserve"> זה אפס</w:t>
      </w:r>
      <w:r w:rsidRPr="0025519A">
        <w:rPr>
          <w:rFonts w:ascii="Century" w:hAnsi="Century" w:hint="cs"/>
          <w:sz w:val="22"/>
          <w:rtl/>
        </w:rPr>
        <w:t>[?]</w:t>
      </w:r>
      <w:r>
        <w:rPr>
          <w:rFonts w:hint="cs"/>
          <w:rtl/>
        </w:rPr>
        <w:t>", ונענה על ידי מר אמיר לוי "</w:t>
      </w:r>
      <w:r w:rsidRPr="007800C7">
        <w:rPr>
          <w:rFonts w:ascii="Century" w:hAnsi="Century" w:cs="Miriam" w:hint="eastAsia"/>
          <w:b/>
          <w:spacing w:val="0"/>
          <w:sz w:val="22"/>
          <w:szCs w:val="24"/>
          <w:rtl/>
        </w:rPr>
        <w:t>אם</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אתה</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מוכר</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רק</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לשוק</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המקומי</w:t>
      </w:r>
      <w:r w:rsidRPr="007800C7">
        <w:rPr>
          <w:rFonts w:ascii="Century" w:hAnsi="Century" w:cs="Miriam"/>
          <w:b/>
          <w:spacing w:val="0"/>
          <w:sz w:val="22"/>
          <w:szCs w:val="24"/>
          <w:rtl/>
        </w:rPr>
        <w:t xml:space="preserve"> – </w:t>
      </w:r>
      <w:r w:rsidRPr="007800C7">
        <w:rPr>
          <w:rFonts w:ascii="Century" w:hAnsi="Century" w:cs="Miriam" w:hint="eastAsia"/>
          <w:b/>
          <w:spacing w:val="0"/>
          <w:sz w:val="22"/>
          <w:szCs w:val="24"/>
          <w:rtl/>
        </w:rPr>
        <w:t>לזה</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ניתן</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פתרון</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מחוץ</w:t>
      </w:r>
      <w:r w:rsidRPr="007800C7">
        <w:rPr>
          <w:rFonts w:ascii="Century" w:hAnsi="Century" w:cs="Miriam"/>
          <w:b/>
          <w:spacing w:val="0"/>
          <w:sz w:val="22"/>
          <w:szCs w:val="24"/>
          <w:rtl/>
        </w:rPr>
        <w:t xml:space="preserve"> </w:t>
      </w:r>
      <w:r w:rsidRPr="007800C7">
        <w:rPr>
          <w:rFonts w:ascii="Century" w:hAnsi="Century" w:cs="Miriam" w:hint="eastAsia"/>
          <w:b/>
          <w:spacing w:val="0"/>
          <w:sz w:val="22"/>
          <w:szCs w:val="24"/>
          <w:rtl/>
        </w:rPr>
        <w:t>לחקיקה</w:t>
      </w:r>
      <w:r>
        <w:rPr>
          <w:rFonts w:hint="cs"/>
          <w:rtl/>
        </w:rPr>
        <w:t xml:space="preserve">" (פרוטוקול ישיבה של ועדת הכספים, הכנסת ה-16, 16 (3.3.2005) (להלן: </w:t>
      </w:r>
      <w:r w:rsidRPr="00A463BC">
        <w:rPr>
          <w:rFonts w:ascii="Century" w:hAnsi="Century" w:cs="Miriam" w:hint="cs"/>
          <w:b/>
          <w:spacing w:val="0"/>
          <w:sz w:val="22"/>
          <w:szCs w:val="24"/>
          <w:rtl/>
        </w:rPr>
        <w:t>פרוטוקול ישיבה מיום 3.3.2005</w:t>
      </w:r>
      <w:r>
        <w:rPr>
          <w:rFonts w:hint="cs"/>
          <w:rtl/>
        </w:rPr>
        <w:t xml:space="preserve">). וראו גם פרוטוקול ישיבה של ועדת הכספים, הכנסת ה-16, 11-9 (8.3.2005) (להלן: </w:t>
      </w:r>
      <w:r w:rsidRPr="00A463BC">
        <w:rPr>
          <w:rFonts w:ascii="Century" w:hAnsi="Century" w:cs="Miriam" w:hint="cs"/>
          <w:b/>
          <w:spacing w:val="0"/>
          <w:sz w:val="22"/>
          <w:szCs w:val="24"/>
          <w:rtl/>
        </w:rPr>
        <w:t>פרוטוקול ישיבה מיום 8.3.2005</w:t>
      </w:r>
      <w:r>
        <w:rPr>
          <w:rFonts w:hint="cs"/>
          <w:rtl/>
        </w:rPr>
        <w:t xml:space="preserve">)). ההבנה שהייתה היא שהטבת המס הנדונה התמקדה בייצוא, בעוד ההתמקדות בשוק המקומי תיעשה במישור התעסוקתי. עמד על כך גם מר יורם </w:t>
      </w:r>
      <w:proofErr w:type="spellStart"/>
      <w:r>
        <w:rPr>
          <w:rFonts w:hint="cs"/>
          <w:rtl/>
        </w:rPr>
        <w:t>בליזובסקי</w:t>
      </w:r>
      <w:proofErr w:type="spellEnd"/>
      <w:r>
        <w:rPr>
          <w:rFonts w:hint="cs"/>
          <w:rtl/>
        </w:rPr>
        <w:t xml:space="preserve">, </w:t>
      </w:r>
      <w:r w:rsidRPr="00656D90">
        <w:rPr>
          <w:rFonts w:hint="eastAsia"/>
          <w:rtl/>
        </w:rPr>
        <w:t>מנכ</w:t>
      </w:r>
      <w:r w:rsidRPr="00656D90">
        <w:rPr>
          <w:rtl/>
        </w:rPr>
        <w:t>"</w:t>
      </w:r>
      <w:r w:rsidRPr="00656D90">
        <w:rPr>
          <w:rFonts w:hint="eastAsia"/>
          <w:rtl/>
        </w:rPr>
        <w:t>ל</w:t>
      </w:r>
      <w:r w:rsidRPr="00656D90">
        <w:rPr>
          <w:rtl/>
        </w:rPr>
        <w:t xml:space="preserve"> </w:t>
      </w:r>
      <w:r w:rsidRPr="00656D90">
        <w:rPr>
          <w:rFonts w:hint="eastAsia"/>
          <w:rtl/>
        </w:rPr>
        <w:t>התאחדות</w:t>
      </w:r>
      <w:r w:rsidRPr="00656D90">
        <w:rPr>
          <w:rtl/>
        </w:rPr>
        <w:t xml:space="preserve"> </w:t>
      </w:r>
      <w:r w:rsidRPr="00656D90">
        <w:rPr>
          <w:rFonts w:hint="eastAsia"/>
          <w:rtl/>
        </w:rPr>
        <w:t>התעשיינים</w:t>
      </w:r>
      <w:r>
        <w:rPr>
          <w:rFonts w:hint="cs"/>
          <w:rtl/>
        </w:rPr>
        <w:t xml:space="preserve"> דאז ובעבר מנהל מרכז ההשקעות, בציינו כי "</w:t>
      </w:r>
      <w:r w:rsidRPr="00916830">
        <w:rPr>
          <w:rFonts w:ascii="Century" w:hAnsi="Century" w:cs="Miriam" w:hint="eastAsia"/>
          <w:b/>
          <w:spacing w:val="0"/>
          <w:sz w:val="22"/>
          <w:szCs w:val="24"/>
          <w:rtl/>
        </w:rPr>
        <w:t>לקחנו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עצמנו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דבר</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מאד</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קשה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שהוא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פנימי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שהסכמנו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וזה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גם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פי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תפיסת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עולמי</w:t>
      </w:r>
      <w:r w:rsidRPr="00916830">
        <w:rPr>
          <w:rFonts w:ascii="Century" w:hAnsi="Century" w:cs="Miriam"/>
          <w:b/>
          <w:spacing w:val="0"/>
          <w:sz w:val="22"/>
          <w:szCs w:val="24"/>
          <w:rtl/>
        </w:rPr>
        <w:t xml:space="preserve"> – </w:t>
      </w:r>
      <w:r w:rsidRPr="00916830">
        <w:rPr>
          <w:rFonts w:ascii="Century" w:hAnsi="Century" w:cs="Miriam" w:hint="eastAsia"/>
          <w:b/>
          <w:spacing w:val="0"/>
          <w:sz w:val="22"/>
          <w:szCs w:val="24"/>
          <w:rtl/>
        </w:rPr>
        <w:t>שבשנת</w:t>
      </w:r>
      <w:r w:rsidRPr="00916830">
        <w:rPr>
          <w:rFonts w:ascii="Century" w:hAnsi="Century" w:cs="Miriam"/>
          <w:b/>
          <w:spacing w:val="0"/>
          <w:sz w:val="22"/>
          <w:szCs w:val="24"/>
          <w:rtl/>
        </w:rPr>
        <w:t xml:space="preserve"> 2005 </w:t>
      </w:r>
      <w:r w:rsidRPr="00916830">
        <w:rPr>
          <w:rFonts w:ascii="Century" w:hAnsi="Century" w:cs="Miriam" w:hint="eastAsia"/>
          <w:b/>
          <w:spacing w:val="0"/>
          <w:sz w:val="22"/>
          <w:szCs w:val="24"/>
          <w:rtl/>
        </w:rPr>
        <w:t>הסיוע</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צריך</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להיות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ממוקד</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בשווקים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הבינלאומיים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יש</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היגיון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שהמיקוד</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lastRenderedPageBreak/>
        <w:t>שהממשלה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נותנת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באמצעות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כלי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סיוע</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יהיה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באמת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ממוקד</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לשוק</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המקומי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אלא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לשווקים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הבינלאומיים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זו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נקודה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נוספת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שלקחנו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עצמנו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יחד</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זה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בנקודה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הזו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היה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לנו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ברור</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שהשיטה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המוצעת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או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החוק</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המוצע</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מוציא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קבוצה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גדולה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תעשיות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מעולם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יכולות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לייצא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יש</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תעשיות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שקמו</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והן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מבוססות</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על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השוק</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המקומי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וכל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שייעשה</w:t>
      </w:r>
      <w:r w:rsidRPr="00916830">
        <w:rPr>
          <w:rFonts w:ascii="Century" w:hAnsi="Century" w:cs="Miriam"/>
          <w:b/>
          <w:spacing w:val="0"/>
          <w:sz w:val="22"/>
          <w:szCs w:val="24"/>
          <w:rtl/>
        </w:rPr>
        <w:t xml:space="preserve"> – </w:t>
      </w:r>
      <w:r w:rsidRPr="00916830">
        <w:rPr>
          <w:rFonts w:ascii="Century" w:hAnsi="Century" w:cs="Miriam" w:hint="eastAsia"/>
          <w:b/>
          <w:spacing w:val="0"/>
          <w:sz w:val="22"/>
          <w:szCs w:val="24"/>
          <w:rtl/>
        </w:rPr>
        <w:t>הן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תוכלנה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לייצא</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כי</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המוצרים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שלהן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אינם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סחירים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בשווקים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הבינלאומיים</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וכאן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הפתרון</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היה</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שהוצע</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מסלול</w:t>
      </w:r>
      <w:r w:rsidRPr="00916830">
        <w:rPr>
          <w:rFonts w:ascii="Century" w:hAnsi="Century" w:cs="Miriam"/>
          <w:b/>
          <w:spacing w:val="0"/>
          <w:sz w:val="22"/>
          <w:szCs w:val="24"/>
          <w:rtl/>
        </w:rPr>
        <w:t xml:space="preserve"> </w:t>
      </w:r>
      <w:r w:rsidRPr="00916830">
        <w:rPr>
          <w:rFonts w:ascii="Century" w:hAnsi="Century" w:cs="Miriam" w:hint="eastAsia"/>
          <w:b/>
          <w:spacing w:val="0"/>
          <w:sz w:val="22"/>
          <w:szCs w:val="24"/>
          <w:rtl/>
        </w:rPr>
        <w:t>התעסוקה</w:t>
      </w:r>
      <w:r>
        <w:rPr>
          <w:rFonts w:hint="cs"/>
          <w:rtl/>
        </w:rPr>
        <w:t xml:space="preserve">" (פרוטוקול ישיבה מיום 3.3.2005, בעמ' 27). </w:t>
      </w:r>
    </w:p>
    <w:p w:rsidR="00CF54A5" w:rsidRDefault="00CF54A5" w:rsidP="00CF54A5">
      <w:pPr>
        <w:pStyle w:val="Ruller41"/>
        <w:rPr>
          <w:rtl/>
        </w:rPr>
      </w:pPr>
    </w:p>
    <w:p w:rsidR="00CF54A5" w:rsidRDefault="00CF54A5" w:rsidP="00CF54A5">
      <w:pPr>
        <w:pStyle w:val="Ruller4"/>
      </w:pPr>
      <w:r>
        <w:rPr>
          <w:rFonts w:hint="cs"/>
          <w:rtl/>
        </w:rPr>
        <w:t>קו מחשבה זה</w:t>
      </w:r>
      <w:r w:rsidRPr="006F1457">
        <w:rPr>
          <w:rFonts w:hint="cs"/>
          <w:rtl/>
        </w:rPr>
        <w:t>, המתמקד בתחרות הבינל</w:t>
      </w:r>
      <w:r w:rsidR="00810D7B">
        <w:rPr>
          <w:rFonts w:hint="cs"/>
          <w:rtl/>
        </w:rPr>
        <w:t xml:space="preserve">אומית ובפעילות המפעלים בשווקים </w:t>
      </w:r>
      <w:r w:rsidRPr="006F1457">
        <w:rPr>
          <w:rFonts w:hint="cs"/>
          <w:rtl/>
        </w:rPr>
        <w:t>זרים,</w:t>
      </w:r>
      <w:r>
        <w:rPr>
          <w:rFonts w:hint="cs"/>
          <w:rtl/>
        </w:rPr>
        <w:t xml:space="preserve"> קיבל ביטוי גם במסגרת תיקון מס' 70 לחוק אשר תיקן את סעיף 18א(ג)(1)(ג) לחוק. במסגרת התיקון, חזר המחוקק על כוונתו כי הטבת המס לא נועדה לחול על השוק המקומי, עת שנכתב בדברי ההסבר כי "</w:t>
      </w:r>
      <w:r>
        <w:rPr>
          <w:rFonts w:ascii="Century" w:hAnsi="Century" w:cs="Miriam" w:hint="cs"/>
          <w:b/>
          <w:spacing w:val="0"/>
          <w:sz w:val="22"/>
          <w:szCs w:val="24"/>
          <w:rtl/>
        </w:rPr>
        <w:t>בעת חקיקת</w:t>
      </w:r>
      <w:r w:rsidRPr="004C7CE0">
        <w:rPr>
          <w:rFonts w:ascii="Century" w:hAnsi="Century" w:cs="Miriam" w:hint="cs"/>
          <w:b/>
          <w:spacing w:val="0"/>
          <w:sz w:val="22"/>
          <w:szCs w:val="24"/>
          <w:rtl/>
        </w:rPr>
        <w:t xml:space="preserve"> החוק ובמהלך השנים שלאחריה היה ברור שמדינת ישראל אינה נכנסת בגדר שוק המונה 12 מיליון תושבים לפחות, דבר שעלה בקנה אחד עם תכלית החוק שלפיה ממילא אין מקום </w:t>
      </w:r>
      <w:proofErr w:type="spellStart"/>
      <w:r w:rsidRPr="004C7CE0">
        <w:rPr>
          <w:rFonts w:ascii="Century" w:hAnsi="Century" w:cs="Miriam" w:hint="cs"/>
          <w:b/>
          <w:spacing w:val="0"/>
          <w:sz w:val="22"/>
          <w:szCs w:val="24"/>
          <w:rtl/>
        </w:rPr>
        <w:t>ליתן</w:t>
      </w:r>
      <w:proofErr w:type="spellEnd"/>
      <w:r w:rsidRPr="004C7CE0">
        <w:rPr>
          <w:rFonts w:ascii="Century" w:hAnsi="Century" w:cs="Miriam" w:hint="cs"/>
          <w:b/>
          <w:spacing w:val="0"/>
          <w:sz w:val="22"/>
          <w:szCs w:val="24"/>
          <w:rtl/>
        </w:rPr>
        <w:t xml:space="preserve"> הטבות למי שמלוא הכנסתו היא ממכירות לשוק המקומי</w:t>
      </w:r>
      <w:r w:rsidRPr="008F6C27">
        <w:rPr>
          <w:rFonts w:ascii="Century" w:hAnsi="Century" w:cs="Miriam" w:hint="cs"/>
          <w:b/>
          <w:spacing w:val="0"/>
          <w:sz w:val="22"/>
          <w:szCs w:val="24"/>
          <w:rtl/>
        </w:rPr>
        <w:t xml:space="preserve"> בלבד</w:t>
      </w:r>
      <w:r>
        <w:rPr>
          <w:rFonts w:hint="cs"/>
          <w:rtl/>
        </w:rPr>
        <w:t>", ו"</w:t>
      </w:r>
      <w:r w:rsidRPr="004C7CE0">
        <w:rPr>
          <w:rFonts w:ascii="Century" w:hAnsi="Century" w:cs="Miriam" w:hint="cs"/>
          <w:b/>
          <w:spacing w:val="0"/>
          <w:sz w:val="22"/>
          <w:szCs w:val="24"/>
          <w:rtl/>
        </w:rPr>
        <w:t xml:space="preserve">כדי להתאים את הוראות החוק </w:t>
      </w:r>
      <w:r>
        <w:rPr>
          <w:rFonts w:ascii="Century" w:hAnsi="Century" w:cs="Miriam" w:hint="cs"/>
          <w:b/>
          <w:spacing w:val="0"/>
          <w:sz w:val="22"/>
          <w:szCs w:val="24"/>
          <w:rtl/>
        </w:rPr>
        <w:t>ל</w:t>
      </w:r>
      <w:r w:rsidRPr="004C7CE0">
        <w:rPr>
          <w:rFonts w:ascii="Century" w:hAnsi="Century" w:cs="Miriam" w:hint="cs"/>
          <w:b/>
          <w:spacing w:val="0"/>
          <w:sz w:val="22"/>
          <w:szCs w:val="24"/>
          <w:rtl/>
        </w:rPr>
        <w:t>גידול האוכלוסייה בעולם, ולשמר את המצב הקיים שלפיו מכירות לישראל בלבד אינן מזכות בהטבה לפי החוק, מוצע לתקן את סעיף 18א(ג)(1)(ג) לחוק...</w:t>
      </w:r>
      <w:r>
        <w:rPr>
          <w:rFonts w:hint="cs"/>
          <w:rtl/>
        </w:rPr>
        <w:t xml:space="preserve">" (דברי ההסבר להצעת חוק לעידוד השקעות הון (תיקון מס' 70), התשע"ג-2012, </w:t>
      </w:r>
      <w:proofErr w:type="spellStart"/>
      <w:r>
        <w:rPr>
          <w:rFonts w:hint="cs"/>
          <w:rtl/>
        </w:rPr>
        <w:t>ה"ח</w:t>
      </w:r>
      <w:proofErr w:type="spellEnd"/>
      <w:r>
        <w:rPr>
          <w:rFonts w:hint="cs"/>
          <w:rtl/>
        </w:rPr>
        <w:t xml:space="preserve"> הממשלה 124, 124). </w:t>
      </w:r>
    </w:p>
    <w:p w:rsidR="00CF54A5" w:rsidRDefault="00CF54A5" w:rsidP="00CF54A5">
      <w:pPr>
        <w:pStyle w:val="Ruller4"/>
        <w:numPr>
          <w:ilvl w:val="0"/>
          <w:numId w:val="0"/>
        </w:numPr>
        <w:rPr>
          <w:rtl/>
        </w:rPr>
      </w:pPr>
    </w:p>
    <w:p w:rsidR="00CF54A5" w:rsidRDefault="00CF54A5" w:rsidP="00CF54A5">
      <w:pPr>
        <w:pStyle w:val="Ruller4"/>
        <w:numPr>
          <w:ilvl w:val="0"/>
          <w:numId w:val="0"/>
        </w:numPr>
        <w:rPr>
          <w:rtl/>
        </w:rPr>
      </w:pPr>
      <w:r>
        <w:rPr>
          <w:rtl/>
        </w:rPr>
        <w:tab/>
      </w:r>
      <w:r>
        <w:rPr>
          <w:rFonts w:hint="cs"/>
          <w:rtl/>
        </w:rPr>
        <w:t xml:space="preserve">דברים דומים נאמרו גם במהלך דיוני ועדת הכספים בקשר לתיקון מס' 70. כך, בישיבת 82 של ועדת הכספים, הכנסת ה-19 (24.6.2013) (להלן: </w:t>
      </w:r>
      <w:r w:rsidRPr="00D875E5">
        <w:rPr>
          <w:rFonts w:ascii="Century" w:hAnsi="Century" w:cs="Miriam" w:hint="cs"/>
          <w:b/>
          <w:spacing w:val="0"/>
          <w:sz w:val="22"/>
          <w:szCs w:val="24"/>
          <w:rtl/>
        </w:rPr>
        <w:t>פרוטוקול ישיבה מיום 24.6.2013</w:t>
      </w:r>
      <w:r>
        <w:rPr>
          <w:rFonts w:hint="cs"/>
          <w:rtl/>
        </w:rPr>
        <w:t>) הדגיש מנהל רשות המיסים דאז, מר משה אשר, כי:</w:t>
      </w:r>
    </w:p>
    <w:p w:rsidR="00CF54A5" w:rsidRDefault="00CF54A5" w:rsidP="00CF54A5">
      <w:pPr>
        <w:pStyle w:val="Ruller41"/>
        <w:rPr>
          <w:rtl/>
        </w:rPr>
      </w:pPr>
    </w:p>
    <w:p w:rsidR="00CF54A5" w:rsidRPr="00FE2EC2" w:rsidRDefault="00CF54A5" w:rsidP="00CF54A5">
      <w:pPr>
        <w:pStyle w:val="Ruller5"/>
        <w:rPr>
          <w:rtl/>
        </w:rPr>
      </w:pPr>
      <w:r w:rsidRPr="00FE2EC2">
        <w:rPr>
          <w:rFonts w:hint="eastAsia"/>
          <w:rtl/>
        </w:rPr>
        <w:t>ברור</w:t>
      </w:r>
      <w:r w:rsidRPr="00FE2EC2">
        <w:rPr>
          <w:rtl/>
        </w:rPr>
        <w:t xml:space="preserve"> </w:t>
      </w:r>
      <w:r w:rsidRPr="00FE2EC2">
        <w:rPr>
          <w:rFonts w:hint="eastAsia"/>
          <w:rtl/>
        </w:rPr>
        <w:t>היה</w:t>
      </w:r>
      <w:r w:rsidRPr="00FE2EC2">
        <w:rPr>
          <w:rtl/>
        </w:rPr>
        <w:t xml:space="preserve"> </w:t>
      </w:r>
      <w:r w:rsidRPr="00FE2EC2">
        <w:rPr>
          <w:rFonts w:hint="eastAsia"/>
          <w:rtl/>
        </w:rPr>
        <w:t>לכולם</w:t>
      </w:r>
      <w:r w:rsidRPr="00FE2EC2">
        <w:rPr>
          <w:rtl/>
        </w:rPr>
        <w:t xml:space="preserve">, </w:t>
      </w:r>
      <w:r w:rsidRPr="00FE2EC2">
        <w:rPr>
          <w:rFonts w:hint="eastAsia"/>
          <w:rtl/>
        </w:rPr>
        <w:t>למנסחי</w:t>
      </w:r>
      <w:r w:rsidRPr="00FE2EC2">
        <w:rPr>
          <w:rtl/>
        </w:rPr>
        <w:t xml:space="preserve"> </w:t>
      </w:r>
      <w:r w:rsidRPr="00FE2EC2">
        <w:rPr>
          <w:rFonts w:hint="eastAsia"/>
          <w:rtl/>
        </w:rPr>
        <w:t>החוק</w:t>
      </w:r>
      <w:r w:rsidRPr="00FE2EC2">
        <w:rPr>
          <w:rtl/>
        </w:rPr>
        <w:t xml:space="preserve">, </w:t>
      </w:r>
      <w:r w:rsidRPr="00FE2EC2">
        <w:rPr>
          <w:rFonts w:hint="eastAsia"/>
          <w:rtl/>
        </w:rPr>
        <w:t>למי</w:t>
      </w:r>
      <w:r w:rsidRPr="00FE2EC2">
        <w:rPr>
          <w:rtl/>
        </w:rPr>
        <w:t xml:space="preserve"> </w:t>
      </w:r>
      <w:r w:rsidRPr="00FE2EC2">
        <w:rPr>
          <w:rFonts w:hint="eastAsia"/>
          <w:rtl/>
        </w:rPr>
        <w:t>שהפעיל</w:t>
      </w:r>
      <w:r w:rsidRPr="00FE2EC2">
        <w:rPr>
          <w:rtl/>
        </w:rPr>
        <w:t xml:space="preserve"> </w:t>
      </w:r>
      <w:r w:rsidRPr="00FE2EC2">
        <w:rPr>
          <w:rFonts w:hint="eastAsia"/>
          <w:rtl/>
        </w:rPr>
        <w:t>את</w:t>
      </w:r>
      <w:r w:rsidRPr="00FE2EC2">
        <w:rPr>
          <w:rtl/>
        </w:rPr>
        <w:t xml:space="preserve"> </w:t>
      </w:r>
      <w:r w:rsidRPr="00FE2EC2">
        <w:rPr>
          <w:rFonts w:hint="eastAsia"/>
          <w:rtl/>
        </w:rPr>
        <w:t>החוק</w:t>
      </w:r>
      <w:r w:rsidRPr="00FE2EC2">
        <w:rPr>
          <w:rtl/>
        </w:rPr>
        <w:t xml:space="preserve">, </w:t>
      </w:r>
      <w:r w:rsidRPr="00FE2EC2">
        <w:rPr>
          <w:rFonts w:hint="eastAsia"/>
          <w:rtl/>
        </w:rPr>
        <w:t>למפעלים</w:t>
      </w:r>
      <w:r w:rsidRPr="00FE2EC2">
        <w:rPr>
          <w:rtl/>
        </w:rPr>
        <w:t xml:space="preserve"> </w:t>
      </w:r>
      <w:r w:rsidRPr="00FE2EC2">
        <w:rPr>
          <w:rFonts w:hint="eastAsia"/>
          <w:rtl/>
        </w:rPr>
        <w:t>בישראל</w:t>
      </w:r>
      <w:r w:rsidRPr="00FE2EC2">
        <w:rPr>
          <w:rtl/>
        </w:rPr>
        <w:t xml:space="preserve"> </w:t>
      </w:r>
      <w:r w:rsidRPr="00FE2EC2">
        <w:rPr>
          <w:rFonts w:hint="eastAsia"/>
          <w:rtl/>
        </w:rPr>
        <w:t>ולכולם</w:t>
      </w:r>
      <w:r w:rsidRPr="00FE2EC2">
        <w:rPr>
          <w:rtl/>
        </w:rPr>
        <w:t xml:space="preserve"> </w:t>
      </w:r>
      <w:r>
        <w:rPr>
          <w:rFonts w:hint="cs"/>
          <w:rtl/>
        </w:rPr>
        <w:t xml:space="preserve">... </w:t>
      </w:r>
      <w:r w:rsidRPr="00FE2EC2">
        <w:rPr>
          <w:rFonts w:hint="eastAsia"/>
          <w:rtl/>
        </w:rPr>
        <w:t>היה</w:t>
      </w:r>
      <w:r w:rsidRPr="00FE2EC2">
        <w:rPr>
          <w:rtl/>
        </w:rPr>
        <w:t xml:space="preserve"> </w:t>
      </w:r>
      <w:r w:rsidRPr="00FE2EC2">
        <w:rPr>
          <w:rFonts w:hint="eastAsia"/>
          <w:rtl/>
        </w:rPr>
        <w:t>ברור</w:t>
      </w:r>
      <w:r w:rsidRPr="00FE2EC2">
        <w:rPr>
          <w:rtl/>
        </w:rPr>
        <w:t xml:space="preserve"> </w:t>
      </w:r>
      <w:r w:rsidRPr="00FE2EC2">
        <w:rPr>
          <w:rFonts w:hint="eastAsia"/>
          <w:rtl/>
        </w:rPr>
        <w:t>לכולם</w:t>
      </w:r>
      <w:r w:rsidRPr="00FE2EC2">
        <w:rPr>
          <w:rtl/>
        </w:rPr>
        <w:t xml:space="preserve"> </w:t>
      </w:r>
      <w:r w:rsidRPr="00FE2EC2">
        <w:rPr>
          <w:rFonts w:hint="eastAsia"/>
          <w:rtl/>
        </w:rPr>
        <w:t>שמדובר</w:t>
      </w:r>
      <w:r w:rsidRPr="00FE2EC2">
        <w:rPr>
          <w:rtl/>
        </w:rPr>
        <w:t xml:space="preserve"> </w:t>
      </w:r>
      <w:r w:rsidRPr="00FE2EC2">
        <w:rPr>
          <w:rFonts w:hint="eastAsia"/>
          <w:rtl/>
        </w:rPr>
        <w:t>במכירות</w:t>
      </w:r>
      <w:r w:rsidRPr="00FE2EC2">
        <w:rPr>
          <w:rtl/>
        </w:rPr>
        <w:t xml:space="preserve"> </w:t>
      </w:r>
      <w:r w:rsidRPr="00FE2EC2">
        <w:rPr>
          <w:rFonts w:hint="eastAsia"/>
          <w:rtl/>
        </w:rPr>
        <w:t>לחוץ</w:t>
      </w:r>
      <w:r w:rsidRPr="00FE2EC2">
        <w:rPr>
          <w:rtl/>
        </w:rPr>
        <w:t xml:space="preserve"> </w:t>
      </w:r>
      <w:r w:rsidRPr="00FE2EC2">
        <w:rPr>
          <w:rFonts w:hint="eastAsia"/>
          <w:rtl/>
        </w:rPr>
        <w:t>לארץ</w:t>
      </w:r>
      <w:r w:rsidRPr="00FE2EC2">
        <w:rPr>
          <w:rtl/>
        </w:rPr>
        <w:t xml:space="preserve">. </w:t>
      </w:r>
      <w:r w:rsidRPr="00FE2EC2">
        <w:rPr>
          <w:rFonts w:hint="eastAsia"/>
          <w:rtl/>
        </w:rPr>
        <w:t>הכוונה</w:t>
      </w:r>
      <w:r w:rsidRPr="00FE2EC2">
        <w:rPr>
          <w:rtl/>
        </w:rPr>
        <w:t xml:space="preserve"> </w:t>
      </w:r>
      <w:proofErr w:type="spellStart"/>
      <w:r w:rsidRPr="00FE2EC2">
        <w:rPr>
          <w:rFonts w:hint="eastAsia"/>
          <w:rtl/>
        </w:rPr>
        <w:t>היתה</w:t>
      </w:r>
      <w:proofErr w:type="spellEnd"/>
      <w:r w:rsidRPr="00FE2EC2">
        <w:rPr>
          <w:rtl/>
        </w:rPr>
        <w:t xml:space="preserve"> </w:t>
      </w:r>
      <w:r w:rsidRPr="00FE2EC2">
        <w:rPr>
          <w:rFonts w:hint="eastAsia"/>
          <w:rtl/>
        </w:rPr>
        <w:t>לאפשר</w:t>
      </w:r>
      <w:r w:rsidRPr="00FE2EC2">
        <w:rPr>
          <w:rtl/>
        </w:rPr>
        <w:t xml:space="preserve"> </w:t>
      </w:r>
      <w:r w:rsidRPr="00FE2EC2">
        <w:rPr>
          <w:rFonts w:hint="eastAsia"/>
          <w:rtl/>
        </w:rPr>
        <w:t>לאותן</w:t>
      </w:r>
      <w:r w:rsidRPr="00FE2EC2">
        <w:rPr>
          <w:rtl/>
        </w:rPr>
        <w:t xml:space="preserve"> </w:t>
      </w:r>
      <w:r w:rsidRPr="00FE2EC2">
        <w:rPr>
          <w:rFonts w:hint="eastAsia"/>
          <w:rtl/>
        </w:rPr>
        <w:t>חברות</w:t>
      </w:r>
      <w:r w:rsidRPr="00FE2EC2">
        <w:rPr>
          <w:rtl/>
        </w:rPr>
        <w:t xml:space="preserve"> </w:t>
      </w:r>
      <w:r w:rsidRPr="00FE2EC2">
        <w:rPr>
          <w:rFonts w:hint="eastAsia"/>
          <w:rtl/>
        </w:rPr>
        <w:t>שמייצאות</w:t>
      </w:r>
      <w:r w:rsidRPr="00FE2EC2">
        <w:rPr>
          <w:rtl/>
        </w:rPr>
        <w:t xml:space="preserve"> </w:t>
      </w:r>
      <w:r w:rsidRPr="00FE2EC2">
        <w:rPr>
          <w:rFonts w:hint="eastAsia"/>
          <w:rtl/>
        </w:rPr>
        <w:t>להתמודד</w:t>
      </w:r>
      <w:r w:rsidRPr="00FE2EC2">
        <w:rPr>
          <w:rtl/>
        </w:rPr>
        <w:t xml:space="preserve"> </w:t>
      </w:r>
      <w:r w:rsidRPr="00FE2EC2">
        <w:rPr>
          <w:rFonts w:hint="eastAsia"/>
          <w:rtl/>
        </w:rPr>
        <w:t>בשווקים</w:t>
      </w:r>
      <w:r w:rsidRPr="00FE2EC2">
        <w:rPr>
          <w:rtl/>
        </w:rPr>
        <w:t xml:space="preserve"> </w:t>
      </w:r>
      <w:r w:rsidRPr="00FE2EC2">
        <w:rPr>
          <w:rFonts w:hint="eastAsia"/>
          <w:rtl/>
        </w:rPr>
        <w:t>גלובאליים</w:t>
      </w:r>
      <w:r w:rsidRPr="00FE2EC2">
        <w:rPr>
          <w:rtl/>
        </w:rPr>
        <w:t xml:space="preserve">, </w:t>
      </w:r>
      <w:r w:rsidRPr="00FE2EC2">
        <w:rPr>
          <w:rFonts w:hint="eastAsia"/>
          <w:rtl/>
        </w:rPr>
        <w:t>בשווקים</w:t>
      </w:r>
      <w:r w:rsidRPr="00FE2EC2">
        <w:rPr>
          <w:rtl/>
        </w:rPr>
        <w:t xml:space="preserve"> </w:t>
      </w:r>
      <w:r w:rsidRPr="00FE2EC2">
        <w:rPr>
          <w:rFonts w:hint="eastAsia"/>
          <w:rtl/>
        </w:rPr>
        <w:t>בינלאומיים</w:t>
      </w:r>
      <w:r>
        <w:rPr>
          <w:rFonts w:hint="cs"/>
          <w:rtl/>
        </w:rPr>
        <w:t xml:space="preserve"> (שם, בעמ' 3).</w:t>
      </w:r>
    </w:p>
    <w:p w:rsidR="00CF54A5" w:rsidRDefault="00CF54A5" w:rsidP="00CF54A5">
      <w:pPr>
        <w:pStyle w:val="Ruller41"/>
        <w:rPr>
          <w:rtl/>
        </w:rPr>
      </w:pPr>
    </w:p>
    <w:p w:rsidR="00CF54A5" w:rsidRDefault="00CF54A5" w:rsidP="00CF54A5">
      <w:pPr>
        <w:pStyle w:val="Ruller41"/>
        <w:rPr>
          <w:rtl/>
        </w:rPr>
      </w:pPr>
      <w:r>
        <w:rPr>
          <w:rtl/>
        </w:rPr>
        <w:tab/>
      </w:r>
      <w:r>
        <w:rPr>
          <w:rFonts w:hint="cs"/>
          <w:rtl/>
        </w:rPr>
        <w:t>ובהמשך נאמר:</w:t>
      </w:r>
    </w:p>
    <w:p w:rsidR="00CF54A5" w:rsidRDefault="00CF54A5" w:rsidP="00CF54A5">
      <w:pPr>
        <w:pStyle w:val="Ruller41"/>
        <w:rPr>
          <w:rtl/>
        </w:rPr>
      </w:pPr>
    </w:p>
    <w:p w:rsidR="00CF54A5" w:rsidRPr="009932D6" w:rsidRDefault="00CF54A5" w:rsidP="00CF54A5">
      <w:pPr>
        <w:pStyle w:val="Ruller5"/>
        <w:rPr>
          <w:rtl/>
        </w:rPr>
      </w:pPr>
      <w:r w:rsidRPr="009932D6">
        <w:rPr>
          <w:rFonts w:hint="cs"/>
          <w:rtl/>
        </w:rPr>
        <w:t xml:space="preserve">החוק הזה נועד ליצוא. </w:t>
      </w:r>
      <w:r>
        <w:rPr>
          <w:rFonts w:hint="cs"/>
          <w:rtl/>
        </w:rPr>
        <w:t>[...]</w:t>
      </w:r>
      <w:bookmarkStart w:id="6" w:name="_ETM_Q1_994393"/>
      <w:bookmarkEnd w:id="6"/>
      <w:r>
        <w:rPr>
          <w:rFonts w:hint="cs"/>
          <w:rtl/>
        </w:rPr>
        <w:t xml:space="preserve"> </w:t>
      </w:r>
      <w:r w:rsidRPr="009932D6">
        <w:rPr>
          <w:rFonts w:hint="cs"/>
          <w:rtl/>
        </w:rPr>
        <w:t xml:space="preserve">12 מיליון תושבים, הכמות הזאת נבחרה ולא בכדי. </w:t>
      </w:r>
      <w:bookmarkStart w:id="7" w:name="_ETM_Q1_1011879"/>
      <w:bookmarkStart w:id="8" w:name="_ETM_Q1_1014615"/>
      <w:bookmarkStart w:id="9" w:name="_ETM_Q1_1013998"/>
      <w:bookmarkEnd w:id="7"/>
      <w:bookmarkEnd w:id="8"/>
      <w:bookmarkEnd w:id="9"/>
      <w:r>
        <w:rPr>
          <w:rFonts w:hint="cs"/>
          <w:rtl/>
        </w:rPr>
        <w:t xml:space="preserve">[...] </w:t>
      </w:r>
      <w:r w:rsidRPr="009932D6">
        <w:rPr>
          <w:rFonts w:hint="cs"/>
          <w:rtl/>
        </w:rPr>
        <w:t xml:space="preserve">בהתאם להערכה של כמות הישראלית כולל הרשות הפלסטינית, עם מקדם מסוים של מרווח. לשם כיוונו. הכוונה </w:t>
      </w:r>
      <w:bookmarkStart w:id="10" w:name="_ETM_Q1_1025041"/>
      <w:bookmarkEnd w:id="10"/>
      <w:proofErr w:type="spellStart"/>
      <w:r w:rsidRPr="009932D6">
        <w:rPr>
          <w:rFonts w:hint="cs"/>
          <w:rtl/>
        </w:rPr>
        <w:t>היתה</w:t>
      </w:r>
      <w:proofErr w:type="spellEnd"/>
      <w:r w:rsidRPr="009932D6">
        <w:rPr>
          <w:rFonts w:hint="cs"/>
          <w:rtl/>
        </w:rPr>
        <w:t xml:space="preserve"> לרשום את תנאי היצוא בצורה אחרת</w:t>
      </w:r>
      <w:r>
        <w:rPr>
          <w:rFonts w:hint="cs"/>
          <w:rtl/>
        </w:rPr>
        <w:t xml:space="preserve"> (שם, בעמ' 4)</w:t>
      </w:r>
      <w:r w:rsidRPr="009932D6">
        <w:rPr>
          <w:rFonts w:hint="cs"/>
          <w:rtl/>
        </w:rPr>
        <w:t xml:space="preserve">. </w:t>
      </w:r>
    </w:p>
    <w:p w:rsidR="00CF54A5" w:rsidRDefault="00CF54A5" w:rsidP="00CF54A5">
      <w:pPr>
        <w:pStyle w:val="Ruller41"/>
        <w:rPr>
          <w:rtl/>
        </w:rPr>
      </w:pPr>
    </w:p>
    <w:p w:rsidR="00CF54A5" w:rsidRPr="00810D7B" w:rsidRDefault="00810D7B" w:rsidP="00810D7B">
      <w:pPr>
        <w:pStyle w:val="Ruller41"/>
        <w:rPr>
          <w:rFonts w:ascii="Century" w:hAnsi="Century"/>
          <w:rtl/>
        </w:rPr>
      </w:pPr>
      <w:r>
        <w:rPr>
          <w:rtl/>
        </w:rPr>
        <w:lastRenderedPageBreak/>
        <w:tab/>
      </w:r>
      <w:r w:rsidR="00CF54A5" w:rsidRPr="00810D7B">
        <w:rPr>
          <w:rFonts w:hint="cs"/>
          <w:rtl/>
        </w:rPr>
        <w:t xml:space="preserve">עמדה דומה הביע </w:t>
      </w:r>
      <w:r w:rsidR="00CF54A5" w:rsidRPr="00810D7B">
        <w:rPr>
          <w:rtl/>
        </w:rPr>
        <w:t>המשנה ליועץ המשפטי לממשלה</w:t>
      </w:r>
      <w:r w:rsidR="00CF54A5" w:rsidRPr="00810D7B">
        <w:rPr>
          <w:rFonts w:hint="cs"/>
          <w:rtl/>
        </w:rPr>
        <w:t xml:space="preserve"> דאז, עו"ד אבי </w:t>
      </w:r>
      <w:proofErr w:type="spellStart"/>
      <w:r w:rsidR="00CF54A5" w:rsidRPr="00810D7B">
        <w:rPr>
          <w:rFonts w:hint="cs"/>
          <w:rtl/>
        </w:rPr>
        <w:t>ליכט</w:t>
      </w:r>
      <w:proofErr w:type="spellEnd"/>
      <w:r w:rsidR="00CF54A5" w:rsidRPr="00810D7B">
        <w:rPr>
          <w:rFonts w:hint="cs"/>
          <w:rtl/>
        </w:rPr>
        <w:t>:</w:t>
      </w:r>
    </w:p>
    <w:p w:rsidR="00CF54A5" w:rsidRPr="00810D7B" w:rsidRDefault="00CF54A5" w:rsidP="00810D7B">
      <w:pPr>
        <w:pStyle w:val="Ruller41"/>
        <w:rPr>
          <w:rtl/>
        </w:rPr>
      </w:pPr>
    </w:p>
    <w:p w:rsidR="00CF54A5" w:rsidRPr="00A552FC" w:rsidRDefault="00CF54A5" w:rsidP="00CF54A5">
      <w:pPr>
        <w:pStyle w:val="Ruller5"/>
        <w:rPr>
          <w:rtl/>
        </w:rPr>
      </w:pPr>
      <w:bookmarkStart w:id="11" w:name="_ETM_Q1_1408765"/>
      <w:bookmarkEnd w:id="11"/>
      <w:r w:rsidRPr="00A552FC">
        <w:rPr>
          <w:rFonts w:hint="cs"/>
          <w:rtl/>
        </w:rPr>
        <w:t xml:space="preserve">עכשיו </w:t>
      </w:r>
      <w:bookmarkStart w:id="12" w:name="_ETM_Q1_1410196"/>
      <w:bookmarkEnd w:id="12"/>
      <w:r w:rsidRPr="00A552FC">
        <w:rPr>
          <w:rFonts w:hint="cs"/>
          <w:rtl/>
        </w:rPr>
        <w:t xml:space="preserve">לגבי פרשנות הדין הקיים. חשוב להבין שכל מי שעסק בתחום </w:t>
      </w:r>
      <w:bookmarkStart w:id="13" w:name="_ETM_Q1_1412934"/>
      <w:bookmarkEnd w:id="13"/>
      <w:r w:rsidRPr="00A552FC">
        <w:rPr>
          <w:rFonts w:hint="cs"/>
          <w:rtl/>
        </w:rPr>
        <w:t>הזה, בין בתוך הממשלה ובין מחוץ לממשלה קר</w:t>
      </w:r>
      <w:r>
        <w:rPr>
          <w:rFonts w:hint="cs"/>
          <w:rtl/>
        </w:rPr>
        <w:t>[א]</w:t>
      </w:r>
      <w:r w:rsidRPr="00A552FC">
        <w:rPr>
          <w:rFonts w:hint="cs"/>
          <w:rtl/>
        </w:rPr>
        <w:t xml:space="preserve"> לתנאי ה-12 </w:t>
      </w:r>
      <w:bookmarkStart w:id="14" w:name="_ETM_Q1_1413840"/>
      <w:bookmarkEnd w:id="14"/>
      <w:r w:rsidRPr="00A552FC">
        <w:rPr>
          <w:rFonts w:hint="cs"/>
          <w:rtl/>
        </w:rPr>
        <w:t xml:space="preserve">מיליון תנאי הייצוא. זה היה הז'רגון, כולם דיברו על זה. </w:t>
      </w:r>
      <w:bookmarkStart w:id="15" w:name="_ETM_Q1_1418770"/>
      <w:bookmarkEnd w:id="15"/>
      <w:r w:rsidRPr="00A552FC">
        <w:rPr>
          <w:rFonts w:hint="cs"/>
          <w:rtl/>
        </w:rPr>
        <w:t xml:space="preserve">אני לא חושב שיש אחד במשק שחשב שזה לא מתייחס </w:t>
      </w:r>
      <w:bookmarkStart w:id="16" w:name="_ETM_Q1_1420080"/>
      <w:bookmarkEnd w:id="16"/>
      <w:r w:rsidRPr="00A552FC">
        <w:rPr>
          <w:rFonts w:hint="cs"/>
          <w:rtl/>
        </w:rPr>
        <w:t xml:space="preserve">לתנאי הייצוא. זה הופיע בדברי הכנסת. חברי הכנסת ידעו בדיוק, </w:t>
      </w:r>
      <w:bookmarkStart w:id="17" w:name="_ETM_Q1_1429707"/>
      <w:bookmarkEnd w:id="17"/>
      <w:r w:rsidRPr="00A552FC">
        <w:rPr>
          <w:rFonts w:hint="cs"/>
          <w:rtl/>
        </w:rPr>
        <w:t xml:space="preserve">גם בתיקון הקודם וגם בתיקון שהגענו ב-2010. </w:t>
      </w:r>
      <w:r>
        <w:rPr>
          <w:rFonts w:hint="cs"/>
          <w:rtl/>
        </w:rPr>
        <w:t xml:space="preserve">[...] </w:t>
      </w:r>
      <w:r w:rsidRPr="00A552FC">
        <w:rPr>
          <w:rFonts w:hint="cs"/>
          <w:rtl/>
        </w:rPr>
        <w:t>לכן</w:t>
      </w:r>
      <w:bookmarkStart w:id="18" w:name="_ETM_Q1_1468452"/>
      <w:bookmarkEnd w:id="18"/>
      <w:r w:rsidRPr="00A552FC">
        <w:rPr>
          <w:rFonts w:hint="cs"/>
          <w:rtl/>
        </w:rPr>
        <w:t xml:space="preserve">, היה ברור לגמרי, גם </w:t>
      </w:r>
      <w:bookmarkStart w:id="19" w:name="_ETM_Q1_1471486"/>
      <w:bookmarkEnd w:id="19"/>
      <w:r w:rsidRPr="00A552FC">
        <w:rPr>
          <w:rFonts w:hint="cs"/>
          <w:rtl/>
        </w:rPr>
        <w:t xml:space="preserve">לכנסת, גם לעוסקים בתחום, גם לנו וגם לאנשי </w:t>
      </w:r>
      <w:bookmarkStart w:id="20" w:name="_ETM_Q1_1471390"/>
      <w:bookmarkEnd w:id="20"/>
      <w:r w:rsidRPr="00A552FC">
        <w:rPr>
          <w:rFonts w:hint="cs"/>
          <w:rtl/>
        </w:rPr>
        <w:t xml:space="preserve">רשות המיסים, גם בהתנהלות בפועל, גם בדיונים שהיו אצלנו, כולל </w:t>
      </w:r>
      <w:bookmarkStart w:id="21" w:name="_ETM_Q1_1479058"/>
      <w:bookmarkEnd w:id="21"/>
      <w:r w:rsidRPr="00A552FC">
        <w:rPr>
          <w:rFonts w:hint="cs"/>
          <w:rtl/>
        </w:rPr>
        <w:t>עם אנשים שכתבו חוות דעת. כולם ידעו שמדובר בתנאי הייצוא</w:t>
      </w:r>
      <w:r>
        <w:rPr>
          <w:rFonts w:hint="cs"/>
          <w:rtl/>
        </w:rPr>
        <w:t xml:space="preserve"> (שם, בעמ' 7)</w:t>
      </w:r>
      <w:r w:rsidRPr="00A552FC">
        <w:rPr>
          <w:rFonts w:hint="cs"/>
          <w:rtl/>
        </w:rPr>
        <w:t xml:space="preserve">. </w:t>
      </w:r>
      <w:bookmarkStart w:id="22" w:name="_ETM_Q1_1485086"/>
      <w:bookmarkEnd w:id="22"/>
    </w:p>
    <w:p w:rsidR="00CF54A5" w:rsidRDefault="00CF54A5" w:rsidP="00810D7B">
      <w:pPr>
        <w:pStyle w:val="Ruller41"/>
        <w:rPr>
          <w:rtl/>
        </w:rPr>
      </w:pPr>
    </w:p>
    <w:p w:rsidR="00CF54A5" w:rsidRDefault="00CF54A5" w:rsidP="00810D7B">
      <w:pPr>
        <w:pStyle w:val="Ruller41"/>
        <w:rPr>
          <w:rtl/>
        </w:rPr>
      </w:pPr>
      <w:r>
        <w:rPr>
          <w:rtl/>
        </w:rPr>
        <w:tab/>
      </w:r>
      <w:r>
        <w:rPr>
          <w:rFonts w:hint="cs"/>
          <w:rtl/>
        </w:rPr>
        <w:t>וזו גם הייתה הבנתו של יו"ר ועדת הכספים דאז, חבר הכנסת ניסן סלומינסקי, באומרו את הדברים הבאים:</w:t>
      </w:r>
    </w:p>
    <w:p w:rsidR="00CF54A5" w:rsidRDefault="00CF54A5" w:rsidP="00810D7B">
      <w:pPr>
        <w:pStyle w:val="Ruller41"/>
        <w:rPr>
          <w:rtl/>
        </w:rPr>
      </w:pPr>
    </w:p>
    <w:p w:rsidR="00CF54A5" w:rsidRPr="00696042" w:rsidRDefault="00CF54A5" w:rsidP="00CF54A5">
      <w:pPr>
        <w:pStyle w:val="Ruller5"/>
        <w:rPr>
          <w:rtl/>
        </w:rPr>
      </w:pPr>
      <w:r>
        <w:rPr>
          <w:rFonts w:hint="cs"/>
          <w:rtl/>
        </w:rPr>
        <w:t>[...]</w:t>
      </w:r>
      <w:r w:rsidRPr="00696042">
        <w:rPr>
          <w:rFonts w:hint="cs"/>
          <w:rtl/>
        </w:rPr>
        <w:t xml:space="preserve"> מדינת ישראל רוצה לעודד את היצוא, ולכן היא קבעה שכל מפעל שמייצא למשק שהוא מעל 12 מיליון יקבל את ההטבות. למה 12 מיליון? כי 12 מיליון היו עד סוף 2011 </w:t>
      </w:r>
      <w:r w:rsidRPr="00696042">
        <w:rPr>
          <w:rtl/>
        </w:rPr>
        <w:t>–</w:t>
      </w:r>
      <w:r w:rsidRPr="00696042">
        <w:rPr>
          <w:rFonts w:hint="cs"/>
          <w:rtl/>
        </w:rPr>
        <w:t xml:space="preserve"> מדינת ישראל פלוס הרשות הפלסטינית. </w:t>
      </w:r>
      <w:r>
        <w:rPr>
          <w:rFonts w:hint="cs"/>
          <w:rtl/>
        </w:rPr>
        <w:t xml:space="preserve">[...] </w:t>
      </w:r>
      <w:r w:rsidRPr="00696042">
        <w:rPr>
          <w:rFonts w:hint="cs"/>
          <w:rtl/>
        </w:rPr>
        <w:t>בכל אופן, כל המטרה הייתה לעודד ייצוא. ברגע שמדינת ישראל, פלוס הרשות הפלסטינית, עוברת את 12 המיליון, כל מפעל בישראל יהיה זכאי גם כן לקבל את ההטבות האלה, וההטבות האלה נועדו רק ליצוא ולא למשק הפנימי. הצעת החוק הזאת מגדילה ואומרת שרק מפעלים שייצאו למדינות שמעל 14 מיליון יהיו זכאים להטבות האלה. כלומר, מפעל שמוכר בישראל, במשק המקומי, לא יהיה זכאי להטבות האלה. זו מהותו של החוק</w:t>
      </w:r>
      <w:r>
        <w:rPr>
          <w:rFonts w:hint="cs"/>
          <w:rtl/>
        </w:rPr>
        <w:t>...</w:t>
      </w:r>
      <w:r w:rsidRPr="00696042">
        <w:rPr>
          <w:rFonts w:hint="cs"/>
          <w:rtl/>
        </w:rPr>
        <w:t xml:space="preserve"> </w:t>
      </w:r>
    </w:p>
    <w:p w:rsidR="00CF54A5" w:rsidRDefault="00CF54A5" w:rsidP="00CF54A5">
      <w:pPr>
        <w:rPr>
          <w:rtl/>
        </w:rPr>
      </w:pPr>
    </w:p>
    <w:p w:rsidR="00CF54A5" w:rsidRDefault="00CF54A5" w:rsidP="00CF54A5">
      <w:pPr>
        <w:pStyle w:val="Ruller5"/>
        <w:rPr>
          <w:rtl/>
        </w:rPr>
      </w:pPr>
      <w:r>
        <w:rPr>
          <w:rFonts w:hint="cs"/>
          <w:rtl/>
        </w:rPr>
        <w:t>[...]</w:t>
      </w:r>
    </w:p>
    <w:p w:rsidR="00CF54A5" w:rsidRDefault="00CF54A5" w:rsidP="00CF54A5">
      <w:pPr>
        <w:pStyle w:val="Ruller5"/>
        <w:rPr>
          <w:rtl/>
        </w:rPr>
      </w:pPr>
    </w:p>
    <w:p w:rsidR="00CF54A5" w:rsidRDefault="00CF54A5" w:rsidP="00CF54A5">
      <w:pPr>
        <w:pStyle w:val="Ruller5"/>
        <w:rPr>
          <w:rtl/>
        </w:rPr>
      </w:pPr>
      <w:r>
        <w:rPr>
          <w:rFonts w:hint="cs"/>
          <w:rtl/>
        </w:rPr>
        <w:t xml:space="preserve">צריכים להסתכל על מהותו של החוק, והחוק הזה </w:t>
      </w:r>
      <w:bookmarkStart w:id="23" w:name="_ETM_Q14_841767"/>
      <w:bookmarkEnd w:id="23"/>
      <w:r>
        <w:rPr>
          <w:rFonts w:hint="cs"/>
          <w:rtl/>
        </w:rPr>
        <w:t>בא להיטיב.</w:t>
      </w:r>
      <w:bookmarkStart w:id="24" w:name="TOR_Q15"/>
      <w:bookmarkStart w:id="25" w:name="_ETM_Q15_235240"/>
      <w:bookmarkEnd w:id="24"/>
      <w:bookmarkEnd w:id="25"/>
      <w:r>
        <w:rPr>
          <w:rFonts w:hint="cs"/>
          <w:rtl/>
        </w:rPr>
        <w:t xml:space="preserve"> המדינה </w:t>
      </w:r>
      <w:bookmarkStart w:id="26" w:name="_ETM_Q15_240130"/>
      <w:bookmarkEnd w:id="26"/>
      <w:r>
        <w:rPr>
          <w:rFonts w:hint="cs"/>
          <w:rtl/>
        </w:rPr>
        <w:t xml:space="preserve">רוצה להיטיב ולדרבן את היצוא. זה לא חוק שנועד לדרבן </w:t>
      </w:r>
      <w:bookmarkStart w:id="27" w:name="_ETM_Q15_248685"/>
      <w:bookmarkEnd w:id="27"/>
      <w:r>
        <w:rPr>
          <w:rFonts w:hint="cs"/>
          <w:rtl/>
        </w:rPr>
        <w:t xml:space="preserve">ולעזור למפעל בארץ, שמוכר בארץ; לצורך זה יש </w:t>
      </w:r>
      <w:bookmarkStart w:id="28" w:name="_ETM_Q15_257901"/>
      <w:bookmarkEnd w:id="28"/>
      <w:r>
        <w:rPr>
          <w:rFonts w:hint="cs"/>
          <w:rtl/>
        </w:rPr>
        <w:t xml:space="preserve">חוקים אחרים. ואם זה מפעלים בפריפריה, יש להם התוספות </w:t>
      </w:r>
      <w:bookmarkStart w:id="29" w:name="_ETM_Q15_261911"/>
      <w:bookmarkEnd w:id="29"/>
      <w:proofErr w:type="spellStart"/>
      <w:r>
        <w:rPr>
          <w:rFonts w:hint="cs"/>
          <w:rtl/>
        </w:rPr>
        <w:t>והתמרוצים</w:t>
      </w:r>
      <w:proofErr w:type="spellEnd"/>
      <w:r>
        <w:rPr>
          <w:rFonts w:hint="cs"/>
          <w:rtl/>
        </w:rPr>
        <w:t xml:space="preserve"> שלהם. החוק הזה בא לתמרץ את היצוא [...] ו</w:t>
      </w:r>
      <w:bookmarkStart w:id="30" w:name="_ETM_Q15_299460"/>
      <w:bookmarkEnd w:id="30"/>
      <w:r>
        <w:rPr>
          <w:rFonts w:hint="cs"/>
          <w:rtl/>
        </w:rPr>
        <w:t xml:space="preserve">לכן </w:t>
      </w:r>
      <w:bookmarkStart w:id="31" w:name="_ETM_Q15_301016"/>
      <w:bookmarkEnd w:id="31"/>
      <w:r>
        <w:rPr>
          <w:rFonts w:hint="cs"/>
          <w:rtl/>
        </w:rPr>
        <w:t xml:space="preserve">אני אומר: אנחנו, מאחר שאנחנו כן רוצים לשמור על הנושא </w:t>
      </w:r>
      <w:bookmarkStart w:id="32" w:name="_ETM_Q15_304785"/>
      <w:bookmarkEnd w:id="32"/>
      <w:r>
        <w:rPr>
          <w:rFonts w:hint="cs"/>
          <w:rtl/>
        </w:rPr>
        <w:t>של עידוד היצוא, [...], אז ודאי שהחוק הזה צריך לעבור</w:t>
      </w:r>
      <w:bookmarkStart w:id="33" w:name="_ETM_Q15_318050"/>
      <w:bookmarkEnd w:id="33"/>
      <w:r>
        <w:rPr>
          <w:rFonts w:hint="cs"/>
          <w:rtl/>
        </w:rPr>
        <w:t xml:space="preserve"> (פרוטוקול ישיבה 47 של הכנסת ה-19, 66 ו-72-71 (1.7.2013)).</w:t>
      </w:r>
    </w:p>
    <w:p w:rsidR="00CF54A5" w:rsidRDefault="00CF54A5" w:rsidP="00810D7B">
      <w:pPr>
        <w:pStyle w:val="Ruller41"/>
        <w:rPr>
          <w:rtl/>
        </w:rPr>
      </w:pPr>
    </w:p>
    <w:p w:rsidR="00CF54A5" w:rsidRDefault="00CF54A5" w:rsidP="00CF54A5">
      <w:pPr>
        <w:pStyle w:val="Ruller41"/>
        <w:rPr>
          <w:rtl/>
        </w:rPr>
      </w:pPr>
      <w:r>
        <w:rPr>
          <w:rtl/>
        </w:rPr>
        <w:tab/>
      </w:r>
      <w:r>
        <w:rPr>
          <w:rFonts w:hint="cs"/>
          <w:rtl/>
        </w:rPr>
        <w:t xml:space="preserve">לביטויים נוספים לכך במסגרת הדיונים לחקיקת תיקון מס' 70, ראו: פרוטוקול ישיבה 384 של הכנסת ה-18, 104-103 (5.11.2012); פרוטוקול ישיבה 28 של הכנסת </w:t>
      </w:r>
      <w:r>
        <w:rPr>
          <w:rFonts w:hint="cs"/>
          <w:rtl/>
        </w:rPr>
        <w:lastRenderedPageBreak/>
        <w:t>ה-19, 81 (13.5.2013); פרוטוקול ישיבה מיום 24.6.2013, בעמ' 12. לאמירות נוספות במסגרת תיקונים אחרים בחוק עידוד השקעות, ראו: פרוטוקול ישיבה של ועדת הכספים, הכנסת ה-18, 15-14 (5.7.2009); פרוטוקול ישיבה של ועדת הכספים, הכנסת ה-18, 24-23, 28-27, 48, 52, 65-62, ו-70-68 (14.11.2010); פרוטוקול ישיבה של ועדת הכספים, הכנסת ה-18, 5, 20, 26-25, ו-51-50 (15.11.2010)</w:t>
      </w:r>
      <w:r w:rsidRPr="0072572F">
        <w:rPr>
          <w:rFonts w:hint="cs"/>
          <w:rtl/>
        </w:rPr>
        <w:t>;</w:t>
      </w:r>
      <w:r>
        <w:rPr>
          <w:rFonts w:hint="cs"/>
          <w:rtl/>
        </w:rPr>
        <w:t xml:space="preserve"> פרוטוקול ישיבה של ועדת הכספים, הכנסת ה-18, 23 ו-27 (2.12.2010); פרוטוקול ישיבה מס' 505 של ועדת הכספים, הכנסת ה-20, 17-16, 21, 28 ו-46 (22.11.2016).</w:t>
      </w:r>
    </w:p>
    <w:p w:rsidR="00CF54A5" w:rsidRDefault="00CF54A5" w:rsidP="00CF54A5">
      <w:pPr>
        <w:pStyle w:val="Ruller41"/>
        <w:rPr>
          <w:rtl/>
        </w:rPr>
      </w:pPr>
    </w:p>
    <w:p w:rsidR="00CF54A5" w:rsidRDefault="00CF54A5" w:rsidP="00D0164C">
      <w:pPr>
        <w:pStyle w:val="Ruller4"/>
        <w:rPr>
          <w:rtl/>
        </w:rPr>
      </w:pPr>
      <w:r>
        <w:rPr>
          <w:rFonts w:hint="cs"/>
          <w:rtl/>
        </w:rPr>
        <w:t>תכלית המחוקק בקביעת חלופת המכירה לשוק גדול מתחדדת כאשר מרחיבים את המבט, ומביאים בחשבון גם את קיומה של החלופה השנייה להגדרת מפעל תעשייתי "בר תחרות". על פי חלופה זו יזכה בהטבה מפעל תעשייתי כאשר "</w:t>
      </w:r>
      <w:r w:rsidRPr="00C50959">
        <w:rPr>
          <w:rStyle w:val="default"/>
          <w:rFonts w:ascii="Century" w:hAnsi="Century" w:cs="Miriam" w:hint="cs"/>
          <w:b/>
          <w:spacing w:val="0"/>
          <w:sz w:val="22"/>
          <w:szCs w:val="24"/>
          <w:rtl/>
        </w:rPr>
        <w:t>הכנסתו, בשנת המס, ממכירות המפעל בשוק מסוים, אינה עולה על 75% מכלל הכנסתו ממכירות המפעל באותה שנת מס</w:t>
      </w:r>
      <w:r>
        <w:rPr>
          <w:rStyle w:val="default"/>
          <w:rFonts w:hint="cs"/>
          <w:rtl/>
        </w:rPr>
        <w:t>" (</w:t>
      </w:r>
      <w:r>
        <w:rPr>
          <w:rFonts w:hint="cs"/>
          <w:rtl/>
        </w:rPr>
        <w:t>סעיף 18א(ג)(1)(ב) לחוק עידוד השקעות</w:t>
      </w:r>
      <w:r>
        <w:rPr>
          <w:rStyle w:val="default"/>
          <w:rFonts w:hint="cs"/>
          <w:rtl/>
        </w:rPr>
        <w:t xml:space="preserve">. להלן: </w:t>
      </w:r>
      <w:r w:rsidRPr="00C50959">
        <w:rPr>
          <w:rStyle w:val="default"/>
          <w:rFonts w:ascii="Century" w:hAnsi="Century" w:cs="Miriam" w:hint="cs"/>
          <w:b/>
          <w:spacing w:val="0"/>
          <w:sz w:val="22"/>
          <w:szCs w:val="24"/>
          <w:rtl/>
        </w:rPr>
        <w:t>חלופת ביזור ההכנסות</w:t>
      </w:r>
      <w:r>
        <w:rPr>
          <w:rStyle w:val="default"/>
          <w:rFonts w:hint="cs"/>
          <w:rtl/>
        </w:rPr>
        <w:t>). בהתאם לחלופה זו, מפעל תעשייתי המייצר הן למשק הישראלי והן לשוק זר יזכה בהטבה, אם היקף הייצוא עולה על 25% מהכנסותיו, וזאת למעט מצבים בהם הייצו</w:t>
      </w:r>
      <w:r w:rsidR="00D0164C">
        <w:rPr>
          <w:rStyle w:val="default"/>
          <w:rFonts w:hint="cs"/>
          <w:rtl/>
        </w:rPr>
        <w:t>ר</w:t>
      </w:r>
      <w:r>
        <w:rPr>
          <w:rStyle w:val="default"/>
          <w:rFonts w:hint="cs"/>
          <w:rtl/>
        </w:rPr>
        <w:t xml:space="preserve"> של אותו מפעל </w:t>
      </w:r>
      <w:r w:rsidR="00D0164C">
        <w:rPr>
          <w:rStyle w:val="default"/>
          <w:rFonts w:hint="cs"/>
          <w:rtl/>
        </w:rPr>
        <w:t>ה</w:t>
      </w:r>
      <w:r>
        <w:rPr>
          <w:rStyle w:val="default"/>
          <w:rFonts w:hint="cs"/>
          <w:rtl/>
        </w:rPr>
        <w:t xml:space="preserve">ממוקד בשוק מסוים (בין אם זהו השוק הישראלי ובין אם זהו שוק זר) מהווה יותר מ-75% מסך הכנסותיו. חלופת המכירה לשוק גדול מיועדת לסייג את הסייג שבחלופת ביזור ההכנסות, ולהבהיר כי כאשר המכירות </w:t>
      </w:r>
      <w:r>
        <w:rPr>
          <w:rFonts w:hint="cs"/>
          <w:rtl/>
        </w:rPr>
        <w:t xml:space="preserve">מתמקדות בשוק גדול </w:t>
      </w:r>
      <w:r w:rsidRPr="00C50959">
        <w:rPr>
          <w:rFonts w:ascii="Century" w:hAnsi="Century" w:cs="Miriam" w:hint="cs"/>
          <w:b/>
          <w:spacing w:val="0"/>
          <w:sz w:val="22"/>
          <w:szCs w:val="24"/>
          <w:u w:val="single"/>
          <w:rtl/>
        </w:rPr>
        <w:t>זר</w:t>
      </w:r>
      <w:r w:rsidRPr="00C50959">
        <w:rPr>
          <w:rFonts w:ascii="Century" w:hAnsi="Century" w:hint="cs"/>
          <w:sz w:val="22"/>
          <w:rtl/>
        </w:rPr>
        <w:t>,</w:t>
      </w:r>
      <w:r w:rsidRPr="00C50959">
        <w:rPr>
          <w:rFonts w:ascii="Century" w:hAnsi="Century" w:cs="Miriam" w:hint="cs"/>
          <w:b/>
          <w:spacing w:val="0"/>
          <w:sz w:val="22"/>
          <w:szCs w:val="24"/>
          <w:rtl/>
        </w:rPr>
        <w:t xml:space="preserve"> </w:t>
      </w:r>
      <w:r w:rsidRPr="00C50959">
        <w:rPr>
          <w:rFonts w:ascii="Century" w:hAnsi="Century" w:hint="cs"/>
          <w:sz w:val="22"/>
          <w:rtl/>
        </w:rPr>
        <w:t xml:space="preserve">להבדיל מהשוק הישראלי או שוק זר </w:t>
      </w:r>
      <w:r w:rsidRPr="00C50959">
        <w:rPr>
          <w:rFonts w:ascii="Century" w:hAnsi="Century" w:cs="Miriam" w:hint="cs"/>
          <w:b/>
          <w:spacing w:val="0"/>
          <w:sz w:val="22"/>
          <w:szCs w:val="24"/>
          <w:u w:val="single"/>
          <w:rtl/>
        </w:rPr>
        <w:t>קטן</w:t>
      </w:r>
      <w:r w:rsidRPr="00C50959">
        <w:rPr>
          <w:rFonts w:ascii="Century" w:hAnsi="Century" w:hint="cs"/>
          <w:sz w:val="22"/>
          <w:rtl/>
        </w:rPr>
        <w:t xml:space="preserve">, </w:t>
      </w:r>
      <w:r>
        <w:rPr>
          <w:rFonts w:ascii="Century" w:hAnsi="Century" w:hint="cs"/>
          <w:sz w:val="22"/>
          <w:rtl/>
        </w:rPr>
        <w:t xml:space="preserve">עדיין יש לראות את המפעל </w:t>
      </w:r>
      <w:r>
        <w:rPr>
          <w:rFonts w:hint="cs"/>
          <w:rtl/>
        </w:rPr>
        <w:t>כ"בר תחרות". אמור מעתה, כוונת המחוקק בהוספת חלופת המכירה לשוק גדול על חלופת ביזור ההכנסות הייתה לזכות בהטבת המס גם מפעל שעיקר הכנסותיו הם משוק גדול זר, ולא להקנות את ההטבה למפעל שעיקר הכנסותיו תלוי בשוק הישראלי או בשוק זר קטן.</w:t>
      </w:r>
    </w:p>
    <w:p w:rsidR="00CF54A5" w:rsidRDefault="00CF54A5" w:rsidP="00CF54A5">
      <w:pPr>
        <w:pStyle w:val="Ruller4"/>
        <w:numPr>
          <w:ilvl w:val="0"/>
          <w:numId w:val="0"/>
        </w:numPr>
      </w:pPr>
    </w:p>
    <w:p w:rsidR="00CF54A5" w:rsidRDefault="00CF54A5" w:rsidP="00CF54A5">
      <w:pPr>
        <w:pStyle w:val="Ruller4"/>
        <w:rPr>
          <w:rtl/>
        </w:rPr>
      </w:pPr>
      <w:r>
        <w:rPr>
          <w:rFonts w:hint="cs"/>
          <w:rtl/>
        </w:rPr>
        <w:t xml:space="preserve">כיצד מתיישבת, אם כך, לשונו השותקת של הסדר ההטבה, אשר איננה כוללת כל הבחנה בין ייצור לשוק הישראלי ובין ייצור לשוק זר, עם תכליתו הזועקת, אשר אינה מתיישבת עם מתן ההטבה למפעלים המייצרים באופן בלעדי, או כמעט בלעדי, לשוק הישראלי? התשובה לכך פשוטה וברורה </w:t>
      </w:r>
      <w:r>
        <w:rPr>
          <w:rtl/>
        </w:rPr>
        <w:t>–</w:t>
      </w:r>
      <w:r>
        <w:rPr>
          <w:rFonts w:hint="cs"/>
          <w:rtl/>
        </w:rPr>
        <w:t xml:space="preserve"> הטכניקה החקיקתית באמצעותה בחר המחוקק לממש את תכלית הסדר ההטבה אינה יצירת הבחנה ממוקדת בין הכנסות מהשוק הישראלי לבין הכנסות משווקים זרים, אלא יצירת הבחנה רחבה יותר, בין הכנסות משווקים שגודלם עולה על הסף שנקבע בחוק (להלן: </w:t>
      </w:r>
      <w:r w:rsidRPr="00A71E78">
        <w:rPr>
          <w:rFonts w:ascii="Century" w:hAnsi="Century" w:cs="Miriam" w:hint="cs"/>
          <w:b/>
          <w:spacing w:val="0"/>
          <w:sz w:val="22"/>
          <w:szCs w:val="24"/>
          <w:rtl/>
        </w:rPr>
        <w:t>שווקים גדולים</w:t>
      </w:r>
      <w:r>
        <w:rPr>
          <w:rFonts w:hint="cs"/>
          <w:rtl/>
        </w:rPr>
        <w:t xml:space="preserve">) לבין הכנסות משווקים שגודלם קטן מהסף שנקבע בחוק (להלן: </w:t>
      </w:r>
      <w:r w:rsidRPr="00A71E78">
        <w:rPr>
          <w:rFonts w:ascii="Century" w:hAnsi="Century" w:cs="Miriam" w:hint="cs"/>
          <w:b/>
          <w:spacing w:val="0"/>
          <w:sz w:val="22"/>
          <w:szCs w:val="24"/>
          <w:rtl/>
        </w:rPr>
        <w:t>שווקים קטנים</w:t>
      </w:r>
      <w:r>
        <w:rPr>
          <w:rFonts w:hint="cs"/>
          <w:rtl/>
        </w:rPr>
        <w:t xml:space="preserve">). בדרך זו המחוקק הישראלי ביקש, כך נראה, להימנע משימוש בקריטריון חשוד, קרי ההבחנה </w:t>
      </w:r>
      <w:r>
        <w:rPr>
          <w:rFonts w:hint="cs"/>
          <w:rtl/>
        </w:rPr>
        <w:lastRenderedPageBreak/>
        <w:t xml:space="preserve">בין ייצור לטובת השוק המקומי לבין ייצור לטובת שווקים זרים, ולהתבסס על קריטריון שאין חולק על הלגיטימיות שלו, דהיינו גודל השוק ממנו מגיעות ההכנסות. ודוק, ההבחנה בין שתי הטכניקות החקיקתיות איננה סמנטית, אלא מהותית. טכניקת ההחרגה המיוחדת, משמעה כי רק מכירות לשוק הישראלי יוחרגו מגדר ההטבה, באופן שכל מכירה לשוק זר עשויה ליהנות ממנה. לעומת זאת, טכניקת ההחרגה הרחבה, משמעה שכל מכירה לשוק קטן, בין אם זהו השוק הישראלי ובין אם הוא שוק זר, לא תובא בחשבון לצורך חלופת המכירה לשוק גדול. המשמעות המעשית של הדברים היא שבעוד שהטכניקה הראשונה (הממוקדת) מאופיינת במתן תמריץ לייצוא, </w:t>
      </w:r>
      <w:r w:rsidRPr="00CC3F37">
        <w:rPr>
          <w:rFonts w:hint="cs"/>
          <w:rtl/>
        </w:rPr>
        <w:t>להבדיל מייצור עבור השוק מקומי,</w:t>
      </w:r>
      <w:r>
        <w:rPr>
          <w:rFonts w:hint="cs"/>
          <w:rtl/>
        </w:rPr>
        <w:t xml:space="preserve"> הטכניקה השנייה (הרחבה) מאופיינת במתן תמריץ למכירה </w:t>
      </w:r>
      <w:r w:rsidRPr="00B54F13">
        <w:rPr>
          <w:rFonts w:hint="cs"/>
          <w:rtl/>
        </w:rPr>
        <w:t xml:space="preserve">לשוק גדול, להבדיל ממכירה לשווקים קטנים. </w:t>
      </w:r>
    </w:p>
    <w:p w:rsidR="00CF54A5" w:rsidRPr="00B54F13" w:rsidRDefault="00CF54A5" w:rsidP="00CF54A5">
      <w:pPr>
        <w:pStyle w:val="Ruller41"/>
      </w:pPr>
      <w:r>
        <w:rPr>
          <w:rtl/>
        </w:rPr>
        <w:tab/>
      </w:r>
    </w:p>
    <w:p w:rsidR="00CF54A5" w:rsidRPr="00B54F13" w:rsidRDefault="00CF54A5" w:rsidP="00CF54A5">
      <w:pPr>
        <w:pStyle w:val="Ruller4"/>
        <w:rPr>
          <w:rtl/>
        </w:rPr>
      </w:pPr>
      <w:r w:rsidRPr="00B54F13">
        <w:rPr>
          <w:rFonts w:hint="cs"/>
          <w:rtl/>
        </w:rPr>
        <w:t>זאת ועוד, מ</w:t>
      </w:r>
      <w:r>
        <w:rPr>
          <w:rFonts w:hint="cs"/>
          <w:rtl/>
        </w:rPr>
        <w:t>התנהלותו של המחוקק הישראלי ניכר</w:t>
      </w:r>
      <w:r w:rsidRPr="00B54F13">
        <w:rPr>
          <w:rFonts w:hint="cs"/>
          <w:rtl/>
        </w:rPr>
        <w:t xml:space="preserve"> כי הדרך בה בחר להגדיר שוק גדול היא, בקירוב, באמצעות גודל השוק הישראלי. לאמור, הרף המקורב בו נעשה שימוש ל</w:t>
      </w:r>
      <w:r>
        <w:rPr>
          <w:rFonts w:hint="cs"/>
          <w:rtl/>
        </w:rPr>
        <w:t>ה</w:t>
      </w:r>
      <w:r w:rsidRPr="00B54F13">
        <w:rPr>
          <w:rFonts w:hint="cs"/>
          <w:rtl/>
        </w:rPr>
        <w:t xml:space="preserve">בחנה בין שווקים קטנים לשווקים גדולים הוא גודל השוק הישראלי. עם זאת, המחוקק נמנע מלעשות כן במפורש, על דרך של הצבת דרישה למכירה לשווקים גדולים מהשוק הישראלי, אלא נקב במספר נתון של תושבים </w:t>
      </w:r>
      <w:r w:rsidRPr="00B54F13">
        <w:rPr>
          <w:rtl/>
        </w:rPr>
        <w:t>–</w:t>
      </w:r>
      <w:r w:rsidRPr="00B54F13">
        <w:rPr>
          <w:rFonts w:hint="cs"/>
          <w:rtl/>
        </w:rPr>
        <w:t xml:space="preserve"> 12 מיליון, ולאחר </w:t>
      </w:r>
      <w:r>
        <w:rPr>
          <w:rFonts w:hint="cs"/>
          <w:rtl/>
        </w:rPr>
        <w:t xml:space="preserve">תיקון מס' 70 לחוק, </w:t>
      </w:r>
      <w:r w:rsidRPr="00B54F13">
        <w:rPr>
          <w:rFonts w:hint="cs"/>
          <w:rtl/>
        </w:rPr>
        <w:t xml:space="preserve">14 מיליון בתוספת 1.4% </w:t>
      </w:r>
      <w:r w:rsidRPr="00C50959">
        <w:rPr>
          <w:rtl/>
        </w:rPr>
        <w:t>מִדֵּי</w:t>
      </w:r>
      <w:r>
        <w:rPr>
          <w:rFonts w:hint="cs"/>
          <w:rtl/>
        </w:rPr>
        <w:t xml:space="preserve"> </w:t>
      </w:r>
      <w:r w:rsidRPr="00B54F13">
        <w:rPr>
          <w:rFonts w:hint="cs"/>
          <w:rtl/>
        </w:rPr>
        <w:t xml:space="preserve">שנה. בחירתו זו של המחוקק אף היא בגדר טכניקה חקיקתית, ואולם גם לה עשויות להיות משמעויות מעשיות. כך, אם שוק מסוים גדול מהשוק הישראלי בשנה מסוימת, אך קטן מהרף המספרי שנקב בו המחוקק ביחס לאותה שנת מס, הרי שמכירות אליו לא יובאו בחשבון לצורך מתן הטבת המס בה עסקינן. </w:t>
      </w:r>
    </w:p>
    <w:p w:rsidR="00CF54A5" w:rsidRPr="00FE027D" w:rsidRDefault="00CF54A5" w:rsidP="00CF54A5">
      <w:pPr>
        <w:pStyle w:val="Ruller41"/>
      </w:pPr>
    </w:p>
    <w:p w:rsidR="00CF54A5" w:rsidRPr="00B54F13" w:rsidRDefault="00CF54A5" w:rsidP="00CF54A5">
      <w:pPr>
        <w:pStyle w:val="Ruller4"/>
        <w:rPr>
          <w:rtl/>
        </w:rPr>
      </w:pPr>
      <w:r w:rsidRPr="00B54F13">
        <w:rPr>
          <w:rFonts w:hint="cs"/>
          <w:rtl/>
        </w:rPr>
        <w:t>ואכן, עיון בדיוני ועדת הכספים בקשר לתיקון מס' 60, מגלה כי חברי הכנסת ונציגי האוצר היו מודעים לכך שתחת הקריטריון שנבחר, יוחרגו מפעלים מייצאים מסוימים הפועלים במדינות שמספר תושביהן נמוך מ-12 מיליון, ואף הציעו לתקן את הגדרת ה"שוק" כך שתכלול גם "גוש סחר" המורכב ממספר מדינות הנמצאות בסמיכות גיאוגרפית. ברם, תיקון זה לא התקבל בסופו של דבר, ומכל מקום היה ברור כי ייצוא למדינות מסוימות המונות פחות מ-12 מיליון תושבים ושלא ניתן לשייכן כחלק מטריטוריי</w:t>
      </w:r>
      <w:r w:rsidRPr="00B54F13">
        <w:rPr>
          <w:rFonts w:hint="eastAsia"/>
          <w:rtl/>
        </w:rPr>
        <w:t>ת</w:t>
      </w:r>
      <w:r w:rsidRPr="00B54F13">
        <w:rPr>
          <w:rFonts w:hint="cs"/>
          <w:rtl/>
        </w:rPr>
        <w:t xml:space="preserve"> מכס אחת, לא יספיק על מנת להיכנס בגדר </w:t>
      </w:r>
      <w:r>
        <w:rPr>
          <w:rFonts w:hint="cs"/>
          <w:rtl/>
        </w:rPr>
        <w:t>חלופת המכירה שוק גדול</w:t>
      </w:r>
      <w:r w:rsidRPr="00B54F13">
        <w:rPr>
          <w:rFonts w:hint="cs"/>
          <w:rtl/>
        </w:rPr>
        <w:t xml:space="preserve">, כך שמפעלים אלו "יפלו בין הכיסאות" (ראו דיונים בפרוטוקול ישיבה מיום 3.3.2005, בעמ' 38-37; </w:t>
      </w:r>
      <w:r w:rsidRPr="00750E51">
        <w:rPr>
          <w:rFonts w:hint="cs"/>
          <w:rtl/>
        </w:rPr>
        <w:t xml:space="preserve">פרוטוקול ישיבה של ועדת הכספים, הכנסת ה-16, </w:t>
      </w:r>
      <w:r>
        <w:rPr>
          <w:rFonts w:hint="cs"/>
          <w:rtl/>
        </w:rPr>
        <w:t>12-10 ו-26-24</w:t>
      </w:r>
      <w:r w:rsidRPr="00750E51">
        <w:rPr>
          <w:rFonts w:hint="cs"/>
          <w:rtl/>
        </w:rPr>
        <w:t xml:space="preserve"> (6.3.2005) (להלן</w:t>
      </w:r>
      <w:r>
        <w:rPr>
          <w:rFonts w:hint="cs"/>
          <w:rtl/>
        </w:rPr>
        <w:t xml:space="preserve">: </w:t>
      </w:r>
      <w:r w:rsidRPr="006F0E52">
        <w:rPr>
          <w:rFonts w:ascii="Century" w:hAnsi="Century" w:cs="Miriam" w:hint="cs"/>
          <w:b/>
          <w:spacing w:val="0"/>
          <w:szCs w:val="24"/>
          <w:rtl/>
        </w:rPr>
        <w:t>פרוטוקול ישיבה מיום 6.3.2005</w:t>
      </w:r>
      <w:r>
        <w:rPr>
          <w:rFonts w:hint="cs"/>
          <w:rtl/>
        </w:rPr>
        <w:t>)</w:t>
      </w:r>
      <w:r w:rsidRPr="00B54F13">
        <w:rPr>
          <w:rFonts w:hint="cs"/>
          <w:rtl/>
        </w:rPr>
        <w:t xml:space="preserve">). הבנה זו קיבלה ביטוי גם במסגרת הדיונים בתיקון מס' 70, אשר גם שם היה ברור כי מפעלים המייצאים למדינות מסוימות </w:t>
      </w:r>
      <w:r w:rsidRPr="00B54F13">
        <w:rPr>
          <w:rFonts w:hint="cs"/>
          <w:rtl/>
        </w:rPr>
        <w:lastRenderedPageBreak/>
        <w:t>שלא עונות על הקריטריון, לא יוכלו לזכות בהטבת המס, ועל כן התעקשו נציגי התאחדות התעשיינים כי מקדם העדכון של מספר התושבים יופחת מ-2% (שהוצע במקור) ל-1.4% (שנקבע בסופו של דבר), על מנת לצמצם את היקף המדינות שלא יענו על קריטריון גודל השוק (שם, בעמ' 12, 15-14).</w:t>
      </w:r>
    </w:p>
    <w:p w:rsidR="00CF54A5" w:rsidRPr="00AF4C92" w:rsidRDefault="00CF54A5" w:rsidP="00CF54A5">
      <w:pPr>
        <w:pStyle w:val="Ruller41"/>
      </w:pPr>
    </w:p>
    <w:p w:rsidR="00CF54A5" w:rsidRDefault="00CF54A5" w:rsidP="00CF54A5">
      <w:pPr>
        <w:pStyle w:val="Ruller4"/>
        <w:rPr>
          <w:rtl/>
        </w:rPr>
      </w:pPr>
      <w:r>
        <w:rPr>
          <w:rFonts w:hint="cs"/>
          <w:rtl/>
        </w:rPr>
        <w:t xml:space="preserve">השאלה אותה מבקשים פקידי השומה להציב בענייננו היא מהו הדין אם חל שיבוש בטכניקה החקיקתית בה בחר המחוקק, באופן שהיא אינה מגשימה עוד את התכלית המונחת בבסיסה. וביישום לענייננו </w:t>
      </w:r>
      <w:r>
        <w:rPr>
          <w:rtl/>
        </w:rPr>
        <w:t>–</w:t>
      </w:r>
      <w:r>
        <w:rPr>
          <w:rFonts w:hint="cs"/>
          <w:rtl/>
        </w:rPr>
        <w:t xml:space="preserve"> כיצד יש לפעול אם בשל כך שהמחוקק לא עדכן במועד את הרף המספרי הנקוב (12 מיליון תושבים), נוצר מצב בו הרף שנקבע במקור נמוך ממספר התושבים שבשוק הישראלי, כך שלא רק שישנם שווקים הקטנים מהשוק הישראלי שיעמדו ברף זה, אלא שגם השוק הישראלי עצמו יעמוד לכאורה ברף הנדרש. במצב דברים זה, טוענות </w:t>
      </w:r>
      <w:proofErr w:type="spellStart"/>
      <w:r>
        <w:rPr>
          <w:rFonts w:hint="cs"/>
          <w:rtl/>
        </w:rPr>
        <w:t>הנישומות</w:t>
      </w:r>
      <w:proofErr w:type="spellEnd"/>
      <w:r>
        <w:rPr>
          <w:rFonts w:hint="cs"/>
          <w:rtl/>
        </w:rPr>
        <w:t xml:space="preserve"> כי יש לפעול על פי המשתמע משתיקת לשון ההסדר ולא על פי תכליתו </w:t>
      </w:r>
      <w:r>
        <w:rPr>
          <w:rtl/>
        </w:rPr>
        <w:t>–</w:t>
      </w:r>
      <w:r>
        <w:rPr>
          <w:rFonts w:hint="cs"/>
          <w:rtl/>
        </w:rPr>
        <w:t xml:space="preserve"> לאמור, משבחר המחוקק בטכניקה חקיקתית מסוימת לצורך קביעת ההבחנה בין שווקים גדולים לבין שווקים קטנים, הרי שיש לדבוק בטכניקה זו לטוב ולרע, וזאת גם במצבים בהם הדבר יביא לכדי תוצאה העומדת בסתירה חזיתית לתכלית החוק. ובענייננו, משנקבע רף מספרי לקביעת ההבחנה בין שווקים גדולים לבין שווקים קטנים, הרי שיש להפעילו באופן דווקני, ובכלל זה על השוק הישראלי עצמו, למרות שברור וגלוי כי לא לכך התכוון המחוקק. </w:t>
      </w:r>
    </w:p>
    <w:p w:rsidR="00CF54A5" w:rsidRPr="00FE027D" w:rsidRDefault="00CF54A5" w:rsidP="00CF54A5">
      <w:pPr>
        <w:pStyle w:val="Ruller41"/>
      </w:pPr>
    </w:p>
    <w:p w:rsidR="00CF54A5" w:rsidRDefault="00CF54A5" w:rsidP="00CF54A5">
      <w:pPr>
        <w:pStyle w:val="Ruller4"/>
        <w:rPr>
          <w:rtl/>
        </w:rPr>
      </w:pPr>
      <w:r>
        <w:rPr>
          <w:rFonts w:hint="cs"/>
          <w:rtl/>
        </w:rPr>
        <w:t xml:space="preserve">אודה ולא אבוש: טענתן של </w:t>
      </w:r>
      <w:proofErr w:type="spellStart"/>
      <w:r>
        <w:rPr>
          <w:rFonts w:hint="cs"/>
          <w:rtl/>
        </w:rPr>
        <w:t>הנישומות</w:t>
      </w:r>
      <w:proofErr w:type="spellEnd"/>
      <w:r>
        <w:rPr>
          <w:rFonts w:hint="cs"/>
          <w:rtl/>
        </w:rPr>
        <w:t xml:space="preserve"> קשה לי. אכן, לשון החוק היא נקודת המוצא לכל תהליך פרשני, ולעיתים קרובות היא גם נקודת הסיום. ואולם, כאשר לשון החוק מכשילה את המחוקק, והליכה דווקנית </w:t>
      </w:r>
      <w:proofErr w:type="spellStart"/>
      <w:r>
        <w:rPr>
          <w:rFonts w:hint="cs"/>
          <w:rtl/>
        </w:rPr>
        <w:t>עימה</w:t>
      </w:r>
      <w:proofErr w:type="spellEnd"/>
      <w:r>
        <w:rPr>
          <w:rFonts w:hint="cs"/>
          <w:rtl/>
        </w:rPr>
        <w:t xml:space="preserve"> מביאה לתוצאה שבמובהק אינה מתיישבת עם כוונתו, סבורני כי רשאים אנו לסטות מהלשון ולפרש על פי התכלית (</w:t>
      </w:r>
      <w:r>
        <w:rPr>
          <w:rFonts w:ascii="Arimo" w:hAnsi="Arimo" w:hint="cs"/>
          <w:rtl/>
        </w:rPr>
        <w:t xml:space="preserve">עניין </w:t>
      </w:r>
      <w:r w:rsidRPr="00934B68">
        <w:rPr>
          <w:rFonts w:ascii="Century" w:hAnsi="Century" w:cs="Miriam" w:hint="cs"/>
          <w:b/>
          <w:spacing w:val="0"/>
          <w:sz w:val="22"/>
          <w:szCs w:val="24"/>
          <w:rtl/>
        </w:rPr>
        <w:t>חצור</w:t>
      </w:r>
      <w:r>
        <w:rPr>
          <w:rFonts w:ascii="Arimo" w:hAnsi="Arimo" w:hint="cs"/>
          <w:rtl/>
        </w:rPr>
        <w:t xml:space="preserve">, בעמ' 74; </w:t>
      </w:r>
      <w:r>
        <w:rPr>
          <w:rFonts w:ascii="Arimo" w:hAnsi="Arimo"/>
          <w:rtl/>
        </w:rPr>
        <w:t>ע"א 65</w:t>
      </w:r>
      <w:r>
        <w:rPr>
          <w:rFonts w:ascii="Arimo" w:hAnsi="Arimo" w:hint="cs"/>
          <w:rtl/>
        </w:rPr>
        <w:t>/</w:t>
      </w:r>
      <w:r>
        <w:rPr>
          <w:rFonts w:ascii="Arimo" w:hAnsi="Arimo"/>
          <w:rtl/>
        </w:rPr>
        <w:t xml:space="preserve">82 </w:t>
      </w:r>
      <w:r w:rsidRPr="00E5738C">
        <w:rPr>
          <w:rFonts w:ascii="Century" w:hAnsi="Century" w:cs="Miriam"/>
          <w:b/>
          <w:spacing w:val="0"/>
          <w:sz w:val="22"/>
          <w:szCs w:val="24"/>
          <w:rtl/>
        </w:rPr>
        <w:t>מנהל מס שבח מקרקעין נ' הרשקוביץ</w:t>
      </w:r>
      <w:r>
        <w:rPr>
          <w:rFonts w:ascii="Arimo" w:hAnsi="Arimo"/>
          <w:rtl/>
        </w:rPr>
        <w:t>,</w:t>
      </w:r>
      <w:r>
        <w:rPr>
          <w:rFonts w:ascii="Arimo" w:hAnsi="Arimo" w:hint="cs"/>
          <w:rtl/>
        </w:rPr>
        <w:t xml:space="preserve"> פ"ד</w:t>
      </w:r>
      <w:r>
        <w:rPr>
          <w:rFonts w:ascii="Arimo" w:hAnsi="Arimo"/>
          <w:rtl/>
        </w:rPr>
        <w:t xml:space="preserve"> לט(4) 281</w:t>
      </w:r>
      <w:r>
        <w:rPr>
          <w:rFonts w:ascii="Arimo" w:hAnsi="Arimo" w:hint="cs"/>
          <w:rtl/>
        </w:rPr>
        <w:t xml:space="preserve">, 289-288 (1985); </w:t>
      </w:r>
      <w:r>
        <w:rPr>
          <w:rFonts w:ascii="Arimo" w:hAnsi="Arimo"/>
          <w:rtl/>
        </w:rPr>
        <w:t>ע"א 1915</w:t>
      </w:r>
      <w:r>
        <w:rPr>
          <w:rFonts w:ascii="Arimo" w:hAnsi="Arimo" w:hint="cs"/>
          <w:rtl/>
        </w:rPr>
        <w:t>/</w:t>
      </w:r>
      <w:r>
        <w:rPr>
          <w:rFonts w:ascii="Arimo" w:hAnsi="Arimo"/>
          <w:rtl/>
        </w:rPr>
        <w:t xml:space="preserve">91 </w:t>
      </w:r>
      <w:r w:rsidRPr="00736627">
        <w:rPr>
          <w:rFonts w:ascii="Century" w:hAnsi="Century" w:cs="Miriam"/>
          <w:b/>
          <w:spacing w:val="0"/>
          <w:sz w:val="22"/>
          <w:szCs w:val="24"/>
          <w:rtl/>
        </w:rPr>
        <w:t>יעקובי נ' יעקובי</w:t>
      </w:r>
      <w:r>
        <w:rPr>
          <w:rFonts w:ascii="Arimo" w:hAnsi="Arimo"/>
          <w:rtl/>
        </w:rPr>
        <w:t>,</w:t>
      </w:r>
      <w:r>
        <w:rPr>
          <w:rFonts w:ascii="Arimo" w:hAnsi="Arimo" w:hint="cs"/>
          <w:rtl/>
        </w:rPr>
        <w:t xml:space="preserve"> פ"ד</w:t>
      </w:r>
      <w:r>
        <w:rPr>
          <w:rFonts w:ascii="Arimo" w:hAnsi="Arimo"/>
          <w:rtl/>
        </w:rPr>
        <w:t xml:space="preserve"> מט(3) 529</w:t>
      </w:r>
      <w:r>
        <w:rPr>
          <w:rFonts w:ascii="Arimo" w:hAnsi="Arimo" w:hint="cs"/>
          <w:rtl/>
        </w:rPr>
        <w:t xml:space="preserve">, 626 (1995); </w:t>
      </w:r>
      <w:r w:rsidRPr="002C4B04">
        <w:rPr>
          <w:rFonts w:hint="eastAsia"/>
          <w:rtl/>
        </w:rPr>
        <w:t>אהרן</w:t>
      </w:r>
      <w:r w:rsidRPr="002C4B04">
        <w:rPr>
          <w:rtl/>
        </w:rPr>
        <w:t xml:space="preserve"> </w:t>
      </w:r>
      <w:r w:rsidRPr="002C4B04">
        <w:rPr>
          <w:rFonts w:hint="eastAsia"/>
          <w:rtl/>
        </w:rPr>
        <w:t>ברק</w:t>
      </w:r>
      <w:r w:rsidRPr="002C4B04">
        <w:rPr>
          <w:rtl/>
        </w:rPr>
        <w:t xml:space="preserve"> </w:t>
      </w:r>
      <w:r w:rsidRPr="002C4B04">
        <w:rPr>
          <w:rFonts w:ascii="Century" w:hAnsi="Century" w:cs="Miriam" w:hint="eastAsia"/>
          <w:b/>
          <w:spacing w:val="0"/>
          <w:sz w:val="22"/>
          <w:szCs w:val="24"/>
          <w:rtl/>
        </w:rPr>
        <w:t>פרשנות</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תכליתית</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במשפט</w:t>
      </w:r>
      <w:r w:rsidRPr="002C4B04">
        <w:rPr>
          <w:rFonts w:hint="cs"/>
          <w:rtl/>
        </w:rPr>
        <w:t xml:space="preserve"> 122</w:t>
      </w:r>
      <w:r w:rsidRPr="002C4B04">
        <w:rPr>
          <w:rtl/>
        </w:rPr>
        <w:t xml:space="preserve"> (</w:t>
      </w:r>
      <w:r w:rsidRPr="002C4B04">
        <w:rPr>
          <w:rFonts w:hint="cs"/>
          <w:rtl/>
        </w:rPr>
        <w:t>2003</w:t>
      </w:r>
      <w:r w:rsidRPr="002C4B04">
        <w:rPr>
          <w:rtl/>
        </w:rPr>
        <w:t>)</w:t>
      </w:r>
      <w:r w:rsidRPr="002C4B04">
        <w:rPr>
          <w:rFonts w:hint="cs"/>
          <w:rtl/>
        </w:rPr>
        <w:t>.</w:t>
      </w:r>
      <w:r w:rsidRPr="002C4B04">
        <w:rPr>
          <w:rtl/>
        </w:rPr>
        <w:t xml:space="preserve"> </w:t>
      </w:r>
      <w:r w:rsidRPr="002C4B04">
        <w:rPr>
          <w:rFonts w:hint="cs"/>
          <w:rtl/>
        </w:rPr>
        <w:t xml:space="preserve">והשוו: </w:t>
      </w:r>
      <w:r w:rsidRPr="002C4B04">
        <w:rPr>
          <w:rFonts w:hint="eastAsia"/>
          <w:rtl/>
        </w:rPr>
        <w:t>בג</w:t>
      </w:r>
      <w:r w:rsidRPr="002C4B04">
        <w:rPr>
          <w:rtl/>
        </w:rPr>
        <w:t>"</w:t>
      </w:r>
      <w:r w:rsidRPr="002C4B04">
        <w:rPr>
          <w:rFonts w:hint="eastAsia"/>
          <w:rtl/>
        </w:rPr>
        <w:t>ץ</w:t>
      </w:r>
      <w:r w:rsidRPr="002C4B04">
        <w:rPr>
          <w:rtl/>
        </w:rPr>
        <w:t xml:space="preserve"> 4562/92 </w:t>
      </w:r>
      <w:r w:rsidRPr="002C4B04">
        <w:rPr>
          <w:rFonts w:ascii="Century" w:hAnsi="Century" w:cs="Miriam" w:hint="eastAsia"/>
          <w:b/>
          <w:spacing w:val="0"/>
          <w:sz w:val="22"/>
          <w:szCs w:val="24"/>
          <w:rtl/>
        </w:rPr>
        <w:t>ח</w:t>
      </w:r>
      <w:r w:rsidRPr="002C4B04">
        <w:rPr>
          <w:rFonts w:ascii="Century" w:hAnsi="Century" w:cs="Miriam"/>
          <w:b/>
          <w:spacing w:val="0"/>
          <w:sz w:val="22"/>
          <w:szCs w:val="24"/>
          <w:rtl/>
        </w:rPr>
        <w:t>"</w:t>
      </w:r>
      <w:r w:rsidRPr="002C4B04">
        <w:rPr>
          <w:rFonts w:ascii="Century" w:hAnsi="Century" w:cs="Miriam" w:hint="eastAsia"/>
          <w:b/>
          <w:spacing w:val="0"/>
          <w:sz w:val="22"/>
          <w:szCs w:val="24"/>
          <w:rtl/>
        </w:rPr>
        <w:t>כ</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זנדברג</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נ</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רשות</w:t>
      </w:r>
      <w:r w:rsidRPr="002C4B04">
        <w:rPr>
          <w:rFonts w:ascii="Century" w:hAnsi="Century" w:cs="Miriam"/>
          <w:b/>
          <w:spacing w:val="0"/>
          <w:sz w:val="22"/>
          <w:szCs w:val="24"/>
          <w:rtl/>
        </w:rPr>
        <w:t xml:space="preserve"> </w:t>
      </w:r>
      <w:r w:rsidRPr="002C4B04">
        <w:rPr>
          <w:rFonts w:ascii="Century" w:hAnsi="Century" w:cs="Miriam" w:hint="eastAsia"/>
          <w:b/>
          <w:spacing w:val="0"/>
          <w:sz w:val="22"/>
          <w:szCs w:val="24"/>
          <w:rtl/>
        </w:rPr>
        <w:t>השידור</w:t>
      </w:r>
      <w:r w:rsidRPr="002C4B04">
        <w:rPr>
          <w:rtl/>
        </w:rPr>
        <w:t>,</w:t>
      </w:r>
      <w:r w:rsidRPr="002C4B04">
        <w:rPr>
          <w:rFonts w:hint="cs"/>
          <w:rtl/>
        </w:rPr>
        <w:t xml:space="preserve"> פ"ד</w:t>
      </w:r>
      <w:r w:rsidRPr="002C4B04">
        <w:rPr>
          <w:rtl/>
        </w:rPr>
        <w:t xml:space="preserve"> </w:t>
      </w:r>
      <w:r w:rsidRPr="002C4B04">
        <w:rPr>
          <w:rFonts w:hint="eastAsia"/>
          <w:rtl/>
        </w:rPr>
        <w:t>נ</w:t>
      </w:r>
      <w:r w:rsidRPr="002C4B04">
        <w:rPr>
          <w:rtl/>
        </w:rPr>
        <w:t>(2) 793</w:t>
      </w:r>
      <w:r w:rsidRPr="002C4B04">
        <w:rPr>
          <w:rFonts w:hint="cs"/>
          <w:rtl/>
        </w:rPr>
        <w:t>, 811</w:t>
      </w:r>
      <w:r w:rsidRPr="002C4B04">
        <w:rPr>
          <w:rtl/>
        </w:rPr>
        <w:t xml:space="preserve"> (1996)</w:t>
      </w:r>
      <w:r w:rsidRPr="002C4B04">
        <w:rPr>
          <w:rFonts w:hint="cs"/>
          <w:rtl/>
        </w:rPr>
        <w:t>). לפיכך</w:t>
      </w:r>
      <w:r>
        <w:rPr>
          <w:rFonts w:hint="cs"/>
          <w:rtl/>
        </w:rPr>
        <w:t xml:space="preserve">, הגם שנוטה אני לסבור כי ככל שמדובר בסיווג שווקים זרים יש להחיל את הרף המספרי גם אם מדובר בשוק הקטן מהשוק הישראלי, אינני רואה זאת כפרשנות סבירה להחיל את הרף המספרי על השוק הישראלי עצמו, באופן שיביא לכך שמכירות המתמקדות בשוק זה יחשבו כמזכות בהטבה. בעיניי, היצמדות עיוורת מסוג זה לטכניקה בה בחר המחוקק איננה משקפת נאמנות למחוקק, כי אם תפיסה של "ייקוב הדין את ההר". וענייננו יוכיח: המחוקק הישראלי ביקש להתנות את מתן ההטבה לפי החלופה בה עסקינן בכך שלפחות רבע </w:t>
      </w:r>
      <w:r>
        <w:rPr>
          <w:rFonts w:hint="cs"/>
          <w:rtl/>
        </w:rPr>
        <w:lastRenderedPageBreak/>
        <w:t>מהכנסות המפעל הן ממכירות לשוק הגדול מהשוק הישראלי, משמע, בהכרח, ממכירות לשוק גדול שאיננו השוק הישראלי. אף אם נניח כי השוק הישראלי גדל בשלב מסוים מעבר לרף שננקב בחוק, האפשרות שההטבה תינתן למפעל בגין ייצור לשוק הישראלי לא רק שאינה מגשימה את תכלית החוק, אלא עומדת בניגוד חזיתי לה. אכן, המחוקק בחר, וטעמיו עמו, שלא להתנות במפורש את ההטבה בדרישת הייצוא, ואולם הקריטריון אותו קבע מלמד מניה וביה כי ביקש לתת את ההטבה לפי חלופת המכירה לשוק גדול רק למפעלים תעשייתיים אשר מכירותיהם מתמקדות בשוק גדול זר, להבדיל ממפעלים תעשייתיים שאינם "ברי תחרות" בשל התמקדות מכירותיהם בשוק קטן זר או בשוק הישראלי. קיצורו של דבר, פרשנות לפיה מרגע שהשוק הישראלי חצה את הרף המספרי, יש להתחשב לצורך החלת ההטבה גם במכירות שבוצעו בו, תואמת לכאורה את לשונו של ההסדר, אולם אין היא יכולה להתקבל, בהיותה עומדת בסתירה חזיתית לתכליתו, בגדר "סר מההוראה עיקרה".</w:t>
      </w:r>
    </w:p>
    <w:p w:rsidR="00CF54A5" w:rsidRPr="00E15852" w:rsidRDefault="00CF54A5" w:rsidP="00CF54A5">
      <w:pPr>
        <w:pStyle w:val="Ruller41"/>
      </w:pPr>
    </w:p>
    <w:p w:rsidR="00CF54A5" w:rsidRDefault="00CF54A5" w:rsidP="009D1AFB">
      <w:pPr>
        <w:pStyle w:val="Ruller4"/>
        <w:rPr>
          <w:rtl/>
        </w:rPr>
      </w:pPr>
      <w:r>
        <w:rPr>
          <w:rFonts w:hint="cs"/>
          <w:rtl/>
        </w:rPr>
        <w:t>עניין דומה מבחינת הקושי הפרשני נדון זה לא מכבר בבית משפט זה בהקשר קרוב</w:t>
      </w:r>
      <w:r w:rsidR="009D1AFB">
        <w:rPr>
          <w:rFonts w:hint="cs"/>
          <w:rtl/>
        </w:rPr>
        <w:t xml:space="preserve">, </w:t>
      </w:r>
      <w:r>
        <w:rPr>
          <w:rFonts w:hint="cs"/>
          <w:rtl/>
        </w:rPr>
        <w:t xml:space="preserve">בע"א 2079/20 </w:t>
      </w:r>
      <w:r w:rsidRPr="00E43544">
        <w:rPr>
          <w:rFonts w:ascii="Century" w:hAnsi="Century" w:cs="Miriam" w:hint="cs"/>
          <w:b/>
          <w:spacing w:val="0"/>
          <w:sz w:val="22"/>
          <w:szCs w:val="24"/>
          <w:rtl/>
        </w:rPr>
        <w:t>עמותת ועידת המדעים וההשכלה האסלמית נ' פקיד שומה ירושלים 3</w:t>
      </w:r>
      <w:r w:rsidRPr="00E43544">
        <w:rPr>
          <w:rFonts w:hint="cs"/>
          <w:rtl/>
        </w:rPr>
        <w:t xml:space="preserve"> </w:t>
      </w:r>
      <w:r>
        <w:rPr>
          <w:rFonts w:hint="cs"/>
          <w:rtl/>
        </w:rPr>
        <w:t xml:space="preserve">(27.10.2021). באותו מקרה עלתה השאלה האם גוף אשר פעילותו החינוכית מתקיימת מחוץ לתחומי מדינת ישראל (באותו מקרה, ב"שטחי </w:t>
      </w:r>
      <w:r w:rsidRPr="00D83139">
        <w:rPr>
          <w:rFonts w:asciiTheme="majorBidi" w:hAnsiTheme="majorBidi" w:cstheme="majorBidi"/>
        </w:rPr>
        <w:t>C</w:t>
      </w:r>
      <w:r>
        <w:rPr>
          <w:rFonts w:hint="cs"/>
          <w:rtl/>
        </w:rPr>
        <w:t xml:space="preserve">" באזור יהודה ושומרון) מקיים פעילות לשם "מטרה ציבורית", כהגדרת מונח זה בסעיף 9(2) לפקודת מס הכנסה, ועל כן יכול ליהנות ממעמד של "מוסד ציבורי" לצורך קבלת הפטור ממס הכנסה הקבוע בסעיף זה. ההגדרה האמורה של המונח "מטרה ציבורית", כמו ההגדרה בה עסקינן, היא הגדרה שותקת, אשר אינה מבהירה כי הכוונה ל"מטרה ציבורית" ישראלית בלבד. ואולם, בית משפט זה לא התקשה להגיע למסקנה כי לאור תכלית ההסדר, יש לקרוא לתוך לשונו השותקת של החוק דרישה לקיומה של "זיקה לישראל". השופט </w:t>
      </w:r>
      <w:r>
        <w:rPr>
          <w:rFonts w:ascii="Century" w:hAnsi="Century" w:cs="Miriam" w:hint="cs"/>
          <w:b/>
          <w:spacing w:val="0"/>
          <w:sz w:val="22"/>
          <w:szCs w:val="24"/>
          <w:rtl/>
        </w:rPr>
        <w:t xml:space="preserve">דוד </w:t>
      </w:r>
      <w:r w:rsidRPr="00FA07FC">
        <w:rPr>
          <w:rFonts w:ascii="Century" w:hAnsi="Century" w:cs="Miriam" w:hint="cs"/>
          <w:b/>
          <w:spacing w:val="0"/>
          <w:sz w:val="22"/>
          <w:szCs w:val="24"/>
          <w:rtl/>
        </w:rPr>
        <w:t>מינץ</w:t>
      </w:r>
      <w:r>
        <w:rPr>
          <w:rFonts w:hint="cs"/>
          <w:rtl/>
        </w:rPr>
        <w:t xml:space="preserve">, עמו הסכים חברי, השופט </w:t>
      </w:r>
      <w:r w:rsidRPr="00FA07FC">
        <w:rPr>
          <w:rFonts w:ascii="Century" w:hAnsi="Century" w:cs="Miriam" w:hint="cs"/>
          <w:b/>
          <w:spacing w:val="0"/>
          <w:sz w:val="22"/>
          <w:szCs w:val="24"/>
          <w:rtl/>
        </w:rPr>
        <w:t>יצחק עמית</w:t>
      </w:r>
      <w:r>
        <w:rPr>
          <w:rFonts w:hint="cs"/>
          <w:rtl/>
        </w:rPr>
        <w:t>, סבר כי "[]</w:t>
      </w:r>
      <w:r w:rsidRPr="00FA07FC">
        <w:rPr>
          <w:rFonts w:ascii="Century" w:hAnsi="Century" w:cs="Miriam" w:hint="cs"/>
          <w:b/>
          <w:spacing w:val="0"/>
          <w:sz w:val="22"/>
          <w:szCs w:val="24"/>
          <w:rtl/>
        </w:rPr>
        <w:t xml:space="preserve">סעיף 9(2) לפקודה שותק בכל הנוגע לדרישה כי מוסד ציבורי יפעל בישראל דווקא ועל כן לא ניתן לעצור בענייננו בשלב הלשון, ויש לעבור לשלב </w:t>
      </w:r>
      <w:r>
        <w:rPr>
          <w:rFonts w:ascii="Century" w:hAnsi="Century" w:cs="Miriam" w:hint="cs"/>
          <w:b/>
          <w:spacing w:val="0"/>
          <w:sz w:val="22"/>
          <w:szCs w:val="24"/>
          <w:rtl/>
        </w:rPr>
        <w:t xml:space="preserve">בחינת </w:t>
      </w:r>
      <w:r w:rsidRPr="00FA07FC">
        <w:rPr>
          <w:rFonts w:ascii="Century" w:hAnsi="Century" w:cs="Miriam" w:hint="cs"/>
          <w:b/>
          <w:spacing w:val="0"/>
          <w:sz w:val="22"/>
          <w:szCs w:val="24"/>
          <w:rtl/>
        </w:rPr>
        <w:t>התכלית</w:t>
      </w:r>
      <w:r>
        <w:rPr>
          <w:rFonts w:hint="cs"/>
          <w:rtl/>
        </w:rPr>
        <w:t xml:space="preserve">" (פסקה 24). חברי, השופט </w:t>
      </w:r>
      <w:r w:rsidRPr="00FA07FC">
        <w:rPr>
          <w:rFonts w:ascii="Century" w:hAnsi="Century" w:cs="Miriam" w:hint="cs"/>
          <w:b/>
          <w:spacing w:val="0"/>
          <w:sz w:val="22"/>
          <w:szCs w:val="24"/>
          <w:rtl/>
        </w:rPr>
        <w:t>אלכס</w:t>
      </w:r>
      <w:r w:rsidRPr="00FA07FC">
        <w:rPr>
          <w:rFonts w:hint="cs"/>
          <w:rtl/>
        </w:rPr>
        <w:t xml:space="preserve"> </w:t>
      </w:r>
      <w:r w:rsidRPr="007A2202">
        <w:rPr>
          <w:rFonts w:ascii="Century" w:hAnsi="Century" w:cs="Miriam" w:hint="cs"/>
          <w:b/>
          <w:spacing w:val="0"/>
          <w:sz w:val="22"/>
          <w:szCs w:val="24"/>
          <w:rtl/>
        </w:rPr>
        <w:t>שטיין</w:t>
      </w:r>
      <w:r>
        <w:rPr>
          <w:rFonts w:hint="cs"/>
          <w:rtl/>
        </w:rPr>
        <w:t>, סבר כי "</w:t>
      </w:r>
      <w:r w:rsidRPr="00FA07FC">
        <w:rPr>
          <w:rFonts w:ascii="Century" w:hAnsi="Century" w:cs="Miriam" w:hint="cs"/>
          <w:b/>
          <w:spacing w:val="0"/>
          <w:sz w:val="22"/>
          <w:szCs w:val="24"/>
          <w:rtl/>
        </w:rPr>
        <w:t>לשונו של סעיף 9(2) לפקודת מס הכנסה [נוסח חדש] מצביעה בבירור על כך ש</w:t>
      </w:r>
      <w:r>
        <w:rPr>
          <w:rFonts w:ascii="Century" w:hAnsi="Century" w:cs="Miriam" w:hint="cs"/>
          <w:b/>
          <w:spacing w:val="0"/>
          <w:sz w:val="22"/>
          <w:szCs w:val="24"/>
          <w:rtl/>
        </w:rPr>
        <w:t>'</w:t>
      </w:r>
      <w:r w:rsidRPr="00FA07FC">
        <w:rPr>
          <w:rFonts w:ascii="Century" w:hAnsi="Century" w:cs="Miriam" w:hint="cs"/>
          <w:b/>
          <w:spacing w:val="0"/>
          <w:sz w:val="22"/>
          <w:szCs w:val="24"/>
          <w:rtl/>
        </w:rPr>
        <w:t>מוסד ציבורי</w:t>
      </w:r>
      <w:r>
        <w:rPr>
          <w:rFonts w:ascii="Century" w:hAnsi="Century" w:cs="Miriam" w:hint="cs"/>
          <w:b/>
          <w:spacing w:val="0"/>
          <w:sz w:val="22"/>
          <w:szCs w:val="24"/>
          <w:rtl/>
        </w:rPr>
        <w:t>'</w:t>
      </w:r>
      <w:r w:rsidRPr="00FA07FC">
        <w:rPr>
          <w:rFonts w:ascii="Century" w:hAnsi="Century" w:cs="Miriam" w:hint="cs"/>
          <w:b/>
          <w:spacing w:val="0"/>
          <w:sz w:val="22"/>
          <w:szCs w:val="24"/>
          <w:rtl/>
        </w:rPr>
        <w:t xml:space="preserve"> הזכאי לפטור ממס הכנסה הוא מוסד שמקדם את טובת הציבור הישראלי, להבדיל מציבור אחר שאינו ישראלי</w:t>
      </w:r>
      <w:r>
        <w:rPr>
          <w:rFonts w:hint="cs"/>
          <w:rtl/>
        </w:rPr>
        <w:t xml:space="preserve">", ואולם דומה כי גם הוא לא היה בדעה שניתן לעצור בלשון במקרה שכזה. </w:t>
      </w:r>
    </w:p>
    <w:p w:rsidR="00CF54A5" w:rsidRPr="00493C81" w:rsidRDefault="00CF54A5" w:rsidP="00CF54A5">
      <w:pPr>
        <w:pStyle w:val="Ruller41"/>
      </w:pPr>
    </w:p>
    <w:p w:rsidR="00CF54A5" w:rsidRDefault="00CF54A5" w:rsidP="00CF54A5">
      <w:pPr>
        <w:pStyle w:val="Ruller4"/>
        <w:rPr>
          <w:rtl/>
        </w:rPr>
      </w:pPr>
      <w:r>
        <w:rPr>
          <w:rFonts w:hint="cs"/>
          <w:rtl/>
        </w:rPr>
        <w:t>המסקנה מ</w:t>
      </w:r>
      <w:r w:rsidR="00F71790">
        <w:rPr>
          <w:rFonts w:hint="cs"/>
          <w:rtl/>
        </w:rPr>
        <w:t xml:space="preserve">ן </w:t>
      </w:r>
      <w:r>
        <w:rPr>
          <w:rFonts w:hint="cs"/>
          <w:rtl/>
        </w:rPr>
        <w:t xml:space="preserve">האמור לעיל היא שלדידי, הגם שהגדרת מפעל תעשייתי "בר תחרות" לפי חלופת המכירה לשוק גדול שבסעיף 18א(ג)(1)(ג) לחוק עידוד השקעות </w:t>
      </w:r>
      <w:r>
        <w:rPr>
          <w:rFonts w:hint="cs"/>
          <w:rtl/>
        </w:rPr>
        <w:lastRenderedPageBreak/>
        <w:t xml:space="preserve">אינה נוקבת במפורש בדרישה כי ידובר במכירות לשוק זר (דהיינו, שוק שאינו השוק הישראלי), אלא מציבה רק דרישה לכך שידובר בשוק שמספר התושבים בו עולה על הרף שננקב, הרי שדרישה זו משתמעת מתוך תכליתה של ההטבה, ומתוך מבנה ההסדר החקיקתי שקבע המחוקק, ועל כן יש לקרוא אותה לתוך ההגדרה. מכאן שההטבה חלה, על פי חלופה זו, רק ככל שלפחות רבע מהכנסות המפעל בשנת המס היו ממכירות לשוק גדול </w:t>
      </w:r>
      <w:r w:rsidRPr="00F21E9C">
        <w:rPr>
          <w:rFonts w:ascii="Century" w:hAnsi="Century" w:cs="Miriam" w:hint="cs"/>
          <w:b/>
          <w:spacing w:val="0"/>
          <w:sz w:val="22"/>
          <w:szCs w:val="24"/>
          <w:u w:val="single"/>
          <w:rtl/>
        </w:rPr>
        <w:t>זר</w:t>
      </w:r>
      <w:r>
        <w:rPr>
          <w:rFonts w:hint="cs"/>
          <w:rtl/>
        </w:rPr>
        <w:t xml:space="preserve">, ואין היא חלה ביחס למפעל שלפחות רבע מהכנסותיו היו ממכירות </w:t>
      </w:r>
      <w:r w:rsidRPr="00F21E9C">
        <w:rPr>
          <w:rFonts w:ascii="Century" w:hAnsi="Century" w:cs="Miriam" w:hint="cs"/>
          <w:b/>
          <w:spacing w:val="0"/>
          <w:sz w:val="22"/>
          <w:szCs w:val="24"/>
          <w:u w:val="single"/>
          <w:rtl/>
        </w:rPr>
        <w:t>לשוק הישראלי</w:t>
      </w:r>
      <w:r>
        <w:rPr>
          <w:rFonts w:hint="cs"/>
          <w:rtl/>
        </w:rPr>
        <w:t xml:space="preserve">, וזאת גם אם לפי הרף המספרי שנקבע השוק הישראלי הפך להיות לשוק גדול. </w:t>
      </w:r>
    </w:p>
    <w:p w:rsidR="00CF54A5" w:rsidRDefault="00CF54A5" w:rsidP="00CF54A5">
      <w:pPr>
        <w:pStyle w:val="Ruller41"/>
        <w:rPr>
          <w:rtl/>
        </w:rPr>
      </w:pPr>
    </w:p>
    <w:p w:rsidR="00CF54A5" w:rsidRDefault="00CF54A5" w:rsidP="00CF54A5">
      <w:pPr>
        <w:pStyle w:val="Ruller4"/>
      </w:pPr>
      <w:r>
        <w:rPr>
          <w:rFonts w:hint="cs"/>
          <w:rtl/>
        </w:rPr>
        <w:t xml:space="preserve">לפני שאחתום דיון זה, אבקש להעיר שלוש הערות משלימות. </w:t>
      </w:r>
    </w:p>
    <w:p w:rsidR="00CF54A5" w:rsidRDefault="00CF54A5" w:rsidP="00CF54A5">
      <w:pPr>
        <w:pStyle w:val="Ruller4"/>
        <w:numPr>
          <w:ilvl w:val="0"/>
          <w:numId w:val="0"/>
        </w:numPr>
        <w:rPr>
          <w:rtl/>
        </w:rPr>
      </w:pPr>
      <w:r>
        <w:rPr>
          <w:rtl/>
        </w:rPr>
        <w:tab/>
      </w:r>
    </w:p>
    <w:p w:rsidR="00CF54A5" w:rsidRPr="00041E60" w:rsidRDefault="00CF54A5" w:rsidP="00CF54A5">
      <w:pPr>
        <w:pStyle w:val="Ruller4"/>
        <w:numPr>
          <w:ilvl w:val="0"/>
          <w:numId w:val="0"/>
        </w:numPr>
        <w:rPr>
          <w:rtl/>
        </w:rPr>
      </w:pPr>
      <w:r>
        <w:rPr>
          <w:rtl/>
        </w:rPr>
        <w:tab/>
      </w:r>
      <w:r w:rsidRPr="00E50F87">
        <w:rPr>
          <w:rFonts w:ascii="Century" w:hAnsi="Century" w:cs="Miriam" w:hint="cs"/>
          <w:b/>
          <w:spacing w:val="0"/>
          <w:sz w:val="22"/>
          <w:szCs w:val="24"/>
          <w:rtl/>
        </w:rPr>
        <w:t>ה</w:t>
      </w:r>
      <w:r w:rsidRPr="006076B5">
        <w:rPr>
          <w:rFonts w:ascii="Century" w:hAnsi="Century" w:cs="Miriam" w:hint="cs"/>
          <w:b/>
          <w:spacing w:val="0"/>
          <w:sz w:val="22"/>
          <w:szCs w:val="24"/>
          <w:rtl/>
        </w:rPr>
        <w:t>הערה האחת</w:t>
      </w:r>
      <w:r>
        <w:rPr>
          <w:rFonts w:hint="cs"/>
          <w:rtl/>
        </w:rPr>
        <w:t xml:space="preserve">, עניינה בספק שהטילו </w:t>
      </w:r>
      <w:proofErr w:type="spellStart"/>
      <w:r>
        <w:rPr>
          <w:rFonts w:hint="cs"/>
          <w:rtl/>
        </w:rPr>
        <w:t>הנישומות</w:t>
      </w:r>
      <w:proofErr w:type="spellEnd"/>
      <w:r>
        <w:rPr>
          <w:rFonts w:hint="cs"/>
          <w:rtl/>
        </w:rPr>
        <w:t xml:space="preserve"> בדבר יכולת הוראת החוק להשיג את מטרותיה. אכן, כטענת </w:t>
      </w:r>
      <w:proofErr w:type="spellStart"/>
      <w:r>
        <w:rPr>
          <w:rFonts w:hint="cs"/>
          <w:rtl/>
        </w:rPr>
        <w:t>הנישומות</w:t>
      </w:r>
      <w:proofErr w:type="spellEnd"/>
      <w:r>
        <w:rPr>
          <w:rFonts w:hint="cs"/>
          <w:rtl/>
        </w:rPr>
        <w:t>, "</w:t>
      </w:r>
      <w:r w:rsidRPr="001148DA">
        <w:rPr>
          <w:rFonts w:ascii="Century" w:hAnsi="Century" w:cs="Miriam" w:hint="cs"/>
          <w:b/>
          <w:spacing w:val="0"/>
          <w:sz w:val="22"/>
          <w:szCs w:val="24"/>
          <w:rtl/>
        </w:rPr>
        <w:t>מפעל בר-תחרות התורם לתוצר המקומי הגולמי</w:t>
      </w:r>
      <w:r>
        <w:rPr>
          <w:rFonts w:hint="cs"/>
          <w:rtl/>
        </w:rPr>
        <w:t xml:space="preserve">", כהגדרת סעיף 51 לחוק, אינו משמיע בהכרח על דרך אחת באמצעותה ניתן להשיג מטרה זו, קרי הגדלת התוצר המקומי הגולמי. ואולם, המדובר בבחירה בין מדיניות כלכליות וחברתיות שונות, </w:t>
      </w:r>
      <w:proofErr w:type="spellStart"/>
      <w:r>
        <w:rPr>
          <w:rFonts w:hint="cs"/>
          <w:rtl/>
        </w:rPr>
        <w:t>וככזו</w:t>
      </w:r>
      <w:proofErr w:type="spellEnd"/>
      <w:r>
        <w:rPr>
          <w:rFonts w:hint="cs"/>
          <w:rtl/>
        </w:rPr>
        <w:t xml:space="preserve"> נתונה היא לשיקול דעתם הרחב של קובעי המדיניות, כך שבית משפט זה ינהג בזהירות ובריסון רב </w:t>
      </w:r>
      <w:r w:rsidRPr="00947B6D">
        <w:rPr>
          <w:rFonts w:hint="cs"/>
          <w:rtl/>
        </w:rPr>
        <w:t>בטרם יתערב בו</w:t>
      </w:r>
      <w:r>
        <w:rPr>
          <w:rFonts w:hint="cs"/>
          <w:rtl/>
        </w:rPr>
        <w:t>. זאת ועוד, גם באותם מקרים בהם ת</w:t>
      </w:r>
      <w:r w:rsidR="00996144">
        <w:rPr>
          <w:rFonts w:hint="cs"/>
          <w:rtl/>
        </w:rPr>
        <w:t>י</w:t>
      </w:r>
      <w:r>
        <w:rPr>
          <w:rFonts w:hint="cs"/>
          <w:rtl/>
        </w:rPr>
        <w:t xml:space="preserve">מצא הצדקה להתערבות שיפוטית, היא תעשה </w:t>
      </w:r>
      <w:r w:rsidRPr="00947B6D">
        <w:rPr>
          <w:rFonts w:hint="cs"/>
          <w:rtl/>
        </w:rPr>
        <w:t>מטעמים הקשורים באופן הפעלת שיקול הדעת</w:t>
      </w:r>
      <w:r>
        <w:rPr>
          <w:rFonts w:hint="cs"/>
          <w:rtl/>
        </w:rPr>
        <w:t xml:space="preserve"> המנהלי על פי אמות המידה המשפטיות, </w:t>
      </w:r>
      <w:r>
        <w:rPr>
          <w:rFonts w:ascii="Arimo" w:hAnsi="Arimo" w:hint="cs"/>
          <w:rtl/>
        </w:rPr>
        <w:t xml:space="preserve">ולא על פי הערכת בית המשפט בדבר התועלת החברתית שבאימוץ המדיניות האמורה </w:t>
      </w:r>
      <w:r w:rsidRPr="00947B6D">
        <w:rPr>
          <w:rFonts w:ascii="Arimo" w:hAnsi="Arimo" w:hint="cs"/>
          <w:rtl/>
        </w:rPr>
        <w:t>(</w:t>
      </w:r>
      <w:r w:rsidRPr="00947B6D">
        <w:rPr>
          <w:rFonts w:ascii="Arimo" w:hAnsi="Arimo"/>
          <w:rtl/>
        </w:rPr>
        <w:t>בג</w:t>
      </w:r>
      <w:r w:rsidRPr="00EF3743">
        <w:rPr>
          <w:rFonts w:ascii="Arimo" w:hAnsi="Arimo"/>
          <w:rtl/>
        </w:rPr>
        <w:t>"ץ 6407</w:t>
      </w:r>
      <w:r w:rsidRPr="00EF3743">
        <w:rPr>
          <w:rFonts w:ascii="Arimo" w:hAnsi="Arimo" w:hint="cs"/>
          <w:rtl/>
        </w:rPr>
        <w:t>/</w:t>
      </w:r>
      <w:r w:rsidRPr="00EF3743">
        <w:rPr>
          <w:rFonts w:ascii="Arimo" w:hAnsi="Arimo"/>
          <w:rtl/>
        </w:rPr>
        <w:t xml:space="preserve">06 </w:t>
      </w:r>
      <w:r w:rsidRPr="00EF3743">
        <w:rPr>
          <w:rFonts w:ascii="Century" w:hAnsi="Century" w:cs="Miriam"/>
          <w:b/>
          <w:spacing w:val="0"/>
          <w:sz w:val="22"/>
          <w:szCs w:val="24"/>
          <w:rtl/>
        </w:rPr>
        <w:t xml:space="preserve">דורון, </w:t>
      </w:r>
      <w:proofErr w:type="spellStart"/>
      <w:r w:rsidRPr="00EF3743">
        <w:rPr>
          <w:rFonts w:ascii="Century" w:hAnsi="Century" w:cs="Miriam"/>
          <w:b/>
          <w:spacing w:val="0"/>
          <w:sz w:val="22"/>
          <w:szCs w:val="24"/>
          <w:rtl/>
        </w:rPr>
        <w:t>טיקוצקי</w:t>
      </w:r>
      <w:proofErr w:type="spellEnd"/>
      <w:r w:rsidRPr="00EF3743">
        <w:rPr>
          <w:rFonts w:ascii="Century" w:hAnsi="Century" w:cs="Miriam"/>
          <w:b/>
          <w:spacing w:val="0"/>
          <w:sz w:val="22"/>
          <w:szCs w:val="24"/>
          <w:rtl/>
        </w:rPr>
        <w:t>, עמיר, מזרחי עורכי דין נ' שר האוצר</w:t>
      </w:r>
      <w:r w:rsidRPr="00EF3743">
        <w:rPr>
          <w:rFonts w:ascii="Arimo" w:hAnsi="Arimo" w:hint="cs"/>
          <w:rtl/>
        </w:rPr>
        <w:t xml:space="preserve">, פסקה 66 (23.9.2007); </w:t>
      </w:r>
      <w:r w:rsidRPr="00EF3743">
        <w:rPr>
          <w:rFonts w:ascii="Arimo" w:hAnsi="Arimo"/>
          <w:rtl/>
        </w:rPr>
        <w:t>בג"ץ 10541</w:t>
      </w:r>
      <w:r w:rsidRPr="00EF3743">
        <w:rPr>
          <w:rFonts w:ascii="Arimo" w:hAnsi="Arimo" w:hint="cs"/>
          <w:rtl/>
        </w:rPr>
        <w:t>/</w:t>
      </w:r>
      <w:r w:rsidRPr="00EF3743">
        <w:rPr>
          <w:rFonts w:ascii="Arimo" w:hAnsi="Arimo"/>
          <w:rtl/>
        </w:rPr>
        <w:t xml:space="preserve">09 </w:t>
      </w:r>
      <w:r w:rsidRPr="00EF3743">
        <w:rPr>
          <w:rFonts w:ascii="Century" w:hAnsi="Century" w:cs="Miriam"/>
          <w:b/>
          <w:spacing w:val="0"/>
          <w:sz w:val="22"/>
          <w:szCs w:val="24"/>
          <w:rtl/>
        </w:rPr>
        <w:t xml:space="preserve">יובלים </w:t>
      </w:r>
      <w:proofErr w:type="spellStart"/>
      <w:r w:rsidRPr="00EF3743">
        <w:rPr>
          <w:rFonts w:ascii="Century" w:hAnsi="Century" w:cs="Miriam"/>
          <w:b/>
          <w:spacing w:val="0"/>
          <w:sz w:val="22"/>
          <w:szCs w:val="24"/>
          <w:rtl/>
        </w:rPr>
        <w:t>ש.ד.י</w:t>
      </w:r>
      <w:proofErr w:type="spellEnd"/>
      <w:r w:rsidRPr="00EF3743">
        <w:rPr>
          <w:rFonts w:ascii="Century" w:hAnsi="Century" w:cs="Miriam"/>
          <w:b/>
          <w:spacing w:val="0"/>
          <w:sz w:val="22"/>
          <w:szCs w:val="24"/>
          <w:rtl/>
        </w:rPr>
        <w:t>. בע"מ ואח' נ' ממשלת ישראל</w:t>
      </w:r>
      <w:r w:rsidRPr="00EF3743">
        <w:rPr>
          <w:rFonts w:ascii="Arimo" w:hAnsi="Arimo" w:hint="cs"/>
          <w:rtl/>
        </w:rPr>
        <w:t xml:space="preserve">, פסקה 18 (5.1.2012); </w:t>
      </w:r>
      <w:r w:rsidRPr="00EF3743">
        <w:rPr>
          <w:rFonts w:ascii="Arimo" w:hAnsi="Arimo" w:hint="eastAsia"/>
          <w:rtl/>
        </w:rPr>
        <w:t>בג</w:t>
      </w:r>
      <w:r w:rsidRPr="00EF3743">
        <w:rPr>
          <w:rFonts w:ascii="Arimo" w:hAnsi="Arimo"/>
          <w:rtl/>
        </w:rPr>
        <w:t>"</w:t>
      </w:r>
      <w:r w:rsidRPr="00EF3743">
        <w:rPr>
          <w:rFonts w:ascii="Arimo" w:hAnsi="Arimo" w:hint="eastAsia"/>
          <w:rtl/>
        </w:rPr>
        <w:t>ץ</w:t>
      </w:r>
      <w:r w:rsidRPr="00EF3743">
        <w:rPr>
          <w:rFonts w:ascii="Arimo" w:hAnsi="Arimo"/>
          <w:rtl/>
        </w:rPr>
        <w:t xml:space="preserve"> 1530</w:t>
      </w:r>
      <w:r w:rsidRPr="00EF3743">
        <w:rPr>
          <w:rFonts w:ascii="Arimo" w:hAnsi="Arimo" w:hint="cs"/>
          <w:rtl/>
        </w:rPr>
        <w:t>/</w:t>
      </w:r>
      <w:r w:rsidRPr="00EF3743">
        <w:rPr>
          <w:rFonts w:ascii="Arimo" w:hAnsi="Arimo"/>
          <w:rtl/>
        </w:rPr>
        <w:t xml:space="preserve">21 </w:t>
      </w:r>
      <w:r w:rsidRPr="00EF3743">
        <w:rPr>
          <w:rFonts w:ascii="Century" w:hAnsi="Century" w:cs="Miriam" w:hint="eastAsia"/>
          <w:b/>
          <w:spacing w:val="0"/>
          <w:sz w:val="22"/>
          <w:szCs w:val="24"/>
          <w:rtl/>
        </w:rPr>
        <w:t>פורום</w:t>
      </w:r>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קהלת</w:t>
      </w:r>
      <w:r w:rsidRPr="00EF3743">
        <w:rPr>
          <w:rFonts w:ascii="Century" w:hAnsi="Century" w:cs="Miriam"/>
          <w:b/>
          <w:spacing w:val="0"/>
          <w:sz w:val="22"/>
          <w:szCs w:val="24"/>
          <w:rtl/>
        </w:rPr>
        <w:t xml:space="preserve"> (</w:t>
      </w:r>
      <w:proofErr w:type="spellStart"/>
      <w:r w:rsidRPr="00EF3743">
        <w:rPr>
          <w:rFonts w:ascii="Century" w:hAnsi="Century" w:cs="Miriam" w:hint="eastAsia"/>
          <w:b/>
          <w:spacing w:val="0"/>
          <w:sz w:val="22"/>
          <w:szCs w:val="24"/>
          <w:rtl/>
        </w:rPr>
        <w:t>ע</w:t>
      </w:r>
      <w:r w:rsidRPr="00EF3743">
        <w:rPr>
          <w:rFonts w:ascii="Century" w:hAnsi="Century" w:cs="Miriam"/>
          <w:b/>
          <w:spacing w:val="0"/>
          <w:sz w:val="22"/>
          <w:szCs w:val="24"/>
          <w:rtl/>
        </w:rPr>
        <w:t>"</w:t>
      </w:r>
      <w:r w:rsidRPr="00EF3743">
        <w:rPr>
          <w:rFonts w:ascii="Century" w:hAnsi="Century" w:cs="Miriam" w:hint="eastAsia"/>
          <w:b/>
          <w:spacing w:val="0"/>
          <w:sz w:val="22"/>
          <w:szCs w:val="24"/>
          <w:rtl/>
        </w:rPr>
        <w:t>ר</w:t>
      </w:r>
      <w:proofErr w:type="spellEnd"/>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נ</w:t>
      </w:r>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משרד</w:t>
      </w:r>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החקלאות</w:t>
      </w:r>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ופיתוח</w:t>
      </w:r>
      <w:r w:rsidRPr="00EF3743">
        <w:rPr>
          <w:rFonts w:ascii="Century" w:hAnsi="Century" w:cs="Miriam"/>
          <w:b/>
          <w:spacing w:val="0"/>
          <w:sz w:val="22"/>
          <w:szCs w:val="24"/>
          <w:rtl/>
        </w:rPr>
        <w:t xml:space="preserve"> </w:t>
      </w:r>
      <w:r w:rsidRPr="00EF3743">
        <w:rPr>
          <w:rFonts w:ascii="Century" w:hAnsi="Century" w:cs="Miriam" w:hint="eastAsia"/>
          <w:b/>
          <w:spacing w:val="0"/>
          <w:sz w:val="22"/>
          <w:szCs w:val="24"/>
          <w:rtl/>
        </w:rPr>
        <w:t>הכפר</w:t>
      </w:r>
      <w:r w:rsidRPr="00EF3743">
        <w:rPr>
          <w:rFonts w:ascii="Arimo" w:hAnsi="Arimo" w:hint="cs"/>
          <w:rtl/>
        </w:rPr>
        <w:t>, פסקה 18 (17.6.2021)).</w:t>
      </w:r>
      <w:r>
        <w:rPr>
          <w:rFonts w:hint="cs"/>
          <w:rtl/>
        </w:rPr>
        <w:t xml:space="preserve"> בענייננו, קביעת קריטריון המתמקד במכירה לשוק גדול זר, היוצר הבחנה בין שווקים זרים על בסיס גודל השוק, היא בוודאי קביעה לגיטימית בהתוויית המדיניות הכלכלית בהקשר בו עסקינן, ואין אנו נדרשים לבחון את טיבו וצדקתו של קריטריון זה.</w:t>
      </w:r>
    </w:p>
    <w:p w:rsidR="00CF54A5" w:rsidRDefault="00CF54A5" w:rsidP="00CF54A5">
      <w:pPr>
        <w:pStyle w:val="Ruller41"/>
        <w:rPr>
          <w:rtl/>
        </w:rPr>
      </w:pPr>
    </w:p>
    <w:p w:rsidR="00CF54A5" w:rsidRDefault="00CF54A5" w:rsidP="009D0F37">
      <w:pPr>
        <w:pStyle w:val="Ruller41"/>
        <w:rPr>
          <w:rtl/>
        </w:rPr>
      </w:pPr>
      <w:r>
        <w:rPr>
          <w:rtl/>
        </w:rPr>
        <w:tab/>
      </w:r>
      <w:r w:rsidRPr="00E50F87">
        <w:rPr>
          <w:rFonts w:ascii="Century" w:hAnsi="Century" w:cs="Miriam" w:hint="cs"/>
          <w:b/>
          <w:spacing w:val="0"/>
          <w:szCs w:val="24"/>
          <w:rtl/>
        </w:rPr>
        <w:t>ה</w:t>
      </w:r>
      <w:r w:rsidRPr="001148DA">
        <w:rPr>
          <w:rFonts w:ascii="Century" w:hAnsi="Century" w:cs="Miriam" w:hint="cs"/>
          <w:b/>
          <w:spacing w:val="0"/>
          <w:szCs w:val="24"/>
          <w:rtl/>
        </w:rPr>
        <w:t xml:space="preserve">הערה השנייה </w:t>
      </w:r>
      <w:r>
        <w:rPr>
          <w:rFonts w:hint="cs"/>
          <w:rtl/>
        </w:rPr>
        <w:t xml:space="preserve">נוגעת לטענת </w:t>
      </w:r>
      <w:proofErr w:type="spellStart"/>
      <w:r>
        <w:rPr>
          <w:rFonts w:hint="cs"/>
          <w:rtl/>
        </w:rPr>
        <w:t>הנישומות</w:t>
      </w:r>
      <w:proofErr w:type="spellEnd"/>
      <w:r>
        <w:rPr>
          <w:rFonts w:hint="cs"/>
          <w:rtl/>
        </w:rPr>
        <w:t xml:space="preserve"> לפיה, בקביעת הדרישה למתן ההטבה הנדונה, המדינה מפרה את הסכמי הסחר הבינלאומיים עליהם היא חתומה. אומנם, סוגיית עמידתה של מדינת ישראל במחויבויותי</w:t>
      </w:r>
      <w:r>
        <w:rPr>
          <w:rFonts w:hint="eastAsia"/>
          <w:rtl/>
        </w:rPr>
        <w:t>ה</w:t>
      </w:r>
      <w:r>
        <w:rPr>
          <w:rFonts w:hint="cs"/>
          <w:rtl/>
        </w:rPr>
        <w:t xml:space="preserve"> על פי הסכמי הסחר הבינלאומיים הועלתה במסגרת הדיונים סביב תיקון מס' 60 לח</w:t>
      </w:r>
      <w:r w:rsidRPr="00750E51">
        <w:rPr>
          <w:rFonts w:hint="cs"/>
          <w:rtl/>
        </w:rPr>
        <w:t xml:space="preserve">וק (ראו: פרוטוקול ישיבה </w:t>
      </w:r>
      <w:r>
        <w:rPr>
          <w:rFonts w:hint="cs"/>
          <w:rtl/>
        </w:rPr>
        <w:t xml:space="preserve">מיום 6.3.2005, בעמ' 27-26; פרוטוקול ישיבה מיום 8.3.2005, בעמ' 9 ו-29. כן ראו גם </w:t>
      </w:r>
      <w:r>
        <w:rPr>
          <w:rFonts w:hint="cs"/>
          <w:rtl/>
        </w:rPr>
        <w:lastRenderedPageBreak/>
        <w:t xml:space="preserve">הדיונים במסגרת תיקון מס' 70 לחוק: פרוטוקול ישיבה מיום 24.6.2013, בעמ' </w:t>
      </w:r>
      <w:r w:rsidRPr="00B435E8">
        <w:rPr>
          <w:rFonts w:hint="cs"/>
          <w:rtl/>
        </w:rPr>
        <w:t>5),</w:t>
      </w:r>
      <w:r>
        <w:rPr>
          <w:rFonts w:hint="cs"/>
          <w:rtl/>
        </w:rPr>
        <w:t xml:space="preserve"> וגם פקידי השומה התייחסו בסיכומיהם לניסיון להתאים את דרישות החוק להתחייבויות המדינה (ראו, למשל, סעיף 19 לסיכומים). אפס, השאלה מה אותם הסכמים מחייבים, והאם מדינת ישראל הפרה את התחייבויותיה כלפי מדינות אחרות, לא ניצבת לפנינו, אלא מקומה להתברר, ככל שקיימת טענה כזו, במסגרת </w:t>
      </w:r>
      <w:proofErr w:type="spellStart"/>
      <w:r>
        <w:rPr>
          <w:rFonts w:hint="cs"/>
          <w:rtl/>
        </w:rPr>
        <w:t>הטריבונאלים</w:t>
      </w:r>
      <w:proofErr w:type="spellEnd"/>
      <w:r>
        <w:rPr>
          <w:rFonts w:hint="cs"/>
          <w:rtl/>
        </w:rPr>
        <w:t xml:space="preserve"> הבינלאומיים שהוסמכו לכך על פי אותם הסכמים. ממילא, </w:t>
      </w:r>
      <w:proofErr w:type="spellStart"/>
      <w:r>
        <w:rPr>
          <w:rFonts w:hint="cs"/>
          <w:rtl/>
        </w:rPr>
        <w:t>הנישומות</w:t>
      </w:r>
      <w:proofErr w:type="spellEnd"/>
      <w:r>
        <w:rPr>
          <w:rFonts w:hint="cs"/>
          <w:rtl/>
        </w:rPr>
        <w:t xml:space="preserve"> אינן צד לאותם הסכמים, ודומה כי הן מנסות להתעבר על ריב לא להן במטרה להשיג את מבוקשן. זאת ועוד, כשלעצמי, לא השתכנעתי כלל שמדינת ישראל מפרה את התחייבויותיה הבינלאומיות בכך שביססה את מתן ההטבה על החלופות שנקבעו בסעיף 18א(ג)(1) לחוק. הקריטריון המרכזי בו נעשה שימוש </w:t>
      </w:r>
      <w:r>
        <w:rPr>
          <w:rtl/>
        </w:rPr>
        <w:t>–</w:t>
      </w:r>
      <w:r>
        <w:rPr>
          <w:rFonts w:hint="cs"/>
          <w:rtl/>
        </w:rPr>
        <w:t xml:space="preserve"> ביזור ההכנסות בין מספר שווקים (סעיף 18א(ג)(1)(ב) לחוק) הוא בוודאי קריטריון לגיטימי, והוא הוגדר לכאורה בצורה ניטראלית. הקריטריון בו עסקינן, לפי פרשנות פקידי השומה</w:t>
      </w:r>
      <w:r w:rsidR="009D0F37">
        <w:rPr>
          <w:rFonts w:hint="cs"/>
          <w:rtl/>
        </w:rPr>
        <w:t xml:space="preserve"> </w:t>
      </w:r>
      <w:r w:rsidR="009D0F37">
        <w:rPr>
          <w:rtl/>
        </w:rPr>
        <w:t>–</w:t>
      </w:r>
      <w:r>
        <w:rPr>
          <w:rFonts w:hint="cs"/>
          <w:rtl/>
        </w:rPr>
        <w:t xml:space="preserve"> גודלו של השוק הזר ממנו מגיע </w:t>
      </w:r>
      <w:r w:rsidR="009D0F37">
        <w:rPr>
          <w:rFonts w:hint="cs"/>
          <w:rtl/>
        </w:rPr>
        <w:t>לפחות רבע</w:t>
      </w:r>
      <w:r>
        <w:rPr>
          <w:rFonts w:hint="cs"/>
          <w:rtl/>
        </w:rPr>
        <w:t xml:space="preserve"> </w:t>
      </w:r>
      <w:r w:rsidR="009D0F37">
        <w:rPr>
          <w:rFonts w:hint="cs"/>
          <w:rtl/>
        </w:rPr>
        <w:t>מ</w:t>
      </w:r>
      <w:r>
        <w:rPr>
          <w:rFonts w:hint="cs"/>
          <w:rtl/>
        </w:rPr>
        <w:t>הכנסות המפעל התעשייתי, אף הוא נראה, על פני הדברים, לגיטימי מבחינת התחייב</w:t>
      </w:r>
      <w:r w:rsidR="009D0F37">
        <w:rPr>
          <w:rFonts w:hint="cs"/>
          <w:rtl/>
        </w:rPr>
        <w:t>ויות המדינה,</w:t>
      </w:r>
      <w:r>
        <w:rPr>
          <w:rFonts w:hint="cs"/>
          <w:rtl/>
        </w:rPr>
        <w:t xml:space="preserve"> באשר הוא מבחין בין יעדי ייצוא שונים, ולא בין הכנסה מייצור לשוק המקומי לבין הכנסה מייצוא. מכל מקום, העמדה לה טוענות </w:t>
      </w:r>
      <w:proofErr w:type="spellStart"/>
      <w:r>
        <w:rPr>
          <w:rFonts w:hint="cs"/>
          <w:rtl/>
        </w:rPr>
        <w:t>הנישומות</w:t>
      </w:r>
      <w:proofErr w:type="spellEnd"/>
      <w:r>
        <w:rPr>
          <w:rFonts w:hint="cs"/>
          <w:rtl/>
        </w:rPr>
        <w:t>, לפיה יש פסול בהסדרי חוק עידוד השקעות אם תאומץ פרשנות פקידי השומה</w:t>
      </w:r>
      <w:r w:rsidR="008E3A56">
        <w:rPr>
          <w:rFonts w:hint="cs"/>
          <w:rtl/>
        </w:rPr>
        <w:t>,</w:t>
      </w:r>
      <w:r>
        <w:rPr>
          <w:rFonts w:hint="cs"/>
          <w:rtl/>
        </w:rPr>
        <w:t xml:space="preserve"> בוודאי אינה פשוטה וברורה כפי שנדמה להן. לפיכך, אין היא יכולה להוות חלק מהליך הפרשנות המונח לפתחנו. </w:t>
      </w:r>
    </w:p>
    <w:p w:rsidR="00CF54A5" w:rsidRDefault="00CF54A5" w:rsidP="00CF54A5">
      <w:pPr>
        <w:pStyle w:val="Ruller41"/>
        <w:rPr>
          <w:rtl/>
        </w:rPr>
      </w:pPr>
    </w:p>
    <w:p w:rsidR="00CF54A5" w:rsidRDefault="00CF54A5" w:rsidP="009D22AE">
      <w:pPr>
        <w:pStyle w:val="Ruller41"/>
        <w:rPr>
          <w:rtl/>
        </w:rPr>
      </w:pPr>
      <w:r>
        <w:rPr>
          <w:rtl/>
        </w:rPr>
        <w:tab/>
      </w:r>
      <w:r w:rsidR="00D0164C">
        <w:rPr>
          <w:rFonts w:ascii="Century" w:hAnsi="Century" w:cs="Miriam" w:hint="cs"/>
          <w:b/>
          <w:spacing w:val="0"/>
          <w:szCs w:val="24"/>
          <w:rtl/>
        </w:rPr>
        <w:t>ה</w:t>
      </w:r>
      <w:r w:rsidRPr="00903DC6">
        <w:rPr>
          <w:rFonts w:ascii="Century" w:hAnsi="Century" w:cs="Miriam" w:hint="cs"/>
          <w:b/>
          <w:spacing w:val="0"/>
          <w:szCs w:val="24"/>
          <w:rtl/>
        </w:rPr>
        <w:t xml:space="preserve">הערה </w:t>
      </w:r>
      <w:r w:rsidR="00D0164C">
        <w:rPr>
          <w:rFonts w:ascii="Century" w:hAnsi="Century" w:cs="Miriam" w:hint="cs"/>
          <w:b/>
          <w:spacing w:val="0"/>
          <w:szCs w:val="24"/>
          <w:rtl/>
        </w:rPr>
        <w:t>ה</w:t>
      </w:r>
      <w:r w:rsidRPr="00903DC6">
        <w:rPr>
          <w:rFonts w:ascii="Century" w:hAnsi="Century" w:cs="Miriam" w:hint="cs"/>
          <w:b/>
          <w:spacing w:val="0"/>
          <w:szCs w:val="24"/>
          <w:rtl/>
        </w:rPr>
        <w:t>שלישית</w:t>
      </w:r>
      <w:r>
        <w:rPr>
          <w:rFonts w:hint="cs"/>
          <w:rtl/>
        </w:rPr>
        <w:t xml:space="preserve">, </w:t>
      </w:r>
      <w:r w:rsidR="008E3A56">
        <w:rPr>
          <w:rFonts w:hint="cs"/>
          <w:rtl/>
        </w:rPr>
        <w:t xml:space="preserve">נוגעת למשמעותו של תיקון מס' 70. </w:t>
      </w:r>
      <w:r>
        <w:rPr>
          <w:rFonts w:hint="cs"/>
          <w:rtl/>
        </w:rPr>
        <w:t xml:space="preserve">כפי שכבר צוין, בשנת 2013 טרח המחוקק הישראלי, ותיקן את קריטריון גודל השוק במסגרת תיקון מס' 70 לחוק עידוד השקעות. ברור וגלוי כי תכליתו של תיקון זה הייתה להתאים את הרף המספרי שנקבע לגודלו העדכני של השוק הישראלי, ולוודא כי התאמה זו תישמר גם בעתיד (באמצעות הגדלת הרף בשיעור מסוים מדי שנה). היזקקות המחוקק לתיקון החוק מעידה בוודאי על האופן בו הוא רואה את תכלית ההטבה </w:t>
      </w:r>
      <w:r>
        <w:rPr>
          <w:rtl/>
        </w:rPr>
        <w:t>–</w:t>
      </w:r>
      <w:r>
        <w:rPr>
          <w:rFonts w:hint="cs"/>
          <w:rtl/>
        </w:rPr>
        <w:t xml:space="preserve"> ועל כך עמדתי לעיל (ראו פסקה 41 לעיל). ואולם, אין בתיקון, כשלעצמו, כדי ללמד מסקנה שפרשנות </w:t>
      </w:r>
      <w:proofErr w:type="spellStart"/>
      <w:r>
        <w:rPr>
          <w:rFonts w:hint="cs"/>
          <w:rtl/>
        </w:rPr>
        <w:t>הנישומות</w:t>
      </w:r>
      <w:proofErr w:type="spellEnd"/>
      <w:r>
        <w:rPr>
          <w:rFonts w:hint="cs"/>
          <w:rtl/>
        </w:rPr>
        <w:t>, לפיה חלופת המכירות לשוק גדול יכולה לחול גם על מכירות לשוק הישראלי, היא הפרשנות הנכונה. כידוע, תיקון חוק עשוי להיות תיקון המשנה את הדין (תיקון קונסטיטוטיבי) ועשוי להיות תיקון המבהיר מהו הדין (תיקון דקלרטיבי</w:t>
      </w:r>
      <w:r w:rsidRPr="00E831AB">
        <w:rPr>
          <w:rFonts w:hint="cs"/>
          <w:rtl/>
        </w:rPr>
        <w:t>) (</w:t>
      </w:r>
      <w:r w:rsidRPr="00E831AB">
        <w:rPr>
          <w:rFonts w:ascii="Arimo" w:hAnsi="Arimo"/>
          <w:rtl/>
        </w:rPr>
        <w:t>רע"א 3527</w:t>
      </w:r>
      <w:r w:rsidRPr="00E831AB">
        <w:rPr>
          <w:rFonts w:ascii="Arimo" w:hAnsi="Arimo" w:hint="cs"/>
          <w:rtl/>
        </w:rPr>
        <w:t>/</w:t>
      </w:r>
      <w:r w:rsidRPr="00E831AB">
        <w:rPr>
          <w:rFonts w:ascii="Arimo" w:hAnsi="Arimo"/>
          <w:rtl/>
        </w:rPr>
        <w:t xml:space="preserve">96 </w:t>
      </w:r>
      <w:proofErr w:type="spellStart"/>
      <w:r w:rsidRPr="00E831AB">
        <w:rPr>
          <w:rFonts w:ascii="Century" w:hAnsi="Century" w:cs="Miriam"/>
          <w:b/>
          <w:spacing w:val="0"/>
          <w:szCs w:val="24"/>
          <w:rtl/>
        </w:rPr>
        <w:t>דונין</w:t>
      </w:r>
      <w:proofErr w:type="spellEnd"/>
      <w:r w:rsidRPr="00E831AB">
        <w:rPr>
          <w:rFonts w:ascii="Century" w:hAnsi="Century" w:cs="Miriam"/>
          <w:b/>
          <w:spacing w:val="0"/>
          <w:szCs w:val="24"/>
          <w:rtl/>
        </w:rPr>
        <w:t xml:space="preserve"> דוד </w:t>
      </w:r>
      <w:proofErr w:type="spellStart"/>
      <w:r w:rsidRPr="00E831AB">
        <w:rPr>
          <w:rFonts w:ascii="Century" w:hAnsi="Century" w:cs="Miriam"/>
          <w:b/>
          <w:spacing w:val="0"/>
          <w:szCs w:val="24"/>
          <w:rtl/>
        </w:rPr>
        <w:t>צ'צ'קס</w:t>
      </w:r>
      <w:proofErr w:type="spellEnd"/>
      <w:r w:rsidRPr="00E831AB">
        <w:rPr>
          <w:rFonts w:ascii="Century" w:hAnsi="Century" w:cs="Miriam"/>
          <w:b/>
          <w:spacing w:val="0"/>
          <w:szCs w:val="24"/>
          <w:rtl/>
        </w:rPr>
        <w:t xml:space="preserve"> </w:t>
      </w:r>
      <w:proofErr w:type="spellStart"/>
      <w:r w:rsidRPr="00E831AB">
        <w:rPr>
          <w:rFonts w:ascii="Century" w:hAnsi="Century" w:cs="Miriam"/>
          <w:b/>
          <w:spacing w:val="0"/>
          <w:szCs w:val="24"/>
          <w:rtl/>
        </w:rPr>
        <w:t>אקסלברד</w:t>
      </w:r>
      <w:proofErr w:type="spellEnd"/>
      <w:r w:rsidRPr="00E831AB">
        <w:rPr>
          <w:rFonts w:ascii="Century" w:hAnsi="Century" w:cs="Miriam"/>
          <w:b/>
          <w:spacing w:val="0"/>
          <w:szCs w:val="24"/>
          <w:rtl/>
        </w:rPr>
        <w:t xml:space="preserve"> נ' מנהל מס רכוש – אזור חדרה</w:t>
      </w:r>
      <w:r w:rsidRPr="00E831AB">
        <w:rPr>
          <w:rFonts w:ascii="Arimo" w:hAnsi="Arimo"/>
          <w:rtl/>
        </w:rPr>
        <w:t>, פ"ד נב(5) 385</w:t>
      </w:r>
      <w:r w:rsidRPr="00E831AB">
        <w:rPr>
          <w:rFonts w:hint="cs"/>
          <w:rtl/>
        </w:rPr>
        <w:t xml:space="preserve">, 406 (1998); </w:t>
      </w:r>
      <w:r w:rsidRPr="00E831AB">
        <w:rPr>
          <w:rFonts w:ascii="Arimo" w:hAnsi="Arimo"/>
          <w:rtl/>
        </w:rPr>
        <w:t>רע"א 3542</w:t>
      </w:r>
      <w:r w:rsidRPr="00E831AB">
        <w:rPr>
          <w:rFonts w:ascii="Arimo" w:hAnsi="Arimo" w:hint="cs"/>
          <w:rtl/>
        </w:rPr>
        <w:t>/</w:t>
      </w:r>
      <w:r w:rsidRPr="00E831AB">
        <w:rPr>
          <w:rFonts w:ascii="Arimo" w:hAnsi="Arimo"/>
          <w:rtl/>
        </w:rPr>
        <w:t xml:space="preserve">10 </w:t>
      </w:r>
      <w:r w:rsidRPr="00E831AB">
        <w:rPr>
          <w:rFonts w:ascii="Century" w:hAnsi="Century" w:cs="Miriam"/>
          <w:b/>
          <w:spacing w:val="0"/>
          <w:szCs w:val="24"/>
          <w:rtl/>
        </w:rPr>
        <w:t xml:space="preserve">מדינת ישראל - אגף מכס ומע"מ נ' </w:t>
      </w:r>
      <w:proofErr w:type="spellStart"/>
      <w:r w:rsidRPr="00E831AB">
        <w:rPr>
          <w:rFonts w:ascii="Century" w:hAnsi="Century" w:cs="Miriam"/>
          <w:b/>
          <w:spacing w:val="0"/>
          <w:szCs w:val="24"/>
          <w:rtl/>
        </w:rPr>
        <w:t>זייתון</w:t>
      </w:r>
      <w:proofErr w:type="spellEnd"/>
      <w:r w:rsidRPr="00E831AB">
        <w:rPr>
          <w:rFonts w:ascii="Century" w:hAnsi="Century" w:cs="Miriam"/>
          <w:b/>
          <w:spacing w:val="0"/>
          <w:szCs w:val="24"/>
          <w:rtl/>
        </w:rPr>
        <w:t xml:space="preserve"> תעשיות שמנים בע"מ</w:t>
      </w:r>
      <w:r w:rsidRPr="00E831AB">
        <w:rPr>
          <w:rFonts w:ascii="Arimo" w:hAnsi="Arimo" w:hint="cs"/>
          <w:rtl/>
        </w:rPr>
        <w:t xml:space="preserve">, פסקה 33 (18.5.2014); </w:t>
      </w:r>
      <w:r w:rsidRPr="00E831AB">
        <w:rPr>
          <w:rFonts w:ascii="Arimo" w:hAnsi="Arimo"/>
          <w:rtl/>
        </w:rPr>
        <w:t>ע"א 4526</w:t>
      </w:r>
      <w:r w:rsidRPr="00E831AB">
        <w:rPr>
          <w:rFonts w:ascii="Arimo" w:hAnsi="Arimo" w:hint="cs"/>
          <w:rtl/>
        </w:rPr>
        <w:t>/</w:t>
      </w:r>
      <w:r w:rsidRPr="00E831AB">
        <w:rPr>
          <w:rFonts w:ascii="Arimo" w:hAnsi="Arimo"/>
          <w:rtl/>
        </w:rPr>
        <w:t xml:space="preserve">14 </w:t>
      </w:r>
      <w:r w:rsidRPr="00E831AB">
        <w:rPr>
          <w:rFonts w:ascii="Century" w:hAnsi="Century" w:cs="Miriam"/>
          <w:b/>
          <w:spacing w:val="0"/>
          <w:szCs w:val="24"/>
          <w:rtl/>
        </w:rPr>
        <w:t>פקיד שומה ירושלים נ' רז</w:t>
      </w:r>
      <w:r w:rsidRPr="00E831AB">
        <w:rPr>
          <w:rFonts w:hint="cs"/>
          <w:rtl/>
        </w:rPr>
        <w:t>, פסקאות 33-32 (9.5.2016)). השאלה</w:t>
      </w:r>
      <w:r>
        <w:rPr>
          <w:rFonts w:hint="cs"/>
          <w:rtl/>
        </w:rPr>
        <w:t xml:space="preserve"> האם בהקשר בו עסקינן התיקון שינה את הדין (מנע החלה </w:t>
      </w:r>
      <w:r>
        <w:rPr>
          <w:rFonts w:hint="cs"/>
          <w:rtl/>
        </w:rPr>
        <w:lastRenderedPageBreak/>
        <w:t>של חלופ</w:t>
      </w:r>
      <w:r w:rsidR="008E3A56">
        <w:rPr>
          <w:rFonts w:hint="cs"/>
          <w:rtl/>
        </w:rPr>
        <w:t>ת</w:t>
      </w:r>
      <w:r>
        <w:rPr>
          <w:rFonts w:hint="cs"/>
          <w:rtl/>
        </w:rPr>
        <w:t xml:space="preserve"> המכירה לשוק </w:t>
      </w:r>
      <w:r w:rsidR="008E3A56">
        <w:rPr>
          <w:rFonts w:hint="cs"/>
          <w:rtl/>
        </w:rPr>
        <w:t>גדול</w:t>
      </w:r>
      <w:r>
        <w:rPr>
          <w:rFonts w:hint="cs"/>
          <w:rtl/>
        </w:rPr>
        <w:t xml:space="preserve"> על מכירות לשוק הישראלי) או הבהיר את הדין (בכך ששלל אפשרות לטעון כי השוק הישראלי הוא שוק גדול) היא נגזרת של השאלה הפרשנית בה עסקינן (דהיינו, האם יש לקרוא להסדר החוק דרישת ייצוא). זאת ועוד, לתיקון מס' 70 משמעות מעשית לצורך בחינת השאלה אילו שווקים זרים </w:t>
      </w:r>
      <w:r w:rsidR="00C537C7">
        <w:rPr>
          <w:rFonts w:hint="cs"/>
          <w:rtl/>
        </w:rPr>
        <w:t>י</w:t>
      </w:r>
      <w:r>
        <w:rPr>
          <w:rFonts w:hint="cs"/>
          <w:rtl/>
        </w:rPr>
        <w:t>יחשבו כשווקים גדולים, ועל כן אין לומר כי הוא אין בו כל תוחלת לפי פרשנות פקידי השומה, אותה ראיתי לנכון לאמץ. מכל מקום, טוב עשה המחוקק בכך שתיקן את המנגנון החקיקתי באופן שייתר התדיינו</w:t>
      </w:r>
      <w:r w:rsidR="009D22AE">
        <w:rPr>
          <w:rFonts w:hint="cs"/>
          <w:rtl/>
        </w:rPr>
        <w:t>יו</w:t>
      </w:r>
      <w:r>
        <w:rPr>
          <w:rFonts w:hint="cs"/>
          <w:rtl/>
        </w:rPr>
        <w:t xml:space="preserve">ת ביחס לפרשנותו; ואולם, אין בעצם התיקון כדי ללמד, כי הפרשנות הנכונה של חלופת המכירה לשוק גדול עובר לתיקון </w:t>
      </w:r>
      <w:r w:rsidR="008E3A56">
        <w:rPr>
          <w:rFonts w:hint="cs"/>
          <w:rtl/>
        </w:rPr>
        <w:t>מס'</w:t>
      </w:r>
      <w:r>
        <w:rPr>
          <w:rFonts w:hint="cs"/>
          <w:rtl/>
        </w:rPr>
        <w:t xml:space="preserve"> 70 היא זו שהציעו </w:t>
      </w:r>
      <w:proofErr w:type="spellStart"/>
      <w:r>
        <w:rPr>
          <w:rFonts w:hint="cs"/>
          <w:rtl/>
        </w:rPr>
        <w:t>ה</w:t>
      </w:r>
      <w:r w:rsidR="009D22AE">
        <w:rPr>
          <w:rFonts w:hint="cs"/>
          <w:rtl/>
        </w:rPr>
        <w:t>נישומות</w:t>
      </w:r>
      <w:proofErr w:type="spellEnd"/>
      <w:r>
        <w:rPr>
          <w:rFonts w:hint="cs"/>
          <w:rtl/>
        </w:rPr>
        <w:t xml:space="preserve">. </w:t>
      </w:r>
    </w:p>
    <w:p w:rsidR="00CF54A5" w:rsidRDefault="00CF54A5" w:rsidP="00CF54A5">
      <w:pPr>
        <w:pStyle w:val="Ruller4"/>
        <w:numPr>
          <w:ilvl w:val="0"/>
          <w:numId w:val="0"/>
        </w:numPr>
      </w:pPr>
    </w:p>
    <w:p w:rsidR="00CF54A5" w:rsidRDefault="00CF54A5" w:rsidP="00CF54A5">
      <w:pPr>
        <w:pStyle w:val="Ruller4"/>
        <w:rPr>
          <w:rtl/>
        </w:rPr>
      </w:pPr>
      <w:r>
        <w:rPr>
          <w:rFonts w:hint="cs"/>
          <w:rtl/>
        </w:rPr>
        <w:t xml:space="preserve">המסקנה אליה הגעתי, אם כך, היא שיש לקבל את טענת פקידי השומה, ולפרש את חלופת המכירה לשוק גדול שבסעיף 18א(ג)(1)(ג) לחוק עידוד השקעות, כמתייחסת למכירה לשוק גדול </w:t>
      </w:r>
      <w:r w:rsidRPr="00374913">
        <w:rPr>
          <w:rFonts w:ascii="Century" w:hAnsi="Century" w:cs="Miriam" w:hint="cs"/>
          <w:b/>
          <w:spacing w:val="0"/>
          <w:sz w:val="22"/>
          <w:szCs w:val="24"/>
          <w:u w:val="single"/>
          <w:rtl/>
        </w:rPr>
        <w:t>זר</w:t>
      </w:r>
      <w:r w:rsidRPr="00374913">
        <w:rPr>
          <w:rFonts w:hint="cs"/>
          <w:rtl/>
        </w:rPr>
        <w:t xml:space="preserve"> </w:t>
      </w:r>
      <w:r>
        <w:rPr>
          <w:rFonts w:hint="cs"/>
          <w:rtl/>
        </w:rPr>
        <w:t xml:space="preserve">בלבד. משמעות הדברים היא כי </w:t>
      </w:r>
      <w:proofErr w:type="spellStart"/>
      <w:r>
        <w:rPr>
          <w:rFonts w:hint="cs"/>
          <w:rtl/>
        </w:rPr>
        <w:t>הנישומות</w:t>
      </w:r>
      <w:proofErr w:type="spellEnd"/>
      <w:r>
        <w:rPr>
          <w:rFonts w:hint="cs"/>
          <w:rtl/>
        </w:rPr>
        <w:t xml:space="preserve">, שמכירותיהן רובן ככולן בוצעו בשנים הרלוונטיות לשוק הישראלי, אינן יכולות לזכות בהטבת המס לפי חלופה זו. בכך די על מנת לדחות את הערעורים, הגם שמטעם שונה מזה שהתקבל על דעתו של בית משפט קמא. </w:t>
      </w:r>
    </w:p>
    <w:p w:rsidR="00CF54A5" w:rsidRPr="000F2725" w:rsidRDefault="00CF54A5" w:rsidP="00CF54A5">
      <w:pPr>
        <w:pStyle w:val="Ruller41"/>
        <w:rPr>
          <w:rtl/>
        </w:rPr>
      </w:pPr>
    </w:p>
    <w:p w:rsidR="00CF54A5" w:rsidRPr="00255F65" w:rsidRDefault="008E3A56" w:rsidP="009D22AE">
      <w:pPr>
        <w:pStyle w:val="Ruller41"/>
        <w:rPr>
          <w:rFonts w:ascii="Century" w:hAnsi="Century" w:cs="Miriam"/>
          <w:b/>
          <w:spacing w:val="0"/>
          <w:szCs w:val="24"/>
          <w:rtl/>
        </w:rPr>
      </w:pPr>
      <w:r>
        <w:rPr>
          <w:rFonts w:ascii="Century" w:hAnsi="Century" w:cs="Miriam" w:hint="cs"/>
          <w:b/>
          <w:spacing w:val="0"/>
          <w:szCs w:val="24"/>
          <w:rtl/>
        </w:rPr>
        <w:t xml:space="preserve">עמידת </w:t>
      </w:r>
      <w:r w:rsidR="009D22AE">
        <w:rPr>
          <w:rFonts w:ascii="Century" w:hAnsi="Century" w:cs="Miriam" w:hint="cs"/>
          <w:b/>
          <w:spacing w:val="0"/>
          <w:szCs w:val="24"/>
          <w:rtl/>
        </w:rPr>
        <w:t>השוק הישראלי</w:t>
      </w:r>
      <w:r>
        <w:rPr>
          <w:rFonts w:ascii="Century" w:hAnsi="Century" w:cs="Miriam" w:hint="cs"/>
          <w:b/>
          <w:spacing w:val="0"/>
          <w:szCs w:val="24"/>
          <w:rtl/>
        </w:rPr>
        <w:t xml:space="preserve"> ב</w:t>
      </w:r>
      <w:r w:rsidR="00CF54A5" w:rsidRPr="00255F65">
        <w:rPr>
          <w:rFonts w:ascii="Century" w:hAnsi="Century" w:cs="Miriam" w:hint="cs"/>
          <w:b/>
          <w:spacing w:val="0"/>
          <w:szCs w:val="24"/>
          <w:rtl/>
        </w:rPr>
        <w:t>קריטריון גודל השוק</w:t>
      </w:r>
    </w:p>
    <w:p w:rsidR="00CF54A5" w:rsidRDefault="00CF54A5" w:rsidP="00CF54A5">
      <w:pPr>
        <w:pStyle w:val="Ruller41"/>
        <w:rPr>
          <w:rFonts w:ascii="Century" w:hAnsi="Century"/>
          <w:rtl/>
        </w:rPr>
      </w:pPr>
    </w:p>
    <w:p w:rsidR="00CF54A5" w:rsidRPr="00B36DFD" w:rsidRDefault="00CF54A5" w:rsidP="00CF54A5">
      <w:pPr>
        <w:pStyle w:val="Ruller4"/>
        <w:rPr>
          <w:rFonts w:ascii="Century" w:hAnsi="Century"/>
        </w:rPr>
      </w:pPr>
      <w:r>
        <w:rPr>
          <w:rFonts w:hint="cs"/>
          <w:rtl/>
        </w:rPr>
        <w:t xml:space="preserve">לתוצאה של דחיית הערעורים ניתן להגיע גם מטעם נוסף, הוא הטעם ששימש את בית משפט קמא, דהיינו שגם אלמלא חלה דרישת הייצוא, השוק הישראלי לא עמד בקריטריון גודל השוק בשנים 2011 ו-2012. מאחר שהצדדים טענו בהרחבה בעניין זה, ובהינתן שלחלק מטיעוניהם יש השלכות החורגות מהמקרה שלפנינו, מצאתי לנכון להבהיר גם סוגיה זו. </w:t>
      </w:r>
    </w:p>
    <w:p w:rsidR="00CF54A5" w:rsidRPr="00B36DFD" w:rsidRDefault="00CF54A5" w:rsidP="00CF54A5">
      <w:pPr>
        <w:pStyle w:val="Ruller4"/>
        <w:numPr>
          <w:ilvl w:val="0"/>
          <w:numId w:val="0"/>
        </w:numPr>
        <w:rPr>
          <w:rFonts w:ascii="Century" w:hAnsi="Century"/>
        </w:rPr>
      </w:pPr>
    </w:p>
    <w:p w:rsidR="00CF54A5" w:rsidRPr="00B36DFD" w:rsidRDefault="00CF54A5" w:rsidP="004A5482">
      <w:pPr>
        <w:pStyle w:val="Ruller4"/>
        <w:rPr>
          <w:rFonts w:ascii="Century" w:hAnsi="Century"/>
          <w:rtl/>
        </w:rPr>
      </w:pPr>
      <w:r w:rsidRPr="00E4456C">
        <w:rPr>
          <w:rFonts w:hint="cs"/>
          <w:rtl/>
        </w:rPr>
        <w:t xml:space="preserve">הדיון </w:t>
      </w:r>
      <w:r>
        <w:rPr>
          <w:rFonts w:hint="cs"/>
          <w:rtl/>
        </w:rPr>
        <w:t xml:space="preserve">משלב זה יעסוק לפיכך באופן הפעלת קריטריון גודל השוק לצורך </w:t>
      </w:r>
      <w:r w:rsidR="004A5482">
        <w:rPr>
          <w:rFonts w:hint="cs"/>
          <w:rtl/>
        </w:rPr>
        <w:t>החלת</w:t>
      </w:r>
      <w:r>
        <w:rPr>
          <w:rFonts w:hint="cs"/>
          <w:rtl/>
        </w:rPr>
        <w:t xml:space="preserve"> חלופת המכירה לשוק גדול. דיון זה </w:t>
      </w:r>
      <w:r w:rsidRPr="00E4456C">
        <w:rPr>
          <w:rFonts w:hint="cs"/>
          <w:rtl/>
        </w:rPr>
        <w:t xml:space="preserve">יחולק לשניים, </w:t>
      </w:r>
      <w:r>
        <w:rPr>
          <w:rFonts w:hint="cs"/>
          <w:rtl/>
        </w:rPr>
        <w:t xml:space="preserve">כאשר </w:t>
      </w:r>
      <w:r w:rsidRPr="00E4456C">
        <w:rPr>
          <w:rFonts w:hint="cs"/>
          <w:rtl/>
        </w:rPr>
        <w:t>במסגרת</w:t>
      </w:r>
      <w:r>
        <w:rPr>
          <w:rFonts w:hint="cs"/>
          <w:rtl/>
        </w:rPr>
        <w:t xml:space="preserve"> כל חלק</w:t>
      </w:r>
      <w:r w:rsidRPr="00E4456C">
        <w:rPr>
          <w:rFonts w:hint="cs"/>
          <w:rtl/>
        </w:rPr>
        <w:t xml:space="preserve"> אדון בכל אחת משנות המס בנפרד </w:t>
      </w:r>
      <w:r w:rsidRPr="00E4456C">
        <w:rPr>
          <w:rtl/>
        </w:rPr>
        <w:t>–</w:t>
      </w:r>
      <w:r w:rsidRPr="00E4456C">
        <w:rPr>
          <w:rFonts w:hint="cs"/>
          <w:rtl/>
        </w:rPr>
        <w:t xml:space="preserve"> שנת 2011 מזה ושנת 2012 מזה</w:t>
      </w:r>
      <w:r>
        <w:rPr>
          <w:rFonts w:hint="cs"/>
          <w:rtl/>
        </w:rPr>
        <w:t xml:space="preserve">. </w:t>
      </w:r>
      <w:r w:rsidRPr="00E4456C">
        <w:rPr>
          <w:rFonts w:hint="cs"/>
          <w:rtl/>
        </w:rPr>
        <w:t>זאת</w:t>
      </w:r>
      <w:r>
        <w:rPr>
          <w:rFonts w:hint="cs"/>
          <w:rtl/>
        </w:rPr>
        <w:t>,</w:t>
      </w:r>
      <w:r w:rsidRPr="00E4456C">
        <w:rPr>
          <w:rFonts w:hint="cs"/>
          <w:rtl/>
        </w:rPr>
        <w:t xml:space="preserve"> בהינתן השאלות השונות המתעוררות ביחס אליהן.</w:t>
      </w:r>
    </w:p>
    <w:p w:rsidR="00CF54A5" w:rsidRDefault="00CF54A5" w:rsidP="00CF54A5">
      <w:pPr>
        <w:pStyle w:val="Ruller41"/>
        <w:rPr>
          <w:rFonts w:ascii="Century" w:hAnsi="Century"/>
          <w:rtl/>
        </w:rPr>
      </w:pPr>
    </w:p>
    <w:p w:rsidR="00CF54A5" w:rsidRPr="00B74991" w:rsidRDefault="00CF54A5" w:rsidP="00CF54A5">
      <w:pPr>
        <w:pStyle w:val="Ruller41"/>
        <w:rPr>
          <w:rFonts w:ascii="Century" w:hAnsi="Century" w:cs="Miriam"/>
          <w:b/>
          <w:spacing w:val="0"/>
          <w:szCs w:val="24"/>
          <w:rtl/>
        </w:rPr>
      </w:pPr>
      <w:r w:rsidRPr="00B74991">
        <w:rPr>
          <w:rFonts w:ascii="Century" w:hAnsi="Century" w:cs="Miriam" w:hint="cs"/>
          <w:b/>
          <w:spacing w:val="0"/>
          <w:szCs w:val="24"/>
          <w:rtl/>
        </w:rPr>
        <w:t>שנת 2011</w:t>
      </w:r>
    </w:p>
    <w:p w:rsidR="00CF54A5" w:rsidRDefault="00CF54A5" w:rsidP="00CF54A5">
      <w:pPr>
        <w:pStyle w:val="Ruller41"/>
        <w:rPr>
          <w:rFonts w:ascii="Century" w:hAnsi="Century"/>
          <w:rtl/>
        </w:rPr>
      </w:pPr>
    </w:p>
    <w:p w:rsidR="00CF54A5" w:rsidRDefault="00CF54A5" w:rsidP="008B0D2A">
      <w:pPr>
        <w:pStyle w:val="Ruller4"/>
        <w:rPr>
          <w:rtl/>
        </w:rPr>
      </w:pPr>
      <w:r>
        <w:rPr>
          <w:rFonts w:hint="cs"/>
          <w:rtl/>
        </w:rPr>
        <w:lastRenderedPageBreak/>
        <w:t xml:space="preserve">שתיים הן השאלות המתעוררות ביחס לעמידת </w:t>
      </w:r>
      <w:proofErr w:type="spellStart"/>
      <w:r>
        <w:rPr>
          <w:rFonts w:hint="cs"/>
          <w:rtl/>
        </w:rPr>
        <w:t>הנישומות</w:t>
      </w:r>
      <w:proofErr w:type="spellEnd"/>
      <w:r>
        <w:rPr>
          <w:rFonts w:hint="cs"/>
          <w:rtl/>
        </w:rPr>
        <w:t xml:space="preserve"> בקריטריון גודל השוק בשנת 2011: האחת </w:t>
      </w:r>
      <w:r>
        <w:rPr>
          <w:rtl/>
        </w:rPr>
        <w:t>–</w:t>
      </w:r>
      <w:r>
        <w:rPr>
          <w:rFonts w:hint="cs"/>
          <w:rtl/>
        </w:rPr>
        <w:t xml:space="preserve"> עובדתית, האם ומתי חצה השוק </w:t>
      </w:r>
      <w:r w:rsidR="008B0D2A">
        <w:rPr>
          <w:rFonts w:hint="cs"/>
          <w:rtl/>
        </w:rPr>
        <w:t>הישראלי</w:t>
      </w:r>
      <w:r>
        <w:rPr>
          <w:rFonts w:hint="cs"/>
          <w:rtl/>
        </w:rPr>
        <w:t xml:space="preserve"> את רף 12 מיליון התושבים; והשנייה </w:t>
      </w:r>
      <w:r>
        <w:rPr>
          <w:rtl/>
        </w:rPr>
        <w:t>–</w:t>
      </w:r>
      <w:r>
        <w:rPr>
          <w:rFonts w:hint="cs"/>
          <w:rtl/>
        </w:rPr>
        <w:t xml:space="preserve"> משפטית, מהו המועד למדידת גודל השוק. נדון בשאלות אלה כסדרן.</w:t>
      </w:r>
    </w:p>
    <w:p w:rsidR="00CF54A5" w:rsidRDefault="00CF54A5" w:rsidP="00CF54A5">
      <w:pPr>
        <w:pStyle w:val="Ruller41"/>
        <w:rPr>
          <w:rtl/>
        </w:rPr>
      </w:pPr>
    </w:p>
    <w:p w:rsidR="00CF54A5" w:rsidRDefault="00CF54A5" w:rsidP="00E3709B">
      <w:pPr>
        <w:pStyle w:val="Ruller4"/>
        <w:rPr>
          <w:rFonts w:ascii="Century" w:hAnsi="Century"/>
          <w:rtl/>
        </w:rPr>
      </w:pPr>
      <w:r>
        <w:rPr>
          <w:rFonts w:hint="cs"/>
          <w:rtl/>
        </w:rPr>
        <w:t xml:space="preserve">כזכור, </w:t>
      </w:r>
      <w:proofErr w:type="spellStart"/>
      <w:r>
        <w:rPr>
          <w:rFonts w:hint="cs"/>
          <w:rtl/>
        </w:rPr>
        <w:t>הנישומות</w:t>
      </w:r>
      <w:proofErr w:type="spellEnd"/>
      <w:r>
        <w:rPr>
          <w:rFonts w:hint="cs"/>
          <w:rtl/>
        </w:rPr>
        <w:t xml:space="preserve"> טוענות כי בית משפט קמא שגה עת קבע, כעניין עובדתי, כי אין מחלוקת שבמחצית הראשונה של שנת 2011 לא מנה השוק </w:t>
      </w:r>
      <w:r w:rsidR="00E3709B">
        <w:rPr>
          <w:rFonts w:hint="cs"/>
          <w:rtl/>
        </w:rPr>
        <w:t>הישראלי</w:t>
      </w:r>
      <w:r>
        <w:rPr>
          <w:rFonts w:hint="cs"/>
          <w:rtl/>
        </w:rPr>
        <w:t xml:space="preserve"> 12 מיליון תושבים, בעוד שלטענתן השוק </w:t>
      </w:r>
      <w:r w:rsidR="00E3709B">
        <w:rPr>
          <w:rFonts w:hint="cs"/>
          <w:rtl/>
        </w:rPr>
        <w:t>הישראלי</w:t>
      </w:r>
      <w:r>
        <w:rPr>
          <w:rFonts w:hint="cs"/>
          <w:rtl/>
        </w:rPr>
        <w:t xml:space="preserve"> חצה רף זה במחצית שנת 2010, ולכל המאוחר בראשית שנת 2011. ואולם, עיון בסיכומי </w:t>
      </w:r>
      <w:proofErr w:type="spellStart"/>
      <w:r>
        <w:rPr>
          <w:rFonts w:hint="cs"/>
          <w:rtl/>
        </w:rPr>
        <w:t>הנישומות</w:t>
      </w:r>
      <w:proofErr w:type="spellEnd"/>
      <w:r>
        <w:rPr>
          <w:rFonts w:hint="cs"/>
          <w:rtl/>
        </w:rPr>
        <w:t xml:space="preserve"> שהוגשו בהליך קמא מגלה כי בהכרעתו של בית משפט קמא בעניין זה לא נפלה כל שגגה. כך, ארבע </w:t>
      </w:r>
      <w:proofErr w:type="spellStart"/>
      <w:r>
        <w:rPr>
          <w:rFonts w:hint="cs"/>
          <w:rtl/>
        </w:rPr>
        <w:t>הנישומות</w:t>
      </w:r>
      <w:proofErr w:type="spellEnd"/>
      <w:r>
        <w:rPr>
          <w:rFonts w:hint="cs"/>
          <w:rtl/>
        </w:rPr>
        <w:t xml:space="preserve"> ציינו בסיכומיהן כי "</w:t>
      </w:r>
      <w:r w:rsidRPr="00AF2122">
        <w:rPr>
          <w:rFonts w:ascii="Century" w:hAnsi="Century" w:cs="Miriam" w:hint="cs"/>
          <w:b/>
          <w:spacing w:val="0"/>
          <w:sz w:val="22"/>
          <w:szCs w:val="24"/>
          <w:rtl/>
        </w:rPr>
        <w:t xml:space="preserve">על פי הפרסומים הרשמיים של </w:t>
      </w:r>
      <w:proofErr w:type="spellStart"/>
      <w:r w:rsidRPr="00AF2122">
        <w:rPr>
          <w:rFonts w:ascii="Century" w:hAnsi="Century" w:cs="Miriam" w:hint="cs"/>
          <w:b/>
          <w:spacing w:val="0"/>
          <w:sz w:val="22"/>
          <w:szCs w:val="24"/>
          <w:rtl/>
        </w:rPr>
        <w:t>הלמ"ס</w:t>
      </w:r>
      <w:proofErr w:type="spellEnd"/>
      <w:r w:rsidRPr="00AF2122">
        <w:rPr>
          <w:rFonts w:ascii="Century" w:hAnsi="Century" w:cs="Miriam" w:hint="cs"/>
          <w:b/>
          <w:spacing w:val="0"/>
          <w:sz w:val="22"/>
          <w:szCs w:val="24"/>
          <w:rtl/>
        </w:rPr>
        <w:t xml:space="preserve"> </w:t>
      </w:r>
      <w:proofErr w:type="spellStart"/>
      <w:r w:rsidRPr="00AF2122">
        <w:rPr>
          <w:rFonts w:ascii="Century" w:hAnsi="Century" w:cs="Miriam" w:hint="cs"/>
          <w:b/>
          <w:spacing w:val="0"/>
          <w:sz w:val="22"/>
          <w:szCs w:val="24"/>
          <w:rtl/>
        </w:rPr>
        <w:t>והלמס"פ</w:t>
      </w:r>
      <w:proofErr w:type="spellEnd"/>
      <w:r w:rsidRPr="00AF2122">
        <w:rPr>
          <w:rFonts w:ascii="Century" w:hAnsi="Century" w:cs="Miriam" w:hint="cs"/>
          <w:b/>
          <w:spacing w:val="0"/>
          <w:sz w:val="22"/>
          <w:szCs w:val="24"/>
          <w:rtl/>
        </w:rPr>
        <w:t>, כפי שיוצג בסמוך, המועד בו הגיע גודל השוק ל- 12 מיליון תושבים הינו במחצית שנת 2011 או במועד סמוך. לכאורה די היה בכך על מנת לקבל את עמדת המערערות במחלוקת העובדתית</w:t>
      </w:r>
      <w:r>
        <w:rPr>
          <w:rFonts w:hint="cs"/>
          <w:rtl/>
        </w:rPr>
        <w:t xml:space="preserve">" (ההדגשה במקור; סעיף 87 לסיכומים). בהמשך, ולאחר שסקרו את חוות הדעת שהובאו מטעם הצדדים, סיכמו ארבע </w:t>
      </w:r>
      <w:proofErr w:type="spellStart"/>
      <w:r>
        <w:rPr>
          <w:rFonts w:hint="cs"/>
          <w:rtl/>
        </w:rPr>
        <w:t>הנישומות</w:t>
      </w:r>
      <w:proofErr w:type="spellEnd"/>
      <w:r>
        <w:rPr>
          <w:rFonts w:hint="cs"/>
          <w:rtl/>
        </w:rPr>
        <w:t xml:space="preserve"> כי "</w:t>
      </w:r>
      <w:r w:rsidRPr="00E906E4">
        <w:rPr>
          <w:rFonts w:ascii="Century" w:hAnsi="Century" w:cs="Miriam" w:hint="cs"/>
          <w:b/>
          <w:spacing w:val="0"/>
          <w:sz w:val="22"/>
          <w:szCs w:val="24"/>
          <w:rtl/>
        </w:rPr>
        <w:t xml:space="preserve">[]אין כל ספק ממשי, כי </w:t>
      </w:r>
      <w:r w:rsidRPr="00E906E4">
        <w:rPr>
          <w:rFonts w:ascii="Century" w:hAnsi="Century" w:cs="Miriam" w:hint="cs"/>
          <w:b/>
          <w:spacing w:val="0"/>
          <w:sz w:val="22"/>
          <w:szCs w:val="24"/>
          <w:u w:val="single"/>
          <w:rtl/>
        </w:rPr>
        <w:t>במחצית שנת 2011</w:t>
      </w:r>
      <w:r w:rsidRPr="00E906E4">
        <w:rPr>
          <w:rFonts w:ascii="Century" w:hAnsi="Century" w:cs="Miriam" w:hint="cs"/>
          <w:b/>
          <w:spacing w:val="0"/>
          <w:sz w:val="22"/>
          <w:szCs w:val="24"/>
          <w:rtl/>
        </w:rPr>
        <w:t>, ואילך, כללה טריטוריית המכס הישראלית למעלה מ- 12 מיליון תושבים</w:t>
      </w:r>
      <w:r>
        <w:rPr>
          <w:rFonts w:hint="cs"/>
          <w:rtl/>
        </w:rPr>
        <w:t>" (ההדגשה במקור; סעיף 137 לסיכומים. לביטויים נוספים, ראו גם: סעיפים 97 ו-135 לסיכומים ("</w:t>
      </w:r>
      <w:r w:rsidRPr="00722D3A">
        <w:rPr>
          <w:rFonts w:ascii="Century" w:hAnsi="Century" w:cs="Miriam" w:hint="cs"/>
          <w:b/>
          <w:spacing w:val="0"/>
          <w:sz w:val="22"/>
          <w:szCs w:val="24"/>
          <w:rtl/>
        </w:rPr>
        <w:t xml:space="preserve">נמצא, כי המועד המדויק </w:t>
      </w:r>
      <w:r w:rsidRPr="00722D3A">
        <w:rPr>
          <w:rFonts w:ascii="Century" w:hAnsi="Century" w:cs="Miriam"/>
          <w:b/>
          <w:spacing w:val="0"/>
          <w:sz w:val="22"/>
          <w:szCs w:val="24"/>
          <w:rtl/>
        </w:rPr>
        <w:t>–</w:t>
      </w:r>
      <w:r w:rsidRPr="00722D3A">
        <w:rPr>
          <w:rFonts w:ascii="Century" w:hAnsi="Century" w:cs="Miriam" w:hint="cs"/>
          <w:b/>
          <w:spacing w:val="0"/>
          <w:sz w:val="22"/>
          <w:szCs w:val="24"/>
          <w:rtl/>
        </w:rPr>
        <w:t xml:space="preserve"> על פי הפרסומים הרשמיים </w:t>
      </w:r>
      <w:r w:rsidRPr="00722D3A">
        <w:rPr>
          <w:rFonts w:ascii="Century" w:hAnsi="Century" w:cs="Miriam"/>
          <w:b/>
          <w:spacing w:val="0"/>
          <w:sz w:val="22"/>
          <w:szCs w:val="24"/>
          <w:rtl/>
        </w:rPr>
        <w:t>–</w:t>
      </w:r>
      <w:r w:rsidRPr="00722D3A">
        <w:rPr>
          <w:rFonts w:ascii="Century" w:hAnsi="Century" w:cs="Miriam" w:hint="cs"/>
          <w:b/>
          <w:spacing w:val="0"/>
          <w:sz w:val="22"/>
          <w:szCs w:val="24"/>
          <w:rtl/>
        </w:rPr>
        <w:t xml:space="preserve"> בו חצה השוק את מספר 12 מיליון הינו במחצית שנת 2011, או במועד סמוך</w:t>
      </w:r>
      <w:r>
        <w:rPr>
          <w:rFonts w:hint="cs"/>
          <w:rtl/>
        </w:rPr>
        <w:t>"; "</w:t>
      </w:r>
      <w:r w:rsidRPr="00722D3A">
        <w:rPr>
          <w:rFonts w:ascii="Century" w:hAnsi="Century" w:cs="Miriam" w:hint="cs"/>
          <w:b/>
          <w:spacing w:val="0"/>
          <w:sz w:val="22"/>
          <w:szCs w:val="24"/>
          <w:rtl/>
        </w:rPr>
        <w:t xml:space="preserve">רף 12 מיליון תושבים נחצה על פי המומחה מטעם המשיבים בבית המשפט, לכל המאוחר כחודש לאחר מהתאריך בו נקבו המערערות </w:t>
      </w:r>
      <w:r w:rsidRPr="00722D3A">
        <w:rPr>
          <w:rFonts w:ascii="Century" w:hAnsi="Century" w:cs="Miriam"/>
          <w:b/>
          <w:spacing w:val="0"/>
          <w:sz w:val="22"/>
          <w:szCs w:val="24"/>
          <w:rtl/>
        </w:rPr>
        <w:t>–</w:t>
      </w:r>
      <w:r w:rsidRPr="00722D3A">
        <w:rPr>
          <w:rFonts w:ascii="Century" w:hAnsi="Century" w:cs="Miriam" w:hint="cs"/>
          <w:b/>
          <w:spacing w:val="0"/>
          <w:sz w:val="22"/>
          <w:szCs w:val="24"/>
          <w:rtl/>
        </w:rPr>
        <w:t xml:space="preserve"> בסוף חודש יולי 2011</w:t>
      </w:r>
      <w:r>
        <w:rPr>
          <w:rFonts w:hint="cs"/>
          <w:rtl/>
        </w:rPr>
        <w:t xml:space="preserve">")). </w:t>
      </w:r>
    </w:p>
    <w:p w:rsidR="00CF54A5" w:rsidRPr="00C50959" w:rsidRDefault="00CF54A5" w:rsidP="00CF54A5">
      <w:pPr>
        <w:pStyle w:val="Ruller4"/>
        <w:numPr>
          <w:ilvl w:val="0"/>
          <w:numId w:val="0"/>
        </w:numPr>
        <w:rPr>
          <w:rFonts w:ascii="Century" w:hAnsi="Century"/>
        </w:rPr>
      </w:pPr>
    </w:p>
    <w:p w:rsidR="00CF54A5" w:rsidRDefault="00CF54A5" w:rsidP="00CF54A5">
      <w:pPr>
        <w:pStyle w:val="Ruller4"/>
        <w:rPr>
          <w:rFonts w:ascii="Century" w:hAnsi="Century"/>
          <w:rtl/>
        </w:rPr>
      </w:pPr>
      <w:r>
        <w:rPr>
          <w:rFonts w:hint="cs"/>
          <w:rtl/>
        </w:rPr>
        <w:t xml:space="preserve">מן הדברים עולה כי אין להיעתר לניסיון </w:t>
      </w:r>
      <w:proofErr w:type="spellStart"/>
      <w:r>
        <w:rPr>
          <w:rFonts w:hint="cs"/>
          <w:rtl/>
        </w:rPr>
        <w:t>הנישומות</w:t>
      </w:r>
      <w:proofErr w:type="spellEnd"/>
      <w:r>
        <w:rPr>
          <w:rFonts w:hint="cs"/>
          <w:rtl/>
        </w:rPr>
        <w:t xml:space="preserve"> לערער על קביעתו של בית משפט קמא באופן אשר משנה מטיעוניהן במקור ותוך הצגת חישובים וניתוחים שונים מאלה שהוצגו. כך ביתר שאת, כאשר מדובר בשינוי בטענה עובדתית שיש בה כדי לשנות מקביעות עובדתיות. ויובהר, ניסיון </w:t>
      </w:r>
      <w:proofErr w:type="spellStart"/>
      <w:r>
        <w:rPr>
          <w:rFonts w:hint="cs"/>
          <w:rtl/>
        </w:rPr>
        <w:t>הנישומות</w:t>
      </w:r>
      <w:proofErr w:type="spellEnd"/>
      <w:r>
        <w:rPr>
          <w:rFonts w:hint="cs"/>
          <w:rtl/>
        </w:rPr>
        <w:t xml:space="preserve"> לשנות מטענותיהן מצא ביטוי כבר בסיכומי התשובה שהגישו בהליך קמא, במסגרתם טענו ארבע </w:t>
      </w:r>
      <w:proofErr w:type="spellStart"/>
      <w:r>
        <w:rPr>
          <w:rFonts w:hint="cs"/>
          <w:rtl/>
        </w:rPr>
        <w:t>הנישומות</w:t>
      </w:r>
      <w:proofErr w:type="spellEnd"/>
      <w:r>
        <w:rPr>
          <w:rFonts w:hint="cs"/>
          <w:rtl/>
        </w:rPr>
        <w:t xml:space="preserve"> כי המחלוקת בין הצדדים נסובה בין ראשית שנת 2011 לבין אמצע אותה שנה (ראו סעיפים 47 ו-51 לסיכומי התשובה של ארבע </w:t>
      </w:r>
      <w:proofErr w:type="spellStart"/>
      <w:r>
        <w:rPr>
          <w:rFonts w:hint="cs"/>
          <w:rtl/>
        </w:rPr>
        <w:t>הנישומות</w:t>
      </w:r>
      <w:proofErr w:type="spellEnd"/>
      <w:r>
        <w:rPr>
          <w:rFonts w:hint="cs"/>
          <w:rtl/>
        </w:rPr>
        <w:t xml:space="preserve"> ("</w:t>
      </w:r>
      <w:r w:rsidRPr="00887661">
        <w:rPr>
          <w:rFonts w:ascii="Century" w:hAnsi="Century" w:cs="Miriam" w:hint="cs"/>
          <w:b/>
          <w:spacing w:val="0"/>
          <w:szCs w:val="24"/>
          <w:rtl/>
        </w:rPr>
        <w:t>זירת המחלוקת הדמוגרפית מתקיימת בין ראשית שנת 2011 למחציתה</w:t>
      </w:r>
      <w:r>
        <w:rPr>
          <w:rFonts w:hint="cs"/>
          <w:rtl/>
        </w:rPr>
        <w:t>"; "</w:t>
      </w:r>
      <w:r w:rsidRPr="00A17F7D">
        <w:rPr>
          <w:rFonts w:ascii="Century" w:hAnsi="Century" w:cs="Miriam" w:hint="cs"/>
          <w:b/>
          <w:spacing w:val="0"/>
          <w:sz w:val="22"/>
          <w:szCs w:val="24"/>
          <w:rtl/>
        </w:rPr>
        <w:t>המחלוקת הדמוגרפית, בגינה קוצפים המשיבים, מתמקדת בשלוש נקודות באומדן הזרים, המשפיעות אך ורק על השאלה הצרה, האם מספר התושבים בשוק עבר 12 מיליון לפני תחילת שנת 2011 או עד מחציתה</w:t>
      </w:r>
      <w:r>
        <w:rPr>
          <w:rFonts w:hint="cs"/>
          <w:rtl/>
        </w:rPr>
        <w:t>"))</w:t>
      </w:r>
      <w:r>
        <w:rPr>
          <w:rFonts w:ascii="Century" w:hAnsi="Century" w:hint="cs"/>
          <w:rtl/>
        </w:rPr>
        <w:t xml:space="preserve">. </w:t>
      </w:r>
      <w:r>
        <w:rPr>
          <w:rFonts w:ascii="Century" w:hAnsi="Century" w:hint="cs"/>
          <w:rtl/>
        </w:rPr>
        <w:lastRenderedPageBreak/>
        <w:t xml:space="preserve">ואולם, גם בשלב זה של ההליך, לא היה מקום להתיר </w:t>
      </w:r>
      <w:proofErr w:type="spellStart"/>
      <w:r>
        <w:rPr>
          <w:rFonts w:ascii="Century" w:hAnsi="Century" w:hint="cs"/>
          <w:rtl/>
        </w:rPr>
        <w:t>לנישומות</w:t>
      </w:r>
      <w:proofErr w:type="spellEnd"/>
      <w:r>
        <w:rPr>
          <w:rFonts w:ascii="Century" w:hAnsi="Century" w:hint="cs"/>
          <w:rtl/>
        </w:rPr>
        <w:t xml:space="preserve"> לערוך מקצה שיפורים בטענותיהן העובדתיות.</w:t>
      </w:r>
    </w:p>
    <w:p w:rsidR="00CF54A5" w:rsidRDefault="00CF54A5" w:rsidP="00CF54A5">
      <w:pPr>
        <w:pStyle w:val="Ruller41"/>
        <w:rPr>
          <w:rtl/>
        </w:rPr>
      </w:pPr>
    </w:p>
    <w:p w:rsidR="00CF54A5" w:rsidRDefault="00CF54A5" w:rsidP="00E3709B">
      <w:pPr>
        <w:pStyle w:val="Ruller4"/>
        <w:rPr>
          <w:rtl/>
        </w:rPr>
      </w:pPr>
      <w:r>
        <w:rPr>
          <w:rFonts w:hint="cs"/>
          <w:rtl/>
        </w:rPr>
        <w:t xml:space="preserve">אשר על כן, דין טענת </w:t>
      </w:r>
      <w:proofErr w:type="spellStart"/>
      <w:r>
        <w:rPr>
          <w:rFonts w:hint="cs"/>
          <w:rtl/>
        </w:rPr>
        <w:t>הנישומות</w:t>
      </w:r>
      <w:proofErr w:type="spellEnd"/>
      <w:r>
        <w:rPr>
          <w:rFonts w:hint="cs"/>
          <w:rtl/>
        </w:rPr>
        <w:t xml:space="preserve"> להידחות, ויש להותיר על כנה את קביעתו של בית משפט קמא, לפיה השוק </w:t>
      </w:r>
      <w:r w:rsidR="00E3709B">
        <w:rPr>
          <w:rFonts w:hint="cs"/>
          <w:rtl/>
        </w:rPr>
        <w:t>הישראלי</w:t>
      </w:r>
      <w:r>
        <w:rPr>
          <w:rFonts w:hint="cs"/>
          <w:rtl/>
        </w:rPr>
        <w:t xml:space="preserve"> חצה את רף 12 מיליון התושבים במחצית שנת 2011. </w:t>
      </w:r>
    </w:p>
    <w:p w:rsidR="00CF54A5" w:rsidRPr="00A83DF6" w:rsidRDefault="00CF54A5" w:rsidP="00CF54A5">
      <w:pPr>
        <w:pStyle w:val="Ruller41"/>
        <w:rPr>
          <w:rtl/>
        </w:rPr>
      </w:pPr>
    </w:p>
    <w:p w:rsidR="00CF54A5" w:rsidRPr="00B272AF" w:rsidRDefault="00CF54A5" w:rsidP="00CF54A5">
      <w:pPr>
        <w:pStyle w:val="Ruller4"/>
        <w:rPr>
          <w:rtl/>
        </w:rPr>
      </w:pPr>
      <w:r w:rsidRPr="00B272AF">
        <w:rPr>
          <w:rFonts w:hint="cs"/>
          <w:rtl/>
        </w:rPr>
        <w:t>בשולי הדברים אעיר כי נתח לא מבוטל מטיעוני הצדדים בהליך קמא (וכן בערעורים שלפנינו) הוקדש לאופן המדידה של השוק המקומי. הצדדים הביאו חוות דעת מומחים שעסקו בשאלות כגון מיהו "תושב" לצורך הספירה, וכיצד יש למנות את התושבים המצויים בשטחי יהודה ושומרון וחבל עזה אשר נכללים כאמור בהגדרת השוק המקומי</w:t>
      </w:r>
      <w:r>
        <w:rPr>
          <w:rFonts w:hint="cs"/>
          <w:rtl/>
        </w:rPr>
        <w:t xml:space="preserve"> (וראו גם פרוטוקול ישיבה מיום 24.6.2013, בעמ' 5)</w:t>
      </w:r>
      <w:r w:rsidRPr="00B272AF">
        <w:rPr>
          <w:rFonts w:hint="cs"/>
          <w:rtl/>
        </w:rPr>
        <w:t>. ההכרעה בשאלות הללו איננה נדרשת לצורך הערעורים שלפנינו, ואולם בעניין</w:t>
      </w:r>
      <w:r>
        <w:rPr>
          <w:rFonts w:hint="cs"/>
          <w:rtl/>
        </w:rPr>
        <w:t xml:space="preserve"> זה אבקש להצטרף לקריאתו של בית </w:t>
      </w:r>
      <w:r w:rsidRPr="00B272AF">
        <w:rPr>
          <w:rFonts w:hint="cs"/>
          <w:rtl/>
        </w:rPr>
        <w:t>משפט קמא כי "</w:t>
      </w:r>
      <w:r w:rsidRPr="00B272AF">
        <w:rPr>
          <w:rFonts w:ascii="Century" w:hAnsi="Century" w:cs="Miriam" w:hint="cs"/>
          <w:b/>
          <w:spacing w:val="0"/>
          <w:sz w:val="22"/>
          <w:szCs w:val="24"/>
          <w:rtl/>
        </w:rPr>
        <w:t>ראוי לאמץ נתונים ברורים, ודאיים ומוסכמים</w:t>
      </w:r>
      <w:r w:rsidRPr="00B272AF">
        <w:rPr>
          <w:rFonts w:hint="cs"/>
          <w:rtl/>
        </w:rPr>
        <w:t>" (סעיף 76 לפסק הדין), ובצד זאת אעיר כי חוזר מס הכנסה</w:t>
      </w:r>
      <w:r>
        <w:rPr>
          <w:rFonts w:hint="cs"/>
          <w:rtl/>
        </w:rPr>
        <w:t xml:space="preserve"> 2/2006</w:t>
      </w:r>
      <w:r w:rsidRPr="00B272AF">
        <w:rPr>
          <w:rFonts w:hint="cs"/>
          <w:rtl/>
        </w:rPr>
        <w:t xml:space="preserve"> קובע כי "</w:t>
      </w:r>
      <w:r w:rsidRPr="00B272AF">
        <w:rPr>
          <w:rFonts w:ascii="Century" w:hAnsi="Century" w:cs="Miriam" w:hint="cs"/>
          <w:b/>
          <w:spacing w:val="0"/>
          <w:sz w:val="22"/>
          <w:szCs w:val="24"/>
          <w:rtl/>
        </w:rPr>
        <w:t>לצורך קביעת מספר התושבים במדינה פלונית, יש להיעזר בפרסומיה הרשמיים של אותה המדינה</w:t>
      </w:r>
      <w:r w:rsidRPr="00B272AF">
        <w:rPr>
          <w:rFonts w:hint="cs"/>
          <w:rtl/>
        </w:rPr>
        <w:t>" (סעיף 2.1.1(ג) לחוזר). על כן, טוב תעשה רשות המיסים אם תידרש לעניין זה</w:t>
      </w:r>
      <w:r>
        <w:rPr>
          <w:rFonts w:hint="cs"/>
          <w:rtl/>
        </w:rPr>
        <w:t xml:space="preserve"> בכלל, ו</w:t>
      </w:r>
      <w:r w:rsidRPr="00B272AF">
        <w:rPr>
          <w:rFonts w:hint="cs"/>
          <w:rtl/>
        </w:rPr>
        <w:t>לאופן מדידת השוק המקומי</w:t>
      </w:r>
      <w:r>
        <w:rPr>
          <w:rFonts w:hint="cs"/>
          <w:rtl/>
        </w:rPr>
        <w:t xml:space="preserve"> בפרט</w:t>
      </w:r>
      <w:r w:rsidRPr="00B272AF">
        <w:rPr>
          <w:rFonts w:hint="cs"/>
          <w:rtl/>
        </w:rPr>
        <w:t>.</w:t>
      </w:r>
    </w:p>
    <w:p w:rsidR="00CF54A5" w:rsidRDefault="00CF54A5" w:rsidP="00CF54A5">
      <w:pPr>
        <w:pStyle w:val="Ruller41"/>
        <w:rPr>
          <w:rtl/>
        </w:rPr>
      </w:pPr>
    </w:p>
    <w:p w:rsidR="00CF54A5" w:rsidRDefault="00CF54A5" w:rsidP="00CF54A5">
      <w:pPr>
        <w:pStyle w:val="Ruller4"/>
      </w:pPr>
      <w:r w:rsidRPr="00B2563D">
        <w:rPr>
          <w:rFonts w:hint="cs"/>
          <w:rtl/>
        </w:rPr>
        <w:t>שאלה אחרת היא מהו המועד</w:t>
      </w:r>
      <w:r>
        <w:rPr>
          <w:rFonts w:hint="cs"/>
          <w:rtl/>
        </w:rPr>
        <w:t xml:space="preserve"> שבו יש למדוד את גודל השוק לצורך הקביעה כי </w:t>
      </w:r>
      <w:proofErr w:type="spellStart"/>
      <w:r>
        <w:rPr>
          <w:rFonts w:hint="cs"/>
          <w:rtl/>
        </w:rPr>
        <w:t>הנישומות</w:t>
      </w:r>
      <w:proofErr w:type="spellEnd"/>
      <w:r>
        <w:rPr>
          <w:rFonts w:hint="cs"/>
          <w:rtl/>
        </w:rPr>
        <w:t xml:space="preserve"> עומדות בקריטריון גודל השוק. בתוך כך, עלינו לשאול האם מדובר במועד נקודתי כלשהו בשנת המס, כטענת </w:t>
      </w:r>
      <w:proofErr w:type="spellStart"/>
      <w:r>
        <w:rPr>
          <w:rFonts w:hint="cs"/>
          <w:rtl/>
        </w:rPr>
        <w:t>הנישומות</w:t>
      </w:r>
      <w:proofErr w:type="spellEnd"/>
      <w:r>
        <w:rPr>
          <w:rFonts w:hint="cs"/>
          <w:rtl/>
        </w:rPr>
        <w:t xml:space="preserve">, או שמדובר בדרישה שצריכה להתקיים לאורך כל שנת המס, כטענת פקידי השומה וכקביעת בית משפט קמא? </w:t>
      </w:r>
    </w:p>
    <w:p w:rsidR="00CF54A5" w:rsidRPr="001B3F04" w:rsidRDefault="00CF54A5" w:rsidP="00CF54A5">
      <w:pPr>
        <w:pStyle w:val="Ruller41"/>
      </w:pPr>
    </w:p>
    <w:p w:rsidR="00CF54A5" w:rsidRDefault="00CF54A5" w:rsidP="00CF54A5">
      <w:pPr>
        <w:pStyle w:val="Ruller4"/>
        <w:rPr>
          <w:rtl/>
        </w:rPr>
      </w:pPr>
      <w:r>
        <w:rPr>
          <w:rFonts w:hint="cs"/>
          <w:rtl/>
        </w:rPr>
        <w:t>תחילה</w:t>
      </w:r>
      <w:r w:rsidRPr="007B40A2">
        <w:rPr>
          <w:rtl/>
        </w:rPr>
        <w:t xml:space="preserve">, </w:t>
      </w:r>
      <w:r w:rsidRPr="007B40A2">
        <w:rPr>
          <w:rFonts w:hint="eastAsia"/>
          <w:rtl/>
        </w:rPr>
        <w:t>יש</w:t>
      </w:r>
      <w:r w:rsidRPr="007B40A2">
        <w:rPr>
          <w:rtl/>
        </w:rPr>
        <w:t xml:space="preserve"> </w:t>
      </w:r>
      <w:r w:rsidRPr="007B40A2">
        <w:rPr>
          <w:rFonts w:hint="eastAsia"/>
          <w:rtl/>
        </w:rPr>
        <w:t>לפנות</w:t>
      </w:r>
      <w:r w:rsidRPr="007B40A2">
        <w:rPr>
          <w:rtl/>
        </w:rPr>
        <w:t xml:space="preserve"> </w:t>
      </w:r>
      <w:r w:rsidRPr="007B40A2">
        <w:rPr>
          <w:rFonts w:hint="eastAsia"/>
          <w:rtl/>
        </w:rPr>
        <w:t>ללשון</w:t>
      </w:r>
      <w:r w:rsidRPr="007B40A2">
        <w:rPr>
          <w:rtl/>
        </w:rPr>
        <w:t xml:space="preserve"> </w:t>
      </w:r>
      <w:r w:rsidRPr="007B40A2">
        <w:rPr>
          <w:rFonts w:hint="eastAsia"/>
          <w:rtl/>
        </w:rPr>
        <w:t>החוק</w:t>
      </w:r>
      <w:r w:rsidRPr="007B40A2">
        <w:rPr>
          <w:rtl/>
        </w:rPr>
        <w:t xml:space="preserve">. </w:t>
      </w:r>
      <w:r w:rsidRPr="007B40A2">
        <w:rPr>
          <w:rFonts w:hint="cs"/>
          <w:rtl/>
        </w:rPr>
        <w:t>לצורך</w:t>
      </w:r>
      <w:r>
        <w:rPr>
          <w:rFonts w:hint="cs"/>
          <w:rtl/>
        </w:rPr>
        <w:t xml:space="preserve"> בחינת המישור הלשוני, נביא את נוסחו של סעיף 18א(ג)(1)(ג) לחוק נכון לשנת 2011: </w:t>
      </w:r>
    </w:p>
    <w:p w:rsidR="00CF54A5" w:rsidRDefault="00CF54A5" w:rsidP="00CF54A5">
      <w:pPr>
        <w:pStyle w:val="Ruller41"/>
        <w:rPr>
          <w:rtl/>
        </w:rPr>
      </w:pPr>
    </w:p>
    <w:p w:rsidR="00CF54A5" w:rsidRPr="00B61E69" w:rsidRDefault="00CF54A5" w:rsidP="00CF54A5">
      <w:pPr>
        <w:pStyle w:val="Ruller5"/>
      </w:pPr>
      <w:r w:rsidRPr="00B87565">
        <w:rPr>
          <w:rtl/>
        </w:rPr>
        <w:t>(1)   לגבי מפעל תעשייתי, למעט מפעל תעשייתי כאמור בפסקה (2), יתקיים בו, בכל שנת מס לגבי מפעל שקיבל כתב אישור לפי סעיף 18 – בתקופה שנקבעה בכתב האישור, ובלבד שלא תפחת משבע שנים מהשנה הקובעת, ולגבי מפעל שקיבל כתב אישור לפי סעיף 18ג – בתקופה שנקבעה בכללים לפי הסעיף האמור, אחד מאלה:</w:t>
      </w:r>
      <w:r>
        <w:rPr>
          <w:rtl/>
        </w:rPr>
        <w:br/>
      </w:r>
      <w:r>
        <w:rPr>
          <w:rFonts w:hint="cs"/>
          <w:rtl/>
        </w:rPr>
        <w:t xml:space="preserve"> </w:t>
      </w:r>
      <w:r>
        <w:rPr>
          <w:rtl/>
        </w:rPr>
        <w:tab/>
      </w:r>
      <w:r>
        <w:rPr>
          <w:rFonts w:hint="cs"/>
          <w:rtl/>
        </w:rPr>
        <w:t>[...]</w:t>
      </w:r>
    </w:p>
    <w:p w:rsidR="00CF54A5" w:rsidRPr="00B61E69" w:rsidRDefault="00CF54A5" w:rsidP="00CF54A5">
      <w:pPr>
        <w:pStyle w:val="Ruller5"/>
        <w:ind w:left="2160"/>
        <w:rPr>
          <w:rtl/>
        </w:rPr>
      </w:pPr>
      <w:r w:rsidRPr="00B87565">
        <w:rPr>
          <w:rtl/>
        </w:rPr>
        <w:lastRenderedPageBreak/>
        <w:t xml:space="preserve">(ג)    25% או יותר מכלל הכנסתו, בשנת המס, ממכירות המפעל, הן ממכירות בשוק מסוים המונה </w:t>
      </w:r>
      <w:r>
        <w:rPr>
          <w:rFonts w:hint="cs"/>
          <w:rtl/>
        </w:rPr>
        <w:t>12</w:t>
      </w:r>
      <w:r>
        <w:rPr>
          <w:rtl/>
        </w:rPr>
        <w:t xml:space="preserve"> מיליון תושבים לפחות</w:t>
      </w:r>
      <w:r w:rsidRPr="00B87565">
        <w:rPr>
          <w:rtl/>
        </w:rPr>
        <w:t>;</w:t>
      </w:r>
    </w:p>
    <w:p w:rsidR="00CF54A5" w:rsidRPr="00B87565" w:rsidRDefault="00CF54A5" w:rsidP="00CF54A5">
      <w:pPr>
        <w:pStyle w:val="Ruller5"/>
        <w:rPr>
          <w:rtl/>
        </w:rPr>
      </w:pPr>
    </w:p>
    <w:p w:rsidR="00CF54A5" w:rsidRDefault="00CF54A5" w:rsidP="00CF54A5">
      <w:pPr>
        <w:pStyle w:val="Ruller41"/>
        <w:rPr>
          <w:rtl/>
        </w:rPr>
      </w:pPr>
    </w:p>
    <w:p w:rsidR="00CF54A5" w:rsidRDefault="00CF54A5" w:rsidP="00CF54A5">
      <w:pPr>
        <w:pStyle w:val="Ruller41"/>
        <w:rPr>
          <w:rtl/>
        </w:rPr>
      </w:pPr>
      <w:r>
        <w:rPr>
          <w:rtl/>
        </w:rPr>
        <w:tab/>
      </w:r>
      <w:r>
        <w:rPr>
          <w:rFonts w:hint="cs"/>
          <w:rtl/>
        </w:rPr>
        <w:t>עינינו הרואות כי החלופה השלישית שבהוראת הסעיף הנדונה איננה מתייחסת בצורה מפורשת למועד שבו יש למדוד את גודל השוק. כל שנאמר הוא שקריטריון ההכנסות נמדד בשנת המס ("</w:t>
      </w:r>
      <w:r w:rsidRPr="00DE3FD3">
        <w:rPr>
          <w:rFonts w:ascii="Century" w:hAnsi="Century" w:cs="Miriam" w:hint="cs"/>
          <w:b/>
          <w:spacing w:val="0"/>
          <w:szCs w:val="24"/>
          <w:rtl/>
        </w:rPr>
        <w:t xml:space="preserve">25% או יותר </w:t>
      </w:r>
      <w:r w:rsidRPr="00DE3FD3">
        <w:rPr>
          <w:rFonts w:ascii="Century" w:hAnsi="Century" w:cs="Miriam" w:hint="cs"/>
          <w:b/>
          <w:spacing w:val="0"/>
          <w:szCs w:val="24"/>
          <w:u w:val="single"/>
          <w:rtl/>
        </w:rPr>
        <w:t>מכלל הכנסתו, בשנת המס</w:t>
      </w:r>
      <w:r>
        <w:rPr>
          <w:rFonts w:hint="cs"/>
          <w:rtl/>
        </w:rPr>
        <w:t xml:space="preserve">..."), בעוד קריטריון גודל השוק נעדר התייחסות קונקרטית ונפרדת לממד הזמן </w:t>
      </w:r>
      <w:r w:rsidRPr="00DE3FD3">
        <w:rPr>
          <w:rFonts w:hint="cs"/>
          <w:rtl/>
        </w:rPr>
        <w:t>(למעט השימוש בלשון הווה, במילה "</w:t>
      </w:r>
      <w:r w:rsidRPr="00DE3FD3">
        <w:rPr>
          <w:rFonts w:ascii="Century" w:hAnsi="Century" w:cs="Miriam" w:hint="cs"/>
          <w:b/>
          <w:spacing w:val="0"/>
          <w:szCs w:val="24"/>
          <w:rtl/>
        </w:rPr>
        <w:t>המונה</w:t>
      </w:r>
      <w:r w:rsidRPr="00DE3FD3">
        <w:rPr>
          <w:rFonts w:hint="cs"/>
          <w:rtl/>
        </w:rPr>
        <w:t>")</w:t>
      </w:r>
      <w:r>
        <w:rPr>
          <w:rFonts w:hint="cs"/>
          <w:rtl/>
        </w:rPr>
        <w:t>.</w:t>
      </w:r>
    </w:p>
    <w:p w:rsidR="00CF54A5" w:rsidRDefault="00CF54A5" w:rsidP="00CF54A5">
      <w:pPr>
        <w:pStyle w:val="Ruller41"/>
        <w:rPr>
          <w:rtl/>
        </w:rPr>
      </w:pPr>
    </w:p>
    <w:p w:rsidR="00CF54A5" w:rsidRDefault="00CF54A5" w:rsidP="00CF54A5">
      <w:pPr>
        <w:pStyle w:val="Ruller4"/>
        <w:rPr>
          <w:rtl/>
        </w:rPr>
      </w:pPr>
      <w:r>
        <w:rPr>
          <w:rFonts w:hint="cs"/>
          <w:rtl/>
        </w:rPr>
        <w:t>במצב דברים זה, שבו אין לשון הסעיף מספקת מענה ברור לשאלה מהו מועד המדידה, על פני הדברים, מרחב התמרון הלשוני יכול להכיל את המשמעויות הלשוניות השונות שהוצעו על ידי הצדדים, מבלי שיש לאחת מהן עדיפות על פני רעותה, ודומה כי גם הם מכירים בכך. ואולם, לדידי מספר שיקולים מצטברים מטים את הכף לטובת העדפת פרשנות פקידי השומה לפיה קריטריון גודל השוק נבחן לאורך כל שנת המס. אפרט.</w:t>
      </w:r>
    </w:p>
    <w:p w:rsidR="00CF54A5" w:rsidRDefault="00CF54A5" w:rsidP="00CF54A5">
      <w:pPr>
        <w:pStyle w:val="Ruller41"/>
        <w:rPr>
          <w:rtl/>
        </w:rPr>
      </w:pPr>
    </w:p>
    <w:p w:rsidR="00CF54A5" w:rsidRDefault="00CF54A5" w:rsidP="00CF54A5">
      <w:pPr>
        <w:pStyle w:val="Ruller4"/>
      </w:pPr>
      <w:r w:rsidRPr="000D0DF7">
        <w:rPr>
          <w:rFonts w:ascii="Century" w:hAnsi="Century" w:cs="Miriam" w:hint="cs"/>
          <w:b/>
          <w:spacing w:val="0"/>
          <w:sz w:val="22"/>
          <w:szCs w:val="24"/>
          <w:rtl/>
        </w:rPr>
        <w:t>ראשית</w:t>
      </w:r>
      <w:r>
        <w:rPr>
          <w:rFonts w:hint="cs"/>
          <w:rtl/>
        </w:rPr>
        <w:t xml:space="preserve">, נקודת המוצא הכללית היא שחישוב החבות במס על פי דיני המס הישראליים נעשה על בסיס שנתי, כאשר שנת המס היא מיום 1.1 ועד יום 31.12 (ראו סעיף 6 לפקודת מס </w:t>
      </w:r>
      <w:r w:rsidRPr="00DE3FD3">
        <w:rPr>
          <w:rFonts w:hint="cs"/>
          <w:rtl/>
        </w:rPr>
        <w:t>הכנסה לפיו</w:t>
      </w:r>
      <w:r w:rsidRPr="00DE3FD3">
        <w:rPr>
          <w:rFonts w:ascii="Century" w:hAnsi="Century" w:cs="Miriam" w:hint="cs"/>
          <w:b/>
          <w:spacing w:val="0"/>
          <w:sz w:val="22"/>
          <w:szCs w:val="24"/>
          <w:rtl/>
        </w:rPr>
        <w:t xml:space="preserve"> "המס לכל שנת מס יוטל על הכנסתו החייבת של אדם באותה שנה"</w:t>
      </w:r>
      <w:r w:rsidRPr="00DE3FD3">
        <w:rPr>
          <w:rFonts w:hint="cs"/>
          <w:rtl/>
        </w:rPr>
        <w:t>. כן ראו הג</w:t>
      </w:r>
      <w:r w:rsidRPr="004C778D">
        <w:rPr>
          <w:rFonts w:hint="cs"/>
          <w:rtl/>
        </w:rPr>
        <w:t>דרת "שנת מס" בסעיף 1 לפקוד</w:t>
      </w:r>
      <w:r>
        <w:rPr>
          <w:rFonts w:hint="cs"/>
          <w:rtl/>
        </w:rPr>
        <w:t>ה</w:t>
      </w:r>
      <w:r w:rsidRPr="004C778D">
        <w:rPr>
          <w:rFonts w:hint="cs"/>
          <w:rtl/>
        </w:rPr>
        <w:t>).</w:t>
      </w:r>
      <w:r>
        <w:rPr>
          <w:rFonts w:hint="cs"/>
          <w:rtl/>
        </w:rPr>
        <w:t xml:space="preserve"> כך, לעניין חישוב ההכנסה החייבת (רישא סעיף 2 לפקודת מס הכנסה: "</w:t>
      </w:r>
      <w:r w:rsidRPr="00447FC9">
        <w:rPr>
          <w:rFonts w:ascii="Century" w:hAnsi="Century" w:cs="Miriam" w:hint="cs"/>
          <w:b/>
          <w:spacing w:val="0"/>
          <w:sz w:val="22"/>
          <w:szCs w:val="24"/>
          <w:rtl/>
        </w:rPr>
        <w:t xml:space="preserve">מס הכנסה יהא משתלם, בכפוף להוראות פקודה זו, </w:t>
      </w:r>
      <w:r w:rsidRPr="00E878FF">
        <w:rPr>
          <w:rFonts w:ascii="Century" w:hAnsi="Century" w:cs="Miriam" w:hint="cs"/>
          <w:b/>
          <w:spacing w:val="0"/>
          <w:sz w:val="22"/>
          <w:szCs w:val="24"/>
          <w:u w:val="single"/>
          <w:rtl/>
        </w:rPr>
        <w:t>לכל שנת מס</w:t>
      </w:r>
      <w:r w:rsidRPr="00447FC9">
        <w:rPr>
          <w:rFonts w:ascii="Century" w:hAnsi="Century" w:cs="Miriam" w:hint="cs"/>
          <w:b/>
          <w:spacing w:val="0"/>
          <w:sz w:val="22"/>
          <w:szCs w:val="24"/>
          <w:rtl/>
        </w:rPr>
        <w:t>...</w:t>
      </w:r>
      <w:r>
        <w:rPr>
          <w:rFonts w:hint="cs"/>
          <w:rtl/>
        </w:rPr>
        <w:t>"); כך לעניין חישוב הניכויים (רישא סעיף 17 לפקודת מס הכנסה: "</w:t>
      </w:r>
      <w:r w:rsidRPr="00447FC9">
        <w:rPr>
          <w:rFonts w:ascii="Century" w:hAnsi="Century" w:cs="Miriam" w:hint="cs"/>
          <w:b/>
          <w:spacing w:val="0"/>
          <w:sz w:val="22"/>
          <w:szCs w:val="24"/>
          <w:rtl/>
        </w:rPr>
        <w:t xml:space="preserve">לשם בירור הכנסתו החייבת של אדם, ינוכו </w:t>
      </w:r>
      <w:r w:rsidRPr="00447FC9">
        <w:rPr>
          <w:rFonts w:ascii="Century" w:hAnsi="Century" w:hint="cs"/>
          <w:sz w:val="22"/>
          <w:rtl/>
        </w:rPr>
        <w:t>[...]</w:t>
      </w:r>
      <w:r w:rsidRPr="00447FC9">
        <w:rPr>
          <w:rFonts w:ascii="Century" w:hAnsi="Century" w:cs="Miriam" w:hint="cs"/>
          <w:b/>
          <w:spacing w:val="0"/>
          <w:sz w:val="22"/>
          <w:szCs w:val="24"/>
          <w:rtl/>
        </w:rPr>
        <w:t xml:space="preserve"> יציאות והוצאות שיצאו כולן בייצור הכנסתו </w:t>
      </w:r>
      <w:r w:rsidRPr="00E878FF">
        <w:rPr>
          <w:rFonts w:ascii="Century" w:hAnsi="Century" w:cs="Miriam" w:hint="cs"/>
          <w:b/>
          <w:spacing w:val="0"/>
          <w:sz w:val="22"/>
          <w:szCs w:val="24"/>
          <w:u w:val="single"/>
          <w:rtl/>
        </w:rPr>
        <w:t>בשנת המס</w:t>
      </w:r>
      <w:r w:rsidRPr="00447FC9">
        <w:rPr>
          <w:rFonts w:ascii="Century" w:hAnsi="Century" w:cs="Miriam" w:hint="cs"/>
          <w:b/>
          <w:spacing w:val="0"/>
          <w:sz w:val="22"/>
          <w:szCs w:val="24"/>
          <w:rtl/>
        </w:rPr>
        <w:t>...</w:t>
      </w:r>
      <w:r>
        <w:rPr>
          <w:rFonts w:hint="cs"/>
          <w:rtl/>
        </w:rPr>
        <w:t>"); כך לעניין קיזוז הפסדים (סעיף 28(א) לפקודה: "</w:t>
      </w:r>
      <w:r w:rsidRPr="000F5DE5">
        <w:rPr>
          <w:rFonts w:ascii="Century" w:hAnsi="Century" w:cs="Miriam" w:hint="eastAsia"/>
          <w:b/>
          <w:spacing w:val="0"/>
          <w:sz w:val="22"/>
          <w:szCs w:val="24"/>
          <w:rtl/>
        </w:rPr>
        <w:t>הפסד</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שהיה</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לאדם</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בעסק</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או</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במשלח</w:t>
      </w:r>
      <w:r w:rsidRPr="000F5DE5">
        <w:rPr>
          <w:rFonts w:ascii="Century" w:hAnsi="Century" w:cs="Miriam"/>
          <w:b/>
          <w:spacing w:val="0"/>
          <w:sz w:val="22"/>
          <w:szCs w:val="24"/>
          <w:rtl/>
        </w:rPr>
        <w:t>-</w:t>
      </w:r>
      <w:r w:rsidRPr="000F5DE5">
        <w:rPr>
          <w:rFonts w:ascii="Century" w:hAnsi="Century" w:cs="Miriam" w:hint="eastAsia"/>
          <w:b/>
          <w:spacing w:val="0"/>
          <w:sz w:val="22"/>
          <w:szCs w:val="24"/>
          <w:rtl/>
        </w:rPr>
        <w:t>יד</w:t>
      </w:r>
      <w:r w:rsidRPr="000F5DE5">
        <w:rPr>
          <w:rFonts w:ascii="Century" w:hAnsi="Century" w:cs="Miriam"/>
          <w:b/>
          <w:spacing w:val="0"/>
          <w:sz w:val="22"/>
          <w:szCs w:val="24"/>
          <w:rtl/>
        </w:rPr>
        <w:t xml:space="preserve"> </w:t>
      </w:r>
      <w:r w:rsidRPr="00E878FF">
        <w:rPr>
          <w:rFonts w:ascii="Century" w:hAnsi="Century" w:cs="Miriam" w:hint="eastAsia"/>
          <w:b/>
          <w:spacing w:val="0"/>
          <w:sz w:val="22"/>
          <w:szCs w:val="24"/>
          <w:u w:val="single"/>
          <w:rtl/>
        </w:rPr>
        <w:t>בשנת</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המס</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ושאילו</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היה</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ריווח</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היה</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נישום</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לפי</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פקודה</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זו</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ניתן</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לקיזוז</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כנגד</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סך</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כל</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הכנסתו</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החייבת</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של</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אותו</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אדם</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ממקורות</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אחרים</w:t>
      </w:r>
      <w:r w:rsidRPr="000F5DE5">
        <w:rPr>
          <w:rFonts w:ascii="Century" w:hAnsi="Century" w:cs="Miriam"/>
          <w:b/>
          <w:spacing w:val="0"/>
          <w:sz w:val="22"/>
          <w:szCs w:val="24"/>
          <w:rtl/>
        </w:rPr>
        <w:t xml:space="preserve"> </w:t>
      </w:r>
      <w:r w:rsidRPr="00E878FF">
        <w:rPr>
          <w:rFonts w:ascii="Century" w:hAnsi="Century" w:cs="Miriam" w:hint="eastAsia"/>
          <w:b/>
          <w:spacing w:val="0"/>
          <w:sz w:val="22"/>
          <w:szCs w:val="24"/>
          <w:u w:val="single"/>
          <w:rtl/>
        </w:rPr>
        <w:t>באותה</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שנת</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מס</w:t>
      </w:r>
      <w:r>
        <w:rPr>
          <w:rFonts w:hint="cs"/>
          <w:rtl/>
        </w:rPr>
        <w:t>"; סעיף 92(א)(1) לפקודה: "</w:t>
      </w:r>
      <w:r w:rsidRPr="00E878FF">
        <w:rPr>
          <w:rFonts w:ascii="Century" w:hAnsi="Century" w:cs="Miriam" w:hint="eastAsia"/>
          <w:b/>
          <w:spacing w:val="0"/>
          <w:sz w:val="22"/>
          <w:szCs w:val="24"/>
          <w:rtl/>
        </w:rPr>
        <w:t>סכום</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הפסד</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הון</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שהיה</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לאדם</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u w:val="single"/>
          <w:rtl/>
        </w:rPr>
        <w:t>בשנת</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מס</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פלונית</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ואילו</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היה</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ריווח</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הון</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היה</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מתחייב</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עליו</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במס</w:t>
      </w:r>
      <w:r w:rsidRPr="00E878FF">
        <w:rPr>
          <w:rFonts w:ascii="Century" w:hAnsi="Century" w:cs="Miriam"/>
          <w:b/>
          <w:spacing w:val="0"/>
          <w:sz w:val="22"/>
          <w:szCs w:val="24"/>
          <w:rtl/>
        </w:rPr>
        <w:t xml:space="preserve">, </w:t>
      </w:r>
      <w:r w:rsidRPr="00E878FF">
        <w:rPr>
          <w:rFonts w:ascii="Century" w:hAnsi="Century" w:cs="Miriam" w:hint="eastAsia"/>
          <w:b/>
          <w:spacing w:val="0"/>
          <w:sz w:val="22"/>
          <w:szCs w:val="24"/>
          <w:rtl/>
        </w:rPr>
        <w:t>יקוזז</w:t>
      </w:r>
      <w:r w:rsidRPr="00E878FF">
        <w:rPr>
          <w:rFonts w:ascii="Century" w:hAnsi="Century" w:cs="Miriam" w:hint="cs"/>
          <w:b/>
          <w:spacing w:val="0"/>
          <w:sz w:val="22"/>
          <w:szCs w:val="24"/>
          <w:rtl/>
        </w:rPr>
        <w:t>...</w:t>
      </w:r>
      <w:r>
        <w:rPr>
          <w:rFonts w:hint="cs"/>
          <w:rtl/>
        </w:rPr>
        <w:t>"); וכך לעניין חישוב ההטבות המס שיינתנו (סעיף 33א לפקודה מגדיר "נקודת זיכוי" כך: "</w:t>
      </w:r>
      <w:r w:rsidRPr="000F5DE5">
        <w:rPr>
          <w:rFonts w:ascii="Century" w:hAnsi="Century" w:cs="Miriam" w:hint="eastAsia"/>
          <w:b/>
          <w:spacing w:val="0"/>
          <w:sz w:val="22"/>
          <w:szCs w:val="24"/>
          <w:rtl/>
        </w:rPr>
        <w:t>סכום</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של</w:t>
      </w:r>
      <w:r w:rsidRPr="000F5DE5">
        <w:rPr>
          <w:rFonts w:ascii="Century" w:hAnsi="Century" w:cs="Miriam"/>
          <w:b/>
          <w:spacing w:val="0"/>
          <w:sz w:val="22"/>
          <w:szCs w:val="24"/>
          <w:rtl/>
        </w:rPr>
        <w:t xml:space="preserve"> 504 </w:t>
      </w:r>
      <w:r w:rsidRPr="000F5DE5">
        <w:rPr>
          <w:rFonts w:ascii="Century" w:hAnsi="Century" w:cs="Miriam" w:hint="eastAsia"/>
          <w:b/>
          <w:spacing w:val="0"/>
          <w:sz w:val="22"/>
          <w:szCs w:val="24"/>
          <w:rtl/>
        </w:rPr>
        <w:t>שקלים</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חדשים</w:t>
      </w:r>
      <w:r w:rsidRPr="000F5DE5">
        <w:rPr>
          <w:rFonts w:ascii="Century" w:hAnsi="Century" w:cs="Miriam"/>
          <w:b/>
          <w:spacing w:val="0"/>
          <w:sz w:val="22"/>
          <w:szCs w:val="24"/>
          <w:rtl/>
        </w:rPr>
        <w:t xml:space="preserve"> </w:t>
      </w:r>
      <w:r w:rsidRPr="00E878FF">
        <w:rPr>
          <w:rFonts w:ascii="Century" w:hAnsi="Century" w:cs="Miriam" w:hint="eastAsia"/>
          <w:b/>
          <w:spacing w:val="0"/>
          <w:sz w:val="22"/>
          <w:szCs w:val="24"/>
          <w:u w:val="single"/>
          <w:rtl/>
        </w:rPr>
        <w:t>לשנת</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מס</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צמוד</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למדד</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כאמור</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בסעיף</w:t>
      </w:r>
      <w:r w:rsidRPr="000F5DE5">
        <w:rPr>
          <w:rFonts w:ascii="Century" w:hAnsi="Century" w:cs="Miriam"/>
          <w:b/>
          <w:spacing w:val="0"/>
          <w:sz w:val="22"/>
          <w:szCs w:val="24"/>
          <w:rtl/>
        </w:rPr>
        <w:t xml:space="preserve"> 120</w:t>
      </w:r>
      <w:r w:rsidRPr="000F5DE5">
        <w:rPr>
          <w:rFonts w:ascii="Century" w:hAnsi="Century" w:cs="Miriam" w:hint="eastAsia"/>
          <w:b/>
          <w:spacing w:val="0"/>
          <w:sz w:val="22"/>
          <w:szCs w:val="24"/>
          <w:rtl/>
        </w:rPr>
        <w:t>א</w:t>
      </w:r>
      <w:r w:rsidRPr="000F5DE5">
        <w:rPr>
          <w:rFonts w:ascii="Century" w:hAnsi="Century" w:cs="Miriam"/>
          <w:b/>
          <w:spacing w:val="0"/>
          <w:sz w:val="22"/>
          <w:szCs w:val="24"/>
          <w:rtl/>
        </w:rPr>
        <w:t xml:space="preserve">, </w:t>
      </w:r>
      <w:r w:rsidRPr="000F5DE5">
        <w:rPr>
          <w:rFonts w:ascii="Century" w:hAnsi="Century" w:cs="Miriam" w:hint="eastAsia"/>
          <w:b/>
          <w:spacing w:val="0"/>
          <w:sz w:val="22"/>
          <w:szCs w:val="24"/>
          <w:rtl/>
        </w:rPr>
        <w:t>המקוזז</w:t>
      </w:r>
      <w:r w:rsidRPr="000F5DE5">
        <w:rPr>
          <w:rFonts w:ascii="Century" w:hAnsi="Century" w:cs="Miriam"/>
          <w:b/>
          <w:spacing w:val="0"/>
          <w:sz w:val="22"/>
          <w:szCs w:val="24"/>
          <w:rtl/>
        </w:rPr>
        <w:t xml:space="preserve"> </w:t>
      </w:r>
      <w:r w:rsidRPr="00E878FF">
        <w:rPr>
          <w:rFonts w:ascii="Century" w:hAnsi="Century" w:cs="Miriam" w:hint="eastAsia"/>
          <w:b/>
          <w:spacing w:val="0"/>
          <w:sz w:val="22"/>
          <w:szCs w:val="24"/>
          <w:u w:val="single"/>
          <w:rtl/>
        </w:rPr>
        <w:t>כנגד</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המס</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לאותה</w:t>
      </w:r>
      <w:r w:rsidRPr="00E878FF">
        <w:rPr>
          <w:rFonts w:ascii="Century" w:hAnsi="Century" w:cs="Miriam"/>
          <w:b/>
          <w:spacing w:val="0"/>
          <w:sz w:val="22"/>
          <w:szCs w:val="24"/>
          <w:u w:val="single"/>
          <w:rtl/>
        </w:rPr>
        <w:t xml:space="preserve"> </w:t>
      </w:r>
      <w:r w:rsidRPr="00E878FF">
        <w:rPr>
          <w:rFonts w:ascii="Century" w:hAnsi="Century" w:cs="Miriam" w:hint="eastAsia"/>
          <w:b/>
          <w:spacing w:val="0"/>
          <w:sz w:val="22"/>
          <w:szCs w:val="24"/>
          <w:u w:val="single"/>
          <w:rtl/>
        </w:rPr>
        <w:t>שנה</w:t>
      </w:r>
      <w:r>
        <w:rPr>
          <w:rFonts w:hint="cs"/>
          <w:rtl/>
        </w:rPr>
        <w:t xml:space="preserve">"; כן ראו סעיפי הזיכוי בפרק השלישי לחלק ג' בפקודה). מכאן, שבהיעדר טעם מבורר לסטות מיחידת הזמן האמורה, גם אופן מדידת גודל השוק צריך להתבצע בהלימה ליחידת הזמן הרלוונטית </w:t>
      </w:r>
      <w:r>
        <w:rPr>
          <w:rFonts w:hint="cs"/>
          <w:rtl/>
        </w:rPr>
        <w:lastRenderedPageBreak/>
        <w:t>בהקשר בו עסקינן, קרי על בסיס כל השנה (ראו והשוו לחוות דעתי ב</w:t>
      </w:r>
      <w:r w:rsidRPr="002503C1">
        <w:rPr>
          <w:rFonts w:hint="eastAsia"/>
          <w:rtl/>
        </w:rPr>
        <w:t>בג</w:t>
      </w:r>
      <w:r w:rsidRPr="002503C1">
        <w:rPr>
          <w:rtl/>
        </w:rPr>
        <w:t>"</w:t>
      </w:r>
      <w:r w:rsidRPr="002503C1">
        <w:rPr>
          <w:rFonts w:hint="eastAsia"/>
          <w:rtl/>
        </w:rPr>
        <w:t>ץ</w:t>
      </w:r>
      <w:r w:rsidRPr="002503C1">
        <w:rPr>
          <w:rtl/>
        </w:rPr>
        <w:t xml:space="preserve"> 5782</w:t>
      </w:r>
      <w:r>
        <w:rPr>
          <w:rFonts w:hint="cs"/>
          <w:rtl/>
        </w:rPr>
        <w:t>/</w:t>
      </w:r>
      <w:r w:rsidRPr="002503C1">
        <w:rPr>
          <w:rtl/>
        </w:rPr>
        <w:t xml:space="preserve">21 </w:t>
      </w:r>
      <w:r w:rsidRPr="002503C1">
        <w:rPr>
          <w:rFonts w:ascii="Century" w:hAnsi="Century" w:cs="Miriam" w:hint="eastAsia"/>
          <w:b/>
          <w:spacing w:val="0"/>
          <w:sz w:val="22"/>
          <w:szCs w:val="24"/>
          <w:rtl/>
        </w:rPr>
        <w:t>זילבר</w:t>
      </w:r>
      <w:r w:rsidRPr="002503C1">
        <w:rPr>
          <w:rFonts w:ascii="Century" w:hAnsi="Century" w:cs="Miriam"/>
          <w:b/>
          <w:spacing w:val="0"/>
          <w:sz w:val="22"/>
          <w:szCs w:val="24"/>
          <w:rtl/>
        </w:rPr>
        <w:t xml:space="preserve"> </w:t>
      </w:r>
      <w:r w:rsidRPr="002503C1">
        <w:rPr>
          <w:rFonts w:ascii="Century" w:hAnsi="Century" w:cs="Miriam" w:hint="eastAsia"/>
          <w:b/>
          <w:spacing w:val="0"/>
          <w:sz w:val="22"/>
          <w:szCs w:val="24"/>
          <w:rtl/>
        </w:rPr>
        <w:t>נ</w:t>
      </w:r>
      <w:r w:rsidRPr="002503C1">
        <w:rPr>
          <w:rFonts w:ascii="Century" w:hAnsi="Century" w:cs="Miriam"/>
          <w:b/>
          <w:spacing w:val="0"/>
          <w:sz w:val="22"/>
          <w:szCs w:val="24"/>
          <w:rtl/>
        </w:rPr>
        <w:t xml:space="preserve">' </w:t>
      </w:r>
      <w:r w:rsidRPr="002503C1">
        <w:rPr>
          <w:rFonts w:ascii="Century" w:hAnsi="Century" w:cs="Miriam" w:hint="eastAsia"/>
          <w:b/>
          <w:spacing w:val="0"/>
          <w:sz w:val="22"/>
          <w:szCs w:val="24"/>
          <w:rtl/>
        </w:rPr>
        <w:t>שר</w:t>
      </w:r>
      <w:r w:rsidRPr="002503C1">
        <w:rPr>
          <w:rFonts w:ascii="Century" w:hAnsi="Century" w:cs="Miriam"/>
          <w:b/>
          <w:spacing w:val="0"/>
          <w:sz w:val="22"/>
          <w:szCs w:val="24"/>
          <w:rtl/>
        </w:rPr>
        <w:t xml:space="preserve"> </w:t>
      </w:r>
      <w:r w:rsidRPr="002503C1">
        <w:rPr>
          <w:rFonts w:ascii="Century" w:hAnsi="Century" w:cs="Miriam" w:hint="eastAsia"/>
          <w:b/>
          <w:spacing w:val="0"/>
          <w:sz w:val="22"/>
          <w:szCs w:val="24"/>
          <w:rtl/>
        </w:rPr>
        <w:t>האוצר</w:t>
      </w:r>
      <w:r w:rsidRPr="002503C1">
        <w:rPr>
          <w:rFonts w:hint="cs"/>
          <w:rtl/>
        </w:rPr>
        <w:t xml:space="preserve"> </w:t>
      </w:r>
      <w:r>
        <w:rPr>
          <w:rFonts w:hint="cs"/>
          <w:rtl/>
        </w:rPr>
        <w:t xml:space="preserve">(12.1.2022)). </w:t>
      </w:r>
    </w:p>
    <w:p w:rsidR="00CF54A5" w:rsidRDefault="00CF54A5" w:rsidP="00CF54A5">
      <w:pPr>
        <w:pStyle w:val="Ruller4"/>
        <w:numPr>
          <w:ilvl w:val="0"/>
          <w:numId w:val="0"/>
        </w:numPr>
        <w:rPr>
          <w:rtl/>
        </w:rPr>
      </w:pPr>
    </w:p>
    <w:p w:rsidR="00CF54A5" w:rsidRDefault="00CF54A5" w:rsidP="00CF54A5">
      <w:pPr>
        <w:pStyle w:val="Ruller41"/>
        <w:rPr>
          <w:rtl/>
        </w:rPr>
      </w:pPr>
      <w:r>
        <w:rPr>
          <w:rtl/>
        </w:rPr>
        <w:tab/>
      </w:r>
      <w:r>
        <w:rPr>
          <w:rFonts w:hint="cs"/>
          <w:rtl/>
        </w:rPr>
        <w:t xml:space="preserve">וזאת יש לזכור: </w:t>
      </w:r>
      <w:r w:rsidRPr="00F81338">
        <w:rPr>
          <w:rtl/>
        </w:rPr>
        <w:t>"</w:t>
      </w:r>
      <w:r w:rsidRPr="00F81338">
        <w:rPr>
          <w:rFonts w:ascii="Century" w:hAnsi="Century" w:cs="Miriam" w:hint="eastAsia"/>
          <w:b/>
          <w:spacing w:val="0"/>
          <w:szCs w:val="24"/>
          <w:rtl/>
        </w:rPr>
        <w:t>כשבאים</w:t>
      </w:r>
      <w:r w:rsidRPr="00F81338">
        <w:rPr>
          <w:rFonts w:ascii="Century" w:hAnsi="Century" w:cs="Miriam"/>
          <w:b/>
          <w:spacing w:val="0"/>
          <w:szCs w:val="24"/>
          <w:rtl/>
        </w:rPr>
        <w:t xml:space="preserve"> </w:t>
      </w:r>
      <w:proofErr w:type="spellStart"/>
      <w:r w:rsidRPr="00F81338">
        <w:rPr>
          <w:rFonts w:ascii="Century" w:hAnsi="Century" w:cs="Miriam" w:hint="eastAsia"/>
          <w:b/>
          <w:spacing w:val="0"/>
          <w:szCs w:val="24"/>
          <w:rtl/>
        </w:rPr>
        <w:t>ליתן</w:t>
      </w:r>
      <w:proofErr w:type="spellEnd"/>
      <w:r w:rsidRPr="00F81338">
        <w:rPr>
          <w:rFonts w:ascii="Century" w:hAnsi="Century" w:cs="Miriam"/>
          <w:b/>
          <w:spacing w:val="0"/>
          <w:szCs w:val="24"/>
          <w:rtl/>
        </w:rPr>
        <w:t xml:space="preserve"> </w:t>
      </w:r>
      <w:r w:rsidRPr="00F81338">
        <w:rPr>
          <w:rFonts w:ascii="Century" w:hAnsi="Century" w:cs="Miriam" w:hint="eastAsia"/>
          <w:b/>
          <w:spacing w:val="0"/>
          <w:szCs w:val="24"/>
          <w:rtl/>
        </w:rPr>
        <w:t>פירוש</w:t>
      </w:r>
      <w:r w:rsidRPr="00F81338">
        <w:rPr>
          <w:rFonts w:ascii="Century" w:hAnsi="Century" w:cs="Miriam"/>
          <w:b/>
          <w:spacing w:val="0"/>
          <w:szCs w:val="24"/>
          <w:rtl/>
        </w:rPr>
        <w:t xml:space="preserve"> </w:t>
      </w:r>
      <w:r w:rsidRPr="00F81338">
        <w:rPr>
          <w:rFonts w:ascii="Century" w:hAnsi="Century" w:cs="Miriam" w:hint="eastAsia"/>
          <w:b/>
          <w:spacing w:val="0"/>
          <w:szCs w:val="24"/>
          <w:rtl/>
        </w:rPr>
        <w:t>לחוק</w:t>
      </w:r>
      <w:r w:rsidRPr="00F81338">
        <w:rPr>
          <w:rFonts w:ascii="Century" w:hAnsi="Century" w:cs="Miriam"/>
          <w:b/>
          <w:spacing w:val="0"/>
          <w:szCs w:val="24"/>
          <w:rtl/>
        </w:rPr>
        <w:t xml:space="preserve"> </w:t>
      </w:r>
      <w:r w:rsidRPr="00F81338">
        <w:rPr>
          <w:rFonts w:ascii="Century" w:hAnsi="Century" w:cs="Miriam" w:hint="eastAsia"/>
          <w:b/>
          <w:spacing w:val="0"/>
          <w:szCs w:val="24"/>
          <w:rtl/>
        </w:rPr>
        <w:t>יועדף</w:t>
      </w:r>
      <w:r w:rsidRPr="00F81338">
        <w:rPr>
          <w:rFonts w:ascii="Century" w:hAnsi="Century" w:cs="Miriam"/>
          <w:b/>
          <w:spacing w:val="0"/>
          <w:szCs w:val="24"/>
          <w:rtl/>
        </w:rPr>
        <w:t xml:space="preserve"> </w:t>
      </w:r>
      <w:r w:rsidRPr="00F81338">
        <w:rPr>
          <w:rFonts w:ascii="Century" w:hAnsi="Century" w:cs="Miriam" w:hint="eastAsia"/>
          <w:b/>
          <w:spacing w:val="0"/>
          <w:szCs w:val="24"/>
          <w:rtl/>
        </w:rPr>
        <w:t>תמיד</w:t>
      </w:r>
      <w:r w:rsidRPr="00F81338">
        <w:rPr>
          <w:rFonts w:ascii="Century" w:hAnsi="Century" w:cs="Miriam"/>
          <w:b/>
          <w:spacing w:val="0"/>
          <w:szCs w:val="24"/>
          <w:rtl/>
        </w:rPr>
        <w:t xml:space="preserve"> </w:t>
      </w:r>
      <w:r w:rsidRPr="00F81338">
        <w:rPr>
          <w:rFonts w:ascii="Century" w:hAnsi="Century" w:cs="Miriam" w:hint="eastAsia"/>
          <w:b/>
          <w:spacing w:val="0"/>
          <w:szCs w:val="24"/>
          <w:rtl/>
        </w:rPr>
        <w:t>הפירוש</w:t>
      </w:r>
      <w:r w:rsidRPr="00F81338">
        <w:rPr>
          <w:rFonts w:ascii="Century" w:hAnsi="Century" w:cs="Miriam"/>
          <w:b/>
          <w:spacing w:val="0"/>
          <w:szCs w:val="24"/>
          <w:rtl/>
        </w:rPr>
        <w:t xml:space="preserve"> </w:t>
      </w:r>
      <w:r w:rsidRPr="00F81338">
        <w:rPr>
          <w:rFonts w:ascii="Century" w:hAnsi="Century" w:cs="Miriam" w:hint="eastAsia"/>
          <w:b/>
          <w:spacing w:val="0"/>
          <w:szCs w:val="24"/>
          <w:rtl/>
        </w:rPr>
        <w:t>העקבי</w:t>
      </w:r>
      <w:r w:rsidRPr="00F81338">
        <w:rPr>
          <w:rFonts w:ascii="Century" w:hAnsi="Century" w:cs="Miriam"/>
          <w:b/>
          <w:spacing w:val="0"/>
          <w:szCs w:val="24"/>
          <w:rtl/>
        </w:rPr>
        <w:t xml:space="preserve">, </w:t>
      </w:r>
      <w:r w:rsidRPr="00F81338">
        <w:rPr>
          <w:rFonts w:ascii="Century" w:hAnsi="Century" w:cs="Miriam" w:hint="eastAsia"/>
          <w:b/>
          <w:spacing w:val="0"/>
          <w:szCs w:val="24"/>
          <w:rtl/>
        </w:rPr>
        <w:t>המבטיח</w:t>
      </w:r>
      <w:r w:rsidRPr="00F81338">
        <w:rPr>
          <w:rFonts w:ascii="Century" w:hAnsi="Century" w:cs="Miriam"/>
          <w:b/>
          <w:spacing w:val="0"/>
          <w:szCs w:val="24"/>
          <w:rtl/>
        </w:rPr>
        <w:t xml:space="preserve"> </w:t>
      </w:r>
      <w:r w:rsidRPr="00F81338">
        <w:rPr>
          <w:rFonts w:ascii="Century" w:hAnsi="Century" w:cs="Miriam" w:hint="eastAsia"/>
          <w:b/>
          <w:spacing w:val="0"/>
          <w:szCs w:val="24"/>
          <w:rtl/>
        </w:rPr>
        <w:t>את</w:t>
      </w:r>
      <w:r w:rsidRPr="00F81338">
        <w:rPr>
          <w:rFonts w:ascii="Century" w:hAnsi="Century" w:cs="Miriam"/>
          <w:b/>
          <w:spacing w:val="0"/>
          <w:szCs w:val="24"/>
          <w:rtl/>
        </w:rPr>
        <w:t xml:space="preserve"> </w:t>
      </w:r>
      <w:r w:rsidRPr="00F81338">
        <w:rPr>
          <w:rFonts w:ascii="Century" w:hAnsi="Century" w:cs="Miriam" w:hint="eastAsia"/>
          <w:b/>
          <w:spacing w:val="0"/>
          <w:szCs w:val="24"/>
          <w:rtl/>
        </w:rPr>
        <w:t>ההיגיון</w:t>
      </w:r>
      <w:r w:rsidRPr="00F81338">
        <w:rPr>
          <w:rFonts w:ascii="Century" w:hAnsi="Century" w:cs="Miriam"/>
          <w:b/>
          <w:spacing w:val="0"/>
          <w:szCs w:val="24"/>
          <w:rtl/>
        </w:rPr>
        <w:t xml:space="preserve"> </w:t>
      </w:r>
      <w:r w:rsidRPr="00F81338">
        <w:rPr>
          <w:rFonts w:ascii="Century" w:hAnsi="Century" w:cs="Miriam" w:hint="eastAsia"/>
          <w:b/>
          <w:spacing w:val="0"/>
          <w:szCs w:val="24"/>
          <w:rtl/>
        </w:rPr>
        <w:t>והשלמות</w:t>
      </w:r>
      <w:r w:rsidRPr="00F81338">
        <w:rPr>
          <w:rFonts w:ascii="Century" w:hAnsi="Century" w:cs="Miriam"/>
          <w:b/>
          <w:spacing w:val="0"/>
          <w:szCs w:val="24"/>
          <w:rtl/>
        </w:rPr>
        <w:t xml:space="preserve"> </w:t>
      </w:r>
      <w:r w:rsidRPr="00F81338">
        <w:rPr>
          <w:rFonts w:ascii="Century" w:hAnsi="Century" w:cs="Miriam" w:hint="eastAsia"/>
          <w:b/>
          <w:spacing w:val="0"/>
          <w:szCs w:val="24"/>
          <w:rtl/>
        </w:rPr>
        <w:t>שבמדיניותו</w:t>
      </w:r>
      <w:r w:rsidRPr="00F81338">
        <w:rPr>
          <w:rFonts w:ascii="Century" w:hAnsi="Century" w:cs="Miriam"/>
          <w:b/>
          <w:spacing w:val="0"/>
          <w:szCs w:val="24"/>
          <w:rtl/>
        </w:rPr>
        <w:t xml:space="preserve"> </w:t>
      </w:r>
      <w:r w:rsidRPr="00F81338">
        <w:rPr>
          <w:rFonts w:ascii="Century" w:hAnsi="Century" w:cs="Miriam" w:hint="eastAsia"/>
          <w:b/>
          <w:spacing w:val="0"/>
          <w:szCs w:val="24"/>
          <w:rtl/>
        </w:rPr>
        <w:t>של</w:t>
      </w:r>
      <w:r w:rsidRPr="00F81338">
        <w:rPr>
          <w:rFonts w:ascii="Century" w:hAnsi="Century" w:cs="Miriam"/>
          <w:b/>
          <w:spacing w:val="0"/>
          <w:szCs w:val="24"/>
          <w:rtl/>
        </w:rPr>
        <w:t xml:space="preserve"> </w:t>
      </w:r>
      <w:r w:rsidRPr="00F81338">
        <w:rPr>
          <w:rFonts w:ascii="Century" w:hAnsi="Century" w:cs="Miriam" w:hint="eastAsia"/>
          <w:b/>
          <w:spacing w:val="0"/>
          <w:szCs w:val="24"/>
          <w:rtl/>
        </w:rPr>
        <w:t>המחוקק</w:t>
      </w:r>
      <w:r w:rsidRPr="00F81338">
        <w:rPr>
          <w:rFonts w:ascii="Century" w:hAnsi="Century" w:cs="Miriam"/>
          <w:b/>
          <w:spacing w:val="0"/>
          <w:szCs w:val="24"/>
          <w:rtl/>
        </w:rPr>
        <w:t xml:space="preserve"> </w:t>
      </w:r>
      <w:r w:rsidRPr="00F81338">
        <w:rPr>
          <w:rFonts w:ascii="Century" w:hAnsi="Century" w:cs="Miriam" w:hint="eastAsia"/>
          <w:b/>
          <w:spacing w:val="0"/>
          <w:szCs w:val="24"/>
          <w:rtl/>
        </w:rPr>
        <w:t>על</w:t>
      </w:r>
      <w:r w:rsidRPr="00F81338">
        <w:rPr>
          <w:rFonts w:ascii="Century" w:hAnsi="Century" w:cs="Miriam"/>
          <w:b/>
          <w:spacing w:val="0"/>
          <w:szCs w:val="24"/>
          <w:rtl/>
        </w:rPr>
        <w:t xml:space="preserve"> </w:t>
      </w:r>
      <w:r w:rsidRPr="00F81338">
        <w:rPr>
          <w:rFonts w:ascii="Century" w:hAnsi="Century" w:cs="Miriam" w:hint="eastAsia"/>
          <w:b/>
          <w:spacing w:val="0"/>
          <w:szCs w:val="24"/>
          <w:rtl/>
        </w:rPr>
        <w:t>פני</w:t>
      </w:r>
      <w:r w:rsidRPr="00F81338">
        <w:rPr>
          <w:rFonts w:ascii="Century" w:hAnsi="Century" w:cs="Miriam"/>
          <w:b/>
          <w:spacing w:val="0"/>
          <w:szCs w:val="24"/>
          <w:rtl/>
        </w:rPr>
        <w:t xml:space="preserve"> </w:t>
      </w:r>
      <w:r w:rsidRPr="00F81338">
        <w:rPr>
          <w:rFonts w:ascii="Century" w:hAnsi="Century" w:cs="Miriam" w:hint="eastAsia"/>
          <w:b/>
          <w:spacing w:val="0"/>
          <w:szCs w:val="24"/>
          <w:rtl/>
        </w:rPr>
        <w:t>פירוש</w:t>
      </w:r>
      <w:r w:rsidRPr="00F81338">
        <w:rPr>
          <w:rFonts w:ascii="Century" w:hAnsi="Century" w:cs="Miriam"/>
          <w:b/>
          <w:spacing w:val="0"/>
          <w:szCs w:val="24"/>
          <w:rtl/>
        </w:rPr>
        <w:t xml:space="preserve"> </w:t>
      </w:r>
      <w:r w:rsidRPr="00F81338">
        <w:rPr>
          <w:rFonts w:ascii="Century" w:hAnsi="Century" w:cs="Miriam" w:hint="eastAsia"/>
          <w:b/>
          <w:spacing w:val="0"/>
          <w:szCs w:val="24"/>
          <w:rtl/>
        </w:rPr>
        <w:t>היוצר</w:t>
      </w:r>
      <w:r w:rsidRPr="00F81338">
        <w:rPr>
          <w:rFonts w:ascii="Century" w:hAnsi="Century" w:cs="Miriam"/>
          <w:b/>
          <w:spacing w:val="0"/>
          <w:szCs w:val="24"/>
          <w:rtl/>
        </w:rPr>
        <w:t xml:space="preserve"> </w:t>
      </w:r>
      <w:r w:rsidRPr="00F81338">
        <w:rPr>
          <w:rFonts w:ascii="Century" w:hAnsi="Century" w:cs="Miriam" w:hint="eastAsia"/>
          <w:b/>
          <w:spacing w:val="0"/>
          <w:szCs w:val="24"/>
          <w:rtl/>
        </w:rPr>
        <w:t>מצבי</w:t>
      </w:r>
      <w:r w:rsidRPr="00F81338">
        <w:rPr>
          <w:rFonts w:ascii="Century" w:hAnsi="Century" w:cs="Miriam"/>
          <w:b/>
          <w:spacing w:val="0"/>
          <w:szCs w:val="24"/>
          <w:rtl/>
        </w:rPr>
        <w:t xml:space="preserve"> </w:t>
      </w:r>
      <w:r w:rsidRPr="00F81338">
        <w:rPr>
          <w:rFonts w:ascii="Century" w:hAnsi="Century" w:cs="Miriam" w:hint="eastAsia"/>
          <w:b/>
          <w:spacing w:val="0"/>
          <w:szCs w:val="24"/>
          <w:rtl/>
        </w:rPr>
        <w:t>איפה</w:t>
      </w:r>
      <w:r w:rsidRPr="00F81338">
        <w:rPr>
          <w:rFonts w:ascii="Century" w:hAnsi="Century" w:cs="Miriam"/>
          <w:b/>
          <w:spacing w:val="0"/>
          <w:szCs w:val="24"/>
          <w:rtl/>
        </w:rPr>
        <w:t xml:space="preserve"> </w:t>
      </w:r>
      <w:r w:rsidRPr="00F81338">
        <w:rPr>
          <w:rFonts w:ascii="Century" w:hAnsi="Century" w:cs="Miriam" w:hint="eastAsia"/>
          <w:b/>
          <w:spacing w:val="0"/>
          <w:szCs w:val="24"/>
          <w:rtl/>
        </w:rPr>
        <w:t>ואיפה</w:t>
      </w:r>
      <w:r w:rsidRPr="00F81338">
        <w:rPr>
          <w:rFonts w:ascii="Century" w:hAnsi="Century" w:cs="Miriam"/>
          <w:b/>
          <w:spacing w:val="0"/>
          <w:szCs w:val="24"/>
          <w:rtl/>
        </w:rPr>
        <w:t xml:space="preserve">, </w:t>
      </w:r>
      <w:r w:rsidRPr="00F81338">
        <w:rPr>
          <w:rFonts w:ascii="Century" w:hAnsi="Century" w:cs="Miriam" w:hint="eastAsia"/>
          <w:b/>
          <w:spacing w:val="0"/>
          <w:szCs w:val="24"/>
          <w:rtl/>
        </w:rPr>
        <w:t>מערער</w:t>
      </w:r>
      <w:r w:rsidRPr="00F81338">
        <w:rPr>
          <w:rFonts w:ascii="Century" w:hAnsi="Century" w:cs="Miriam"/>
          <w:b/>
          <w:spacing w:val="0"/>
          <w:szCs w:val="24"/>
          <w:rtl/>
        </w:rPr>
        <w:t xml:space="preserve"> </w:t>
      </w:r>
      <w:r w:rsidRPr="00F81338">
        <w:rPr>
          <w:rFonts w:ascii="Century" w:hAnsi="Century" w:cs="Miriam" w:hint="eastAsia"/>
          <w:b/>
          <w:spacing w:val="0"/>
          <w:szCs w:val="24"/>
          <w:rtl/>
        </w:rPr>
        <w:t>את</w:t>
      </w:r>
      <w:r w:rsidRPr="00F81338">
        <w:rPr>
          <w:rFonts w:ascii="Century" w:hAnsi="Century" w:cs="Miriam"/>
          <w:b/>
          <w:spacing w:val="0"/>
          <w:szCs w:val="24"/>
          <w:rtl/>
        </w:rPr>
        <w:t xml:space="preserve"> </w:t>
      </w:r>
      <w:r w:rsidRPr="00F81338">
        <w:rPr>
          <w:rFonts w:ascii="Century" w:hAnsi="Century" w:cs="Miriam" w:hint="eastAsia"/>
          <w:b/>
          <w:spacing w:val="0"/>
          <w:szCs w:val="24"/>
          <w:rtl/>
        </w:rPr>
        <w:t>יציבות</w:t>
      </w:r>
      <w:r w:rsidRPr="00F81338">
        <w:rPr>
          <w:rFonts w:ascii="Century" w:hAnsi="Century" w:cs="Miriam"/>
          <w:b/>
          <w:spacing w:val="0"/>
          <w:szCs w:val="24"/>
          <w:rtl/>
        </w:rPr>
        <w:t xml:space="preserve"> </w:t>
      </w:r>
      <w:r w:rsidRPr="00F81338">
        <w:rPr>
          <w:rFonts w:ascii="Century" w:hAnsi="Century" w:cs="Miriam" w:hint="eastAsia"/>
          <w:b/>
          <w:spacing w:val="0"/>
          <w:szCs w:val="24"/>
          <w:rtl/>
        </w:rPr>
        <w:t>מבנה</w:t>
      </w:r>
      <w:r w:rsidRPr="00F81338">
        <w:rPr>
          <w:rFonts w:ascii="Century" w:hAnsi="Century" w:cs="Miriam"/>
          <w:b/>
          <w:spacing w:val="0"/>
          <w:szCs w:val="24"/>
          <w:rtl/>
        </w:rPr>
        <w:t xml:space="preserve"> </w:t>
      </w:r>
      <w:r w:rsidRPr="00F81338">
        <w:rPr>
          <w:rFonts w:ascii="Century" w:hAnsi="Century" w:cs="Miriam" w:hint="eastAsia"/>
          <w:b/>
          <w:spacing w:val="0"/>
          <w:szCs w:val="24"/>
          <w:rtl/>
        </w:rPr>
        <w:t>החוק</w:t>
      </w:r>
      <w:r w:rsidRPr="00F81338">
        <w:rPr>
          <w:rFonts w:ascii="Century" w:hAnsi="Century" w:cs="Miriam"/>
          <w:b/>
          <w:spacing w:val="0"/>
          <w:szCs w:val="24"/>
          <w:rtl/>
        </w:rPr>
        <w:t xml:space="preserve"> </w:t>
      </w:r>
      <w:r w:rsidRPr="00F81338">
        <w:rPr>
          <w:rFonts w:ascii="Century" w:hAnsi="Century" w:cs="Miriam" w:hint="eastAsia"/>
          <w:b/>
          <w:spacing w:val="0"/>
          <w:szCs w:val="24"/>
          <w:rtl/>
        </w:rPr>
        <w:t>ומאפשר</w:t>
      </w:r>
      <w:r w:rsidRPr="00F81338">
        <w:rPr>
          <w:rFonts w:ascii="Century" w:hAnsi="Century" w:cs="Miriam"/>
          <w:b/>
          <w:spacing w:val="0"/>
          <w:szCs w:val="24"/>
          <w:rtl/>
        </w:rPr>
        <w:t xml:space="preserve"> </w:t>
      </w:r>
      <w:r w:rsidRPr="00F81338">
        <w:rPr>
          <w:rFonts w:ascii="Century" w:hAnsi="Century" w:cs="Miriam" w:hint="eastAsia"/>
          <w:b/>
          <w:spacing w:val="0"/>
          <w:szCs w:val="24"/>
          <w:rtl/>
        </w:rPr>
        <w:t>פריצת</w:t>
      </w:r>
      <w:r w:rsidRPr="00F81338">
        <w:rPr>
          <w:rFonts w:ascii="Century" w:hAnsi="Century" w:cs="Miriam"/>
          <w:b/>
          <w:spacing w:val="0"/>
          <w:szCs w:val="24"/>
          <w:rtl/>
        </w:rPr>
        <w:t xml:space="preserve"> </w:t>
      </w:r>
      <w:r w:rsidRPr="00F81338">
        <w:rPr>
          <w:rFonts w:ascii="Century" w:hAnsi="Century" w:cs="Miriam" w:hint="eastAsia"/>
          <w:b/>
          <w:spacing w:val="0"/>
          <w:szCs w:val="24"/>
          <w:rtl/>
        </w:rPr>
        <w:t>בקיעים</w:t>
      </w:r>
      <w:r w:rsidRPr="00F81338">
        <w:rPr>
          <w:rFonts w:ascii="Century" w:hAnsi="Century" w:cs="Miriam"/>
          <w:b/>
          <w:spacing w:val="0"/>
          <w:szCs w:val="24"/>
          <w:rtl/>
        </w:rPr>
        <w:t xml:space="preserve"> </w:t>
      </w:r>
      <w:r w:rsidRPr="00F81338">
        <w:rPr>
          <w:rFonts w:ascii="Century" w:hAnsi="Century" w:cs="Miriam" w:hint="eastAsia"/>
          <w:b/>
          <w:spacing w:val="0"/>
          <w:szCs w:val="24"/>
          <w:rtl/>
        </w:rPr>
        <w:t>בו</w:t>
      </w:r>
      <w:r w:rsidRPr="00F81338">
        <w:rPr>
          <w:rtl/>
        </w:rPr>
        <w:t xml:space="preserve">" </w:t>
      </w:r>
      <w:r w:rsidRPr="00586348">
        <w:rPr>
          <w:rtl/>
        </w:rPr>
        <w:t>(</w:t>
      </w:r>
      <w:r w:rsidRPr="00586348">
        <w:rPr>
          <w:rFonts w:hint="eastAsia"/>
          <w:rtl/>
        </w:rPr>
        <w:t>ע</w:t>
      </w:r>
      <w:r w:rsidRPr="00586348">
        <w:rPr>
          <w:rtl/>
        </w:rPr>
        <w:t>"</w:t>
      </w:r>
      <w:r w:rsidRPr="00586348">
        <w:rPr>
          <w:rFonts w:hint="eastAsia"/>
          <w:rtl/>
        </w:rPr>
        <w:t>א</w:t>
      </w:r>
      <w:r w:rsidRPr="00586348">
        <w:rPr>
          <w:rtl/>
        </w:rPr>
        <w:t xml:space="preserve"> 260/83 </w:t>
      </w:r>
      <w:r w:rsidRPr="00586348">
        <w:rPr>
          <w:rFonts w:ascii="Century" w:hAnsi="Century" w:cs="Miriam" w:hint="eastAsia"/>
          <w:b/>
          <w:spacing w:val="0"/>
          <w:szCs w:val="24"/>
          <w:rtl/>
        </w:rPr>
        <w:t>מנהל</w:t>
      </w:r>
      <w:r w:rsidRPr="00586348">
        <w:rPr>
          <w:rFonts w:ascii="Century" w:hAnsi="Century" w:cs="Miriam"/>
          <w:b/>
          <w:spacing w:val="0"/>
          <w:szCs w:val="24"/>
          <w:rtl/>
        </w:rPr>
        <w:t xml:space="preserve"> </w:t>
      </w:r>
      <w:r w:rsidRPr="00586348">
        <w:rPr>
          <w:rFonts w:ascii="Century" w:hAnsi="Century" w:cs="Miriam" w:hint="eastAsia"/>
          <w:b/>
          <w:spacing w:val="0"/>
          <w:szCs w:val="24"/>
          <w:rtl/>
        </w:rPr>
        <w:t>מס</w:t>
      </w:r>
      <w:r w:rsidRPr="00586348">
        <w:rPr>
          <w:rFonts w:ascii="Century" w:hAnsi="Century" w:cs="Miriam"/>
          <w:b/>
          <w:spacing w:val="0"/>
          <w:szCs w:val="24"/>
          <w:rtl/>
        </w:rPr>
        <w:t xml:space="preserve"> </w:t>
      </w:r>
      <w:r w:rsidRPr="00586348">
        <w:rPr>
          <w:rFonts w:ascii="Century" w:hAnsi="Century" w:cs="Miriam" w:hint="eastAsia"/>
          <w:b/>
          <w:spacing w:val="0"/>
          <w:szCs w:val="24"/>
          <w:rtl/>
        </w:rPr>
        <w:t>שבח</w:t>
      </w:r>
      <w:r w:rsidRPr="00586348">
        <w:rPr>
          <w:rFonts w:ascii="Century" w:hAnsi="Century" w:cs="Miriam"/>
          <w:b/>
          <w:spacing w:val="0"/>
          <w:szCs w:val="24"/>
          <w:rtl/>
        </w:rPr>
        <w:t xml:space="preserve"> </w:t>
      </w:r>
      <w:r w:rsidRPr="00586348">
        <w:rPr>
          <w:rFonts w:ascii="Century" w:hAnsi="Century" w:cs="Miriam" w:hint="eastAsia"/>
          <w:b/>
          <w:spacing w:val="0"/>
          <w:szCs w:val="24"/>
          <w:rtl/>
        </w:rPr>
        <w:t>מקרקעין</w:t>
      </w:r>
      <w:r w:rsidRPr="00586348">
        <w:rPr>
          <w:rFonts w:ascii="Century" w:hAnsi="Century" w:cs="Miriam"/>
          <w:b/>
          <w:spacing w:val="0"/>
          <w:szCs w:val="24"/>
          <w:rtl/>
        </w:rPr>
        <w:t xml:space="preserve"> </w:t>
      </w:r>
      <w:r w:rsidRPr="00586348">
        <w:rPr>
          <w:rFonts w:ascii="Century" w:hAnsi="Century" w:cs="Miriam" w:hint="eastAsia"/>
          <w:b/>
          <w:spacing w:val="0"/>
          <w:szCs w:val="24"/>
          <w:rtl/>
        </w:rPr>
        <w:t>נ</w:t>
      </w:r>
      <w:r w:rsidRPr="00586348">
        <w:rPr>
          <w:rFonts w:ascii="Century" w:hAnsi="Century" w:cs="Miriam"/>
          <w:b/>
          <w:spacing w:val="0"/>
          <w:szCs w:val="24"/>
          <w:rtl/>
        </w:rPr>
        <w:t xml:space="preserve">' </w:t>
      </w:r>
      <w:r w:rsidRPr="00586348">
        <w:rPr>
          <w:rFonts w:ascii="Century" w:hAnsi="Century" w:cs="Miriam" w:hint="eastAsia"/>
          <w:b/>
          <w:spacing w:val="0"/>
          <w:szCs w:val="24"/>
          <w:rtl/>
        </w:rPr>
        <w:t>אברהם</w:t>
      </w:r>
      <w:r w:rsidRPr="00586348">
        <w:rPr>
          <w:rtl/>
        </w:rPr>
        <w:t xml:space="preserve">, </w:t>
      </w:r>
      <w:proofErr w:type="spellStart"/>
      <w:r w:rsidRPr="00586348">
        <w:rPr>
          <w:rFonts w:hint="eastAsia"/>
          <w:rtl/>
        </w:rPr>
        <w:t>פ</w:t>
      </w:r>
      <w:r w:rsidRPr="00586348">
        <w:rPr>
          <w:rtl/>
        </w:rPr>
        <w:t>''</w:t>
      </w:r>
      <w:r w:rsidRPr="00586348">
        <w:rPr>
          <w:rFonts w:hint="eastAsia"/>
          <w:rtl/>
        </w:rPr>
        <w:t>ד</w:t>
      </w:r>
      <w:proofErr w:type="spellEnd"/>
      <w:r w:rsidRPr="00586348">
        <w:rPr>
          <w:rtl/>
        </w:rPr>
        <w:t xml:space="preserve"> </w:t>
      </w:r>
      <w:r w:rsidRPr="00586348">
        <w:rPr>
          <w:rFonts w:hint="eastAsia"/>
          <w:rtl/>
        </w:rPr>
        <w:t>לט</w:t>
      </w:r>
      <w:r w:rsidRPr="00586348">
        <w:rPr>
          <w:rtl/>
        </w:rPr>
        <w:t>(2) 96, 106 (1985))</w:t>
      </w:r>
      <w:r w:rsidRPr="00586348">
        <w:rPr>
          <w:rFonts w:hint="cs"/>
          <w:rtl/>
        </w:rPr>
        <w:t>.</w:t>
      </w:r>
      <w:r>
        <w:rPr>
          <w:rFonts w:hint="cs"/>
          <w:rtl/>
        </w:rPr>
        <w:t xml:space="preserve"> לאמור, עקרון ההרמוניה החקיקתית מורנו כי במלאכת הפרשנות יש להתחקות אחר הפירוש המשתלב בצורה המיטבית עם ההקשר בו הוא נמצא</w:t>
      </w:r>
      <w:r>
        <w:rPr>
          <w:rtl/>
        </w:rPr>
        <w:t xml:space="preserve"> (</w:t>
      </w:r>
      <w:r>
        <w:rPr>
          <w:rFonts w:hint="cs"/>
          <w:rtl/>
        </w:rPr>
        <w:t xml:space="preserve">ראו, למשל: </w:t>
      </w:r>
      <w:r w:rsidRPr="00586348">
        <w:rPr>
          <w:rFonts w:hint="eastAsia"/>
          <w:rtl/>
        </w:rPr>
        <w:t>ע</w:t>
      </w:r>
      <w:r w:rsidRPr="00586348">
        <w:rPr>
          <w:rtl/>
        </w:rPr>
        <w:t>"</w:t>
      </w:r>
      <w:r w:rsidRPr="00586348">
        <w:rPr>
          <w:rFonts w:hint="eastAsia"/>
          <w:rtl/>
        </w:rPr>
        <w:t>א</w:t>
      </w:r>
      <w:r w:rsidRPr="00586348">
        <w:rPr>
          <w:rtl/>
        </w:rPr>
        <w:t xml:space="preserve"> 486</w:t>
      </w:r>
      <w:r>
        <w:rPr>
          <w:rFonts w:hint="cs"/>
          <w:rtl/>
        </w:rPr>
        <w:t>/</w:t>
      </w:r>
      <w:r w:rsidRPr="00586348">
        <w:rPr>
          <w:rtl/>
        </w:rPr>
        <w:t xml:space="preserve">85 </w:t>
      </w:r>
      <w:r w:rsidRPr="00586348">
        <w:rPr>
          <w:rFonts w:ascii="Century" w:hAnsi="Century" w:cs="Miriam" w:hint="eastAsia"/>
          <w:b/>
          <w:spacing w:val="0"/>
          <w:szCs w:val="24"/>
          <w:rtl/>
        </w:rPr>
        <w:t>מנהל</w:t>
      </w:r>
      <w:r w:rsidRPr="00586348">
        <w:rPr>
          <w:rFonts w:ascii="Century" w:hAnsi="Century" w:cs="Miriam"/>
          <w:b/>
          <w:spacing w:val="0"/>
          <w:szCs w:val="24"/>
          <w:rtl/>
        </w:rPr>
        <w:t xml:space="preserve"> </w:t>
      </w:r>
      <w:r w:rsidRPr="00586348">
        <w:rPr>
          <w:rFonts w:ascii="Century" w:hAnsi="Century" w:cs="Miriam" w:hint="eastAsia"/>
          <w:b/>
          <w:spacing w:val="0"/>
          <w:szCs w:val="24"/>
          <w:rtl/>
        </w:rPr>
        <w:t>מס</w:t>
      </w:r>
      <w:r w:rsidRPr="00586348">
        <w:rPr>
          <w:rFonts w:ascii="Century" w:hAnsi="Century" w:cs="Miriam"/>
          <w:b/>
          <w:spacing w:val="0"/>
          <w:szCs w:val="24"/>
          <w:rtl/>
        </w:rPr>
        <w:t xml:space="preserve"> </w:t>
      </w:r>
      <w:r w:rsidRPr="00586348">
        <w:rPr>
          <w:rFonts w:ascii="Century" w:hAnsi="Century" w:cs="Miriam" w:hint="eastAsia"/>
          <w:b/>
          <w:spacing w:val="0"/>
          <w:szCs w:val="24"/>
          <w:rtl/>
        </w:rPr>
        <w:t>רכוש</w:t>
      </w:r>
      <w:r w:rsidRPr="00586348">
        <w:rPr>
          <w:rFonts w:ascii="Century" w:hAnsi="Century" w:cs="Miriam"/>
          <w:b/>
          <w:spacing w:val="0"/>
          <w:szCs w:val="24"/>
          <w:rtl/>
        </w:rPr>
        <w:t xml:space="preserve"> </w:t>
      </w:r>
      <w:r w:rsidRPr="00586348">
        <w:rPr>
          <w:rFonts w:ascii="Century" w:hAnsi="Century" w:cs="Miriam" w:hint="eastAsia"/>
          <w:b/>
          <w:spacing w:val="0"/>
          <w:szCs w:val="24"/>
          <w:rtl/>
        </w:rPr>
        <w:t>וקרן</w:t>
      </w:r>
      <w:r w:rsidRPr="00586348">
        <w:rPr>
          <w:rFonts w:ascii="Century" w:hAnsi="Century" w:cs="Miriam"/>
          <w:b/>
          <w:spacing w:val="0"/>
          <w:szCs w:val="24"/>
          <w:rtl/>
        </w:rPr>
        <w:t xml:space="preserve"> </w:t>
      </w:r>
      <w:r w:rsidRPr="00586348">
        <w:rPr>
          <w:rFonts w:ascii="Century" w:hAnsi="Century" w:cs="Miriam" w:hint="eastAsia"/>
          <w:b/>
          <w:spacing w:val="0"/>
          <w:szCs w:val="24"/>
          <w:rtl/>
        </w:rPr>
        <w:t>פיצויים</w:t>
      </w:r>
      <w:r w:rsidRPr="00586348">
        <w:rPr>
          <w:rFonts w:ascii="Century" w:hAnsi="Century" w:cs="Miriam"/>
          <w:b/>
          <w:spacing w:val="0"/>
          <w:szCs w:val="24"/>
          <w:rtl/>
        </w:rPr>
        <w:t xml:space="preserve">, </w:t>
      </w:r>
      <w:r w:rsidRPr="00586348">
        <w:rPr>
          <w:rFonts w:ascii="Century" w:hAnsi="Century" w:cs="Miriam" w:hint="eastAsia"/>
          <w:b/>
          <w:spacing w:val="0"/>
          <w:szCs w:val="24"/>
          <w:rtl/>
        </w:rPr>
        <w:t>חיפה</w:t>
      </w:r>
      <w:r w:rsidRPr="00586348">
        <w:rPr>
          <w:rFonts w:ascii="Century" w:hAnsi="Century" w:cs="Miriam"/>
          <w:b/>
          <w:spacing w:val="0"/>
          <w:szCs w:val="24"/>
          <w:rtl/>
        </w:rPr>
        <w:t xml:space="preserve"> </w:t>
      </w:r>
      <w:r w:rsidRPr="00586348">
        <w:rPr>
          <w:rFonts w:ascii="Century" w:hAnsi="Century" w:cs="Miriam" w:hint="eastAsia"/>
          <w:b/>
          <w:spacing w:val="0"/>
          <w:szCs w:val="24"/>
          <w:rtl/>
        </w:rPr>
        <w:t>נ</w:t>
      </w:r>
      <w:r w:rsidRPr="00586348">
        <w:rPr>
          <w:rFonts w:ascii="Century" w:hAnsi="Century" w:cs="Miriam"/>
          <w:b/>
          <w:spacing w:val="0"/>
          <w:szCs w:val="24"/>
          <w:rtl/>
        </w:rPr>
        <w:t xml:space="preserve">' </w:t>
      </w:r>
      <w:r w:rsidRPr="00586348">
        <w:rPr>
          <w:rFonts w:ascii="Century" w:hAnsi="Century" w:cs="Miriam" w:hint="eastAsia"/>
          <w:b/>
          <w:spacing w:val="0"/>
          <w:szCs w:val="24"/>
          <w:rtl/>
        </w:rPr>
        <w:t>החברה</w:t>
      </w:r>
      <w:r w:rsidRPr="00586348">
        <w:rPr>
          <w:rFonts w:ascii="Century" w:hAnsi="Century" w:cs="Miriam"/>
          <w:b/>
          <w:spacing w:val="0"/>
          <w:szCs w:val="24"/>
          <w:rtl/>
        </w:rPr>
        <w:t xml:space="preserve"> </w:t>
      </w:r>
      <w:r w:rsidRPr="00586348">
        <w:rPr>
          <w:rFonts w:ascii="Century" w:hAnsi="Century" w:cs="Miriam" w:hint="eastAsia"/>
          <w:b/>
          <w:spacing w:val="0"/>
          <w:szCs w:val="24"/>
          <w:rtl/>
        </w:rPr>
        <w:t>החבשית</w:t>
      </w:r>
      <w:r w:rsidRPr="00586348">
        <w:rPr>
          <w:rFonts w:ascii="Century" w:hAnsi="Century" w:cs="Miriam"/>
          <w:b/>
          <w:spacing w:val="0"/>
          <w:szCs w:val="24"/>
          <w:rtl/>
        </w:rPr>
        <w:t xml:space="preserve"> </w:t>
      </w:r>
      <w:r w:rsidRPr="00586348">
        <w:rPr>
          <w:rFonts w:ascii="Century" w:hAnsi="Century" w:cs="Miriam" w:hint="eastAsia"/>
          <w:b/>
          <w:spacing w:val="0"/>
          <w:szCs w:val="24"/>
          <w:rtl/>
        </w:rPr>
        <w:t>למסחר</w:t>
      </w:r>
      <w:r w:rsidRPr="00586348">
        <w:rPr>
          <w:rFonts w:ascii="Century" w:hAnsi="Century" w:cs="Miriam"/>
          <w:b/>
          <w:spacing w:val="0"/>
          <w:szCs w:val="24"/>
          <w:rtl/>
        </w:rPr>
        <w:t xml:space="preserve"> </w:t>
      </w:r>
      <w:r w:rsidRPr="00586348">
        <w:rPr>
          <w:rFonts w:ascii="Century" w:hAnsi="Century" w:cs="Miriam" w:hint="eastAsia"/>
          <w:b/>
          <w:spacing w:val="0"/>
          <w:szCs w:val="24"/>
          <w:rtl/>
        </w:rPr>
        <w:t>בע</w:t>
      </w:r>
      <w:r w:rsidRPr="00586348">
        <w:rPr>
          <w:rFonts w:ascii="Century" w:hAnsi="Century" w:cs="Miriam"/>
          <w:b/>
          <w:spacing w:val="0"/>
          <w:szCs w:val="24"/>
          <w:rtl/>
        </w:rPr>
        <w:t>"</w:t>
      </w:r>
      <w:r w:rsidRPr="00586348">
        <w:rPr>
          <w:rFonts w:ascii="Century" w:hAnsi="Century" w:cs="Miriam" w:hint="eastAsia"/>
          <w:b/>
          <w:spacing w:val="0"/>
          <w:szCs w:val="24"/>
          <w:rtl/>
        </w:rPr>
        <w:t>מ</w:t>
      </w:r>
      <w:r w:rsidRPr="00586348">
        <w:rPr>
          <w:rtl/>
        </w:rPr>
        <w:t>,</w:t>
      </w:r>
      <w:r>
        <w:rPr>
          <w:rFonts w:hint="cs"/>
          <w:rtl/>
        </w:rPr>
        <w:t xml:space="preserve"> פ"ד</w:t>
      </w:r>
      <w:r w:rsidRPr="00586348">
        <w:rPr>
          <w:rtl/>
        </w:rPr>
        <w:t xml:space="preserve"> </w:t>
      </w:r>
      <w:proofErr w:type="spellStart"/>
      <w:r w:rsidRPr="00586348">
        <w:rPr>
          <w:rFonts w:hint="eastAsia"/>
          <w:rtl/>
        </w:rPr>
        <w:t>מא</w:t>
      </w:r>
      <w:proofErr w:type="spellEnd"/>
      <w:r w:rsidRPr="00586348">
        <w:rPr>
          <w:rtl/>
        </w:rPr>
        <w:t>(2) 402</w:t>
      </w:r>
      <w:r>
        <w:rPr>
          <w:rFonts w:hint="cs"/>
          <w:rtl/>
        </w:rPr>
        <w:t xml:space="preserve">, 413 (1987); </w:t>
      </w:r>
      <w:r w:rsidRPr="0094770F">
        <w:rPr>
          <w:rFonts w:hint="eastAsia"/>
          <w:rtl/>
        </w:rPr>
        <w:t>ע</w:t>
      </w:r>
      <w:r w:rsidRPr="0094770F">
        <w:rPr>
          <w:rtl/>
        </w:rPr>
        <w:t>"</w:t>
      </w:r>
      <w:r w:rsidRPr="0094770F">
        <w:rPr>
          <w:rFonts w:hint="eastAsia"/>
          <w:rtl/>
        </w:rPr>
        <w:t>א</w:t>
      </w:r>
      <w:r w:rsidRPr="0094770F">
        <w:rPr>
          <w:rtl/>
        </w:rPr>
        <w:t xml:space="preserve"> 9096</w:t>
      </w:r>
      <w:r>
        <w:rPr>
          <w:rFonts w:hint="cs"/>
          <w:rtl/>
        </w:rPr>
        <w:t>/</w:t>
      </w:r>
      <w:r w:rsidRPr="0094770F">
        <w:rPr>
          <w:rtl/>
        </w:rPr>
        <w:t xml:space="preserve">07 </w:t>
      </w:r>
      <w:r w:rsidRPr="0094770F">
        <w:rPr>
          <w:rFonts w:ascii="Century" w:hAnsi="Century" w:cs="Miriam" w:hint="eastAsia"/>
          <w:b/>
          <w:spacing w:val="0"/>
          <w:szCs w:val="24"/>
          <w:rtl/>
        </w:rPr>
        <w:t>סטרלינג</w:t>
      </w:r>
      <w:r w:rsidRPr="0094770F">
        <w:rPr>
          <w:rFonts w:ascii="Century" w:hAnsi="Century" w:cs="Miriam"/>
          <w:b/>
          <w:spacing w:val="0"/>
          <w:szCs w:val="24"/>
          <w:rtl/>
        </w:rPr>
        <w:t xml:space="preserve"> </w:t>
      </w:r>
      <w:proofErr w:type="spellStart"/>
      <w:r w:rsidRPr="0094770F">
        <w:rPr>
          <w:rFonts w:ascii="Century" w:hAnsi="Century" w:cs="Miriam" w:hint="eastAsia"/>
          <w:b/>
          <w:spacing w:val="0"/>
          <w:szCs w:val="24"/>
          <w:rtl/>
        </w:rPr>
        <w:t>סופטוור</w:t>
      </w:r>
      <w:proofErr w:type="spellEnd"/>
      <w:r w:rsidRPr="0094770F">
        <w:rPr>
          <w:rFonts w:ascii="Century" w:hAnsi="Century" w:cs="Miriam"/>
          <w:b/>
          <w:spacing w:val="0"/>
          <w:szCs w:val="24"/>
          <w:rtl/>
        </w:rPr>
        <w:t xml:space="preserve"> (</w:t>
      </w:r>
      <w:r w:rsidRPr="0094770F">
        <w:rPr>
          <w:rFonts w:ascii="Century" w:hAnsi="Century" w:cs="Miriam" w:hint="eastAsia"/>
          <w:b/>
          <w:spacing w:val="0"/>
          <w:szCs w:val="24"/>
          <w:rtl/>
        </w:rPr>
        <w:t>ישראל</w:t>
      </w:r>
      <w:r w:rsidRPr="0094770F">
        <w:rPr>
          <w:rFonts w:ascii="Century" w:hAnsi="Century" w:cs="Miriam"/>
          <w:b/>
          <w:spacing w:val="0"/>
          <w:szCs w:val="24"/>
          <w:rtl/>
        </w:rPr>
        <w:t xml:space="preserve">) </w:t>
      </w:r>
      <w:r w:rsidRPr="0094770F">
        <w:rPr>
          <w:rFonts w:ascii="Century" w:hAnsi="Century" w:cs="Miriam" w:hint="eastAsia"/>
          <w:b/>
          <w:spacing w:val="0"/>
          <w:szCs w:val="24"/>
          <w:rtl/>
        </w:rPr>
        <w:t>בע</w:t>
      </w:r>
      <w:r w:rsidRPr="0094770F">
        <w:rPr>
          <w:rFonts w:ascii="Century" w:hAnsi="Century" w:cs="Miriam"/>
          <w:b/>
          <w:spacing w:val="0"/>
          <w:szCs w:val="24"/>
          <w:rtl/>
        </w:rPr>
        <w:t>"</w:t>
      </w:r>
      <w:r w:rsidRPr="0094770F">
        <w:rPr>
          <w:rFonts w:ascii="Century" w:hAnsi="Century" w:cs="Miriam" w:hint="eastAsia"/>
          <w:b/>
          <w:spacing w:val="0"/>
          <w:szCs w:val="24"/>
          <w:rtl/>
        </w:rPr>
        <w:t>מ</w:t>
      </w:r>
      <w:r w:rsidRPr="0094770F">
        <w:rPr>
          <w:rFonts w:ascii="Century" w:hAnsi="Century" w:cs="Miriam"/>
          <w:b/>
          <w:spacing w:val="0"/>
          <w:szCs w:val="24"/>
          <w:rtl/>
        </w:rPr>
        <w:t xml:space="preserve"> </w:t>
      </w:r>
      <w:r w:rsidRPr="0094770F">
        <w:rPr>
          <w:rFonts w:ascii="Century" w:hAnsi="Century" w:cs="Miriam" w:hint="eastAsia"/>
          <w:b/>
          <w:spacing w:val="0"/>
          <w:szCs w:val="24"/>
          <w:rtl/>
        </w:rPr>
        <w:t>נ</w:t>
      </w:r>
      <w:r w:rsidRPr="0094770F">
        <w:rPr>
          <w:rFonts w:ascii="Century" w:hAnsi="Century" w:cs="Miriam"/>
          <w:b/>
          <w:spacing w:val="0"/>
          <w:szCs w:val="24"/>
          <w:rtl/>
        </w:rPr>
        <w:t xml:space="preserve">' </w:t>
      </w:r>
      <w:r w:rsidRPr="0094770F">
        <w:rPr>
          <w:rFonts w:ascii="Century" w:hAnsi="Century" w:cs="Miriam" w:hint="eastAsia"/>
          <w:b/>
          <w:spacing w:val="0"/>
          <w:szCs w:val="24"/>
          <w:rtl/>
        </w:rPr>
        <w:t>פקיד</w:t>
      </w:r>
      <w:r w:rsidRPr="0094770F">
        <w:rPr>
          <w:rFonts w:ascii="Century" w:hAnsi="Century" w:cs="Miriam"/>
          <w:b/>
          <w:spacing w:val="0"/>
          <w:szCs w:val="24"/>
          <w:rtl/>
        </w:rPr>
        <w:t xml:space="preserve"> </w:t>
      </w:r>
      <w:r w:rsidRPr="0094770F">
        <w:rPr>
          <w:rFonts w:ascii="Century" w:hAnsi="Century" w:cs="Miriam" w:hint="eastAsia"/>
          <w:b/>
          <w:spacing w:val="0"/>
          <w:szCs w:val="24"/>
          <w:rtl/>
        </w:rPr>
        <w:t>שומה</w:t>
      </w:r>
      <w:r w:rsidRPr="0094770F">
        <w:rPr>
          <w:rFonts w:ascii="Century" w:hAnsi="Century" w:cs="Miriam"/>
          <w:b/>
          <w:spacing w:val="0"/>
          <w:szCs w:val="24"/>
          <w:rtl/>
        </w:rPr>
        <w:t xml:space="preserve"> </w:t>
      </w:r>
      <w:r w:rsidRPr="0094770F">
        <w:rPr>
          <w:rFonts w:ascii="Century" w:hAnsi="Century" w:cs="Miriam" w:hint="eastAsia"/>
          <w:b/>
          <w:spacing w:val="0"/>
          <w:szCs w:val="24"/>
          <w:rtl/>
        </w:rPr>
        <w:t>עכו</w:t>
      </w:r>
      <w:r>
        <w:rPr>
          <w:rFonts w:hint="cs"/>
          <w:rtl/>
        </w:rPr>
        <w:t xml:space="preserve">, פסקה כ"א (11.2.2010) (להלן: </w:t>
      </w:r>
      <w:r w:rsidRPr="00E70AF0">
        <w:rPr>
          <w:rFonts w:ascii="Century" w:hAnsi="Century" w:cs="Miriam" w:hint="cs"/>
          <w:b/>
          <w:spacing w:val="0"/>
          <w:szCs w:val="24"/>
          <w:rtl/>
        </w:rPr>
        <w:t>עניין סטרלינג</w:t>
      </w:r>
      <w:r>
        <w:rPr>
          <w:rFonts w:hint="cs"/>
          <w:rtl/>
        </w:rPr>
        <w:t xml:space="preserve">); </w:t>
      </w:r>
      <w:r w:rsidRPr="00586348">
        <w:rPr>
          <w:rFonts w:hint="eastAsia"/>
          <w:rtl/>
        </w:rPr>
        <w:t>אהרן</w:t>
      </w:r>
      <w:r w:rsidRPr="00586348">
        <w:rPr>
          <w:rtl/>
        </w:rPr>
        <w:t xml:space="preserve"> </w:t>
      </w:r>
      <w:r w:rsidRPr="00586348">
        <w:rPr>
          <w:rFonts w:hint="eastAsia"/>
          <w:rtl/>
        </w:rPr>
        <w:t>ברק</w:t>
      </w:r>
      <w:r w:rsidRPr="00586348">
        <w:rPr>
          <w:rtl/>
        </w:rPr>
        <w:t xml:space="preserve"> </w:t>
      </w:r>
      <w:r w:rsidRPr="00586348">
        <w:rPr>
          <w:rFonts w:ascii="Century" w:hAnsi="Century" w:cs="Miriam" w:hint="eastAsia"/>
          <w:b/>
          <w:spacing w:val="0"/>
          <w:szCs w:val="24"/>
          <w:rtl/>
        </w:rPr>
        <w:t>פרשנות</w:t>
      </w:r>
      <w:r w:rsidRPr="00586348">
        <w:rPr>
          <w:rFonts w:ascii="Century" w:hAnsi="Century" w:cs="Miriam"/>
          <w:b/>
          <w:spacing w:val="0"/>
          <w:szCs w:val="24"/>
          <w:rtl/>
        </w:rPr>
        <w:t xml:space="preserve"> </w:t>
      </w:r>
      <w:r w:rsidRPr="00586348">
        <w:rPr>
          <w:rFonts w:ascii="Century" w:hAnsi="Century" w:cs="Miriam" w:hint="eastAsia"/>
          <w:b/>
          <w:spacing w:val="0"/>
          <w:szCs w:val="24"/>
          <w:rtl/>
        </w:rPr>
        <w:t>במשפט</w:t>
      </w:r>
      <w:r w:rsidRPr="00586348">
        <w:rPr>
          <w:rFonts w:ascii="Century" w:hAnsi="Century" w:cs="Miriam"/>
          <w:b/>
          <w:spacing w:val="0"/>
          <w:szCs w:val="24"/>
          <w:rtl/>
        </w:rPr>
        <w:t xml:space="preserve"> – </w:t>
      </w:r>
      <w:r w:rsidRPr="00586348">
        <w:rPr>
          <w:rFonts w:ascii="Century" w:hAnsi="Century" w:cs="Miriam" w:hint="eastAsia"/>
          <w:b/>
          <w:spacing w:val="0"/>
          <w:szCs w:val="24"/>
          <w:rtl/>
        </w:rPr>
        <w:t>פרשנות</w:t>
      </w:r>
      <w:r w:rsidRPr="00586348">
        <w:rPr>
          <w:rFonts w:ascii="Century" w:hAnsi="Century" w:cs="Miriam"/>
          <w:b/>
          <w:spacing w:val="0"/>
          <w:szCs w:val="24"/>
          <w:rtl/>
        </w:rPr>
        <w:t xml:space="preserve"> </w:t>
      </w:r>
      <w:r w:rsidRPr="00586348">
        <w:rPr>
          <w:rFonts w:ascii="Century" w:hAnsi="Century" w:cs="Miriam" w:hint="eastAsia"/>
          <w:b/>
          <w:spacing w:val="0"/>
          <w:szCs w:val="24"/>
          <w:rtl/>
        </w:rPr>
        <w:t>החקיקה</w:t>
      </w:r>
      <w:r w:rsidRPr="00586348">
        <w:rPr>
          <w:rtl/>
        </w:rPr>
        <w:t xml:space="preserve"> </w:t>
      </w:r>
      <w:r>
        <w:rPr>
          <w:rFonts w:hint="cs"/>
          <w:rtl/>
        </w:rPr>
        <w:t xml:space="preserve">343-341 </w:t>
      </w:r>
      <w:r w:rsidRPr="00586348">
        <w:rPr>
          <w:rtl/>
        </w:rPr>
        <w:t>(</w:t>
      </w:r>
      <w:r>
        <w:rPr>
          <w:rFonts w:hint="cs"/>
          <w:rtl/>
        </w:rPr>
        <w:t>1993</w:t>
      </w:r>
      <w:r w:rsidRPr="00586348">
        <w:rPr>
          <w:rtl/>
        </w:rPr>
        <w:t>)</w:t>
      </w:r>
      <w:r>
        <w:rPr>
          <w:rFonts w:hint="cs"/>
          <w:rtl/>
        </w:rPr>
        <w:t xml:space="preserve"> (להלן: </w:t>
      </w:r>
      <w:r w:rsidRPr="00805A0B">
        <w:rPr>
          <w:rFonts w:ascii="Century" w:hAnsi="Century" w:cs="Miriam" w:hint="cs"/>
          <w:b/>
          <w:spacing w:val="0"/>
          <w:szCs w:val="24"/>
          <w:rtl/>
        </w:rPr>
        <w:t>ברק, פרשנות במשפט</w:t>
      </w:r>
      <w:r>
        <w:rPr>
          <w:rFonts w:hint="cs"/>
          <w:rtl/>
        </w:rPr>
        <w:t>). לקשר בין הוראות פקודת מס הכנסה ובין הוראות חוק עידוד השקעות בהקשר הנדון, ראו סעיף 41(ב)(1) לחוק.</w:t>
      </w:r>
      <w:r w:rsidRPr="00223939">
        <w:rPr>
          <w:rFonts w:hint="cs"/>
          <w:rtl/>
        </w:rPr>
        <w:t xml:space="preserve"> </w:t>
      </w:r>
      <w:r>
        <w:rPr>
          <w:rFonts w:hint="cs"/>
          <w:rtl/>
        </w:rPr>
        <w:t xml:space="preserve">כן ראו והשוו: </w:t>
      </w:r>
      <w:r w:rsidRPr="0060128A">
        <w:rPr>
          <w:rFonts w:hint="eastAsia"/>
          <w:rtl/>
        </w:rPr>
        <w:t>בג</w:t>
      </w:r>
      <w:r w:rsidRPr="0060128A">
        <w:rPr>
          <w:rtl/>
        </w:rPr>
        <w:t>"</w:t>
      </w:r>
      <w:r w:rsidRPr="0060128A">
        <w:rPr>
          <w:rFonts w:hint="eastAsia"/>
          <w:rtl/>
        </w:rPr>
        <w:t>ץ</w:t>
      </w:r>
      <w:r w:rsidRPr="0060128A">
        <w:rPr>
          <w:rtl/>
        </w:rPr>
        <w:t xml:space="preserve"> 67</w:t>
      </w:r>
      <w:r>
        <w:rPr>
          <w:rFonts w:hint="cs"/>
          <w:rtl/>
        </w:rPr>
        <w:t>/</w:t>
      </w:r>
      <w:r w:rsidRPr="0060128A">
        <w:rPr>
          <w:rtl/>
        </w:rPr>
        <w:t xml:space="preserve">51 </w:t>
      </w:r>
      <w:r w:rsidRPr="0060128A">
        <w:rPr>
          <w:rFonts w:ascii="Century" w:hAnsi="Century" w:cs="Miriam" w:hint="eastAsia"/>
          <w:b/>
          <w:spacing w:val="0"/>
          <w:szCs w:val="24"/>
          <w:rtl/>
        </w:rPr>
        <w:t>ד</w:t>
      </w:r>
      <w:r w:rsidRPr="0060128A">
        <w:rPr>
          <w:rFonts w:ascii="Century" w:hAnsi="Century" w:cs="Miriam"/>
          <w:b/>
          <w:spacing w:val="0"/>
          <w:szCs w:val="24"/>
          <w:rtl/>
        </w:rPr>
        <w:t>"</w:t>
      </w:r>
      <w:r w:rsidRPr="0060128A">
        <w:rPr>
          <w:rFonts w:ascii="Century" w:hAnsi="Century" w:cs="Miriam" w:hint="eastAsia"/>
          <w:b/>
          <w:spacing w:val="0"/>
          <w:szCs w:val="24"/>
          <w:rtl/>
        </w:rPr>
        <w:t>ר</w:t>
      </w:r>
      <w:r w:rsidRPr="0060128A">
        <w:rPr>
          <w:rFonts w:ascii="Century" w:hAnsi="Century" w:cs="Miriam"/>
          <w:b/>
          <w:spacing w:val="0"/>
          <w:szCs w:val="24"/>
          <w:rtl/>
        </w:rPr>
        <w:t xml:space="preserve"> </w:t>
      </w:r>
      <w:r w:rsidRPr="0060128A">
        <w:rPr>
          <w:rFonts w:ascii="Century" w:hAnsi="Century" w:cs="Miriam" w:hint="eastAsia"/>
          <w:b/>
          <w:spacing w:val="0"/>
          <w:szCs w:val="24"/>
          <w:rtl/>
        </w:rPr>
        <w:t>וייל</w:t>
      </w:r>
      <w:r w:rsidRPr="0060128A">
        <w:rPr>
          <w:rFonts w:ascii="Century" w:hAnsi="Century" w:cs="Miriam" w:hint="cs"/>
          <w:b/>
          <w:spacing w:val="0"/>
          <w:szCs w:val="24"/>
          <w:rtl/>
        </w:rPr>
        <w:t xml:space="preserve"> </w:t>
      </w:r>
      <w:r w:rsidRPr="0060128A">
        <w:rPr>
          <w:rFonts w:ascii="Century" w:hAnsi="Century" w:cs="Miriam" w:hint="eastAsia"/>
          <w:b/>
          <w:spacing w:val="0"/>
          <w:szCs w:val="24"/>
          <w:rtl/>
        </w:rPr>
        <w:t>נ</w:t>
      </w:r>
      <w:r w:rsidRPr="0060128A">
        <w:rPr>
          <w:rFonts w:ascii="Century" w:hAnsi="Century" w:cs="Miriam"/>
          <w:b/>
          <w:spacing w:val="0"/>
          <w:szCs w:val="24"/>
          <w:rtl/>
        </w:rPr>
        <w:t xml:space="preserve">' </w:t>
      </w:r>
      <w:r w:rsidRPr="0060128A">
        <w:rPr>
          <w:rFonts w:ascii="Century" w:hAnsi="Century" w:cs="Miriam" w:hint="eastAsia"/>
          <w:b/>
          <w:spacing w:val="0"/>
          <w:szCs w:val="24"/>
          <w:rtl/>
        </w:rPr>
        <w:t>מפקד</w:t>
      </w:r>
      <w:r w:rsidRPr="0060128A">
        <w:rPr>
          <w:rFonts w:ascii="Century" w:hAnsi="Century" w:cs="Miriam"/>
          <w:b/>
          <w:spacing w:val="0"/>
          <w:szCs w:val="24"/>
          <w:rtl/>
        </w:rPr>
        <w:t xml:space="preserve"> </w:t>
      </w:r>
      <w:r w:rsidRPr="0060128A">
        <w:rPr>
          <w:rFonts w:ascii="Century" w:hAnsi="Century" w:cs="Miriam" w:hint="eastAsia"/>
          <w:b/>
          <w:spacing w:val="0"/>
          <w:szCs w:val="24"/>
          <w:rtl/>
        </w:rPr>
        <w:t>גדוד</w:t>
      </w:r>
      <w:r w:rsidRPr="0060128A">
        <w:rPr>
          <w:rFonts w:ascii="Century" w:hAnsi="Century" w:cs="Miriam"/>
          <w:b/>
          <w:spacing w:val="0"/>
          <w:szCs w:val="24"/>
          <w:rtl/>
        </w:rPr>
        <w:t xml:space="preserve"> 962, </w:t>
      </w:r>
      <w:r w:rsidRPr="0060128A">
        <w:rPr>
          <w:rFonts w:ascii="Century" w:hAnsi="Century" w:cs="Miriam" w:hint="eastAsia"/>
          <w:b/>
          <w:spacing w:val="0"/>
          <w:szCs w:val="24"/>
          <w:rtl/>
        </w:rPr>
        <w:t>צבא</w:t>
      </w:r>
      <w:r w:rsidRPr="0060128A">
        <w:rPr>
          <w:rFonts w:ascii="Century" w:hAnsi="Century" w:cs="Miriam"/>
          <w:b/>
          <w:spacing w:val="0"/>
          <w:szCs w:val="24"/>
          <w:rtl/>
        </w:rPr>
        <w:t xml:space="preserve"> </w:t>
      </w:r>
      <w:r w:rsidRPr="0060128A">
        <w:rPr>
          <w:rFonts w:ascii="Century" w:hAnsi="Century" w:cs="Miriam" w:hint="eastAsia"/>
          <w:b/>
          <w:spacing w:val="0"/>
          <w:szCs w:val="24"/>
          <w:rtl/>
        </w:rPr>
        <w:t>הגנה</w:t>
      </w:r>
      <w:r w:rsidRPr="0060128A">
        <w:rPr>
          <w:rFonts w:ascii="Century" w:hAnsi="Century" w:cs="Miriam"/>
          <w:b/>
          <w:spacing w:val="0"/>
          <w:szCs w:val="24"/>
          <w:rtl/>
        </w:rPr>
        <w:t xml:space="preserve"> </w:t>
      </w:r>
      <w:r w:rsidRPr="0060128A">
        <w:rPr>
          <w:rFonts w:ascii="Century" w:hAnsi="Century" w:cs="Miriam" w:hint="eastAsia"/>
          <w:b/>
          <w:spacing w:val="0"/>
          <w:szCs w:val="24"/>
          <w:rtl/>
        </w:rPr>
        <w:t>לישראל</w:t>
      </w:r>
      <w:r w:rsidRPr="0060128A">
        <w:rPr>
          <w:rtl/>
        </w:rPr>
        <w:t>,</w:t>
      </w:r>
      <w:r>
        <w:rPr>
          <w:rFonts w:hint="cs"/>
          <w:rtl/>
        </w:rPr>
        <w:t xml:space="preserve"> פ"ד</w:t>
      </w:r>
      <w:r w:rsidRPr="0060128A">
        <w:rPr>
          <w:rtl/>
        </w:rPr>
        <w:t xml:space="preserve"> </w:t>
      </w:r>
      <w:r w:rsidRPr="0060128A">
        <w:rPr>
          <w:rFonts w:hint="eastAsia"/>
          <w:rtl/>
        </w:rPr>
        <w:t>ה</w:t>
      </w:r>
      <w:r w:rsidRPr="0060128A">
        <w:rPr>
          <w:rtl/>
        </w:rPr>
        <w:t xml:space="preserve"> 836</w:t>
      </w:r>
      <w:r>
        <w:rPr>
          <w:rFonts w:hint="cs"/>
          <w:rtl/>
        </w:rPr>
        <w:t xml:space="preserve"> (1951); ע"א</w:t>
      </w:r>
      <w:r w:rsidRPr="004145CE">
        <w:rPr>
          <w:rtl/>
        </w:rPr>
        <w:t xml:space="preserve"> 395</w:t>
      </w:r>
      <w:r>
        <w:rPr>
          <w:rFonts w:hint="cs"/>
          <w:rtl/>
        </w:rPr>
        <w:t>/</w:t>
      </w:r>
      <w:r w:rsidRPr="004145CE">
        <w:rPr>
          <w:rtl/>
        </w:rPr>
        <w:t xml:space="preserve">59 </w:t>
      </w:r>
      <w:r w:rsidRPr="004145CE">
        <w:rPr>
          <w:rFonts w:ascii="Century" w:hAnsi="Century" w:cs="Miriam" w:hint="eastAsia"/>
          <w:b/>
          <w:spacing w:val="0"/>
          <w:szCs w:val="24"/>
          <w:rtl/>
        </w:rPr>
        <w:t>פקיד</w:t>
      </w:r>
      <w:r w:rsidRPr="004145CE">
        <w:rPr>
          <w:rFonts w:ascii="Century" w:hAnsi="Century" w:cs="Miriam"/>
          <w:b/>
          <w:spacing w:val="0"/>
          <w:szCs w:val="24"/>
          <w:rtl/>
        </w:rPr>
        <w:t xml:space="preserve"> </w:t>
      </w:r>
      <w:r w:rsidRPr="004145CE">
        <w:rPr>
          <w:rFonts w:ascii="Century" w:hAnsi="Century" w:cs="Miriam" w:hint="eastAsia"/>
          <w:b/>
          <w:spacing w:val="0"/>
          <w:szCs w:val="24"/>
          <w:rtl/>
        </w:rPr>
        <w:t>השומה</w:t>
      </w:r>
      <w:r w:rsidRPr="004145CE">
        <w:rPr>
          <w:rFonts w:ascii="Century" w:hAnsi="Century" w:cs="Miriam"/>
          <w:b/>
          <w:spacing w:val="0"/>
          <w:szCs w:val="24"/>
          <w:rtl/>
        </w:rPr>
        <w:t xml:space="preserve"> </w:t>
      </w:r>
      <w:r w:rsidRPr="004145CE">
        <w:rPr>
          <w:rFonts w:ascii="Century" w:hAnsi="Century" w:cs="Miriam" w:hint="eastAsia"/>
          <w:b/>
          <w:spacing w:val="0"/>
          <w:szCs w:val="24"/>
          <w:rtl/>
        </w:rPr>
        <w:t>חיפה</w:t>
      </w:r>
      <w:r w:rsidRPr="004145CE">
        <w:rPr>
          <w:rFonts w:ascii="Century" w:hAnsi="Century" w:cs="Miriam"/>
          <w:b/>
          <w:spacing w:val="0"/>
          <w:szCs w:val="24"/>
          <w:rtl/>
        </w:rPr>
        <w:t xml:space="preserve"> </w:t>
      </w:r>
      <w:r w:rsidRPr="004145CE">
        <w:rPr>
          <w:rFonts w:ascii="Century" w:hAnsi="Century" w:cs="Miriam" w:hint="eastAsia"/>
          <w:b/>
          <w:spacing w:val="0"/>
          <w:szCs w:val="24"/>
          <w:rtl/>
        </w:rPr>
        <w:t>נ</w:t>
      </w:r>
      <w:r w:rsidRPr="004145CE">
        <w:rPr>
          <w:rFonts w:ascii="Century" w:hAnsi="Century" w:cs="Miriam"/>
          <w:b/>
          <w:spacing w:val="0"/>
          <w:szCs w:val="24"/>
          <w:rtl/>
        </w:rPr>
        <w:t xml:space="preserve">' </w:t>
      </w:r>
      <w:r w:rsidRPr="004145CE">
        <w:rPr>
          <w:rFonts w:ascii="Century" w:hAnsi="Century" w:cs="Miriam" w:hint="eastAsia"/>
          <w:b/>
          <w:spacing w:val="0"/>
          <w:szCs w:val="24"/>
          <w:rtl/>
        </w:rPr>
        <w:t>חברת</w:t>
      </w:r>
      <w:r w:rsidRPr="004145CE">
        <w:rPr>
          <w:rFonts w:ascii="Century" w:hAnsi="Century" w:cs="Miriam"/>
          <w:b/>
          <w:spacing w:val="0"/>
          <w:szCs w:val="24"/>
          <w:rtl/>
        </w:rPr>
        <w:t xml:space="preserve"> </w:t>
      </w:r>
      <w:r w:rsidRPr="004145CE">
        <w:rPr>
          <w:rFonts w:ascii="Century" w:hAnsi="Century" w:cs="Miriam" w:hint="eastAsia"/>
          <w:b/>
          <w:spacing w:val="0"/>
          <w:szCs w:val="24"/>
          <w:rtl/>
        </w:rPr>
        <w:t>אטר</w:t>
      </w:r>
      <w:r w:rsidRPr="004145CE">
        <w:rPr>
          <w:rFonts w:ascii="Century" w:hAnsi="Century" w:cs="Miriam"/>
          <w:b/>
          <w:spacing w:val="0"/>
          <w:szCs w:val="24"/>
          <w:rtl/>
        </w:rPr>
        <w:t xml:space="preserve"> </w:t>
      </w:r>
      <w:r w:rsidRPr="004145CE">
        <w:rPr>
          <w:rFonts w:ascii="Century" w:hAnsi="Century" w:cs="Miriam" w:hint="eastAsia"/>
          <w:b/>
          <w:spacing w:val="0"/>
          <w:szCs w:val="24"/>
          <w:rtl/>
        </w:rPr>
        <w:t>בע</w:t>
      </w:r>
      <w:r w:rsidRPr="004145CE">
        <w:rPr>
          <w:rFonts w:ascii="Century" w:hAnsi="Century" w:cs="Miriam" w:hint="cs"/>
          <w:b/>
          <w:spacing w:val="0"/>
          <w:szCs w:val="24"/>
          <w:rtl/>
        </w:rPr>
        <w:t>"</w:t>
      </w:r>
      <w:r w:rsidRPr="004145CE">
        <w:rPr>
          <w:rFonts w:ascii="Century" w:hAnsi="Century" w:cs="Miriam" w:hint="eastAsia"/>
          <w:b/>
          <w:spacing w:val="0"/>
          <w:szCs w:val="24"/>
          <w:rtl/>
        </w:rPr>
        <w:t>מ</w:t>
      </w:r>
      <w:r w:rsidRPr="004145CE">
        <w:rPr>
          <w:rtl/>
        </w:rPr>
        <w:t>,</w:t>
      </w:r>
      <w:r>
        <w:rPr>
          <w:rFonts w:hint="cs"/>
          <w:rtl/>
        </w:rPr>
        <w:t xml:space="preserve"> פ"ד</w:t>
      </w:r>
      <w:r w:rsidRPr="004145CE">
        <w:rPr>
          <w:rtl/>
        </w:rPr>
        <w:t xml:space="preserve"> </w:t>
      </w:r>
      <w:proofErr w:type="spellStart"/>
      <w:r w:rsidRPr="004145CE">
        <w:rPr>
          <w:rFonts w:hint="eastAsia"/>
          <w:rtl/>
        </w:rPr>
        <w:t>יג</w:t>
      </w:r>
      <w:proofErr w:type="spellEnd"/>
      <w:r w:rsidRPr="004145CE">
        <w:rPr>
          <w:rtl/>
        </w:rPr>
        <w:t xml:space="preserve"> 2105</w:t>
      </w:r>
      <w:r>
        <w:rPr>
          <w:rFonts w:hint="cs"/>
          <w:rtl/>
        </w:rPr>
        <w:t xml:space="preserve"> (1959)).</w:t>
      </w:r>
    </w:p>
    <w:p w:rsidR="00CF54A5" w:rsidRDefault="00CF54A5" w:rsidP="00CF54A5">
      <w:pPr>
        <w:pStyle w:val="Ruller41"/>
        <w:rPr>
          <w:rtl/>
        </w:rPr>
      </w:pPr>
    </w:p>
    <w:p w:rsidR="00CF54A5" w:rsidRDefault="00CF54A5" w:rsidP="00CF54A5">
      <w:pPr>
        <w:pStyle w:val="Ruller4"/>
        <w:rPr>
          <w:rtl/>
        </w:rPr>
      </w:pPr>
      <w:r w:rsidRPr="000D0DF7">
        <w:rPr>
          <w:rFonts w:ascii="Century" w:hAnsi="Century" w:cs="Miriam" w:hint="cs"/>
          <w:b/>
          <w:spacing w:val="0"/>
          <w:sz w:val="22"/>
          <w:szCs w:val="24"/>
          <w:rtl/>
        </w:rPr>
        <w:t>שנית</w:t>
      </w:r>
      <w:r>
        <w:rPr>
          <w:rFonts w:hint="cs"/>
          <w:rtl/>
        </w:rPr>
        <w:t>, ובהמשך לאמור, יש לתת משקל להרמוניה הפנימית של הוראת החוק הנדונה. בהתאם, גם מסעיף 18א(ג)(1) לחוק ניתן ללמוד על הבחירה בהסתכלות על בסיס שנתי. כך, ברישא הסעיף, ובטרם הצגת שלוש החלופות, נכתב "</w:t>
      </w:r>
      <w:r w:rsidRPr="004716A2">
        <w:rPr>
          <w:rFonts w:ascii="Century" w:hAnsi="Century" w:cs="Miriam" w:hint="eastAsia"/>
          <w:b/>
          <w:spacing w:val="0"/>
          <w:sz w:val="22"/>
          <w:szCs w:val="24"/>
          <w:rtl/>
        </w:rPr>
        <w:t>לגבי</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מפעל</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תעשייתי</w:t>
      </w:r>
      <w:r w:rsidRPr="004716A2">
        <w:rPr>
          <w:rFonts w:ascii="Century" w:hAnsi="Century" w:cs="Miriam" w:hint="cs"/>
          <w:b/>
          <w:spacing w:val="0"/>
          <w:sz w:val="22"/>
          <w:szCs w:val="24"/>
          <w:rtl/>
        </w:rPr>
        <w:t xml:space="preserve"> </w:t>
      </w:r>
      <w:r w:rsidRPr="004716A2">
        <w:rPr>
          <w:rFonts w:ascii="Century" w:hAnsi="Century" w:hint="cs"/>
          <w:sz w:val="22"/>
          <w:rtl/>
        </w:rPr>
        <w:t>[...]</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יתקיים</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בו</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u w:val="single"/>
          <w:rtl/>
        </w:rPr>
        <w:t>בכל</w:t>
      </w:r>
      <w:r w:rsidRPr="004716A2">
        <w:rPr>
          <w:rFonts w:ascii="Century" w:hAnsi="Century" w:cs="Miriam"/>
          <w:b/>
          <w:spacing w:val="0"/>
          <w:sz w:val="22"/>
          <w:szCs w:val="24"/>
          <w:u w:val="single"/>
          <w:rtl/>
        </w:rPr>
        <w:t xml:space="preserve"> </w:t>
      </w:r>
      <w:r w:rsidRPr="004716A2">
        <w:rPr>
          <w:rFonts w:ascii="Century" w:hAnsi="Century" w:cs="Miriam" w:hint="eastAsia"/>
          <w:b/>
          <w:spacing w:val="0"/>
          <w:sz w:val="22"/>
          <w:szCs w:val="24"/>
          <w:u w:val="single"/>
          <w:rtl/>
        </w:rPr>
        <w:t>שנת</w:t>
      </w:r>
      <w:r w:rsidRPr="004716A2">
        <w:rPr>
          <w:rFonts w:ascii="Century" w:hAnsi="Century" w:cs="Miriam"/>
          <w:b/>
          <w:spacing w:val="0"/>
          <w:sz w:val="22"/>
          <w:szCs w:val="24"/>
          <w:u w:val="single"/>
          <w:rtl/>
        </w:rPr>
        <w:t xml:space="preserve"> </w:t>
      </w:r>
      <w:r w:rsidRPr="004716A2">
        <w:rPr>
          <w:rFonts w:ascii="Century" w:hAnsi="Century" w:cs="Miriam" w:hint="eastAsia"/>
          <w:b/>
          <w:spacing w:val="0"/>
          <w:sz w:val="22"/>
          <w:szCs w:val="24"/>
          <w:u w:val="single"/>
          <w:rtl/>
        </w:rPr>
        <w:t>מס</w:t>
      </w:r>
      <w:r w:rsidRPr="004716A2">
        <w:rPr>
          <w:rFonts w:ascii="Century" w:hAnsi="Century" w:cs="Miriam" w:hint="cs"/>
          <w:b/>
          <w:spacing w:val="0"/>
          <w:sz w:val="22"/>
          <w:szCs w:val="24"/>
          <w:rtl/>
        </w:rPr>
        <w:t xml:space="preserve"> </w:t>
      </w:r>
      <w:r w:rsidRPr="004716A2">
        <w:rPr>
          <w:rFonts w:ascii="Century" w:hAnsi="Century" w:hint="cs"/>
          <w:sz w:val="22"/>
          <w:rtl/>
        </w:rPr>
        <w:t>[...]</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אחד</w:t>
      </w:r>
      <w:r w:rsidRPr="004716A2">
        <w:rPr>
          <w:rFonts w:ascii="Century" w:hAnsi="Century" w:cs="Miriam"/>
          <w:b/>
          <w:spacing w:val="0"/>
          <w:sz w:val="22"/>
          <w:szCs w:val="24"/>
          <w:rtl/>
        </w:rPr>
        <w:t xml:space="preserve"> </w:t>
      </w:r>
      <w:r w:rsidRPr="004716A2">
        <w:rPr>
          <w:rFonts w:ascii="Century" w:hAnsi="Century" w:cs="Miriam" w:hint="eastAsia"/>
          <w:b/>
          <w:spacing w:val="0"/>
          <w:sz w:val="22"/>
          <w:szCs w:val="24"/>
          <w:rtl/>
        </w:rPr>
        <w:t>מאלה</w:t>
      </w:r>
      <w:r w:rsidRPr="00DE3FD3">
        <w:rPr>
          <w:rFonts w:ascii="Century" w:hAnsi="Century" w:cs="Miriam" w:hint="cs"/>
          <w:b/>
          <w:spacing w:val="0"/>
          <w:sz w:val="22"/>
          <w:szCs w:val="24"/>
          <w:rtl/>
        </w:rPr>
        <w:t>..</w:t>
      </w:r>
      <w:r w:rsidRPr="00DE3FD3">
        <w:rPr>
          <w:rFonts w:hint="cs"/>
          <w:rtl/>
        </w:rPr>
        <w:t xml:space="preserve">" </w:t>
      </w:r>
      <w:r>
        <w:rPr>
          <w:rFonts w:hint="cs"/>
          <w:rtl/>
        </w:rPr>
        <w:t>(</w:t>
      </w:r>
      <w:r w:rsidRPr="00DE3FD3">
        <w:rPr>
          <w:rFonts w:hint="cs"/>
          <w:rtl/>
        </w:rPr>
        <w:t>ראו והשוו לסעיף 50א לחוק המאפשר שמירת ההטבות לפי סעיף 47 לחוק ביתרת תקופת ההטבות, אם "</w:t>
      </w:r>
      <w:r w:rsidRPr="00B7725A">
        <w:rPr>
          <w:rFonts w:ascii="Century" w:hAnsi="Century" w:cs="Miriam" w:hint="eastAsia"/>
          <w:b/>
          <w:spacing w:val="0"/>
          <w:sz w:val="22"/>
          <w:szCs w:val="24"/>
          <w:u w:val="single"/>
          <w:rtl/>
        </w:rPr>
        <w:t>בשנת</w:t>
      </w:r>
      <w:r w:rsidRPr="00B7725A">
        <w:rPr>
          <w:rFonts w:ascii="Century" w:hAnsi="Century" w:cs="Miriam"/>
          <w:b/>
          <w:spacing w:val="0"/>
          <w:sz w:val="22"/>
          <w:szCs w:val="24"/>
          <w:u w:val="single"/>
          <w:rtl/>
        </w:rPr>
        <w:t xml:space="preserve"> </w:t>
      </w:r>
      <w:r w:rsidRPr="00B7725A">
        <w:rPr>
          <w:rFonts w:ascii="Century" w:hAnsi="Century" w:cs="Miriam" w:hint="eastAsia"/>
          <w:b/>
          <w:spacing w:val="0"/>
          <w:sz w:val="22"/>
          <w:szCs w:val="24"/>
          <w:u w:val="single"/>
          <w:rtl/>
        </w:rPr>
        <w:t>מס</w:t>
      </w:r>
      <w:r w:rsidRPr="00B7725A">
        <w:rPr>
          <w:rFonts w:ascii="Century" w:hAnsi="Century" w:cs="Miriam"/>
          <w:b/>
          <w:spacing w:val="0"/>
          <w:sz w:val="22"/>
          <w:szCs w:val="24"/>
          <w:u w:val="single"/>
          <w:rtl/>
        </w:rPr>
        <w:t xml:space="preserve"> </w:t>
      </w:r>
      <w:r w:rsidRPr="00B7725A">
        <w:rPr>
          <w:rFonts w:ascii="Century" w:hAnsi="Century" w:cs="Miriam" w:hint="eastAsia"/>
          <w:b/>
          <w:spacing w:val="0"/>
          <w:sz w:val="22"/>
          <w:szCs w:val="24"/>
          <w:u w:val="single"/>
          <w:rtl/>
        </w:rPr>
        <w:t>מסוימת</w:t>
      </w:r>
      <w:r w:rsidRPr="00DE3FD3">
        <w:rPr>
          <w:rFonts w:ascii="Century" w:hAnsi="Century" w:cs="Miriam" w:hint="cs"/>
          <w:b/>
          <w:spacing w:val="0"/>
          <w:sz w:val="22"/>
          <w:szCs w:val="24"/>
          <w:rtl/>
        </w:rPr>
        <w:t xml:space="preserve"> </w:t>
      </w:r>
      <w:r w:rsidRPr="00DE3FD3">
        <w:rPr>
          <w:rFonts w:ascii="Century" w:hAnsi="Century" w:hint="cs"/>
          <w:sz w:val="22"/>
          <w:rtl/>
        </w:rPr>
        <w:t>[לא התקיים]</w:t>
      </w:r>
      <w:r w:rsidRPr="00DE3FD3">
        <w:rPr>
          <w:rFonts w:ascii="Century" w:hAnsi="Century" w:cs="Miriam"/>
          <w:b/>
          <w:spacing w:val="0"/>
          <w:sz w:val="22"/>
          <w:szCs w:val="24"/>
          <w:rtl/>
        </w:rPr>
        <w:t xml:space="preserve"> </w:t>
      </w:r>
      <w:r w:rsidRPr="00DE3FD3">
        <w:rPr>
          <w:rFonts w:ascii="Century" w:hAnsi="Century" w:cs="Miriam" w:hint="eastAsia"/>
          <w:b/>
          <w:spacing w:val="0"/>
          <w:sz w:val="22"/>
          <w:szCs w:val="24"/>
          <w:rtl/>
        </w:rPr>
        <w:t>תנאי</w:t>
      </w:r>
      <w:r w:rsidRPr="00DE3FD3">
        <w:rPr>
          <w:rFonts w:ascii="Century" w:hAnsi="Century" w:cs="Miriam"/>
          <w:b/>
          <w:spacing w:val="0"/>
          <w:sz w:val="22"/>
          <w:szCs w:val="24"/>
          <w:rtl/>
        </w:rPr>
        <w:t xml:space="preserve"> </w:t>
      </w:r>
      <w:r w:rsidRPr="00DE3FD3">
        <w:rPr>
          <w:rFonts w:ascii="Century" w:hAnsi="Century" w:cs="Miriam" w:hint="eastAsia"/>
          <w:b/>
          <w:spacing w:val="0"/>
          <w:sz w:val="22"/>
          <w:szCs w:val="24"/>
          <w:rtl/>
        </w:rPr>
        <w:t>מהתנאים</w:t>
      </w:r>
      <w:r w:rsidRPr="00DE3FD3">
        <w:rPr>
          <w:rFonts w:ascii="Century" w:hAnsi="Century" w:cs="Miriam"/>
          <w:b/>
          <w:spacing w:val="0"/>
          <w:sz w:val="22"/>
          <w:szCs w:val="24"/>
          <w:rtl/>
        </w:rPr>
        <w:t xml:space="preserve"> </w:t>
      </w:r>
      <w:r w:rsidRPr="00DE3FD3">
        <w:rPr>
          <w:rFonts w:ascii="Century" w:hAnsi="Century" w:cs="Miriam" w:hint="eastAsia"/>
          <w:b/>
          <w:spacing w:val="0"/>
          <w:sz w:val="22"/>
          <w:szCs w:val="24"/>
          <w:rtl/>
        </w:rPr>
        <w:t>המנויים</w:t>
      </w:r>
      <w:r w:rsidRPr="00DE3FD3">
        <w:rPr>
          <w:rFonts w:hint="cs"/>
          <w:rtl/>
        </w:rPr>
        <w:t xml:space="preserve">" בסעיף 18א(ג) לחוק, ונוסח דומה קיים גם בסעיף 50ה לחוק). </w:t>
      </w:r>
      <w:r>
        <w:rPr>
          <w:rFonts w:hint="cs"/>
          <w:rtl/>
        </w:rPr>
        <w:t xml:space="preserve">באופן דומה, אינני סבור כי היעדר התייחסות קונקרטית </w:t>
      </w:r>
      <w:proofErr w:type="spellStart"/>
      <w:r>
        <w:rPr>
          <w:rFonts w:hint="cs"/>
          <w:rtl/>
        </w:rPr>
        <w:t>למימד</w:t>
      </w:r>
      <w:proofErr w:type="spellEnd"/>
      <w:r>
        <w:rPr>
          <w:rFonts w:hint="cs"/>
          <w:rtl/>
        </w:rPr>
        <w:t xml:space="preserve"> הזמן באשר לקריטריון גודל השוק משמיע את המסקנה כי מדובר בהסדר שלילי, כך שיש לסטות מהאופן שבו הוגדר קריטריון ההכנסות, כפי שהצעות </w:t>
      </w:r>
      <w:proofErr w:type="spellStart"/>
      <w:r>
        <w:rPr>
          <w:rFonts w:hint="cs"/>
          <w:rtl/>
        </w:rPr>
        <w:t>הנישומות</w:t>
      </w:r>
      <w:proofErr w:type="spellEnd"/>
      <w:r>
        <w:rPr>
          <w:rFonts w:hint="cs"/>
          <w:rtl/>
        </w:rPr>
        <w:t xml:space="preserve"> מבקשות לעשות. ודוק, כשם שקריטריון ההכנסות נמדד לאורך כל שנת המס (כפי שנלמד מהמילים "</w:t>
      </w:r>
      <w:r w:rsidRPr="005815E5">
        <w:rPr>
          <w:rFonts w:ascii="Century" w:hAnsi="Century" w:cs="Miriam" w:hint="cs"/>
          <w:b/>
          <w:spacing w:val="0"/>
          <w:sz w:val="22"/>
          <w:szCs w:val="24"/>
          <w:rtl/>
        </w:rPr>
        <w:t>מכלל הכנסתו, בשנת המס</w:t>
      </w:r>
      <w:r>
        <w:rPr>
          <w:rFonts w:hint="cs"/>
          <w:rtl/>
        </w:rPr>
        <w:t xml:space="preserve">"; ועל כך אין חולק), כך גם קריטריון גודל השוק צריך להימדד על פי אותו בסיס מתוך מטרה ליצור הלימה בין שני הקריטריונים המצויים תחת אותו סעיף. פרשנות פקידי השומה, אם כך, שומרת על תקופה אחידה, בעוד פרשנות </w:t>
      </w:r>
      <w:proofErr w:type="spellStart"/>
      <w:r>
        <w:rPr>
          <w:rFonts w:hint="cs"/>
          <w:rtl/>
        </w:rPr>
        <w:t>הנישומות</w:t>
      </w:r>
      <w:proofErr w:type="spellEnd"/>
      <w:r>
        <w:rPr>
          <w:rFonts w:hint="cs"/>
          <w:rtl/>
        </w:rPr>
        <w:t xml:space="preserve"> מעוררת קושי. ויובהר, הטבת המס הנדונה איננה מתגבשת עם ביצוע המכירה הפרטנית או בפרק זמן מסוים בשנה, אלא בראייה שנתית, על בסיס כלל המכירות שבוצעו באותה שנה.</w:t>
      </w:r>
    </w:p>
    <w:p w:rsidR="00CF54A5" w:rsidRPr="00DE3FD3" w:rsidRDefault="00CF54A5" w:rsidP="00CF54A5">
      <w:pPr>
        <w:pStyle w:val="Ruller41"/>
        <w:rPr>
          <w:rtl/>
        </w:rPr>
      </w:pPr>
    </w:p>
    <w:p w:rsidR="00CF54A5" w:rsidRPr="00DE3FD3" w:rsidRDefault="00CF54A5" w:rsidP="00E3709B">
      <w:pPr>
        <w:pStyle w:val="Ruller4"/>
        <w:numPr>
          <w:ilvl w:val="0"/>
          <w:numId w:val="0"/>
        </w:numPr>
      </w:pPr>
      <w:r w:rsidRPr="00DE3FD3">
        <w:rPr>
          <w:rtl/>
        </w:rPr>
        <w:tab/>
      </w:r>
      <w:r w:rsidRPr="00DE3FD3">
        <w:rPr>
          <w:rFonts w:hint="cs"/>
          <w:rtl/>
        </w:rPr>
        <w:t>נדגים: נניח בשנת מס נתונה הפיק מפעל פלוני 100 בהכנסות במחצית הראשונה של השנה, כאשר 30 הופק משוק המונה מעל 12 מיליון תושבים ואילו היתרה הופקה משוק קטן יותר. כעת, נניח שבמחצית השנייה של אותה שנה, המפעל הפיק 100 נוספים מהכנסות, אך כולן הופקו מהשוק הקטן יותר. במצב דברים זה, בראייה שנתית, המפעל לא יהיה זכאי להטבת המס לפי חלופת המכירה לשוק גדול</w:t>
      </w:r>
      <w:r>
        <w:rPr>
          <w:rFonts w:hint="cs"/>
          <w:rtl/>
        </w:rPr>
        <w:t xml:space="preserve"> (על פי נוסחו </w:t>
      </w:r>
      <w:r w:rsidR="00E3709B">
        <w:rPr>
          <w:rFonts w:hint="cs"/>
          <w:rtl/>
        </w:rPr>
        <w:t>לפי תיקון מס' 70</w:t>
      </w:r>
      <w:r>
        <w:rPr>
          <w:rFonts w:hint="cs"/>
          <w:rtl/>
        </w:rPr>
        <w:t>)</w:t>
      </w:r>
      <w:r w:rsidRPr="00DE3FD3">
        <w:rPr>
          <w:rFonts w:hint="cs"/>
          <w:rtl/>
        </w:rPr>
        <w:t xml:space="preserve">, הן משום שהוא לא עומד בקריטריון ההכנסות והן משום שהוא לא עומד בקריטריון גודל השוק (רק 15% מההכנסות הופקו משוק המונה מעל ל-12 מיליון תושבים). </w:t>
      </w:r>
      <w:r>
        <w:rPr>
          <w:rFonts w:hint="cs"/>
          <w:rtl/>
        </w:rPr>
        <w:t>ודוק</w:t>
      </w:r>
      <w:r w:rsidRPr="00DE3FD3">
        <w:rPr>
          <w:rFonts w:hint="cs"/>
          <w:rtl/>
        </w:rPr>
        <w:t xml:space="preserve">, בראייה חצי שנתית, המפעל אכן עמד בשני הקריטריונים האמורים במחצית הראשונה של השנה (30% מההכנסות הופקו משוק המונה מעל ל-12 מיליון תושבים), אך לא כך ביחס למחצית השנייה של השנה (100% הופק משוק קטן). </w:t>
      </w:r>
      <w:r>
        <w:rPr>
          <w:rFonts w:hint="cs"/>
          <w:rtl/>
        </w:rPr>
        <w:t xml:space="preserve">ואולם, כאמור, המבחן למתן ההטבה הוא שנתי ולא חצי-שנתי. דומני כי </w:t>
      </w:r>
      <w:r w:rsidRPr="00DE3FD3">
        <w:rPr>
          <w:rFonts w:hint="cs"/>
          <w:rtl/>
        </w:rPr>
        <w:t xml:space="preserve">די בהצגת דוגמה זו כדי ללמד על חוסר הוודאות </w:t>
      </w:r>
      <w:r>
        <w:rPr>
          <w:rFonts w:hint="cs"/>
          <w:rtl/>
        </w:rPr>
        <w:t xml:space="preserve">והאחידות </w:t>
      </w:r>
      <w:r w:rsidRPr="00DE3FD3">
        <w:rPr>
          <w:rFonts w:hint="cs"/>
          <w:rtl/>
        </w:rPr>
        <w:t xml:space="preserve">הכרוכה בהצעות </w:t>
      </w:r>
      <w:proofErr w:type="spellStart"/>
      <w:r w:rsidRPr="00DE3FD3">
        <w:rPr>
          <w:rFonts w:hint="cs"/>
          <w:rtl/>
        </w:rPr>
        <w:t>הנישומות</w:t>
      </w:r>
      <w:proofErr w:type="spellEnd"/>
      <w:r w:rsidRPr="00DE3FD3">
        <w:rPr>
          <w:rFonts w:hint="cs"/>
          <w:rtl/>
        </w:rPr>
        <w:t xml:space="preserve"> המבקשות למצוא נקודת זמן הפחותה משנת המס. לפיכך, כשם שלא היינו מפצלים את השנה לצורך בחינת ההכנסות, כך גם אין מקום לעשות כן לצורך בחינת גודל השוק.</w:t>
      </w:r>
    </w:p>
    <w:p w:rsidR="00CF54A5" w:rsidRDefault="00CF54A5" w:rsidP="00CF54A5">
      <w:pPr>
        <w:pStyle w:val="Ruller41"/>
        <w:rPr>
          <w:rtl/>
        </w:rPr>
      </w:pPr>
    </w:p>
    <w:p w:rsidR="00CF54A5" w:rsidRPr="00AC117E" w:rsidRDefault="00CF54A5" w:rsidP="00E3709B">
      <w:pPr>
        <w:pStyle w:val="Ruller4"/>
        <w:rPr>
          <w:rtl/>
        </w:rPr>
      </w:pPr>
      <w:r w:rsidRPr="000D0DF7">
        <w:rPr>
          <w:rFonts w:ascii="Century" w:hAnsi="Century" w:cs="Miriam" w:hint="cs"/>
          <w:b/>
          <w:spacing w:val="0"/>
          <w:sz w:val="22"/>
          <w:szCs w:val="24"/>
          <w:rtl/>
        </w:rPr>
        <w:t>שלישית</w:t>
      </w:r>
      <w:r>
        <w:rPr>
          <w:rFonts w:hint="cs"/>
          <w:rtl/>
        </w:rPr>
        <w:t xml:space="preserve">, עיון בהוראות החוק בהקשר בו עסקינן מלמד כי אילו המחוקק היה חפץ לסטות מן הכלל ולנקוט ביחידת זמן הפחותה משנת מס, יש להניח כי היה עושה זאת במפורש, כפי שעשה בהוראות </w:t>
      </w:r>
      <w:r w:rsidRPr="00DE3FD3">
        <w:rPr>
          <w:rFonts w:hint="cs"/>
          <w:rtl/>
        </w:rPr>
        <w:t>חוק אחרות, הן במסגרת חוק עידוד השקעות והן במסגרת פקודת מס הכנסה. כך, למש</w:t>
      </w:r>
      <w:r>
        <w:rPr>
          <w:rFonts w:hint="cs"/>
          <w:rtl/>
        </w:rPr>
        <w:t>ל, יכול היה המחוקק לקבוע תקופת זמן הפחותה משנת המס, כגון הגדרת מספר ימים בשנה (כפי שעשה בהגדרת תושבות הנישום, הן "תושב ישראל" והן "תושב בחוץ", בסעיף 1</w:t>
      </w:r>
      <w:r>
        <w:rPr>
          <w:rFonts w:ascii="Century" w:hAnsi="Century" w:hint="cs"/>
          <w:rtl/>
        </w:rPr>
        <w:t xml:space="preserve"> לפקודת מס הכנסה, ובהגדרת "חברת החזקות ישראלית" לפי סעיף 67ג(א)(5) לפקודה. כן ראו: סעיף 39 לפקודה</w:t>
      </w:r>
      <w:r>
        <w:rPr>
          <w:rFonts w:hint="cs"/>
          <w:rtl/>
        </w:rPr>
        <w:t xml:space="preserve">). לחלופין, יכול היה המחוקק לנקוט במועד מסוים בשנת המס שבו צריך להתקיים תנאי כלשהו </w:t>
      </w:r>
      <w:r w:rsidRPr="00226ED5">
        <w:rPr>
          <w:rFonts w:hint="cs"/>
          <w:rtl/>
        </w:rPr>
        <w:t xml:space="preserve">(ראו, למשל, הגדרת "משיכה של כספים מחברה" בסעיף 3(ט1)(1) לפקודה והגדרת "שליטה" בסעיף 3(י)(1) לפקודה; הגדרת "תושב חוץ" בסעיף 9(15ד) לפקודה; </w:t>
      </w:r>
      <w:r>
        <w:rPr>
          <w:rFonts w:hint="cs"/>
          <w:rtl/>
        </w:rPr>
        <w:t xml:space="preserve">הגדרת "יישוב מוטב" בסעיף 11(א) לפקודה; הגדרת "חבר" ו-"קיבוץ מתחדש" בסעיף 54 לפקודה; סעיפים 64א3(א)(5) ו-(5א) לפקודה; </w:t>
      </w:r>
      <w:r w:rsidRPr="00226ED5">
        <w:rPr>
          <w:rFonts w:hint="cs"/>
          <w:rtl/>
        </w:rPr>
        <w:t xml:space="preserve">סעיף 67ז(א) לפקודה; הגדרת "חברה נשלטת זרה" ו-"בעל שליטה" בסעיף 75ב(א) לפקודה ובפרט </w:t>
      </w:r>
      <w:proofErr w:type="spellStart"/>
      <w:r w:rsidRPr="00226ED5">
        <w:rPr>
          <w:rFonts w:hint="cs"/>
          <w:rtl/>
        </w:rPr>
        <w:t>ס"ק</w:t>
      </w:r>
      <w:proofErr w:type="spellEnd"/>
      <w:r w:rsidRPr="00226ED5">
        <w:rPr>
          <w:rFonts w:hint="cs"/>
          <w:rtl/>
        </w:rPr>
        <w:t xml:space="preserve"> (1)(ד)(1) </w:t>
      </w:r>
      <w:proofErr w:type="spellStart"/>
      <w:r w:rsidRPr="00226ED5">
        <w:rPr>
          <w:rFonts w:hint="cs"/>
          <w:rtl/>
        </w:rPr>
        <w:t>וס"ק</w:t>
      </w:r>
      <w:proofErr w:type="spellEnd"/>
      <w:r w:rsidRPr="00226ED5">
        <w:rPr>
          <w:rFonts w:hint="cs"/>
          <w:rtl/>
        </w:rPr>
        <w:t xml:space="preserve"> (3); </w:t>
      </w:r>
      <w:r>
        <w:rPr>
          <w:rFonts w:hint="cs"/>
          <w:rtl/>
        </w:rPr>
        <w:t xml:space="preserve">סעיף 83 לפקודה; </w:t>
      </w:r>
      <w:r w:rsidRPr="00226ED5">
        <w:rPr>
          <w:rFonts w:hint="cs"/>
          <w:rtl/>
        </w:rPr>
        <w:t>הגדרת "שליטה" בסעיף 85א(ב) לפקודה; סעיף 94ב(א1) לפקודה</w:t>
      </w:r>
      <w:r>
        <w:rPr>
          <w:rFonts w:hint="cs"/>
          <w:rtl/>
        </w:rPr>
        <w:t>; וסעיפים 131(א)(1) ו-(3) לפקודה</w:t>
      </w:r>
      <w:r w:rsidRPr="00226ED5">
        <w:rPr>
          <w:rFonts w:hint="cs"/>
          <w:rtl/>
        </w:rPr>
        <w:t>). באופן</w:t>
      </w:r>
      <w:r>
        <w:rPr>
          <w:rFonts w:hint="cs"/>
          <w:rtl/>
        </w:rPr>
        <w:t xml:space="preserve"> דומה, </w:t>
      </w:r>
      <w:r w:rsidR="00E3709B">
        <w:rPr>
          <w:rtl/>
        </w:rPr>
        <w:t>לוּ</w:t>
      </w:r>
      <w:r>
        <w:rPr>
          <w:rFonts w:hint="cs"/>
          <w:rtl/>
        </w:rPr>
        <w:t xml:space="preserve"> רצה המחוקק לאפשר תחולה חלקית של סעיף ההטבה, כפי שהציעו </w:t>
      </w:r>
      <w:proofErr w:type="spellStart"/>
      <w:r>
        <w:rPr>
          <w:rFonts w:hint="cs"/>
          <w:rtl/>
        </w:rPr>
        <w:t>הנישומות</w:t>
      </w:r>
      <w:proofErr w:type="spellEnd"/>
      <w:r>
        <w:rPr>
          <w:rFonts w:hint="cs"/>
          <w:rtl/>
        </w:rPr>
        <w:t xml:space="preserve">, יכול היה לציין זאת במפורש (ראו </w:t>
      </w:r>
      <w:r w:rsidRPr="001451E8">
        <w:rPr>
          <w:rFonts w:hint="cs"/>
          <w:rtl/>
        </w:rPr>
        <w:t>סיפא סעיף 53א לחוק עידוד השקעות: "</w:t>
      </w:r>
      <w:r w:rsidRPr="001451E8">
        <w:rPr>
          <w:rFonts w:ascii="Century" w:hAnsi="Century" w:cs="Miriam" w:hint="eastAsia"/>
          <w:b/>
          <w:spacing w:val="0"/>
          <w:sz w:val="22"/>
          <w:szCs w:val="24"/>
          <w:rtl/>
        </w:rPr>
        <w:t>הושכרה</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הדירה</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למגורים</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במשך</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חלק</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משנת</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המס</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lastRenderedPageBreak/>
        <w:t>יהא</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בעל</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הדירה</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זכאי</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לחלק</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יחסי</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מהפחת</w:t>
      </w:r>
      <w:r w:rsidRPr="001451E8">
        <w:rPr>
          <w:rFonts w:ascii="Century" w:hAnsi="Century" w:cs="Miriam"/>
          <w:b/>
          <w:spacing w:val="0"/>
          <w:sz w:val="22"/>
          <w:szCs w:val="24"/>
          <w:rtl/>
        </w:rPr>
        <w:t xml:space="preserve"> </w:t>
      </w:r>
      <w:r w:rsidRPr="001451E8">
        <w:rPr>
          <w:rFonts w:ascii="Century" w:hAnsi="Century" w:cs="Miriam" w:hint="eastAsia"/>
          <w:b/>
          <w:spacing w:val="0"/>
          <w:sz w:val="22"/>
          <w:szCs w:val="24"/>
          <w:rtl/>
        </w:rPr>
        <w:t>האמור</w:t>
      </w:r>
      <w:r w:rsidRPr="001451E8">
        <w:rPr>
          <w:rFonts w:hint="cs"/>
          <w:rtl/>
        </w:rPr>
        <w:t>"</w:t>
      </w:r>
      <w:r>
        <w:rPr>
          <w:rFonts w:hint="cs"/>
          <w:rtl/>
        </w:rPr>
        <w:t>. כן ראו: סעיף 9(5)(ג) לפקודת מס הכנסה; סעיף 62א(א)(5)(א) לפקודה; סעיף 41 לפקודה). בענייננו, לא נעשה שימוש בלשון מעין זו, ועל כן הדבר מהווה אינדיקציה נוספת כי המחוקק התכוון שקריטריון גודל השוק ייבחן על בסיס שנתי, יחידת הזמן המהווה ברירת המחדל בהקשר בו עסקינן, ולא במועד מסוים כלשהו בשנת המס.</w:t>
      </w:r>
    </w:p>
    <w:p w:rsidR="00CF54A5" w:rsidRDefault="00CF54A5" w:rsidP="00CF54A5">
      <w:pPr>
        <w:pStyle w:val="Ruller41"/>
        <w:rPr>
          <w:rtl/>
        </w:rPr>
      </w:pPr>
    </w:p>
    <w:p w:rsidR="00CF54A5" w:rsidRDefault="00CF54A5" w:rsidP="00CF54A5">
      <w:pPr>
        <w:pStyle w:val="Ruller4"/>
      </w:pPr>
      <w:r w:rsidRPr="00435779">
        <w:rPr>
          <w:rFonts w:ascii="Century" w:hAnsi="Century" w:cs="Miriam" w:hint="cs"/>
          <w:b/>
          <w:spacing w:val="0"/>
          <w:sz w:val="22"/>
          <w:szCs w:val="24"/>
          <w:rtl/>
        </w:rPr>
        <w:t>רביעית</w:t>
      </w:r>
      <w:r>
        <w:rPr>
          <w:rFonts w:hint="cs"/>
          <w:rtl/>
        </w:rPr>
        <w:t>, כידוע, אחת מתכליותי</w:t>
      </w:r>
      <w:r>
        <w:rPr>
          <w:rFonts w:hint="eastAsia"/>
          <w:rtl/>
        </w:rPr>
        <w:t>ה</w:t>
      </w:r>
      <w:r>
        <w:rPr>
          <w:rFonts w:hint="cs"/>
          <w:rtl/>
        </w:rPr>
        <w:t xml:space="preserve"> של מערכת המס היא להכווין התנהגות, בין אם באמצעות הנאת הנישומים מביצוע פעולה מסוימת (על ידי הטלת מס) ובין אם באמצעות </w:t>
      </w:r>
      <w:proofErr w:type="spellStart"/>
      <w:r>
        <w:rPr>
          <w:rFonts w:hint="cs"/>
          <w:rtl/>
        </w:rPr>
        <w:t>תמרוץ</w:t>
      </w:r>
      <w:proofErr w:type="spellEnd"/>
      <w:r>
        <w:rPr>
          <w:rFonts w:hint="cs"/>
          <w:rtl/>
        </w:rPr>
        <w:t xml:space="preserve"> הנישומים לביצוע פעולה אחרת (על ידי מתן הטבת מס), כבענייננו (ראו, למשל, </w:t>
      </w:r>
      <w:r w:rsidRPr="00792F0B">
        <w:rPr>
          <w:rtl/>
        </w:rPr>
        <w:t xml:space="preserve">אלפרד ויתקון ויעקב נאמן </w:t>
      </w:r>
      <w:r>
        <w:rPr>
          <w:rFonts w:ascii="Century" w:hAnsi="Century" w:cs="Miriam"/>
          <w:b/>
          <w:spacing w:val="0"/>
          <w:sz w:val="22"/>
          <w:szCs w:val="24"/>
          <w:rtl/>
        </w:rPr>
        <w:t xml:space="preserve">דיני מסים – מסי הכנסה, </w:t>
      </w:r>
      <w:r w:rsidRPr="00DC18E0">
        <w:rPr>
          <w:rFonts w:ascii="Century" w:hAnsi="Century" w:cs="Miriam"/>
          <w:b/>
          <w:spacing w:val="0"/>
          <w:sz w:val="22"/>
          <w:szCs w:val="24"/>
          <w:rtl/>
        </w:rPr>
        <w:t>עזבון ושבח</w:t>
      </w:r>
      <w:r w:rsidRPr="00792F0B">
        <w:rPr>
          <w:rtl/>
        </w:rPr>
        <w:t xml:space="preserve"> </w:t>
      </w:r>
      <w:r w:rsidRPr="00792F0B">
        <w:rPr>
          <w:rFonts w:hint="cs"/>
          <w:rtl/>
        </w:rPr>
        <w:t>20-18</w:t>
      </w:r>
      <w:r>
        <w:rPr>
          <w:rtl/>
        </w:rPr>
        <w:t xml:space="preserve"> (מהדורה רביעית, 1969)</w:t>
      </w:r>
      <w:r>
        <w:rPr>
          <w:rFonts w:hint="cs"/>
          <w:rtl/>
        </w:rPr>
        <w:t xml:space="preserve">; </w:t>
      </w:r>
      <w:r w:rsidRPr="00792F0B">
        <w:rPr>
          <w:rtl/>
        </w:rPr>
        <w:t xml:space="preserve">אמנון רפאל </w:t>
      </w:r>
      <w:r w:rsidRPr="00792F0B">
        <w:rPr>
          <w:rFonts w:ascii="Century" w:hAnsi="Century" w:cs="Miriam"/>
          <w:b/>
          <w:spacing w:val="0"/>
          <w:sz w:val="22"/>
          <w:szCs w:val="24"/>
          <w:rtl/>
        </w:rPr>
        <w:t>מס הכנסה</w:t>
      </w:r>
      <w:r w:rsidRPr="00792F0B">
        <w:rPr>
          <w:rtl/>
        </w:rPr>
        <w:t xml:space="preserve"> </w:t>
      </w:r>
      <w:r w:rsidRPr="00792F0B">
        <w:rPr>
          <w:rFonts w:hint="cs"/>
          <w:rtl/>
        </w:rPr>
        <w:t xml:space="preserve">כרך א </w:t>
      </w:r>
      <w:r w:rsidRPr="00792F0B">
        <w:rPr>
          <w:rtl/>
        </w:rPr>
        <w:t>2 (מהדורה רביעית, 2009)</w:t>
      </w:r>
      <w:r>
        <w:rPr>
          <w:rFonts w:hint="cs"/>
          <w:rtl/>
        </w:rPr>
        <w:t xml:space="preserve">; </w:t>
      </w:r>
      <w:r w:rsidRPr="00250935">
        <w:rPr>
          <w:rFonts w:hint="eastAsia"/>
          <w:rtl/>
        </w:rPr>
        <w:t>אהרן</w:t>
      </w:r>
      <w:r w:rsidRPr="00250935">
        <w:rPr>
          <w:rtl/>
        </w:rPr>
        <w:t xml:space="preserve"> </w:t>
      </w:r>
      <w:proofErr w:type="spellStart"/>
      <w:r w:rsidRPr="00250935">
        <w:rPr>
          <w:rFonts w:hint="eastAsia"/>
          <w:rtl/>
        </w:rPr>
        <w:t>נמדר</w:t>
      </w:r>
      <w:proofErr w:type="spellEnd"/>
      <w:r w:rsidRPr="00250935">
        <w:rPr>
          <w:rtl/>
        </w:rPr>
        <w:t xml:space="preserve"> </w:t>
      </w:r>
      <w:r w:rsidRPr="00250935">
        <w:rPr>
          <w:rFonts w:hint="eastAsia"/>
          <w:rtl/>
        </w:rPr>
        <w:t>מס</w:t>
      </w:r>
      <w:r w:rsidRPr="00250935">
        <w:rPr>
          <w:rtl/>
        </w:rPr>
        <w:t xml:space="preserve"> </w:t>
      </w:r>
      <w:r w:rsidRPr="00250935">
        <w:rPr>
          <w:rFonts w:ascii="Century" w:hAnsi="Century" w:cs="Miriam" w:hint="eastAsia"/>
          <w:b/>
          <w:spacing w:val="0"/>
          <w:sz w:val="22"/>
          <w:szCs w:val="24"/>
          <w:rtl/>
        </w:rPr>
        <w:t>הכנסה</w:t>
      </w:r>
      <w:r w:rsidRPr="00250935">
        <w:rPr>
          <w:rFonts w:ascii="Century" w:hAnsi="Century" w:cs="Miriam"/>
          <w:b/>
          <w:spacing w:val="0"/>
          <w:sz w:val="22"/>
          <w:szCs w:val="24"/>
          <w:rtl/>
        </w:rPr>
        <w:t xml:space="preserve"> –</w:t>
      </w:r>
      <w:r w:rsidRPr="00250935">
        <w:rPr>
          <w:rFonts w:ascii="Century" w:hAnsi="Century" w:cs="Miriam" w:hint="cs"/>
          <w:b/>
          <w:spacing w:val="0"/>
          <w:sz w:val="22"/>
          <w:szCs w:val="24"/>
          <w:rtl/>
        </w:rPr>
        <w:t xml:space="preserve"> </w:t>
      </w:r>
      <w:r w:rsidRPr="00250935">
        <w:rPr>
          <w:rFonts w:ascii="Century" w:hAnsi="Century" w:cs="Miriam" w:hint="eastAsia"/>
          <w:b/>
          <w:spacing w:val="0"/>
          <w:sz w:val="22"/>
          <w:szCs w:val="24"/>
          <w:rtl/>
        </w:rPr>
        <w:t>מס</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הכנסה</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מס</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חברות</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מס</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רווחי</w:t>
      </w:r>
      <w:r w:rsidRPr="00250935">
        <w:rPr>
          <w:rFonts w:ascii="Century" w:hAnsi="Century" w:cs="Miriam"/>
          <w:b/>
          <w:spacing w:val="0"/>
          <w:sz w:val="22"/>
          <w:szCs w:val="24"/>
          <w:rtl/>
        </w:rPr>
        <w:t xml:space="preserve"> </w:t>
      </w:r>
      <w:r w:rsidRPr="00250935">
        <w:rPr>
          <w:rFonts w:ascii="Century" w:hAnsi="Century" w:cs="Miriam" w:hint="eastAsia"/>
          <w:b/>
          <w:spacing w:val="0"/>
          <w:sz w:val="22"/>
          <w:szCs w:val="24"/>
          <w:rtl/>
        </w:rPr>
        <w:t>הון</w:t>
      </w:r>
      <w:r w:rsidRPr="00250935">
        <w:rPr>
          <w:rtl/>
        </w:rPr>
        <w:t xml:space="preserve"> </w:t>
      </w:r>
      <w:r>
        <w:rPr>
          <w:rFonts w:hint="cs"/>
          <w:rtl/>
        </w:rPr>
        <w:t xml:space="preserve">35 </w:t>
      </w:r>
      <w:r w:rsidRPr="00250935">
        <w:rPr>
          <w:rtl/>
        </w:rPr>
        <w:t>(2010)</w:t>
      </w:r>
      <w:r>
        <w:rPr>
          <w:rFonts w:hint="cs"/>
          <w:rtl/>
        </w:rPr>
        <w:t xml:space="preserve">; שגית </w:t>
      </w:r>
      <w:proofErr w:type="spellStart"/>
      <w:r>
        <w:rPr>
          <w:rFonts w:hint="cs"/>
          <w:rtl/>
        </w:rPr>
        <w:t>לוינר</w:t>
      </w:r>
      <w:proofErr w:type="spellEnd"/>
      <w:r>
        <w:rPr>
          <w:rFonts w:hint="cs"/>
          <w:rtl/>
        </w:rPr>
        <w:t xml:space="preserve"> וטלי ניר "מדיניות חברתית באצטלה כלכלית: מטרותיה של מערכת המס בישראל" </w:t>
      </w:r>
      <w:r w:rsidRPr="008A7028">
        <w:rPr>
          <w:rFonts w:ascii="Century" w:hAnsi="Century" w:cs="Miriam" w:hint="cs"/>
          <w:b/>
          <w:spacing w:val="0"/>
          <w:sz w:val="22"/>
          <w:szCs w:val="24"/>
          <w:rtl/>
        </w:rPr>
        <w:t>ספר אריה לפידות</w:t>
      </w:r>
      <w:r>
        <w:rPr>
          <w:rFonts w:hint="cs"/>
          <w:rtl/>
        </w:rPr>
        <w:t xml:space="preserve"> 127, 172-161 (דוד </w:t>
      </w:r>
      <w:proofErr w:type="spellStart"/>
      <w:r>
        <w:rPr>
          <w:rFonts w:hint="cs"/>
          <w:rtl/>
        </w:rPr>
        <w:t>גליקסברג</w:t>
      </w:r>
      <w:proofErr w:type="spellEnd"/>
      <w:r>
        <w:rPr>
          <w:rFonts w:hint="cs"/>
          <w:rtl/>
        </w:rPr>
        <w:t xml:space="preserve"> עורך, 2015)). מכאן, שמבחינת תכליתה והגיונה של הטבת המס הניתנת מכוח הסעיף הנדון, מדידת קריטריון גודל השוק על בסיס שנתי מתיישבת בצורה טובה יותר עם מטרה זו. זאת, שכן, מטרת המחוקק במתן הטבת המס הנדונה היא להכווין מפעלים לכלכל את צעדיהם מראש ולבחור בשוק יעד מסוים. בחירה זו נעשית על פי תכנון עסקי וכלכלי מבעוד מועד, </w:t>
      </w:r>
      <w:r w:rsidRPr="00250935">
        <w:rPr>
          <w:rFonts w:hint="cs"/>
          <w:rtl/>
        </w:rPr>
        <w:t>במסגרתו תיבחן ההיתכנות הכלכלית בפנייה לשוק מסוים, על עלויותיה ופוטנציאל הכנסותיה, לרבות שיעור המס הצפוי והטבות המס הטמונות בשוק זה</w:t>
      </w:r>
      <w:r>
        <w:rPr>
          <w:rFonts w:hint="cs"/>
          <w:rtl/>
        </w:rPr>
        <w:t>, וכן ההיערכות להוצאת התכנון מן הכוח אל הפועל</w:t>
      </w:r>
      <w:r w:rsidRPr="00250935">
        <w:rPr>
          <w:rFonts w:hint="cs"/>
          <w:rtl/>
        </w:rPr>
        <w:t>. על</w:t>
      </w:r>
      <w:r>
        <w:rPr>
          <w:rFonts w:hint="cs"/>
          <w:rtl/>
        </w:rPr>
        <w:t xml:space="preserve"> כן, הגישה לפיה יש לבחון את גודל השוק במהלך השנה (בד בבד עם ביצוע המכירות) או בסופה (לאחר שפעולות המכירה כבר בוצעו), כמוצע על ידי </w:t>
      </w:r>
      <w:proofErr w:type="spellStart"/>
      <w:r>
        <w:rPr>
          <w:rFonts w:hint="cs"/>
          <w:rtl/>
        </w:rPr>
        <w:t>הנישומות</w:t>
      </w:r>
      <w:proofErr w:type="spellEnd"/>
      <w:r>
        <w:rPr>
          <w:rFonts w:hint="cs"/>
          <w:rtl/>
        </w:rPr>
        <w:t xml:space="preserve">, עשויה לגרוע מייעודה של הטבת המס הנדונה (ויוער, מדידת קריטריון גודל השוק בתחילת שנת המס בלבד לא הייתה סובלת מהיבט זה, אך </w:t>
      </w:r>
      <w:proofErr w:type="spellStart"/>
      <w:r>
        <w:rPr>
          <w:rFonts w:hint="cs"/>
          <w:rtl/>
        </w:rPr>
        <w:t>הנישומות</w:t>
      </w:r>
      <w:proofErr w:type="spellEnd"/>
      <w:r>
        <w:rPr>
          <w:rFonts w:hint="cs"/>
          <w:rtl/>
        </w:rPr>
        <w:t xml:space="preserve"> כאמור לא טענו לכך. לדוגמה לכך, ראו: סעיף 11 לפקודת מס הכנסה). </w:t>
      </w:r>
    </w:p>
    <w:p w:rsidR="00CF54A5" w:rsidRPr="00FF2E9C" w:rsidRDefault="00CF54A5" w:rsidP="00CF54A5">
      <w:pPr>
        <w:pStyle w:val="Ruller41"/>
      </w:pPr>
    </w:p>
    <w:p w:rsidR="00CF54A5" w:rsidRDefault="00CF54A5" w:rsidP="00CF54A5">
      <w:pPr>
        <w:pStyle w:val="Ruller4"/>
        <w:rPr>
          <w:rtl/>
        </w:rPr>
      </w:pPr>
      <w:bookmarkStart w:id="34" w:name="Seif19"/>
      <w:bookmarkEnd w:id="34"/>
      <w:r w:rsidRPr="00146F6A">
        <w:rPr>
          <w:rFonts w:ascii="Century" w:hAnsi="Century" w:cs="Miriam" w:hint="cs"/>
          <w:b/>
          <w:spacing w:val="0"/>
          <w:sz w:val="22"/>
          <w:szCs w:val="24"/>
          <w:rtl/>
        </w:rPr>
        <w:t>לבסוף</w:t>
      </w:r>
      <w:r>
        <w:rPr>
          <w:rFonts w:hint="cs"/>
          <w:rtl/>
        </w:rPr>
        <w:t xml:space="preserve">, הגם שבחירה במועד נקודתי כלשהו בשנת המס טומנת יתרונות לעומת בחינה על בסיס שנתי, בראי שיקולי הוודאות והיעילות, אין בכך, כשלעצמו, כדי ללמד איזו פרשנות, מבין כלל האפשרויות שהוצעו (תחילת שנת המס, סופה, מחציתה או מועד המכירה), עדיפה על פני רעותה. זאת ועוד, דומה כי עיקר טרוניית </w:t>
      </w:r>
      <w:proofErr w:type="spellStart"/>
      <w:r>
        <w:rPr>
          <w:rFonts w:hint="cs"/>
          <w:rtl/>
        </w:rPr>
        <w:t>הנישומות</w:t>
      </w:r>
      <w:proofErr w:type="spellEnd"/>
      <w:r>
        <w:rPr>
          <w:rFonts w:hint="cs"/>
          <w:rtl/>
        </w:rPr>
        <w:t xml:space="preserve"> בעניין זה מופנית כלפי שווקים 'מתנדנדים', דהיינו שווקים שבשנה מסוימת חוצים הם את רף התושבים הנדרש על פי קריטריון גודל השוק, ועל אף זאת לא תינתן הטבת המס </w:t>
      </w:r>
      <w:r>
        <w:rPr>
          <w:rFonts w:hint="cs"/>
          <w:rtl/>
        </w:rPr>
        <w:lastRenderedPageBreak/>
        <w:t>בעבור מכירות שבוצעו בשווקים אלה. ואולם, מצבים אלה, שהינם מצבים חריגים, הם אינהרנטיים לנסיבות של תחימת גבולות, ועל כן אין זה מן הנמנע כי ייווצר</w:t>
      </w:r>
      <w:r>
        <w:rPr>
          <w:rFonts w:hint="eastAsia"/>
          <w:rtl/>
        </w:rPr>
        <w:t>ו</w:t>
      </w:r>
      <w:r>
        <w:rPr>
          <w:rFonts w:hint="cs"/>
          <w:rtl/>
        </w:rPr>
        <w:t xml:space="preserve"> "</w:t>
      </w:r>
      <w:r w:rsidRPr="00894620">
        <w:rPr>
          <w:rFonts w:ascii="Century" w:hAnsi="Century" w:cs="Miriam" w:hint="eastAsia"/>
          <w:b/>
          <w:spacing w:val="0"/>
          <w:sz w:val="22"/>
          <w:szCs w:val="24"/>
          <w:rtl/>
        </w:rPr>
        <w:t>שוליים</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של</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שרירות</w:t>
      </w:r>
      <w:r>
        <w:rPr>
          <w:rFonts w:hint="cs"/>
          <w:rtl/>
        </w:rPr>
        <w:t>" (</w:t>
      </w:r>
      <w:r w:rsidRPr="00894620">
        <w:rPr>
          <w:rFonts w:ascii="Arimo" w:hAnsi="Arimo" w:hint="eastAsia"/>
          <w:rtl/>
        </w:rPr>
        <w:t>בג</w:t>
      </w:r>
      <w:r w:rsidRPr="00894620">
        <w:rPr>
          <w:rFonts w:ascii="Arimo" w:hAnsi="Arimo"/>
          <w:rtl/>
        </w:rPr>
        <w:t>"</w:t>
      </w:r>
      <w:r w:rsidRPr="00894620">
        <w:rPr>
          <w:rFonts w:ascii="Arimo" w:hAnsi="Arimo" w:hint="eastAsia"/>
          <w:rtl/>
        </w:rPr>
        <w:t>ץ</w:t>
      </w:r>
      <w:r w:rsidRPr="00894620">
        <w:rPr>
          <w:rFonts w:ascii="Arimo" w:hAnsi="Arimo"/>
          <w:rtl/>
        </w:rPr>
        <w:t xml:space="preserve"> 5193/99 </w:t>
      </w:r>
      <w:r w:rsidRPr="00894620">
        <w:rPr>
          <w:rFonts w:ascii="Century" w:hAnsi="Century" w:cs="Miriam" w:hint="eastAsia"/>
          <w:b/>
          <w:spacing w:val="0"/>
          <w:sz w:val="22"/>
          <w:szCs w:val="24"/>
          <w:rtl/>
        </w:rPr>
        <w:t>קיבוץ</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יחיעם</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נ</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ממשלת</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ישראל</w:t>
      </w:r>
      <w:r w:rsidRPr="00894620">
        <w:rPr>
          <w:rFonts w:ascii="Arimo" w:hAnsi="Arimo"/>
          <w:rtl/>
        </w:rPr>
        <w:t xml:space="preserve"> (</w:t>
      </w:r>
      <w:r>
        <w:rPr>
          <w:rFonts w:ascii="Arimo" w:hAnsi="Arimo" w:hint="cs"/>
          <w:rtl/>
        </w:rPr>
        <w:t>7.2.2000</w:t>
      </w:r>
      <w:r w:rsidRPr="00894620">
        <w:rPr>
          <w:rFonts w:ascii="Arimo" w:hAnsi="Arimo"/>
          <w:rtl/>
        </w:rPr>
        <w:t>)</w:t>
      </w:r>
      <w:r>
        <w:rPr>
          <w:rFonts w:ascii="Arimo" w:hAnsi="Arimo" w:hint="cs"/>
          <w:rtl/>
        </w:rPr>
        <w:t xml:space="preserve">; </w:t>
      </w:r>
      <w:r>
        <w:rPr>
          <w:rFonts w:ascii="Arimo" w:hAnsi="Arimo"/>
          <w:rtl/>
        </w:rPr>
        <w:t>בג"ץ 8803</w:t>
      </w:r>
      <w:r>
        <w:rPr>
          <w:rFonts w:ascii="Arimo" w:hAnsi="Arimo" w:hint="cs"/>
          <w:rtl/>
        </w:rPr>
        <w:t>/</w:t>
      </w:r>
      <w:r>
        <w:rPr>
          <w:rFonts w:ascii="Arimo" w:hAnsi="Arimo"/>
          <w:rtl/>
        </w:rPr>
        <w:t xml:space="preserve">06 </w:t>
      </w:r>
      <w:r w:rsidRPr="00894620">
        <w:rPr>
          <w:rFonts w:ascii="Century" w:hAnsi="Century" w:cs="Miriam"/>
          <w:b/>
          <w:spacing w:val="0"/>
          <w:sz w:val="22"/>
          <w:szCs w:val="24"/>
          <w:rtl/>
        </w:rPr>
        <w:t>גני חוגה בע"מ נ' שר האוצר</w:t>
      </w:r>
      <w:r>
        <w:rPr>
          <w:rFonts w:ascii="Arimo" w:hAnsi="Arimo" w:hint="cs"/>
          <w:rtl/>
        </w:rPr>
        <w:t xml:space="preserve">, פסקאות 8-6 לפסק דינו של השופט </w:t>
      </w:r>
      <w:r w:rsidRPr="00894620">
        <w:rPr>
          <w:rFonts w:ascii="Century" w:hAnsi="Century" w:cs="Miriam" w:hint="cs"/>
          <w:b/>
          <w:spacing w:val="0"/>
          <w:sz w:val="22"/>
          <w:szCs w:val="24"/>
          <w:rtl/>
        </w:rPr>
        <w:t>דוד חשין</w:t>
      </w:r>
      <w:r w:rsidRPr="00894620">
        <w:rPr>
          <w:rFonts w:ascii="Arimo" w:hAnsi="Arimo" w:hint="cs"/>
          <w:rtl/>
        </w:rPr>
        <w:t xml:space="preserve"> </w:t>
      </w:r>
      <w:r>
        <w:rPr>
          <w:rFonts w:ascii="Arimo" w:hAnsi="Arimo" w:hint="cs"/>
          <w:rtl/>
        </w:rPr>
        <w:t xml:space="preserve">(1.4.2007); </w:t>
      </w:r>
      <w:r w:rsidRPr="00894620">
        <w:rPr>
          <w:rFonts w:ascii="Arimo" w:hAnsi="Arimo" w:hint="eastAsia"/>
          <w:rtl/>
        </w:rPr>
        <w:t>בג</w:t>
      </w:r>
      <w:r w:rsidRPr="00894620">
        <w:rPr>
          <w:rFonts w:ascii="Arimo" w:hAnsi="Arimo"/>
          <w:rtl/>
        </w:rPr>
        <w:t>"</w:t>
      </w:r>
      <w:r w:rsidRPr="00894620">
        <w:rPr>
          <w:rFonts w:ascii="Arimo" w:hAnsi="Arimo" w:hint="eastAsia"/>
          <w:rtl/>
        </w:rPr>
        <w:t>ץ</w:t>
      </w:r>
      <w:r w:rsidRPr="00894620">
        <w:rPr>
          <w:rFonts w:ascii="Arimo" w:hAnsi="Arimo"/>
          <w:rtl/>
        </w:rPr>
        <w:t xml:space="preserve"> 6481</w:t>
      </w:r>
      <w:r>
        <w:rPr>
          <w:rFonts w:ascii="Arimo" w:hAnsi="Arimo" w:hint="cs"/>
          <w:rtl/>
        </w:rPr>
        <w:t>/</w:t>
      </w:r>
      <w:r w:rsidRPr="00894620">
        <w:rPr>
          <w:rFonts w:ascii="Arimo" w:hAnsi="Arimo"/>
          <w:rtl/>
        </w:rPr>
        <w:t xml:space="preserve">19 </w:t>
      </w:r>
      <w:proofErr w:type="spellStart"/>
      <w:r w:rsidRPr="00894620">
        <w:rPr>
          <w:rFonts w:ascii="Century" w:hAnsi="Century" w:cs="Miriam" w:hint="eastAsia"/>
          <w:b/>
          <w:spacing w:val="0"/>
          <w:sz w:val="22"/>
          <w:szCs w:val="24"/>
          <w:rtl/>
        </w:rPr>
        <w:t>פבלוביץ</w:t>
      </w:r>
      <w:proofErr w:type="spellEnd"/>
      <w:r w:rsidRPr="00894620">
        <w:rPr>
          <w:rFonts w:ascii="Century" w:hAnsi="Century" w:cs="Miriam" w:hint="cs"/>
          <w:b/>
          <w:spacing w:val="0"/>
          <w:sz w:val="22"/>
          <w:szCs w:val="24"/>
          <w:rtl/>
        </w:rPr>
        <w:t xml:space="preserve"> </w:t>
      </w:r>
      <w:r w:rsidRPr="00894620">
        <w:rPr>
          <w:rFonts w:ascii="Century" w:hAnsi="Century" w:cs="Miriam" w:hint="eastAsia"/>
          <w:b/>
          <w:spacing w:val="0"/>
          <w:sz w:val="22"/>
          <w:szCs w:val="24"/>
          <w:rtl/>
        </w:rPr>
        <w:t>נ</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שר</w:t>
      </w:r>
      <w:r w:rsidRPr="00894620">
        <w:rPr>
          <w:rFonts w:ascii="Century" w:hAnsi="Century" w:cs="Miriam"/>
          <w:b/>
          <w:spacing w:val="0"/>
          <w:sz w:val="22"/>
          <w:szCs w:val="24"/>
          <w:rtl/>
        </w:rPr>
        <w:t xml:space="preserve"> </w:t>
      </w:r>
      <w:r w:rsidRPr="00894620">
        <w:rPr>
          <w:rFonts w:ascii="Century" w:hAnsi="Century" w:cs="Miriam" w:hint="eastAsia"/>
          <w:b/>
          <w:spacing w:val="0"/>
          <w:sz w:val="22"/>
          <w:szCs w:val="24"/>
          <w:rtl/>
        </w:rPr>
        <w:t>המשפטים</w:t>
      </w:r>
      <w:r>
        <w:rPr>
          <w:rFonts w:ascii="Arimo" w:hAnsi="Arimo" w:hint="cs"/>
          <w:rtl/>
        </w:rPr>
        <w:t>, פסקה 35 (14.11.2019))</w:t>
      </w:r>
      <w:r>
        <w:rPr>
          <w:rFonts w:hint="cs"/>
          <w:rtl/>
        </w:rPr>
        <w:t>. לפיכך, ובהינתן מכלול השיקולים שלעיל, פרשנות פקידי השומה מגשימה בצורה טובה יותר את ייעודה של הטבת המס, וכן את תכליותיהם הכלליות של דיני המס שעניינם בהגברת הוודאות והאחידות</w:t>
      </w:r>
      <w:r w:rsidRPr="0094770F">
        <w:rPr>
          <w:rFonts w:hint="eastAsia"/>
          <w:rtl/>
        </w:rPr>
        <w:t xml:space="preserve"> </w:t>
      </w:r>
      <w:r>
        <w:rPr>
          <w:rFonts w:hint="cs"/>
          <w:rtl/>
        </w:rPr>
        <w:t xml:space="preserve">(וראו: </w:t>
      </w:r>
      <w:r w:rsidRPr="0094770F">
        <w:rPr>
          <w:rFonts w:hint="eastAsia"/>
          <w:rtl/>
        </w:rPr>
        <w:t>ע</w:t>
      </w:r>
      <w:r>
        <w:rPr>
          <w:rFonts w:hint="cs"/>
          <w:rtl/>
        </w:rPr>
        <w:t xml:space="preserve">ניין </w:t>
      </w:r>
      <w:r w:rsidRPr="0052137F">
        <w:rPr>
          <w:rFonts w:ascii="Century" w:hAnsi="Century" w:cs="Miriam" w:hint="eastAsia"/>
          <w:b/>
          <w:spacing w:val="0"/>
          <w:szCs w:val="24"/>
          <w:rtl/>
        </w:rPr>
        <w:t>סטרלינג</w:t>
      </w:r>
      <w:r>
        <w:rPr>
          <w:rFonts w:hint="cs"/>
          <w:rtl/>
        </w:rPr>
        <w:t xml:space="preserve">, פסקה י"ז; </w:t>
      </w:r>
      <w:r w:rsidRPr="0052137F">
        <w:rPr>
          <w:rFonts w:ascii="Arimo" w:hAnsi="Arimo"/>
          <w:rtl/>
        </w:rPr>
        <w:t>ע"א 7084</w:t>
      </w:r>
      <w:r w:rsidRPr="0052137F">
        <w:rPr>
          <w:rFonts w:ascii="Arimo" w:hAnsi="Arimo" w:hint="cs"/>
          <w:rtl/>
        </w:rPr>
        <w:t>/</w:t>
      </w:r>
      <w:r w:rsidRPr="0052137F">
        <w:rPr>
          <w:rFonts w:ascii="Arimo" w:hAnsi="Arimo"/>
          <w:rtl/>
        </w:rPr>
        <w:t xml:space="preserve">13 </w:t>
      </w:r>
      <w:r w:rsidRPr="0052137F">
        <w:rPr>
          <w:rFonts w:ascii="Century" w:hAnsi="Century" w:cs="Miriam"/>
          <w:b/>
          <w:spacing w:val="0"/>
          <w:sz w:val="22"/>
          <w:szCs w:val="24"/>
          <w:rtl/>
        </w:rPr>
        <w:t>בר יהודה בע"מ נ' הוועדה המקומית לתכנון ובניה שומרון</w:t>
      </w:r>
      <w:r>
        <w:rPr>
          <w:rFonts w:hint="cs"/>
          <w:rtl/>
        </w:rPr>
        <w:t>, פסקה 53 (10.5.2016)).</w:t>
      </w:r>
    </w:p>
    <w:p w:rsidR="00CF54A5" w:rsidRDefault="00CF54A5" w:rsidP="00CF54A5">
      <w:pPr>
        <w:pStyle w:val="Ruller4"/>
        <w:numPr>
          <w:ilvl w:val="0"/>
          <w:numId w:val="0"/>
        </w:numPr>
      </w:pPr>
    </w:p>
    <w:p w:rsidR="00CF54A5" w:rsidRPr="00950BB1" w:rsidRDefault="00CF54A5" w:rsidP="00CF54A5">
      <w:pPr>
        <w:pStyle w:val="Ruller4"/>
        <w:rPr>
          <w:rtl/>
        </w:rPr>
      </w:pPr>
      <w:r w:rsidRPr="005A7B84">
        <w:rPr>
          <w:rFonts w:hint="cs"/>
          <w:rtl/>
        </w:rPr>
        <w:t xml:space="preserve">מכל האמור עולה כי אין מקום לשנות ממסקנתו של </w:t>
      </w:r>
      <w:r>
        <w:rPr>
          <w:rFonts w:hint="cs"/>
          <w:rtl/>
        </w:rPr>
        <w:t xml:space="preserve">בית </w:t>
      </w:r>
      <w:r w:rsidRPr="005A7B84">
        <w:rPr>
          <w:rFonts w:hint="cs"/>
          <w:rtl/>
        </w:rPr>
        <w:t>משפט קמא לפיה את קריטריון גודל השוק יש למדוד לאורך כל תקופת שנת המס.</w:t>
      </w:r>
    </w:p>
    <w:p w:rsidR="00CF54A5" w:rsidRDefault="00CF54A5" w:rsidP="00CF54A5">
      <w:pPr>
        <w:pStyle w:val="Ruller41"/>
        <w:rPr>
          <w:rFonts w:ascii="Century" w:hAnsi="Century"/>
          <w:rtl/>
        </w:rPr>
      </w:pPr>
    </w:p>
    <w:p w:rsidR="00CF54A5" w:rsidRDefault="00CF54A5" w:rsidP="00E3709B">
      <w:pPr>
        <w:pStyle w:val="Ruller4"/>
        <w:rPr>
          <w:rtl/>
        </w:rPr>
      </w:pPr>
      <w:r w:rsidRPr="00B97FB8">
        <w:rPr>
          <w:rFonts w:ascii="Century" w:hAnsi="Century" w:cs="Miriam" w:hint="cs"/>
          <w:b/>
          <w:spacing w:val="0"/>
          <w:sz w:val="22"/>
          <w:szCs w:val="24"/>
          <w:rtl/>
        </w:rPr>
        <w:t>אשר על כן</w:t>
      </w:r>
      <w:r>
        <w:rPr>
          <w:rFonts w:hint="cs"/>
          <w:rtl/>
        </w:rPr>
        <w:t xml:space="preserve">, לאור מסקנתנו כי קריטריון גודל השוק צריך להיבחן על בסיס שנתי, ובהינתן שלא ראינו מקום להתערב בקביעתו העובדתית של בית משפט קמא, לפיה השוק </w:t>
      </w:r>
      <w:r w:rsidR="00E3709B">
        <w:rPr>
          <w:rFonts w:hint="cs"/>
          <w:rtl/>
        </w:rPr>
        <w:t>הישראלי</w:t>
      </w:r>
      <w:r>
        <w:rPr>
          <w:rFonts w:hint="cs"/>
          <w:rtl/>
        </w:rPr>
        <w:t xml:space="preserve"> חצה את רף 12 מיליון התושבים רק מאמצע שנת 2011 </w:t>
      </w:r>
      <w:r>
        <w:rPr>
          <w:rtl/>
        </w:rPr>
        <w:t>–</w:t>
      </w:r>
      <w:r>
        <w:rPr>
          <w:rFonts w:hint="cs"/>
          <w:rtl/>
        </w:rPr>
        <w:t xml:space="preserve"> נמצא, כי </w:t>
      </w:r>
      <w:proofErr w:type="spellStart"/>
      <w:r>
        <w:rPr>
          <w:rFonts w:hint="cs"/>
          <w:rtl/>
        </w:rPr>
        <w:t>הנישומות</w:t>
      </w:r>
      <w:proofErr w:type="spellEnd"/>
      <w:r>
        <w:rPr>
          <w:rFonts w:hint="cs"/>
          <w:rtl/>
        </w:rPr>
        <w:t xml:space="preserve"> אינן עומדות בקריטריון גודל השוק בשנת 2011, ועל כן דין ערעורן ביחס לשנה זו להידחות.</w:t>
      </w:r>
    </w:p>
    <w:p w:rsidR="00CF54A5" w:rsidRDefault="00CF54A5" w:rsidP="00CF54A5">
      <w:pPr>
        <w:pStyle w:val="Ruller41"/>
        <w:rPr>
          <w:rFonts w:ascii="Century" w:hAnsi="Century"/>
          <w:rtl/>
        </w:rPr>
      </w:pPr>
    </w:p>
    <w:p w:rsidR="00CF54A5" w:rsidRPr="00E4456C" w:rsidRDefault="00CF54A5" w:rsidP="00CF54A5">
      <w:pPr>
        <w:pStyle w:val="Ruller41"/>
        <w:rPr>
          <w:rFonts w:ascii="Century" w:hAnsi="Century" w:cs="Miriam"/>
          <w:b/>
          <w:spacing w:val="0"/>
          <w:szCs w:val="24"/>
          <w:rtl/>
        </w:rPr>
      </w:pPr>
      <w:r w:rsidRPr="00E4456C">
        <w:rPr>
          <w:rFonts w:ascii="Century" w:hAnsi="Century" w:cs="Miriam" w:hint="cs"/>
          <w:b/>
          <w:spacing w:val="0"/>
          <w:szCs w:val="24"/>
          <w:rtl/>
        </w:rPr>
        <w:t>שנת 2012</w:t>
      </w:r>
    </w:p>
    <w:p w:rsidR="00CF54A5" w:rsidRDefault="00CF54A5" w:rsidP="00CF54A5">
      <w:pPr>
        <w:pStyle w:val="Ruller41"/>
        <w:rPr>
          <w:rFonts w:ascii="Century" w:hAnsi="Century"/>
          <w:rtl/>
        </w:rPr>
      </w:pPr>
    </w:p>
    <w:p w:rsidR="00CF54A5" w:rsidRPr="007D5CBF" w:rsidRDefault="00CF54A5" w:rsidP="00CF54A5">
      <w:pPr>
        <w:pStyle w:val="Ruller4"/>
        <w:rPr>
          <w:rtl/>
        </w:rPr>
      </w:pPr>
      <w:r>
        <w:rPr>
          <w:rFonts w:hint="cs"/>
          <w:rtl/>
        </w:rPr>
        <w:t>כפי שצוין לעיל</w:t>
      </w:r>
      <w:r w:rsidRPr="007D5CBF">
        <w:rPr>
          <w:rFonts w:hint="cs"/>
          <w:rtl/>
        </w:rPr>
        <w:t xml:space="preserve">, במסגרת תיקון מס' 70 </w:t>
      </w:r>
      <w:r>
        <w:rPr>
          <w:rFonts w:hint="cs"/>
          <w:rtl/>
        </w:rPr>
        <w:t xml:space="preserve">לחוק עידוד השקעות </w:t>
      </w:r>
      <w:r w:rsidRPr="007D5CBF">
        <w:rPr>
          <w:rFonts w:hint="cs"/>
          <w:rtl/>
        </w:rPr>
        <w:t>הוגדל מספר התושבים על פי קריטריון ג</w:t>
      </w:r>
      <w:r>
        <w:rPr>
          <w:rFonts w:hint="cs"/>
          <w:rtl/>
        </w:rPr>
        <w:t xml:space="preserve">ודל </w:t>
      </w:r>
      <w:r w:rsidRPr="007D5CBF">
        <w:rPr>
          <w:rFonts w:hint="cs"/>
          <w:rtl/>
        </w:rPr>
        <w:t>השוק, מ-12 מיליון תושבים ל-14 מיליון תושבים, לצד הוספת הוראת עדכון שנתית</w:t>
      </w:r>
      <w:r>
        <w:rPr>
          <w:rFonts w:hint="cs"/>
          <w:rtl/>
        </w:rPr>
        <w:t xml:space="preserve"> של </w:t>
      </w:r>
      <w:r w:rsidR="006809B2">
        <w:rPr>
          <w:rFonts w:hint="cs"/>
          <w:rtl/>
        </w:rPr>
        <w:t>הקריטריון</w:t>
      </w:r>
      <w:r>
        <w:rPr>
          <w:rFonts w:hint="cs"/>
          <w:rtl/>
        </w:rPr>
        <w:t xml:space="preserve"> (1.4% </w:t>
      </w:r>
      <w:r w:rsidRPr="00C50959">
        <w:rPr>
          <w:rtl/>
        </w:rPr>
        <w:t>מִדֵּי</w:t>
      </w:r>
      <w:r w:rsidRPr="00C50959">
        <w:rPr>
          <w:rFonts w:hint="cs"/>
          <w:rtl/>
        </w:rPr>
        <w:t xml:space="preserve"> שנה)</w:t>
      </w:r>
      <w:r w:rsidRPr="007D5CBF">
        <w:rPr>
          <w:rFonts w:hint="cs"/>
          <w:rtl/>
        </w:rPr>
        <w:t xml:space="preserve">, וכן נקבעה בו הוראת מעבר לפיה תחולתו של תיקון זה היא מיום 1.1.2012, דהיינו </w:t>
      </w:r>
      <w:r>
        <w:rPr>
          <w:rFonts w:hint="cs"/>
          <w:rtl/>
        </w:rPr>
        <w:t>כ-18 חודשים עובר לחקיקתו</w:t>
      </w:r>
      <w:r w:rsidRPr="007D5CBF">
        <w:rPr>
          <w:rFonts w:hint="cs"/>
          <w:rtl/>
        </w:rPr>
        <w:t xml:space="preserve">. על כן, על פני הדברים, ככל שתיקון מס' 70 עומד בעינו, הרי שהמסקנה המתבקשת היא </w:t>
      </w:r>
      <w:proofErr w:type="spellStart"/>
      <w:r w:rsidRPr="007D5CBF">
        <w:rPr>
          <w:rFonts w:hint="cs"/>
          <w:rtl/>
        </w:rPr>
        <w:t>שהנישומות</w:t>
      </w:r>
      <w:proofErr w:type="spellEnd"/>
      <w:r w:rsidRPr="007D5CBF">
        <w:rPr>
          <w:rFonts w:hint="cs"/>
          <w:rtl/>
        </w:rPr>
        <w:t xml:space="preserve"> לא עמדו בקריטריון גודל השוק גם בשנת 2012, בהינתן שאין חולק כי בשנת 2012 לא מנה השוק </w:t>
      </w:r>
      <w:r>
        <w:rPr>
          <w:rFonts w:hint="cs"/>
          <w:rtl/>
        </w:rPr>
        <w:t>הישראלי</w:t>
      </w:r>
      <w:r w:rsidRPr="007D5CBF">
        <w:rPr>
          <w:rFonts w:hint="cs"/>
          <w:rtl/>
        </w:rPr>
        <w:t xml:space="preserve"> מעל ל-14 מיליון תושבים. </w:t>
      </w:r>
      <w:r>
        <w:rPr>
          <w:rFonts w:hint="cs"/>
          <w:rtl/>
        </w:rPr>
        <w:t xml:space="preserve">טענות </w:t>
      </w:r>
      <w:proofErr w:type="spellStart"/>
      <w:r>
        <w:rPr>
          <w:rFonts w:hint="cs"/>
          <w:rtl/>
        </w:rPr>
        <w:t>הנישומות</w:t>
      </w:r>
      <w:proofErr w:type="spellEnd"/>
      <w:r>
        <w:rPr>
          <w:rFonts w:hint="cs"/>
          <w:rtl/>
        </w:rPr>
        <w:t xml:space="preserve"> בעניין זה, אם כן, מתמקדות במישור החוקתי של תיקון מס' 70, ובפרט של הוראת המעבר שנקבעה בו.</w:t>
      </w:r>
    </w:p>
    <w:p w:rsidR="00CF54A5" w:rsidRDefault="00CF54A5" w:rsidP="00CF54A5">
      <w:pPr>
        <w:pStyle w:val="Ruller41"/>
        <w:rPr>
          <w:rFonts w:ascii="Century" w:hAnsi="Century"/>
          <w:rtl/>
        </w:rPr>
      </w:pPr>
    </w:p>
    <w:p w:rsidR="00CF54A5" w:rsidRPr="00346250" w:rsidRDefault="00CF54A5" w:rsidP="00CF54A5">
      <w:pPr>
        <w:pStyle w:val="Ruller4"/>
        <w:rPr>
          <w:rtl/>
        </w:rPr>
      </w:pPr>
      <w:r>
        <w:rPr>
          <w:rFonts w:hint="cs"/>
          <w:rtl/>
        </w:rPr>
        <w:t xml:space="preserve">עד כאן עסקנו, בעיקרו של דבר, בשאלות של פרשנות. עתה, עלינו להידרש לסוגיה במישור הסמכות. וזו, הסוגיה המקדמית והעיקרית אליה אנו נדרשים: מהי </w:t>
      </w:r>
      <w:proofErr w:type="spellStart"/>
      <w:r>
        <w:rPr>
          <w:rFonts w:hint="cs"/>
          <w:rtl/>
        </w:rPr>
        <w:lastRenderedPageBreak/>
        <w:t>האכסנייה</w:t>
      </w:r>
      <w:proofErr w:type="spellEnd"/>
      <w:r>
        <w:rPr>
          <w:rFonts w:hint="cs"/>
          <w:rtl/>
        </w:rPr>
        <w:t xml:space="preserve"> הנכונה להעלאת טענותיהן של </w:t>
      </w:r>
      <w:proofErr w:type="spellStart"/>
      <w:r>
        <w:rPr>
          <w:rFonts w:hint="cs"/>
          <w:rtl/>
        </w:rPr>
        <w:t>הנישומות</w:t>
      </w:r>
      <w:proofErr w:type="spellEnd"/>
      <w:r>
        <w:rPr>
          <w:rFonts w:hint="cs"/>
          <w:rtl/>
        </w:rPr>
        <w:t xml:space="preserve"> בכל הנוגע לחוקיות תיקון מס' 70? באופן ממוקד יותר, נשאלת השאלה האם </w:t>
      </w:r>
      <w:proofErr w:type="spellStart"/>
      <w:r>
        <w:rPr>
          <w:rFonts w:hint="cs"/>
          <w:rtl/>
        </w:rPr>
        <w:t>הנישומות</w:t>
      </w:r>
      <w:proofErr w:type="spellEnd"/>
      <w:r>
        <w:rPr>
          <w:rFonts w:hint="cs"/>
          <w:rtl/>
        </w:rPr>
        <w:t xml:space="preserve"> היו רשאיות לתקוף את חוקיותו של תיקון מס' 70 במסגרת ערעורי המס שהגישו לבית המשפט המחוזי, כאשר משמעות קבלת טענותיהן בעניין זה היא ביטולו של חוק שנחקק על ידי הכנסת בידי בית המשפט המחוזי, או שמא היה עליהן לנקוט בהליך אחר בהעלאת טענותיהן האמורות? </w:t>
      </w:r>
      <w:r w:rsidRPr="00DF3004">
        <w:rPr>
          <w:rFonts w:hint="cs"/>
          <w:rtl/>
        </w:rPr>
        <w:t>לבחינה זו אפנה כעת.</w:t>
      </w:r>
    </w:p>
    <w:p w:rsidR="00CF54A5" w:rsidRPr="0032242D" w:rsidRDefault="00CF54A5" w:rsidP="00CF54A5">
      <w:pPr>
        <w:pStyle w:val="Ruller41"/>
        <w:rPr>
          <w:rtl/>
        </w:rPr>
      </w:pPr>
    </w:p>
    <w:p w:rsidR="00CF54A5" w:rsidRPr="00F02302" w:rsidRDefault="00CF54A5" w:rsidP="00CF54A5">
      <w:pPr>
        <w:pStyle w:val="Ruller41"/>
        <w:rPr>
          <w:rFonts w:ascii="Century" w:hAnsi="Century" w:cs="Miriam"/>
          <w:b/>
          <w:spacing w:val="0"/>
          <w:szCs w:val="24"/>
          <w:rtl/>
        </w:rPr>
      </w:pPr>
      <w:r w:rsidRPr="00F02302">
        <w:rPr>
          <w:rFonts w:ascii="Century" w:hAnsi="Century" w:cs="Miriam" w:hint="cs"/>
          <w:b/>
          <w:spacing w:val="0"/>
          <w:szCs w:val="24"/>
          <w:rtl/>
        </w:rPr>
        <w:t>תקיפה ישירה אל מול תקיפה עקיפה</w:t>
      </w:r>
    </w:p>
    <w:p w:rsidR="00CF54A5" w:rsidRDefault="00CF54A5" w:rsidP="00CF54A5">
      <w:pPr>
        <w:pStyle w:val="Ruller41"/>
        <w:rPr>
          <w:rFonts w:ascii="Century" w:hAnsi="Century"/>
          <w:rtl/>
        </w:rPr>
      </w:pPr>
    </w:p>
    <w:p w:rsidR="00CF54A5" w:rsidRDefault="00CF54A5" w:rsidP="00565269">
      <w:pPr>
        <w:pStyle w:val="Ruller4"/>
      </w:pPr>
      <w:r>
        <w:rPr>
          <w:rFonts w:hint="cs"/>
          <w:rtl/>
        </w:rPr>
        <w:t xml:space="preserve">כאשר אדם מבקש להעלות טענות שעניינן בביקורת שיפוטית על מעשה שלטוני (קרי, טענות שמקורן במשפט המנהלי או במשפט החוקתי), שתיים הן הדרכים לעשות כן: </w:t>
      </w:r>
    </w:p>
    <w:p w:rsidR="00CF54A5" w:rsidRDefault="00CF54A5" w:rsidP="00CF54A5">
      <w:pPr>
        <w:pStyle w:val="Ruller4"/>
        <w:numPr>
          <w:ilvl w:val="0"/>
          <w:numId w:val="0"/>
        </w:numPr>
        <w:rPr>
          <w:rtl/>
        </w:rPr>
      </w:pPr>
    </w:p>
    <w:p w:rsidR="00CF54A5" w:rsidRDefault="00CF54A5" w:rsidP="00C42394">
      <w:pPr>
        <w:pStyle w:val="Ruller4"/>
        <w:numPr>
          <w:ilvl w:val="0"/>
          <w:numId w:val="0"/>
        </w:numPr>
        <w:rPr>
          <w:rtl/>
        </w:rPr>
      </w:pPr>
      <w:r>
        <w:rPr>
          <w:rtl/>
        </w:rPr>
        <w:tab/>
      </w:r>
      <w:r>
        <w:rPr>
          <w:rFonts w:hint="cs"/>
          <w:rtl/>
        </w:rPr>
        <w:t xml:space="preserve">(-) </w:t>
      </w:r>
      <w:r w:rsidRPr="001649E3">
        <w:rPr>
          <w:rFonts w:ascii="Century" w:hAnsi="Century" w:cs="Miriam" w:hint="cs"/>
          <w:b/>
          <w:spacing w:val="0"/>
          <w:sz w:val="22"/>
          <w:szCs w:val="24"/>
          <w:rtl/>
        </w:rPr>
        <w:t xml:space="preserve">תקיפה ישירה </w:t>
      </w:r>
      <w:r>
        <w:rPr>
          <w:rFonts w:hint="cs"/>
          <w:rtl/>
        </w:rPr>
        <w:t>(</w:t>
      </w:r>
      <w:r w:rsidRPr="007B1F5C">
        <w:rPr>
          <w:rFonts w:asciiTheme="majorBidi" w:hAnsiTheme="majorBidi" w:cstheme="majorBidi"/>
        </w:rPr>
        <w:t>direct attack</w:t>
      </w:r>
      <w:r>
        <w:rPr>
          <w:rFonts w:hint="cs"/>
          <w:rtl/>
        </w:rPr>
        <w:t>) של המעשה השלטוני בפני בית המשפט המוסמך לקיים ביקורת שיפוטית על המעשה השלטוני (בדרך כלל, יהיה זה בית משפט זה בשבתו כבית משפט גב</w:t>
      </w:r>
      <w:r w:rsidR="00565269">
        <w:rPr>
          <w:rFonts w:hint="cs"/>
          <w:rtl/>
        </w:rPr>
        <w:t>וה לצדק או בית המשפט לעניינים מ</w:t>
      </w:r>
      <w:r>
        <w:rPr>
          <w:rFonts w:hint="cs"/>
          <w:rtl/>
        </w:rPr>
        <w:t xml:space="preserve">נהליים. להלן: </w:t>
      </w:r>
      <w:r w:rsidRPr="00C50959">
        <w:rPr>
          <w:rFonts w:ascii="Century" w:hAnsi="Century" w:cs="Miriam" w:hint="cs"/>
          <w:b/>
          <w:spacing w:val="0"/>
          <w:sz w:val="22"/>
          <w:szCs w:val="24"/>
          <w:rtl/>
        </w:rPr>
        <w:t>בית המשפט המנהלי המוסמך</w:t>
      </w:r>
      <w:r>
        <w:rPr>
          <w:rFonts w:hint="cs"/>
          <w:rtl/>
        </w:rPr>
        <w:t>)</w:t>
      </w:r>
      <w:r w:rsidR="00DB7014">
        <w:rPr>
          <w:rFonts w:hint="cs"/>
          <w:rtl/>
        </w:rPr>
        <w:t>.</w:t>
      </w:r>
      <w:r>
        <w:rPr>
          <w:rFonts w:hint="cs"/>
          <w:rtl/>
        </w:rPr>
        <w:t xml:space="preserve"> במקרה הרגיל</w:t>
      </w:r>
      <w:r w:rsidR="00DB7014">
        <w:rPr>
          <w:rFonts w:hint="cs"/>
          <w:rtl/>
        </w:rPr>
        <w:t>,</w:t>
      </w:r>
      <w:r>
        <w:rPr>
          <w:rFonts w:hint="cs"/>
          <w:rtl/>
        </w:rPr>
        <w:t xml:space="preserve"> </w:t>
      </w:r>
      <w:r w:rsidR="00DB7014">
        <w:rPr>
          <w:rFonts w:hint="cs"/>
          <w:rtl/>
        </w:rPr>
        <w:t xml:space="preserve">ייעשה הדבר </w:t>
      </w:r>
      <w:r>
        <w:rPr>
          <w:rFonts w:hint="cs"/>
          <w:rtl/>
        </w:rPr>
        <w:t xml:space="preserve">בהליך המכוון ישירות נגד </w:t>
      </w:r>
      <w:r w:rsidR="00C42394">
        <w:rPr>
          <w:rFonts w:hint="cs"/>
          <w:rtl/>
        </w:rPr>
        <w:t>ה</w:t>
      </w:r>
      <w:r>
        <w:rPr>
          <w:rFonts w:hint="cs"/>
          <w:rtl/>
        </w:rPr>
        <w:t xml:space="preserve">מעשה </w:t>
      </w:r>
      <w:r w:rsidR="00C42394">
        <w:rPr>
          <w:rFonts w:hint="cs"/>
          <w:rtl/>
        </w:rPr>
        <w:t>השלטוני</w:t>
      </w:r>
      <w:r>
        <w:rPr>
          <w:rFonts w:hint="cs"/>
          <w:rtl/>
        </w:rPr>
        <w:t xml:space="preserve">, קרי הסעד המבוקש הוא ביטולו או שינויו של </w:t>
      </w:r>
      <w:r w:rsidR="00C42394">
        <w:rPr>
          <w:rFonts w:hint="cs"/>
          <w:rtl/>
        </w:rPr>
        <w:t>מעשה זה</w:t>
      </w:r>
      <w:r>
        <w:rPr>
          <w:rFonts w:hint="cs"/>
          <w:rtl/>
        </w:rPr>
        <w:t xml:space="preserve">, ובכך מתמקד לרוב ההליך. </w:t>
      </w:r>
    </w:p>
    <w:p w:rsidR="00CF54A5" w:rsidRDefault="00CF54A5" w:rsidP="00CF54A5">
      <w:pPr>
        <w:pStyle w:val="Ruller4"/>
        <w:numPr>
          <w:ilvl w:val="0"/>
          <w:numId w:val="0"/>
        </w:numPr>
        <w:rPr>
          <w:rtl/>
        </w:rPr>
      </w:pPr>
    </w:p>
    <w:p w:rsidR="00CF54A5" w:rsidRDefault="00CF54A5" w:rsidP="00C42394">
      <w:pPr>
        <w:pStyle w:val="Ruller4"/>
        <w:numPr>
          <w:ilvl w:val="0"/>
          <w:numId w:val="0"/>
        </w:numPr>
        <w:rPr>
          <w:rtl/>
        </w:rPr>
      </w:pPr>
      <w:r>
        <w:rPr>
          <w:rtl/>
        </w:rPr>
        <w:tab/>
      </w:r>
      <w:r>
        <w:rPr>
          <w:rFonts w:hint="cs"/>
          <w:rtl/>
        </w:rPr>
        <w:t>(</w:t>
      </w:r>
      <w:r w:rsidRPr="0061522F">
        <w:rPr>
          <w:rFonts w:hint="cs"/>
          <w:rtl/>
        </w:rPr>
        <w:t xml:space="preserve">-) </w:t>
      </w:r>
      <w:r w:rsidRPr="0061522F">
        <w:rPr>
          <w:rFonts w:ascii="Century" w:hAnsi="Century" w:cs="Miriam" w:hint="cs"/>
          <w:b/>
          <w:spacing w:val="0"/>
          <w:sz w:val="22"/>
          <w:szCs w:val="24"/>
          <w:rtl/>
        </w:rPr>
        <w:t>תקיפה עקיפה</w:t>
      </w:r>
      <w:r w:rsidRPr="0061522F">
        <w:rPr>
          <w:rFonts w:hint="cs"/>
          <w:rtl/>
        </w:rPr>
        <w:t xml:space="preserve"> (</w:t>
      </w:r>
      <w:r w:rsidRPr="0061522F">
        <w:rPr>
          <w:rFonts w:asciiTheme="majorBidi" w:hAnsiTheme="majorBidi" w:cstheme="majorBidi"/>
        </w:rPr>
        <w:t>collateral attack</w:t>
      </w:r>
      <w:r w:rsidRPr="0061522F">
        <w:rPr>
          <w:rFonts w:hint="cs"/>
          <w:rtl/>
        </w:rPr>
        <w:t xml:space="preserve">) של המעשה השלטוני, כאשר מתעורר הצורך בכך באופן </w:t>
      </w:r>
      <w:r>
        <w:rPr>
          <w:rFonts w:hint="cs"/>
          <w:rtl/>
        </w:rPr>
        <w:t>אגבי</w:t>
      </w:r>
      <w:r w:rsidRPr="0061522F">
        <w:rPr>
          <w:rFonts w:hint="cs"/>
          <w:rtl/>
        </w:rPr>
        <w:t xml:space="preserve">, במסגרת הליך המתנהל בפני בית משפט </w:t>
      </w:r>
      <w:r>
        <w:rPr>
          <w:rFonts w:hint="cs"/>
          <w:rtl/>
        </w:rPr>
        <w:t>שאינו בית המשפט המנהלי המוסמך</w:t>
      </w:r>
      <w:r w:rsidR="00C42394">
        <w:rPr>
          <w:rFonts w:hint="cs"/>
          <w:rtl/>
        </w:rPr>
        <w:t>,</w:t>
      </w:r>
      <w:r>
        <w:rPr>
          <w:rFonts w:hint="cs"/>
          <w:rtl/>
        </w:rPr>
        <w:t xml:space="preserve"> </w:t>
      </w:r>
      <w:r w:rsidRPr="0061522F">
        <w:rPr>
          <w:rFonts w:hint="cs"/>
          <w:rtl/>
        </w:rPr>
        <w:t>בעניין שבתחום סמכותו</w:t>
      </w:r>
      <w:r w:rsidR="00C42394">
        <w:rPr>
          <w:rFonts w:hint="cs"/>
          <w:rtl/>
        </w:rPr>
        <w:t xml:space="preserve"> של</w:t>
      </w:r>
      <w:r>
        <w:rPr>
          <w:rFonts w:hint="cs"/>
          <w:rtl/>
        </w:rPr>
        <w:t xml:space="preserve"> אותו בית משפט</w:t>
      </w:r>
      <w:r w:rsidRPr="0061522F">
        <w:rPr>
          <w:rFonts w:hint="cs"/>
          <w:rtl/>
        </w:rPr>
        <w:t>, והכול</w:t>
      </w:r>
      <w:r>
        <w:rPr>
          <w:rFonts w:hint="cs"/>
          <w:rtl/>
        </w:rPr>
        <w:t xml:space="preserve"> במטרה לזכות בסעד אחר (כגון, סעד כספי), הוא הסעד העיקרי בתובענה.</w:t>
      </w:r>
      <w:r w:rsidRPr="00CF3F2B">
        <w:rPr>
          <w:rFonts w:hint="cs"/>
          <w:rtl/>
        </w:rPr>
        <w:t xml:space="preserve"> משמעות</w:t>
      </w:r>
      <w:r>
        <w:rPr>
          <w:rFonts w:hint="cs"/>
          <w:rtl/>
        </w:rPr>
        <w:t xml:space="preserve"> הדבר היא שבית משפט הדן בעניין אשר הובא לפניו כדין, רשאי להכריע בעניין שאינו מצוי בגדר סמכותו העניינית אלא בסמכותו של בית המשפט המנהלי המוסמך. הסמכה חריגה זו מכונה "סמכות </w:t>
      </w:r>
      <w:proofErr w:type="spellStart"/>
      <w:r>
        <w:rPr>
          <w:rFonts w:hint="cs"/>
          <w:rtl/>
        </w:rPr>
        <w:t>שבגררא</w:t>
      </w:r>
      <w:proofErr w:type="spellEnd"/>
      <w:r>
        <w:rPr>
          <w:rFonts w:hint="cs"/>
          <w:rtl/>
        </w:rPr>
        <w:t xml:space="preserve">", והיא מעוגנת בסעיף 76 לחוק בתי המשפט </w:t>
      </w:r>
      <w:r w:rsidRPr="00CB013A">
        <w:rPr>
          <w:rtl/>
        </w:rPr>
        <w:t>[</w:t>
      </w:r>
      <w:r w:rsidRPr="00CB013A">
        <w:rPr>
          <w:rFonts w:hint="eastAsia"/>
          <w:rtl/>
        </w:rPr>
        <w:t>נוסח</w:t>
      </w:r>
      <w:r w:rsidRPr="00CB013A">
        <w:rPr>
          <w:rtl/>
        </w:rPr>
        <w:t xml:space="preserve"> </w:t>
      </w:r>
      <w:r w:rsidRPr="00CB013A">
        <w:rPr>
          <w:rFonts w:hint="eastAsia"/>
          <w:rtl/>
        </w:rPr>
        <w:t>משולב</w:t>
      </w:r>
      <w:r w:rsidRPr="00CB013A">
        <w:rPr>
          <w:rtl/>
        </w:rPr>
        <w:t xml:space="preserve">], </w:t>
      </w:r>
      <w:r>
        <w:rPr>
          <w:rFonts w:hint="cs"/>
          <w:rtl/>
        </w:rPr>
        <w:t>ה</w:t>
      </w:r>
      <w:r w:rsidRPr="00CB013A">
        <w:rPr>
          <w:rFonts w:hint="eastAsia"/>
          <w:rtl/>
        </w:rPr>
        <w:t>תשמ</w:t>
      </w:r>
      <w:r w:rsidRPr="00CB013A">
        <w:rPr>
          <w:rtl/>
        </w:rPr>
        <w:t>"</w:t>
      </w:r>
      <w:r w:rsidRPr="00CB013A">
        <w:rPr>
          <w:rFonts w:hint="eastAsia"/>
          <w:rtl/>
        </w:rPr>
        <w:t>ד</w:t>
      </w:r>
      <w:r w:rsidRPr="00CB013A">
        <w:rPr>
          <w:rtl/>
        </w:rPr>
        <w:t>-1984</w:t>
      </w:r>
      <w:r>
        <w:rPr>
          <w:rFonts w:hint="cs"/>
          <w:rtl/>
        </w:rPr>
        <w:t>, לפיו: "</w:t>
      </w:r>
      <w:r w:rsidRPr="00CB013A">
        <w:rPr>
          <w:rFonts w:ascii="Century" w:hAnsi="Century" w:cs="Miriam" w:hint="eastAsia"/>
          <w:b/>
          <w:spacing w:val="0"/>
          <w:sz w:val="22"/>
          <w:szCs w:val="24"/>
          <w:rtl/>
        </w:rPr>
        <w:t>הובא</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ענין</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כדין</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לפני</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בית</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משפט</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והתעוררה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בו</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דרך</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אגב</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שאלה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שהכרעתה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דרושה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לבירור</w:t>
      </w:r>
      <w:r w:rsidRPr="00CB013A">
        <w:rPr>
          <w:rFonts w:ascii="Century" w:hAnsi="Century" w:cs="Miriam"/>
          <w:b/>
          <w:spacing w:val="0"/>
          <w:sz w:val="22"/>
          <w:szCs w:val="24"/>
          <w:rtl/>
        </w:rPr>
        <w:t xml:space="preserve"> </w:t>
      </w:r>
      <w:proofErr w:type="spellStart"/>
      <w:r w:rsidRPr="00CB013A">
        <w:rPr>
          <w:rFonts w:ascii="Century" w:hAnsi="Century" w:cs="Miriam" w:hint="eastAsia"/>
          <w:b/>
          <w:spacing w:val="0"/>
          <w:sz w:val="22"/>
          <w:szCs w:val="24"/>
          <w:rtl/>
        </w:rPr>
        <w:t>הענין</w:t>
      </w:r>
      <w:proofErr w:type="spellEnd"/>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רשאי</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בית</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המשפט</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להכריע</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לצורך</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אותו</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ענין</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אף</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אם</w:t>
      </w:r>
      <w:r w:rsidRPr="00CB013A">
        <w:rPr>
          <w:rFonts w:ascii="Century" w:hAnsi="Century" w:cs="Miriam"/>
          <w:b/>
          <w:spacing w:val="0"/>
          <w:sz w:val="22"/>
          <w:szCs w:val="24"/>
          <w:rtl/>
        </w:rPr>
        <w:t xml:space="preserve"> </w:t>
      </w:r>
      <w:proofErr w:type="spellStart"/>
      <w:r w:rsidRPr="00CB013A">
        <w:rPr>
          <w:rFonts w:ascii="Century" w:hAnsi="Century" w:cs="Miriam" w:hint="eastAsia"/>
          <w:b/>
          <w:spacing w:val="0"/>
          <w:sz w:val="22"/>
          <w:szCs w:val="24"/>
          <w:rtl/>
        </w:rPr>
        <w:t>הענין</w:t>
      </w:r>
      <w:proofErr w:type="spellEnd"/>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שבשאלה</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הוא</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בסמכותו</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הייחודית</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של</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בית</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משפט</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אחר</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או</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של</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בית</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דין</w:t>
      </w:r>
      <w:r w:rsidRPr="00CB013A">
        <w:rPr>
          <w:rFonts w:ascii="Century" w:hAnsi="Century" w:cs="Miriam"/>
          <w:b/>
          <w:spacing w:val="0"/>
          <w:sz w:val="22"/>
          <w:szCs w:val="24"/>
          <w:rtl/>
        </w:rPr>
        <w:t xml:space="preserve"> </w:t>
      </w:r>
      <w:r w:rsidRPr="00CB013A">
        <w:rPr>
          <w:rFonts w:ascii="Century" w:hAnsi="Century" w:cs="Miriam" w:hint="eastAsia"/>
          <w:b/>
          <w:spacing w:val="0"/>
          <w:sz w:val="22"/>
          <w:szCs w:val="24"/>
          <w:rtl/>
        </w:rPr>
        <w:t>אחר</w:t>
      </w:r>
      <w:r>
        <w:rPr>
          <w:rFonts w:hint="cs"/>
          <w:rtl/>
        </w:rPr>
        <w:t xml:space="preserve">". כפי שמלמדת לשונו של הסעיף, וכפי שהדבר התפרש בפסיקה, תקיפה עקיפה אפשרית בכפוף למספר סייגים והגבלות: מרכז הכובד של התובענה הוא עניין שבגדר סמכותו של בית המשפט הדן בהליך, ואילו הפעולה השלטונית הנתקפת נוגעת לשאלה </w:t>
      </w:r>
      <w:r>
        <w:rPr>
          <w:rFonts w:hint="cs"/>
          <w:rtl/>
        </w:rPr>
        <w:lastRenderedPageBreak/>
        <w:t>אינצידנטלית לשאלה העיקרית בהליך;</w:t>
      </w:r>
      <w:r w:rsidRPr="00CF3F2B">
        <w:rPr>
          <w:rFonts w:hint="cs"/>
          <w:rtl/>
        </w:rPr>
        <w:t xml:space="preserve"> מדובר בהכרעה </w:t>
      </w:r>
      <w:r>
        <w:rPr>
          <w:rFonts w:hint="cs"/>
          <w:rtl/>
        </w:rPr>
        <w:t>הנדרשת</w:t>
      </w:r>
      <w:r w:rsidRPr="00CF3F2B">
        <w:rPr>
          <w:rFonts w:hint="cs"/>
          <w:rtl/>
        </w:rPr>
        <w:t xml:space="preserve"> לבירור העניין</w:t>
      </w:r>
      <w:r>
        <w:rPr>
          <w:rFonts w:hint="cs"/>
          <w:rtl/>
        </w:rPr>
        <w:t xml:space="preserve"> המרכזי הנדון לפני בית המשפט;</w:t>
      </w:r>
      <w:r w:rsidRPr="00CF3F2B">
        <w:rPr>
          <w:rFonts w:hint="cs"/>
          <w:rtl/>
        </w:rPr>
        <w:t xml:space="preserve"> </w:t>
      </w:r>
      <w:r>
        <w:rPr>
          <w:rFonts w:hint="cs"/>
          <w:rtl/>
        </w:rPr>
        <w:t>ותוקף ההכרעה תחום לדל"ת אמותיו של ההליך הנדון,</w:t>
      </w:r>
      <w:r w:rsidRPr="00CF3F2B">
        <w:rPr>
          <w:rFonts w:hint="cs"/>
          <w:rtl/>
        </w:rPr>
        <w:t xml:space="preserve"> במובן הזה שאין ה</w:t>
      </w:r>
      <w:r>
        <w:rPr>
          <w:rFonts w:hint="cs"/>
          <w:rtl/>
        </w:rPr>
        <w:t>הכרעה</w:t>
      </w:r>
      <w:r w:rsidRPr="00CF3F2B">
        <w:rPr>
          <w:rFonts w:hint="cs"/>
          <w:rtl/>
        </w:rPr>
        <w:t xml:space="preserve"> מקימה מעשה בית-דין ואין לה השלכה מעבר לאותו הליך, אף לא על הליך אחר בין אותם </w:t>
      </w:r>
      <w:r w:rsidRPr="0004095F">
        <w:rPr>
          <w:rFonts w:hint="cs"/>
          <w:rtl/>
        </w:rPr>
        <w:t>צדדים</w:t>
      </w:r>
      <w:r>
        <w:rPr>
          <w:rFonts w:hint="cs"/>
          <w:rtl/>
        </w:rPr>
        <w:t>.</w:t>
      </w:r>
    </w:p>
    <w:p w:rsidR="00CF54A5" w:rsidRDefault="00CF54A5" w:rsidP="00CF54A5">
      <w:pPr>
        <w:pStyle w:val="Ruller4"/>
        <w:numPr>
          <w:ilvl w:val="0"/>
          <w:numId w:val="0"/>
        </w:numPr>
        <w:rPr>
          <w:rtl/>
        </w:rPr>
      </w:pPr>
    </w:p>
    <w:p w:rsidR="00CF54A5" w:rsidRPr="00497606" w:rsidRDefault="00CF54A5" w:rsidP="00CF54A5">
      <w:pPr>
        <w:pStyle w:val="Ruller41"/>
        <w:rPr>
          <w:rFonts w:ascii="Century" w:hAnsi="Century"/>
          <w:rtl/>
        </w:rPr>
      </w:pPr>
      <w:r>
        <w:rPr>
          <w:rtl/>
        </w:rPr>
        <w:tab/>
      </w:r>
      <w:r w:rsidRPr="0004095F">
        <w:rPr>
          <w:rtl/>
        </w:rPr>
        <w:t>(</w:t>
      </w:r>
      <w:r>
        <w:rPr>
          <w:rFonts w:hint="cs"/>
          <w:rtl/>
        </w:rPr>
        <w:t xml:space="preserve">ראו: </w:t>
      </w:r>
      <w:r>
        <w:rPr>
          <w:rFonts w:ascii="Arimo" w:hAnsi="Arimo"/>
          <w:rtl/>
        </w:rPr>
        <w:t>דנ"א 1099</w:t>
      </w:r>
      <w:r>
        <w:rPr>
          <w:rFonts w:ascii="Arimo" w:hAnsi="Arimo" w:hint="cs"/>
          <w:rtl/>
        </w:rPr>
        <w:t>/</w:t>
      </w:r>
      <w:r>
        <w:rPr>
          <w:rFonts w:ascii="Arimo" w:hAnsi="Arimo"/>
          <w:rtl/>
        </w:rPr>
        <w:t xml:space="preserve">13 </w:t>
      </w:r>
      <w:r w:rsidRPr="0030680A">
        <w:rPr>
          <w:rFonts w:ascii="Century" w:hAnsi="Century" w:cs="Miriam"/>
          <w:b/>
          <w:spacing w:val="0"/>
          <w:szCs w:val="24"/>
          <w:rtl/>
        </w:rPr>
        <w:t xml:space="preserve">מדינת ישראל נ' אבו </w:t>
      </w:r>
      <w:proofErr w:type="spellStart"/>
      <w:r w:rsidRPr="0030680A">
        <w:rPr>
          <w:rFonts w:ascii="Century" w:hAnsi="Century" w:cs="Miriam"/>
          <w:b/>
          <w:spacing w:val="0"/>
          <w:szCs w:val="24"/>
          <w:rtl/>
        </w:rPr>
        <w:t>פריח</w:t>
      </w:r>
      <w:proofErr w:type="spellEnd"/>
      <w:r w:rsidRPr="0030680A">
        <w:rPr>
          <w:rFonts w:ascii="Century" w:hAnsi="Century" w:cs="Miriam"/>
          <w:b/>
          <w:spacing w:val="0"/>
          <w:szCs w:val="24"/>
          <w:rtl/>
        </w:rPr>
        <w:t xml:space="preserve"> ז"ל ו-34 אח'</w:t>
      </w:r>
      <w:r>
        <w:rPr>
          <w:rFonts w:ascii="Arimo" w:hAnsi="Arimo" w:hint="cs"/>
          <w:rtl/>
        </w:rPr>
        <w:t>, פסקה 13 לפסק דינו של הנשיא (</w:t>
      </w:r>
      <w:proofErr w:type="spellStart"/>
      <w:r>
        <w:rPr>
          <w:rFonts w:ascii="Arimo" w:hAnsi="Arimo" w:hint="cs"/>
          <w:rtl/>
        </w:rPr>
        <w:t>בדימ</w:t>
      </w:r>
      <w:proofErr w:type="spellEnd"/>
      <w:r>
        <w:rPr>
          <w:rFonts w:ascii="Arimo" w:hAnsi="Arimo" w:hint="cs"/>
          <w:rtl/>
        </w:rPr>
        <w:t xml:space="preserve">') </w:t>
      </w:r>
      <w:r w:rsidRPr="0030680A">
        <w:rPr>
          <w:rFonts w:ascii="Century" w:hAnsi="Century" w:cs="Miriam" w:hint="cs"/>
          <w:b/>
          <w:spacing w:val="0"/>
          <w:szCs w:val="24"/>
          <w:rtl/>
        </w:rPr>
        <w:t xml:space="preserve">אשר </w:t>
      </w:r>
      <w:proofErr w:type="spellStart"/>
      <w:r w:rsidRPr="0030680A">
        <w:rPr>
          <w:rFonts w:ascii="Century" w:hAnsi="Century" w:cs="Miriam" w:hint="cs"/>
          <w:b/>
          <w:spacing w:val="0"/>
          <w:szCs w:val="24"/>
          <w:rtl/>
        </w:rPr>
        <w:t>גרוניס</w:t>
      </w:r>
      <w:proofErr w:type="spellEnd"/>
      <w:r w:rsidRPr="0030680A">
        <w:rPr>
          <w:rFonts w:ascii="Arimo" w:hAnsi="Arimo" w:hint="cs"/>
          <w:rtl/>
        </w:rPr>
        <w:t xml:space="preserve"> </w:t>
      </w:r>
      <w:r>
        <w:rPr>
          <w:rFonts w:ascii="Arimo" w:hAnsi="Arimo" w:hint="cs"/>
          <w:rtl/>
        </w:rPr>
        <w:t xml:space="preserve">(12.4.2015) (להלן: </w:t>
      </w:r>
      <w:r w:rsidRPr="00AF7063">
        <w:rPr>
          <w:rFonts w:ascii="Century" w:hAnsi="Century" w:cs="Miriam" w:hint="cs"/>
          <w:b/>
          <w:spacing w:val="0"/>
          <w:szCs w:val="24"/>
          <w:rtl/>
        </w:rPr>
        <w:t xml:space="preserve">עניין אבו </w:t>
      </w:r>
      <w:proofErr w:type="spellStart"/>
      <w:r w:rsidRPr="00AF7063">
        <w:rPr>
          <w:rFonts w:ascii="Century" w:hAnsi="Century" w:cs="Miriam" w:hint="cs"/>
          <w:b/>
          <w:spacing w:val="0"/>
          <w:szCs w:val="24"/>
          <w:rtl/>
        </w:rPr>
        <w:t>פריח</w:t>
      </w:r>
      <w:proofErr w:type="spellEnd"/>
      <w:r>
        <w:rPr>
          <w:rFonts w:ascii="Arimo" w:hAnsi="Arimo" w:hint="cs"/>
          <w:rtl/>
        </w:rPr>
        <w:t xml:space="preserve">); </w:t>
      </w:r>
      <w:r>
        <w:rPr>
          <w:rFonts w:ascii="Arimo" w:hAnsi="Arimo"/>
          <w:rtl/>
        </w:rPr>
        <w:t>דנ"א 7398</w:t>
      </w:r>
      <w:r>
        <w:rPr>
          <w:rFonts w:ascii="Arimo" w:hAnsi="Arimo" w:hint="cs"/>
          <w:rtl/>
        </w:rPr>
        <w:t>/</w:t>
      </w:r>
      <w:r>
        <w:rPr>
          <w:rFonts w:ascii="Arimo" w:hAnsi="Arimo"/>
          <w:rtl/>
        </w:rPr>
        <w:t xml:space="preserve">09 </w:t>
      </w:r>
      <w:r w:rsidRPr="00E76BA1">
        <w:rPr>
          <w:rFonts w:ascii="Century" w:hAnsi="Century" w:cs="Miriam"/>
          <w:b/>
          <w:spacing w:val="0"/>
          <w:szCs w:val="24"/>
          <w:rtl/>
        </w:rPr>
        <w:t>עיריית ירושלים נ' שירותי בריאות כללית</w:t>
      </w:r>
      <w:r>
        <w:rPr>
          <w:rFonts w:ascii="Arimo" w:hAnsi="Arimo" w:hint="cs"/>
          <w:rtl/>
        </w:rPr>
        <w:t xml:space="preserve">, פסקה 27 (14.4.2015) (להלן: </w:t>
      </w:r>
      <w:r w:rsidRPr="00AF7063">
        <w:rPr>
          <w:rFonts w:ascii="Century" w:hAnsi="Century" w:cs="Miriam" w:hint="cs"/>
          <w:b/>
          <w:spacing w:val="0"/>
          <w:szCs w:val="24"/>
          <w:rtl/>
        </w:rPr>
        <w:t>עניין עיריית ירושלים</w:t>
      </w:r>
      <w:r>
        <w:rPr>
          <w:rFonts w:ascii="Arimo" w:hAnsi="Arimo" w:hint="cs"/>
          <w:rtl/>
        </w:rPr>
        <w:t xml:space="preserve">); </w:t>
      </w:r>
      <w:r>
        <w:rPr>
          <w:rFonts w:ascii="Arimo" w:hAnsi="Arimo"/>
          <w:rtl/>
        </w:rPr>
        <w:t>ע"א 4291</w:t>
      </w:r>
      <w:r>
        <w:rPr>
          <w:rFonts w:ascii="Arimo" w:hAnsi="Arimo" w:hint="cs"/>
          <w:rtl/>
        </w:rPr>
        <w:t>/</w:t>
      </w:r>
      <w:r>
        <w:rPr>
          <w:rFonts w:ascii="Arimo" w:hAnsi="Arimo"/>
          <w:rtl/>
        </w:rPr>
        <w:t xml:space="preserve">17 </w:t>
      </w:r>
      <w:r w:rsidRPr="00682EBB">
        <w:rPr>
          <w:rFonts w:ascii="Century" w:hAnsi="Century" w:cs="Miriam"/>
          <w:b/>
          <w:spacing w:val="0"/>
          <w:szCs w:val="24"/>
          <w:rtl/>
        </w:rPr>
        <w:t xml:space="preserve">עו"ד </w:t>
      </w:r>
      <w:proofErr w:type="spellStart"/>
      <w:r w:rsidRPr="00682EBB">
        <w:rPr>
          <w:rFonts w:ascii="Century" w:hAnsi="Century" w:cs="Miriam"/>
          <w:b/>
          <w:spacing w:val="0"/>
          <w:szCs w:val="24"/>
          <w:rtl/>
        </w:rPr>
        <w:t>אלפריח</w:t>
      </w:r>
      <w:proofErr w:type="spellEnd"/>
      <w:r w:rsidRPr="00682EBB">
        <w:rPr>
          <w:rFonts w:ascii="Century" w:hAnsi="Century" w:cs="Miriam"/>
          <w:b/>
          <w:spacing w:val="0"/>
          <w:szCs w:val="24"/>
          <w:rtl/>
        </w:rPr>
        <w:t xml:space="preserve"> נ' עיריית חיפה</w:t>
      </w:r>
      <w:r>
        <w:rPr>
          <w:rFonts w:ascii="Arimo" w:hAnsi="Arimo" w:hint="cs"/>
          <w:rtl/>
        </w:rPr>
        <w:t xml:space="preserve">, פסקאות 11-10 (6.3.2019) (להלן: </w:t>
      </w:r>
      <w:r w:rsidRPr="00AF7063">
        <w:rPr>
          <w:rFonts w:ascii="Century" w:hAnsi="Century" w:cs="Miriam" w:hint="cs"/>
          <w:b/>
          <w:spacing w:val="0"/>
          <w:szCs w:val="24"/>
          <w:rtl/>
        </w:rPr>
        <w:t xml:space="preserve">עניין </w:t>
      </w:r>
      <w:proofErr w:type="spellStart"/>
      <w:r w:rsidRPr="00AF7063">
        <w:rPr>
          <w:rFonts w:ascii="Century" w:hAnsi="Century" w:cs="Miriam" w:hint="cs"/>
          <w:b/>
          <w:spacing w:val="0"/>
          <w:szCs w:val="24"/>
          <w:rtl/>
        </w:rPr>
        <w:t>אלפריח</w:t>
      </w:r>
      <w:proofErr w:type="spellEnd"/>
      <w:r>
        <w:rPr>
          <w:rFonts w:ascii="Arimo" w:hAnsi="Arimo" w:hint="cs"/>
          <w:rtl/>
        </w:rPr>
        <w:t xml:space="preserve">); </w:t>
      </w:r>
      <w:r w:rsidRPr="0004095F">
        <w:rPr>
          <w:rFonts w:hint="eastAsia"/>
          <w:rtl/>
        </w:rPr>
        <w:t>רע</w:t>
      </w:r>
      <w:r w:rsidRPr="0004095F">
        <w:rPr>
          <w:rtl/>
        </w:rPr>
        <w:t>"</w:t>
      </w:r>
      <w:r w:rsidRPr="0004095F">
        <w:rPr>
          <w:rFonts w:hint="eastAsia"/>
          <w:rtl/>
        </w:rPr>
        <w:t>א</w:t>
      </w:r>
      <w:r w:rsidRPr="0004095F">
        <w:rPr>
          <w:rtl/>
        </w:rPr>
        <w:t xml:space="preserve"> 2933</w:t>
      </w:r>
      <w:r w:rsidRPr="0004095F">
        <w:rPr>
          <w:rFonts w:hint="cs"/>
          <w:rtl/>
        </w:rPr>
        <w:t>/</w:t>
      </w:r>
      <w:r w:rsidRPr="0004095F">
        <w:rPr>
          <w:rtl/>
        </w:rPr>
        <w:t xml:space="preserve">18 </w:t>
      </w:r>
      <w:r w:rsidRPr="0004095F">
        <w:rPr>
          <w:rFonts w:ascii="Century" w:hAnsi="Century" w:cs="Miriam" w:hint="eastAsia"/>
          <w:b/>
          <w:spacing w:val="0"/>
          <w:szCs w:val="24"/>
          <w:rtl/>
        </w:rPr>
        <w:t>עיריית</w:t>
      </w:r>
      <w:r w:rsidRPr="0004095F">
        <w:rPr>
          <w:rFonts w:ascii="Century" w:hAnsi="Century" w:cs="Miriam"/>
          <w:b/>
          <w:spacing w:val="0"/>
          <w:szCs w:val="24"/>
          <w:rtl/>
        </w:rPr>
        <w:t xml:space="preserve"> </w:t>
      </w:r>
      <w:r w:rsidRPr="0004095F">
        <w:rPr>
          <w:rFonts w:ascii="Century" w:hAnsi="Century" w:cs="Miriam" w:hint="eastAsia"/>
          <w:b/>
          <w:spacing w:val="0"/>
          <w:szCs w:val="24"/>
          <w:rtl/>
        </w:rPr>
        <w:t>אור</w:t>
      </w:r>
      <w:r w:rsidRPr="0004095F">
        <w:rPr>
          <w:rFonts w:ascii="Century" w:hAnsi="Century" w:cs="Miriam"/>
          <w:b/>
          <w:spacing w:val="0"/>
          <w:szCs w:val="24"/>
          <w:rtl/>
        </w:rPr>
        <w:t xml:space="preserve"> </w:t>
      </w:r>
      <w:r w:rsidRPr="0004095F">
        <w:rPr>
          <w:rFonts w:ascii="Century" w:hAnsi="Century" w:cs="Miriam" w:hint="eastAsia"/>
          <w:b/>
          <w:spacing w:val="0"/>
          <w:szCs w:val="24"/>
          <w:rtl/>
        </w:rPr>
        <w:t>עקיבא</w:t>
      </w:r>
      <w:r w:rsidRPr="0004095F">
        <w:rPr>
          <w:rFonts w:ascii="Century" w:hAnsi="Century" w:cs="Miriam" w:hint="cs"/>
          <w:b/>
          <w:spacing w:val="0"/>
          <w:szCs w:val="24"/>
          <w:rtl/>
        </w:rPr>
        <w:t xml:space="preserve"> </w:t>
      </w:r>
      <w:r w:rsidRPr="0004095F">
        <w:rPr>
          <w:rFonts w:ascii="Century" w:hAnsi="Century" w:cs="Miriam" w:hint="eastAsia"/>
          <w:b/>
          <w:spacing w:val="0"/>
          <w:szCs w:val="24"/>
          <w:rtl/>
        </w:rPr>
        <w:t>נ</w:t>
      </w:r>
      <w:r w:rsidRPr="0004095F">
        <w:rPr>
          <w:rFonts w:ascii="Century" w:hAnsi="Century" w:cs="Miriam"/>
          <w:b/>
          <w:spacing w:val="0"/>
          <w:szCs w:val="24"/>
          <w:rtl/>
        </w:rPr>
        <w:t xml:space="preserve">' </w:t>
      </w:r>
      <w:r w:rsidRPr="0004095F">
        <w:rPr>
          <w:rFonts w:ascii="Century" w:hAnsi="Century" w:cs="Miriam" w:hint="eastAsia"/>
          <w:b/>
          <w:spacing w:val="0"/>
          <w:szCs w:val="24"/>
          <w:rtl/>
        </w:rPr>
        <w:t>מקורות</w:t>
      </w:r>
      <w:r w:rsidRPr="0004095F">
        <w:rPr>
          <w:rFonts w:ascii="Century" w:hAnsi="Century" w:cs="Miriam"/>
          <w:b/>
          <w:spacing w:val="0"/>
          <w:szCs w:val="24"/>
          <w:rtl/>
        </w:rPr>
        <w:t xml:space="preserve"> </w:t>
      </w:r>
      <w:r w:rsidRPr="0004095F">
        <w:rPr>
          <w:rFonts w:ascii="Century" w:hAnsi="Century" w:cs="Miriam" w:hint="eastAsia"/>
          <w:b/>
          <w:spacing w:val="0"/>
          <w:szCs w:val="24"/>
          <w:rtl/>
        </w:rPr>
        <w:t>חברת</w:t>
      </w:r>
      <w:r w:rsidRPr="0004095F">
        <w:rPr>
          <w:rFonts w:ascii="Century" w:hAnsi="Century" w:cs="Miriam"/>
          <w:b/>
          <w:spacing w:val="0"/>
          <w:szCs w:val="24"/>
          <w:rtl/>
        </w:rPr>
        <w:t xml:space="preserve"> </w:t>
      </w:r>
      <w:r w:rsidRPr="0004095F">
        <w:rPr>
          <w:rFonts w:ascii="Century" w:hAnsi="Century" w:cs="Miriam" w:hint="eastAsia"/>
          <w:b/>
          <w:spacing w:val="0"/>
          <w:szCs w:val="24"/>
          <w:rtl/>
        </w:rPr>
        <w:t>מים</w:t>
      </w:r>
      <w:r w:rsidRPr="0004095F">
        <w:rPr>
          <w:rFonts w:ascii="Century" w:hAnsi="Century" w:cs="Miriam"/>
          <w:b/>
          <w:spacing w:val="0"/>
          <w:szCs w:val="24"/>
          <w:rtl/>
        </w:rPr>
        <w:t xml:space="preserve"> </w:t>
      </w:r>
      <w:r w:rsidRPr="0004095F">
        <w:rPr>
          <w:rFonts w:ascii="Century" w:hAnsi="Century" w:cs="Miriam" w:hint="eastAsia"/>
          <w:b/>
          <w:spacing w:val="0"/>
          <w:szCs w:val="24"/>
          <w:rtl/>
        </w:rPr>
        <w:t>בע</w:t>
      </w:r>
      <w:r w:rsidRPr="0004095F">
        <w:rPr>
          <w:rFonts w:ascii="Century" w:hAnsi="Century" w:cs="Miriam"/>
          <w:b/>
          <w:spacing w:val="0"/>
          <w:szCs w:val="24"/>
          <w:rtl/>
        </w:rPr>
        <w:t>"</w:t>
      </w:r>
      <w:r w:rsidRPr="0004095F">
        <w:rPr>
          <w:rFonts w:ascii="Century" w:hAnsi="Century" w:cs="Miriam" w:hint="eastAsia"/>
          <w:b/>
          <w:spacing w:val="0"/>
          <w:szCs w:val="24"/>
          <w:rtl/>
        </w:rPr>
        <w:t>מ</w:t>
      </w:r>
      <w:r w:rsidRPr="0004095F">
        <w:rPr>
          <w:rFonts w:hint="cs"/>
          <w:rtl/>
        </w:rPr>
        <w:t>, פסקה 17 (1.8.</w:t>
      </w:r>
      <w:r>
        <w:rPr>
          <w:rFonts w:hint="cs"/>
          <w:rtl/>
        </w:rPr>
        <w:t xml:space="preserve">2019) (להלן: </w:t>
      </w:r>
      <w:r w:rsidRPr="00AF7063">
        <w:rPr>
          <w:rFonts w:ascii="Century" w:hAnsi="Century" w:cs="Miriam" w:hint="cs"/>
          <w:b/>
          <w:spacing w:val="0"/>
          <w:szCs w:val="24"/>
          <w:rtl/>
        </w:rPr>
        <w:t>עניין אור עקיבא</w:t>
      </w:r>
      <w:r>
        <w:rPr>
          <w:rFonts w:hint="cs"/>
          <w:rtl/>
        </w:rPr>
        <w:t xml:space="preserve">); </w:t>
      </w:r>
      <w:r>
        <w:rPr>
          <w:rFonts w:ascii="Arimo" w:hAnsi="Arimo"/>
          <w:rtl/>
        </w:rPr>
        <w:t>ע"א 993</w:t>
      </w:r>
      <w:r>
        <w:rPr>
          <w:rFonts w:ascii="Arimo" w:hAnsi="Arimo" w:hint="cs"/>
          <w:rtl/>
        </w:rPr>
        <w:t>/</w:t>
      </w:r>
      <w:r>
        <w:rPr>
          <w:rFonts w:ascii="Arimo" w:hAnsi="Arimo"/>
          <w:rtl/>
        </w:rPr>
        <w:t xml:space="preserve">19 </w:t>
      </w:r>
      <w:r w:rsidRPr="00F049C5">
        <w:rPr>
          <w:rFonts w:ascii="Century" w:hAnsi="Century" w:cs="Miriam"/>
          <w:b/>
          <w:spacing w:val="0"/>
          <w:szCs w:val="24"/>
          <w:rtl/>
        </w:rPr>
        <w:t>פלוני נ' מדינת ישראל - משרד הביטחון</w:t>
      </w:r>
      <w:r>
        <w:rPr>
          <w:rFonts w:ascii="Arimo" w:hAnsi="Arimo" w:hint="cs"/>
          <w:rtl/>
        </w:rPr>
        <w:t>, פסקאות 43-39 (5.7.2022)</w:t>
      </w:r>
      <w:r>
        <w:rPr>
          <w:rFonts w:hint="cs"/>
          <w:rtl/>
        </w:rPr>
        <w:t>. להרחבה ראו</w:t>
      </w:r>
      <w:r w:rsidRPr="003F0EA7">
        <w:rPr>
          <w:rFonts w:hint="cs"/>
          <w:rtl/>
        </w:rPr>
        <w:t xml:space="preserve">: </w:t>
      </w:r>
      <w:r w:rsidRPr="003F0EA7">
        <w:rPr>
          <w:rFonts w:ascii="Century" w:hAnsi="Century" w:hint="cs"/>
          <w:rtl/>
        </w:rPr>
        <w:t xml:space="preserve">יצחק זמיר השפיטה בעניינים </w:t>
      </w:r>
      <w:proofErr w:type="spellStart"/>
      <w:r w:rsidRPr="003F0EA7">
        <w:rPr>
          <w:rFonts w:ascii="Century" w:hAnsi="Century" w:hint="cs"/>
          <w:rtl/>
        </w:rPr>
        <w:t>מינהליים</w:t>
      </w:r>
      <w:proofErr w:type="spellEnd"/>
      <w:r w:rsidRPr="003F0EA7">
        <w:rPr>
          <w:rFonts w:ascii="Century" w:hAnsi="Century" w:hint="cs"/>
          <w:rtl/>
        </w:rPr>
        <w:t xml:space="preserve"> 57-19 (1987)</w:t>
      </w:r>
      <w:r>
        <w:rPr>
          <w:rFonts w:ascii="Century" w:hAnsi="Century" w:hint="cs"/>
          <w:rtl/>
        </w:rPr>
        <w:t xml:space="preserve"> (להלן: </w:t>
      </w:r>
      <w:r w:rsidRPr="00A121A2">
        <w:rPr>
          <w:rFonts w:ascii="Century" w:hAnsi="Century" w:cs="Miriam" w:hint="cs"/>
          <w:b/>
          <w:spacing w:val="0"/>
          <w:szCs w:val="24"/>
          <w:rtl/>
        </w:rPr>
        <w:t xml:space="preserve">זמיר, השפיטה בעניינים </w:t>
      </w:r>
      <w:proofErr w:type="spellStart"/>
      <w:r w:rsidRPr="00A121A2">
        <w:rPr>
          <w:rFonts w:ascii="Century" w:hAnsi="Century" w:cs="Miriam" w:hint="cs"/>
          <w:b/>
          <w:spacing w:val="0"/>
          <w:szCs w:val="24"/>
          <w:rtl/>
        </w:rPr>
        <w:t>מינהל</w:t>
      </w:r>
      <w:r w:rsidRPr="001340E2">
        <w:rPr>
          <w:rFonts w:ascii="Century" w:hAnsi="Century" w:cs="Miriam" w:hint="cs"/>
          <w:b/>
          <w:spacing w:val="0"/>
          <w:szCs w:val="24"/>
          <w:rtl/>
        </w:rPr>
        <w:t>יים</w:t>
      </w:r>
      <w:proofErr w:type="spellEnd"/>
      <w:r w:rsidRPr="001340E2">
        <w:rPr>
          <w:rFonts w:ascii="Century" w:hAnsi="Century" w:hint="cs"/>
          <w:rtl/>
        </w:rPr>
        <w:t xml:space="preserve">); יצחק זמיר </w:t>
      </w:r>
      <w:r w:rsidRPr="001340E2">
        <w:rPr>
          <w:rFonts w:ascii="Century" w:hAnsi="Century" w:cs="Miriam" w:hint="cs"/>
          <w:b/>
          <w:spacing w:val="0"/>
          <w:szCs w:val="24"/>
          <w:rtl/>
        </w:rPr>
        <w:t xml:space="preserve">הסמכות </w:t>
      </w:r>
      <w:proofErr w:type="spellStart"/>
      <w:r w:rsidRPr="001340E2">
        <w:rPr>
          <w:rFonts w:ascii="Century" w:hAnsi="Century" w:cs="Miriam" w:hint="cs"/>
          <w:b/>
          <w:spacing w:val="0"/>
          <w:szCs w:val="24"/>
          <w:rtl/>
        </w:rPr>
        <w:t>המינהלית</w:t>
      </w:r>
      <w:proofErr w:type="spellEnd"/>
      <w:r w:rsidRPr="001340E2">
        <w:rPr>
          <w:rFonts w:ascii="Century" w:hAnsi="Century" w:hint="cs"/>
          <w:rtl/>
        </w:rPr>
        <w:t xml:space="preserve"> כרך ד 2700-2637 (2017)</w:t>
      </w:r>
      <w:r>
        <w:rPr>
          <w:rFonts w:ascii="Century" w:hAnsi="Century" w:hint="cs"/>
          <w:rtl/>
        </w:rPr>
        <w:t xml:space="preserve"> (להלן: </w:t>
      </w:r>
      <w:r w:rsidRPr="00647C35">
        <w:rPr>
          <w:rFonts w:ascii="Century" w:hAnsi="Century" w:cs="Miriam" w:hint="cs"/>
          <w:b/>
          <w:spacing w:val="0"/>
          <w:szCs w:val="24"/>
          <w:rtl/>
        </w:rPr>
        <w:t xml:space="preserve">זמיר, הסמכות </w:t>
      </w:r>
      <w:proofErr w:type="spellStart"/>
      <w:r w:rsidRPr="00647C35">
        <w:rPr>
          <w:rFonts w:ascii="Century" w:hAnsi="Century" w:cs="Miriam" w:hint="cs"/>
          <w:b/>
          <w:spacing w:val="0"/>
          <w:szCs w:val="24"/>
          <w:rtl/>
        </w:rPr>
        <w:t>המינהלית</w:t>
      </w:r>
      <w:proofErr w:type="spellEnd"/>
      <w:r>
        <w:rPr>
          <w:rFonts w:ascii="Century" w:hAnsi="Century" w:hint="cs"/>
          <w:rtl/>
        </w:rPr>
        <w:t>)</w:t>
      </w:r>
      <w:r w:rsidRPr="001340E2">
        <w:rPr>
          <w:rFonts w:ascii="Century" w:hAnsi="Century" w:hint="cs"/>
          <w:rtl/>
        </w:rPr>
        <w:t>;</w:t>
      </w:r>
      <w:r w:rsidRPr="00B0255D">
        <w:rPr>
          <w:rFonts w:ascii="Century" w:hAnsi="Century" w:hint="cs"/>
          <w:rtl/>
        </w:rPr>
        <w:t xml:space="preserve"> דפנה ברק-ארז </w:t>
      </w:r>
      <w:r w:rsidRPr="00B0255D">
        <w:rPr>
          <w:rFonts w:ascii="Century" w:hAnsi="Century" w:cs="Miriam" w:hint="cs"/>
          <w:b/>
          <w:spacing w:val="0"/>
          <w:szCs w:val="24"/>
          <w:rtl/>
        </w:rPr>
        <w:t xml:space="preserve">משפט </w:t>
      </w:r>
      <w:proofErr w:type="spellStart"/>
      <w:r w:rsidRPr="00B0255D">
        <w:rPr>
          <w:rFonts w:ascii="Century" w:hAnsi="Century" w:cs="Miriam" w:hint="cs"/>
          <w:b/>
          <w:spacing w:val="0"/>
          <w:szCs w:val="24"/>
          <w:rtl/>
        </w:rPr>
        <w:t>מינהלי</w:t>
      </w:r>
      <w:proofErr w:type="spellEnd"/>
      <w:r w:rsidRPr="00B0255D">
        <w:rPr>
          <w:rFonts w:ascii="Century" w:hAnsi="Century" w:hint="cs"/>
          <w:rtl/>
        </w:rPr>
        <w:t xml:space="preserve"> כרך ד 185-167 (</w:t>
      </w:r>
      <w:r w:rsidRPr="001340E2">
        <w:rPr>
          <w:rFonts w:ascii="Century" w:hAnsi="Century" w:hint="cs"/>
          <w:rtl/>
        </w:rPr>
        <w:t>2017)</w:t>
      </w:r>
      <w:r>
        <w:rPr>
          <w:rFonts w:ascii="Century" w:hAnsi="Century" w:hint="cs"/>
          <w:rtl/>
        </w:rPr>
        <w:t xml:space="preserve"> (להלן: </w:t>
      </w:r>
      <w:r w:rsidRPr="00647C35">
        <w:rPr>
          <w:rFonts w:ascii="Century" w:hAnsi="Century" w:cs="Miriam" w:hint="cs"/>
          <w:b/>
          <w:spacing w:val="0"/>
          <w:szCs w:val="24"/>
          <w:rtl/>
        </w:rPr>
        <w:t>ברק-ארז</w:t>
      </w:r>
      <w:r>
        <w:rPr>
          <w:rFonts w:ascii="Century" w:hAnsi="Century" w:hint="cs"/>
          <w:rtl/>
        </w:rPr>
        <w:t>)</w:t>
      </w:r>
      <w:r w:rsidRPr="001340E2">
        <w:rPr>
          <w:rFonts w:ascii="Century" w:hAnsi="Century" w:hint="cs"/>
          <w:rtl/>
        </w:rPr>
        <w:t xml:space="preserve">; </w:t>
      </w:r>
      <w:r w:rsidRPr="001340E2">
        <w:rPr>
          <w:rFonts w:ascii="FrankRuehl" w:hAnsi="FrankRuehl"/>
          <w:sz w:val="28"/>
          <w:rtl/>
        </w:rPr>
        <w:t xml:space="preserve">יעקב שקד </w:t>
      </w:r>
      <w:r>
        <w:rPr>
          <w:rFonts w:ascii="Century" w:hAnsi="Century" w:cs="Miriam"/>
          <w:b/>
          <w:spacing w:val="0"/>
          <w:szCs w:val="24"/>
          <w:rtl/>
        </w:rPr>
        <w:t>תקיפה</w:t>
      </w:r>
      <w:r>
        <w:rPr>
          <w:rFonts w:ascii="Century" w:hAnsi="Century" w:cs="Miriam" w:hint="cs"/>
          <w:b/>
          <w:spacing w:val="0"/>
          <w:szCs w:val="24"/>
          <w:rtl/>
        </w:rPr>
        <w:t xml:space="preserve"> </w:t>
      </w:r>
      <w:r w:rsidRPr="001340E2">
        <w:rPr>
          <w:rFonts w:ascii="Century" w:hAnsi="Century" w:cs="Miriam"/>
          <w:b/>
          <w:spacing w:val="0"/>
          <w:szCs w:val="24"/>
          <w:rtl/>
        </w:rPr>
        <w:t>עקיפה בהליכים פליליים</w:t>
      </w:r>
      <w:r w:rsidRPr="001340E2">
        <w:rPr>
          <w:rFonts w:ascii="Century" w:hAnsi="Century" w:cs="Miriam" w:hint="cs"/>
          <w:b/>
          <w:spacing w:val="0"/>
          <w:szCs w:val="24"/>
          <w:rtl/>
        </w:rPr>
        <w:t xml:space="preserve"> ואזרחיים </w:t>
      </w:r>
      <w:r w:rsidRPr="001340E2">
        <w:rPr>
          <w:rFonts w:ascii="FrankRuehl" w:hAnsi="FrankRuehl"/>
          <w:sz w:val="28"/>
          <w:rtl/>
        </w:rPr>
        <w:t>(2020)</w:t>
      </w:r>
      <w:r>
        <w:rPr>
          <w:rFonts w:hint="cs"/>
          <w:rtl/>
        </w:rPr>
        <w:t xml:space="preserve"> (להלן: </w:t>
      </w:r>
      <w:r w:rsidRPr="00C63F42">
        <w:rPr>
          <w:rFonts w:ascii="Century" w:hAnsi="Century" w:cs="Miriam" w:hint="cs"/>
          <w:b/>
          <w:spacing w:val="0"/>
          <w:szCs w:val="24"/>
          <w:rtl/>
        </w:rPr>
        <w:t>שקד</w:t>
      </w:r>
      <w:r>
        <w:rPr>
          <w:rFonts w:hint="cs"/>
          <w:rtl/>
        </w:rPr>
        <w:t>)</w:t>
      </w:r>
      <w:r w:rsidRPr="001340E2">
        <w:rPr>
          <w:rFonts w:hint="cs"/>
          <w:rtl/>
        </w:rPr>
        <w:t>;</w:t>
      </w:r>
      <w:r>
        <w:rPr>
          <w:rFonts w:hint="cs"/>
          <w:rtl/>
        </w:rPr>
        <w:t xml:space="preserve"> </w:t>
      </w:r>
      <w:r>
        <w:rPr>
          <w:rFonts w:hint="eastAsia"/>
          <w:rtl/>
        </w:rPr>
        <w:t>נינה</w:t>
      </w:r>
      <w:r>
        <w:rPr>
          <w:rtl/>
        </w:rPr>
        <w:t xml:space="preserve"> </w:t>
      </w:r>
      <w:proofErr w:type="spellStart"/>
      <w:r>
        <w:rPr>
          <w:rFonts w:hint="eastAsia"/>
          <w:rtl/>
        </w:rPr>
        <w:t>זלצמ</w:t>
      </w:r>
      <w:r>
        <w:rPr>
          <w:rFonts w:hint="cs"/>
          <w:rtl/>
        </w:rPr>
        <w:t>ן</w:t>
      </w:r>
      <w:proofErr w:type="spellEnd"/>
      <w:r>
        <w:rPr>
          <w:rtl/>
        </w:rPr>
        <w:t xml:space="preserve"> </w:t>
      </w:r>
      <w:r w:rsidRPr="00EF4061">
        <w:rPr>
          <w:rFonts w:ascii="Century" w:hAnsi="Century" w:cs="Miriam" w:hint="eastAsia"/>
          <w:b/>
          <w:spacing w:val="0"/>
          <w:szCs w:val="24"/>
          <w:rtl/>
        </w:rPr>
        <w:t>מעשה</w:t>
      </w:r>
      <w:r w:rsidRPr="00EF4061">
        <w:rPr>
          <w:rFonts w:ascii="Century" w:hAnsi="Century" w:cs="Miriam"/>
          <w:b/>
          <w:spacing w:val="0"/>
          <w:szCs w:val="24"/>
          <w:rtl/>
        </w:rPr>
        <w:t xml:space="preserve"> </w:t>
      </w:r>
      <w:r w:rsidRPr="00EF4061">
        <w:rPr>
          <w:rFonts w:ascii="Century" w:hAnsi="Century" w:cs="Miriam" w:hint="eastAsia"/>
          <w:b/>
          <w:spacing w:val="0"/>
          <w:szCs w:val="24"/>
          <w:rtl/>
        </w:rPr>
        <w:t>בית</w:t>
      </w:r>
      <w:r w:rsidRPr="00EF4061">
        <w:rPr>
          <w:rFonts w:ascii="Century" w:hAnsi="Century" w:cs="Miriam"/>
          <w:b/>
          <w:spacing w:val="0"/>
          <w:szCs w:val="24"/>
          <w:rtl/>
        </w:rPr>
        <w:t xml:space="preserve"> </w:t>
      </w:r>
      <w:r w:rsidRPr="00EF4061">
        <w:rPr>
          <w:rFonts w:ascii="Century" w:hAnsi="Century" w:cs="Miriam" w:hint="eastAsia"/>
          <w:b/>
          <w:spacing w:val="0"/>
          <w:szCs w:val="24"/>
          <w:rtl/>
        </w:rPr>
        <w:t>דין</w:t>
      </w:r>
      <w:r w:rsidRPr="00EF4061">
        <w:rPr>
          <w:rFonts w:ascii="Century" w:hAnsi="Century" w:cs="Miriam"/>
          <w:b/>
          <w:spacing w:val="0"/>
          <w:szCs w:val="24"/>
          <w:rtl/>
        </w:rPr>
        <w:t xml:space="preserve"> </w:t>
      </w:r>
      <w:r w:rsidRPr="00EF4061">
        <w:rPr>
          <w:rFonts w:ascii="Century" w:hAnsi="Century" w:cs="Miriam" w:hint="eastAsia"/>
          <w:b/>
          <w:spacing w:val="0"/>
          <w:szCs w:val="24"/>
          <w:rtl/>
        </w:rPr>
        <w:t>בהליך</w:t>
      </w:r>
      <w:r w:rsidRPr="00EF4061">
        <w:rPr>
          <w:rFonts w:ascii="Century" w:hAnsi="Century" w:cs="Miriam"/>
          <w:b/>
          <w:spacing w:val="0"/>
          <w:szCs w:val="24"/>
          <w:rtl/>
        </w:rPr>
        <w:t xml:space="preserve"> </w:t>
      </w:r>
      <w:r w:rsidRPr="00EF4061">
        <w:rPr>
          <w:rFonts w:ascii="Century" w:hAnsi="Century" w:cs="Miriam" w:hint="eastAsia"/>
          <w:b/>
          <w:spacing w:val="0"/>
          <w:szCs w:val="24"/>
          <w:rtl/>
        </w:rPr>
        <w:t>אזרחי</w:t>
      </w:r>
      <w:r w:rsidRPr="00EF4061">
        <w:rPr>
          <w:rtl/>
        </w:rPr>
        <w:t xml:space="preserve"> </w:t>
      </w:r>
      <w:r>
        <w:rPr>
          <w:rFonts w:hint="cs"/>
          <w:rtl/>
        </w:rPr>
        <w:t xml:space="preserve">242-224 </w:t>
      </w:r>
      <w:r>
        <w:rPr>
          <w:rtl/>
        </w:rPr>
        <w:t>(1991)</w:t>
      </w:r>
      <w:r w:rsidRPr="00060765">
        <w:rPr>
          <w:rtl/>
        </w:rPr>
        <w:t>)</w:t>
      </w:r>
      <w:r w:rsidRPr="00060765">
        <w:rPr>
          <w:rFonts w:hint="cs"/>
          <w:rtl/>
        </w:rPr>
        <w:t>.</w:t>
      </w:r>
    </w:p>
    <w:p w:rsidR="00CF54A5" w:rsidRDefault="00CF54A5" w:rsidP="00CF54A5">
      <w:pPr>
        <w:pStyle w:val="Ruller41"/>
        <w:rPr>
          <w:rFonts w:ascii="Century" w:hAnsi="Century"/>
          <w:rtl/>
        </w:rPr>
      </w:pPr>
    </w:p>
    <w:p w:rsidR="00CF54A5" w:rsidRPr="00A823D0" w:rsidRDefault="00CF54A5" w:rsidP="00CF54A5">
      <w:pPr>
        <w:pStyle w:val="Ruller4"/>
        <w:rPr>
          <w:rtl/>
        </w:rPr>
      </w:pPr>
      <w:r>
        <w:rPr>
          <w:rFonts w:hint="cs"/>
          <w:rtl/>
        </w:rPr>
        <w:t xml:space="preserve">למנגנון התקיפה העקיפה יתרונות וחסרונות. מחד גיסא, תקיפה עקיפה מקדמת יעילות, שכן היא מונעת את פיצול הדיון, </w:t>
      </w:r>
      <w:proofErr w:type="spellStart"/>
      <w:r>
        <w:rPr>
          <w:rFonts w:hint="cs"/>
          <w:rtl/>
        </w:rPr>
        <w:t>סירבולו</w:t>
      </w:r>
      <w:proofErr w:type="spellEnd"/>
      <w:r>
        <w:rPr>
          <w:rFonts w:hint="cs"/>
          <w:rtl/>
        </w:rPr>
        <w:t xml:space="preserve"> והארכתו, וכפועל יוצא חוסכת בזמן שיפוטי ובעלויות לצדדים. זאת, שכן, אלמלא ת</w:t>
      </w:r>
      <w:r w:rsidRPr="00C96B6D">
        <w:rPr>
          <w:rFonts w:hint="eastAsia"/>
          <w:rtl/>
        </w:rPr>
        <w:t>וּתר</w:t>
      </w:r>
      <w:r>
        <w:rPr>
          <w:rFonts w:hint="cs"/>
          <w:rtl/>
        </w:rPr>
        <w:t xml:space="preserve"> התקיפה העקיפה, יהא על הצדדים לנהל יותר מהליך משפטי אחד באותה פרשה, על כל ההשקעה הכרוכה בכך, ובית המשפט שלפניו התעוררה השאלה בדרך אגב, ככל הנראה יידרש להמתין עם המשך הבירור עד להכרעה של בית המשפט </w:t>
      </w:r>
      <w:r w:rsidR="009364C8">
        <w:rPr>
          <w:rFonts w:hint="cs"/>
          <w:rtl/>
        </w:rPr>
        <w:t xml:space="preserve">המנהלי </w:t>
      </w:r>
      <w:r>
        <w:rPr>
          <w:rFonts w:hint="cs"/>
          <w:rtl/>
        </w:rPr>
        <w:t>המוסמך באותה שאלה (וככל שלא ימתין, עשוי להתעורר החשש מפני הכרעות סותרות)</w:t>
      </w:r>
      <w:r w:rsidRPr="00604859">
        <w:rPr>
          <w:rFonts w:ascii="FrankRuehl" w:hAnsi="FrankRuehl"/>
          <w:sz w:val="28"/>
          <w:rtl/>
        </w:rPr>
        <w:t xml:space="preserve"> (ראו: </w:t>
      </w:r>
      <w:r>
        <w:rPr>
          <w:rFonts w:ascii="FrankRuehl" w:hAnsi="FrankRuehl" w:hint="cs"/>
          <w:sz w:val="28"/>
          <w:rtl/>
        </w:rPr>
        <w:t xml:space="preserve">זמיר, </w:t>
      </w:r>
      <w:r w:rsidRPr="00A121A2">
        <w:rPr>
          <w:rFonts w:ascii="Century" w:hAnsi="Century" w:cs="Miriam" w:hint="cs"/>
          <w:b/>
          <w:spacing w:val="0"/>
          <w:sz w:val="22"/>
          <w:szCs w:val="24"/>
          <w:rtl/>
        </w:rPr>
        <w:t xml:space="preserve">השפיטה בעניינים </w:t>
      </w:r>
      <w:proofErr w:type="spellStart"/>
      <w:r w:rsidRPr="00A121A2">
        <w:rPr>
          <w:rFonts w:ascii="Century" w:hAnsi="Century" w:cs="Miriam" w:hint="cs"/>
          <w:b/>
          <w:spacing w:val="0"/>
          <w:sz w:val="22"/>
          <w:szCs w:val="24"/>
          <w:rtl/>
        </w:rPr>
        <w:t>מינהליים</w:t>
      </w:r>
      <w:proofErr w:type="spellEnd"/>
      <w:r>
        <w:rPr>
          <w:rFonts w:ascii="FrankRuehl" w:hAnsi="FrankRuehl" w:hint="cs"/>
          <w:sz w:val="28"/>
          <w:rtl/>
        </w:rPr>
        <w:t xml:space="preserve">, בעמ' 20; אהרן ברק "ביקורת שיפוטית על חוקתיות החוק: צנטרליסטית (ריכוזית) דה-צנטרליסטית (מבוזרת)" </w:t>
      </w:r>
      <w:r w:rsidRPr="003B5B1E">
        <w:rPr>
          <w:rFonts w:ascii="Century" w:hAnsi="Century" w:cs="Miriam" w:hint="cs"/>
          <w:b/>
          <w:spacing w:val="0"/>
          <w:sz w:val="22"/>
          <w:szCs w:val="24"/>
          <w:rtl/>
        </w:rPr>
        <w:t>משפט וממשל</w:t>
      </w:r>
      <w:r w:rsidRPr="003B5B1E">
        <w:rPr>
          <w:rFonts w:ascii="FrankRuehl" w:hAnsi="FrankRuehl" w:hint="cs"/>
          <w:sz w:val="28"/>
          <w:rtl/>
        </w:rPr>
        <w:t xml:space="preserve"> </w:t>
      </w:r>
      <w:r>
        <w:rPr>
          <w:rFonts w:ascii="FrankRuehl" w:hAnsi="FrankRuehl" w:hint="cs"/>
          <w:sz w:val="28"/>
          <w:rtl/>
        </w:rPr>
        <w:t>ח 13, 19 (2005</w:t>
      </w:r>
      <w:r w:rsidRPr="001A2E1D">
        <w:rPr>
          <w:rFonts w:ascii="FrankRuehl" w:hAnsi="FrankRuehl" w:hint="cs"/>
          <w:sz w:val="28"/>
          <w:rtl/>
        </w:rPr>
        <w:t>)</w:t>
      </w:r>
      <w:r>
        <w:rPr>
          <w:rFonts w:ascii="FrankRuehl" w:hAnsi="FrankRuehl" w:hint="cs"/>
          <w:sz w:val="28"/>
          <w:rtl/>
        </w:rPr>
        <w:t xml:space="preserve"> (להלן: </w:t>
      </w:r>
      <w:r w:rsidRPr="00C96B6D">
        <w:rPr>
          <w:rFonts w:ascii="Century" w:hAnsi="Century" w:cs="Miriam" w:hint="cs"/>
          <w:b/>
          <w:spacing w:val="0"/>
          <w:sz w:val="22"/>
          <w:szCs w:val="24"/>
          <w:rtl/>
        </w:rPr>
        <w:t>ברק</w:t>
      </w:r>
      <w:r>
        <w:rPr>
          <w:rFonts w:ascii="FrankRuehl" w:hAnsi="FrankRuehl" w:hint="cs"/>
          <w:sz w:val="28"/>
          <w:rtl/>
        </w:rPr>
        <w:t>)</w:t>
      </w:r>
      <w:r w:rsidRPr="001A2E1D">
        <w:rPr>
          <w:rFonts w:ascii="FrankRuehl" w:hAnsi="FrankRuehl" w:hint="cs"/>
          <w:sz w:val="28"/>
          <w:rtl/>
        </w:rPr>
        <w:t xml:space="preserve">; </w:t>
      </w:r>
      <w:r w:rsidRPr="001A2E1D">
        <w:rPr>
          <w:rFonts w:ascii="Arial TUR" w:hAnsi="Arial TUR" w:cs="Miriam" w:hint="cs"/>
          <w:spacing w:val="0"/>
          <w:szCs w:val="24"/>
          <w:rtl/>
        </w:rPr>
        <w:t>ברק-ארז</w:t>
      </w:r>
      <w:r w:rsidRPr="001A2E1D">
        <w:rPr>
          <w:rFonts w:ascii="FrankRuehl" w:hAnsi="FrankRuehl"/>
          <w:sz w:val="28"/>
          <w:rtl/>
        </w:rPr>
        <w:t xml:space="preserve">, </w:t>
      </w:r>
      <w:r>
        <w:rPr>
          <w:rFonts w:ascii="FrankRuehl" w:hAnsi="FrankRuehl" w:hint="cs"/>
          <w:sz w:val="28"/>
          <w:rtl/>
        </w:rPr>
        <w:t>ב</w:t>
      </w:r>
      <w:r w:rsidRPr="001A2E1D">
        <w:rPr>
          <w:rFonts w:ascii="FrankRuehl" w:hAnsi="FrankRuehl"/>
          <w:sz w:val="28"/>
          <w:rtl/>
        </w:rPr>
        <w:t xml:space="preserve">עמ' </w:t>
      </w:r>
      <w:r>
        <w:rPr>
          <w:rFonts w:ascii="FrankRuehl" w:hAnsi="FrankRuehl" w:hint="cs"/>
          <w:sz w:val="28"/>
          <w:rtl/>
        </w:rPr>
        <w:t>177</w:t>
      </w:r>
      <w:r w:rsidRPr="00604859">
        <w:rPr>
          <w:rFonts w:ascii="FrankRuehl" w:hAnsi="FrankRuehl"/>
          <w:sz w:val="28"/>
          <w:rtl/>
        </w:rPr>
        <w:t xml:space="preserve">). </w:t>
      </w:r>
      <w:r>
        <w:rPr>
          <w:rFonts w:hint="cs"/>
          <w:rtl/>
        </w:rPr>
        <w:t>יתרון נוסף של התקיפה העקיפה טמון בכך שהדיון במעשה השלטוני נעשה בתוך מסכת עובדות קונקרטית, כאשר השפעתו על הפרט ברורה יותר, בעוד הדיון במסגרת התקיפה הישירה עשוי להיות ברמה מופשטת יותר וככזה אף לסבול מחוסר בשלות (</w:t>
      </w:r>
      <w:r>
        <w:rPr>
          <w:rFonts w:ascii="Arimo" w:hAnsi="Arimo"/>
          <w:rtl/>
        </w:rPr>
        <w:t>בג"ץ 6887</w:t>
      </w:r>
      <w:r>
        <w:rPr>
          <w:rFonts w:ascii="Arimo" w:hAnsi="Arimo" w:hint="cs"/>
          <w:rtl/>
        </w:rPr>
        <w:t>/</w:t>
      </w:r>
      <w:r>
        <w:rPr>
          <w:rFonts w:ascii="Arimo" w:hAnsi="Arimo"/>
          <w:rtl/>
        </w:rPr>
        <w:t xml:space="preserve">13 </w:t>
      </w:r>
      <w:proofErr w:type="spellStart"/>
      <w:r w:rsidRPr="00061210">
        <w:rPr>
          <w:rFonts w:ascii="Century" w:hAnsi="Century" w:cs="Miriam"/>
          <w:b/>
          <w:spacing w:val="0"/>
          <w:sz w:val="22"/>
          <w:szCs w:val="24"/>
          <w:rtl/>
        </w:rPr>
        <w:t>קניאס</w:t>
      </w:r>
      <w:proofErr w:type="spellEnd"/>
      <w:r w:rsidRPr="00061210">
        <w:rPr>
          <w:rFonts w:ascii="Century" w:hAnsi="Century" w:cs="Miriam"/>
          <w:b/>
          <w:spacing w:val="0"/>
          <w:sz w:val="22"/>
          <w:szCs w:val="24"/>
          <w:rtl/>
        </w:rPr>
        <w:t xml:space="preserve"> נ' היועץ המשפטי לממשלה</w:t>
      </w:r>
      <w:r>
        <w:rPr>
          <w:rFonts w:hint="cs"/>
          <w:rtl/>
        </w:rPr>
        <w:t xml:space="preserve">, פסקה 7 (12.1.2014); </w:t>
      </w:r>
      <w:proofErr w:type="spellStart"/>
      <w:r w:rsidRPr="00A823D0">
        <w:rPr>
          <w:rFonts w:ascii="Arimo" w:hAnsi="Arimo"/>
          <w:rtl/>
        </w:rPr>
        <w:t>עע"</w:t>
      </w:r>
      <w:r w:rsidRPr="00A823D0">
        <w:rPr>
          <w:rFonts w:ascii="Arimo" w:hAnsi="Arimo" w:hint="cs"/>
          <w:rtl/>
        </w:rPr>
        <w:t>ם</w:t>
      </w:r>
      <w:proofErr w:type="spellEnd"/>
      <w:r w:rsidRPr="00A823D0">
        <w:rPr>
          <w:rFonts w:ascii="Arimo" w:hAnsi="Arimo"/>
          <w:rtl/>
        </w:rPr>
        <w:t xml:space="preserve"> 2966</w:t>
      </w:r>
      <w:r w:rsidRPr="00A823D0">
        <w:rPr>
          <w:rFonts w:ascii="Arimo" w:hAnsi="Arimo" w:hint="cs"/>
          <w:rtl/>
        </w:rPr>
        <w:t>/</w:t>
      </w:r>
      <w:r w:rsidRPr="00A823D0">
        <w:rPr>
          <w:rFonts w:ascii="Arimo" w:hAnsi="Arimo"/>
          <w:rtl/>
        </w:rPr>
        <w:t xml:space="preserve">19 </w:t>
      </w:r>
      <w:r w:rsidRPr="00A823D0">
        <w:rPr>
          <w:rFonts w:ascii="Century" w:hAnsi="Century" w:cs="Miriam"/>
          <w:b/>
          <w:spacing w:val="0"/>
          <w:sz w:val="22"/>
          <w:szCs w:val="24"/>
        </w:rPr>
        <w:t>HUMAN RIGHTS WATCH</w:t>
      </w:r>
      <w:r w:rsidRPr="00A823D0">
        <w:rPr>
          <w:rFonts w:ascii="Century" w:hAnsi="Century" w:cs="Miriam"/>
          <w:b/>
          <w:spacing w:val="0"/>
          <w:sz w:val="22"/>
          <w:szCs w:val="24"/>
          <w:rtl/>
        </w:rPr>
        <w:t xml:space="preserve"> נ' שר הפנים</w:t>
      </w:r>
      <w:r>
        <w:rPr>
          <w:rFonts w:hint="cs"/>
          <w:rtl/>
        </w:rPr>
        <w:t xml:space="preserve">, פסקה 10 והאסמכתאות הנזכרות שם (5.11.2019) (להלן: </w:t>
      </w:r>
      <w:r w:rsidRPr="00B71C29">
        <w:rPr>
          <w:rFonts w:ascii="Century" w:hAnsi="Century" w:cs="Miriam" w:hint="cs"/>
          <w:b/>
          <w:spacing w:val="0"/>
          <w:sz w:val="22"/>
          <w:szCs w:val="24"/>
          <w:rtl/>
        </w:rPr>
        <w:t xml:space="preserve">עניין </w:t>
      </w:r>
      <w:r w:rsidRPr="00B71C29">
        <w:rPr>
          <w:rFonts w:ascii="Century" w:hAnsi="Century" w:cs="Miriam"/>
          <w:b/>
          <w:spacing w:val="0"/>
          <w:sz w:val="22"/>
          <w:szCs w:val="24"/>
        </w:rPr>
        <w:t xml:space="preserve">HUMAN RIGHTS </w:t>
      </w:r>
      <w:r w:rsidRPr="00A823D0">
        <w:rPr>
          <w:rFonts w:ascii="Century" w:hAnsi="Century" w:cs="Miriam"/>
          <w:b/>
          <w:spacing w:val="0"/>
          <w:sz w:val="22"/>
          <w:szCs w:val="24"/>
        </w:rPr>
        <w:lastRenderedPageBreak/>
        <w:t>WATCH</w:t>
      </w:r>
      <w:r w:rsidRPr="00B71C29">
        <w:rPr>
          <w:rFonts w:ascii="Century" w:hAnsi="Century" w:hint="cs"/>
          <w:sz w:val="22"/>
          <w:rtl/>
        </w:rPr>
        <w:t>).</w:t>
      </w:r>
      <w:r>
        <w:rPr>
          <w:rFonts w:hint="cs"/>
          <w:rtl/>
        </w:rPr>
        <w:t xml:space="preserve"> ראו גם: </w:t>
      </w:r>
      <w:r>
        <w:rPr>
          <w:rFonts w:ascii="Arimo" w:hAnsi="Arimo"/>
          <w:rtl/>
        </w:rPr>
        <w:t>בג"ץ 3803</w:t>
      </w:r>
      <w:r>
        <w:rPr>
          <w:rFonts w:ascii="Arimo" w:hAnsi="Arimo" w:hint="cs"/>
          <w:rtl/>
        </w:rPr>
        <w:t>/</w:t>
      </w:r>
      <w:r>
        <w:rPr>
          <w:rFonts w:ascii="Arimo" w:hAnsi="Arimo"/>
          <w:rtl/>
        </w:rPr>
        <w:t xml:space="preserve">11 </w:t>
      </w:r>
      <w:r w:rsidRPr="00AF7063">
        <w:rPr>
          <w:rFonts w:ascii="Century" w:hAnsi="Century" w:cs="Miriam"/>
          <w:b/>
          <w:spacing w:val="0"/>
          <w:sz w:val="22"/>
          <w:szCs w:val="24"/>
          <w:rtl/>
        </w:rPr>
        <w:t>איגוד הנאמנים בשוק ההון בישראל נ' מדינת ישראל</w:t>
      </w:r>
      <w:r>
        <w:rPr>
          <w:rFonts w:ascii="Arimo" w:hAnsi="Arimo" w:hint="cs"/>
          <w:rtl/>
        </w:rPr>
        <w:t>, פסקה 16 (5.2.2012)</w:t>
      </w:r>
      <w:r>
        <w:rPr>
          <w:rFonts w:hint="cs"/>
          <w:rtl/>
        </w:rPr>
        <w:t>).</w:t>
      </w:r>
    </w:p>
    <w:p w:rsidR="00CF54A5" w:rsidRDefault="00CF54A5" w:rsidP="00CF54A5">
      <w:pPr>
        <w:pStyle w:val="Ruller41"/>
        <w:rPr>
          <w:rFonts w:ascii="Century" w:hAnsi="Century"/>
          <w:rtl/>
        </w:rPr>
      </w:pPr>
    </w:p>
    <w:p w:rsidR="00CF54A5" w:rsidRDefault="00CF54A5" w:rsidP="00CF54A5">
      <w:pPr>
        <w:pStyle w:val="Ruller4"/>
        <w:rPr>
          <w:rtl/>
        </w:rPr>
      </w:pPr>
      <w:r>
        <w:rPr>
          <w:rFonts w:hint="cs"/>
          <w:rtl/>
        </w:rPr>
        <w:t xml:space="preserve">מאידך גיסא, התקיפה העקיפה סובלת מחסרונות משני סוגים: </w:t>
      </w:r>
    </w:p>
    <w:p w:rsidR="00CF54A5" w:rsidRDefault="00CF54A5" w:rsidP="00CF54A5">
      <w:pPr>
        <w:pStyle w:val="Ruller41"/>
        <w:rPr>
          <w:rtl/>
        </w:rPr>
      </w:pPr>
    </w:p>
    <w:p w:rsidR="00CF54A5" w:rsidRDefault="00CF54A5" w:rsidP="009364C8">
      <w:pPr>
        <w:pStyle w:val="Ruller41"/>
        <w:rPr>
          <w:rFonts w:ascii="Century" w:hAnsi="Century"/>
          <w:rtl/>
        </w:rPr>
      </w:pPr>
      <w:r>
        <w:rPr>
          <w:rtl/>
        </w:rPr>
        <w:tab/>
      </w:r>
      <w:r>
        <w:rPr>
          <w:rFonts w:hint="cs"/>
          <w:rtl/>
        </w:rPr>
        <w:t xml:space="preserve">(-) הסוג הראשון </w:t>
      </w:r>
      <w:r w:rsidR="009364C8">
        <w:rPr>
          <w:rFonts w:hint="cs"/>
          <w:rtl/>
        </w:rPr>
        <w:t>עניינו</w:t>
      </w:r>
      <w:r>
        <w:rPr>
          <w:rFonts w:hint="cs"/>
          <w:rtl/>
        </w:rPr>
        <w:t xml:space="preserve"> </w:t>
      </w:r>
      <w:r w:rsidR="009364C8">
        <w:rPr>
          <w:rFonts w:hint="cs"/>
          <w:rtl/>
        </w:rPr>
        <w:t>ב</w:t>
      </w:r>
      <w:r>
        <w:rPr>
          <w:rFonts w:hint="cs"/>
          <w:rtl/>
        </w:rPr>
        <w:t>חסרונות המתמקדים ב</w:t>
      </w:r>
      <w:r>
        <w:rPr>
          <w:rFonts w:ascii="Century" w:hAnsi="Century" w:cs="Miriam" w:hint="cs"/>
          <w:b/>
          <w:spacing w:val="0"/>
          <w:szCs w:val="24"/>
          <w:rtl/>
        </w:rPr>
        <w:t>הליך קבלת ההחלטות</w:t>
      </w:r>
      <w:r>
        <w:rPr>
          <w:rFonts w:hint="cs"/>
          <w:rtl/>
        </w:rPr>
        <w:t xml:space="preserve"> </w:t>
      </w:r>
      <w:r>
        <w:rPr>
          <w:rtl/>
        </w:rPr>
        <w:t>–</w:t>
      </w:r>
      <w:r>
        <w:rPr>
          <w:rFonts w:hint="cs"/>
          <w:rtl/>
        </w:rPr>
        <w:t xml:space="preserve"> </w:t>
      </w:r>
      <w:r w:rsidRPr="00D57974">
        <w:rPr>
          <w:rFonts w:ascii="Century" w:hAnsi="Century" w:hint="cs"/>
          <w:rtl/>
        </w:rPr>
        <w:t>ראשית,</w:t>
      </w:r>
      <w:r>
        <w:rPr>
          <w:rFonts w:hint="cs"/>
          <w:rtl/>
        </w:rPr>
        <w:t xml:space="preserve"> התקיפה העקיפה מותירה את ההכרעה לפתחה של ערכאה שיפוטית אשר נעדרת את המומחיות הנדרשת לקיום הליך של ביקורת שיפוטית על המעשה השלטוני (</w:t>
      </w:r>
      <w:r w:rsidRPr="000F5B21">
        <w:rPr>
          <w:rFonts w:ascii="Century" w:hAnsi="Century" w:hint="eastAsia"/>
          <w:rtl/>
        </w:rPr>
        <w:t>ע</w:t>
      </w:r>
      <w:r>
        <w:rPr>
          <w:rFonts w:ascii="Century" w:hAnsi="Century" w:hint="cs"/>
          <w:rtl/>
        </w:rPr>
        <w:t>ניין</w:t>
      </w:r>
      <w:r w:rsidRPr="005402AD">
        <w:rPr>
          <w:rFonts w:ascii="Century" w:hAnsi="Century" w:cs="Miriam"/>
          <w:b/>
          <w:spacing w:val="0"/>
          <w:szCs w:val="24"/>
          <w:rtl/>
        </w:rPr>
        <w:t xml:space="preserve"> </w:t>
      </w:r>
      <w:proofErr w:type="spellStart"/>
      <w:r w:rsidRPr="005402AD">
        <w:rPr>
          <w:rFonts w:ascii="Century" w:hAnsi="Century" w:cs="Miriam" w:hint="eastAsia"/>
          <w:b/>
          <w:spacing w:val="0"/>
          <w:szCs w:val="24"/>
          <w:rtl/>
        </w:rPr>
        <w:t>אלפריח</w:t>
      </w:r>
      <w:proofErr w:type="spellEnd"/>
      <w:r>
        <w:rPr>
          <w:rFonts w:ascii="Century" w:hAnsi="Century" w:hint="cs"/>
          <w:rtl/>
        </w:rPr>
        <w:t xml:space="preserve">, פסקה 12; </w:t>
      </w:r>
      <w:r w:rsidRPr="00C96B6D">
        <w:rPr>
          <w:rFonts w:ascii="Century" w:hAnsi="Century" w:cs="Miriam" w:hint="cs"/>
          <w:b/>
          <w:spacing w:val="0"/>
          <w:szCs w:val="24"/>
          <w:rtl/>
        </w:rPr>
        <w:t>ברק</w:t>
      </w:r>
      <w:r>
        <w:rPr>
          <w:rFonts w:ascii="FrankRuehl" w:hAnsi="FrankRuehl" w:hint="cs"/>
          <w:sz w:val="28"/>
          <w:rtl/>
        </w:rPr>
        <w:t>, בעמ' 20)</w:t>
      </w:r>
      <w:r>
        <w:rPr>
          <w:rFonts w:hint="cs"/>
          <w:rtl/>
        </w:rPr>
        <w:t xml:space="preserve">. </w:t>
      </w:r>
      <w:r w:rsidRPr="00D57974">
        <w:rPr>
          <w:rFonts w:ascii="Century" w:hAnsi="Century" w:hint="cs"/>
          <w:rtl/>
        </w:rPr>
        <w:t>שנית,</w:t>
      </w:r>
      <w:r>
        <w:rPr>
          <w:rFonts w:hint="cs"/>
          <w:rtl/>
        </w:rPr>
        <w:t xml:space="preserve"> </w:t>
      </w:r>
      <w:r>
        <w:rPr>
          <w:rFonts w:ascii="Century" w:hAnsi="Century" w:hint="cs"/>
          <w:rtl/>
        </w:rPr>
        <w:t>סדרי הדין והראיות בתקיפה עקיפה שונים מאלו שבתקיפה ישירה, באופן שעלול להוביל ליישום הכללים באופן שונה, וכפועל יוצא לתוצאה שונה (</w:t>
      </w:r>
      <w:r w:rsidRPr="000F5B21">
        <w:rPr>
          <w:rFonts w:ascii="Century" w:hAnsi="Century" w:hint="eastAsia"/>
          <w:rtl/>
        </w:rPr>
        <w:t>ע</w:t>
      </w:r>
      <w:r>
        <w:rPr>
          <w:rFonts w:ascii="Century" w:hAnsi="Century" w:hint="cs"/>
          <w:rtl/>
        </w:rPr>
        <w:t>ניין</w:t>
      </w:r>
      <w:r w:rsidRPr="005402AD">
        <w:rPr>
          <w:rFonts w:ascii="Century" w:hAnsi="Century" w:cs="Miriam"/>
          <w:b/>
          <w:spacing w:val="0"/>
          <w:szCs w:val="24"/>
          <w:rtl/>
        </w:rPr>
        <w:t xml:space="preserve"> </w:t>
      </w:r>
      <w:proofErr w:type="spellStart"/>
      <w:r w:rsidRPr="005402AD">
        <w:rPr>
          <w:rFonts w:ascii="Century" w:hAnsi="Century" w:cs="Miriam" w:hint="eastAsia"/>
          <w:b/>
          <w:spacing w:val="0"/>
          <w:szCs w:val="24"/>
          <w:rtl/>
        </w:rPr>
        <w:t>אלפריח</w:t>
      </w:r>
      <w:proofErr w:type="spellEnd"/>
      <w:r>
        <w:rPr>
          <w:rFonts w:ascii="Century" w:hAnsi="Century" w:hint="cs"/>
          <w:rtl/>
        </w:rPr>
        <w:t xml:space="preserve">, פסקה 12; זמיר, </w:t>
      </w:r>
      <w:r w:rsidRPr="000A7A5A">
        <w:rPr>
          <w:rFonts w:ascii="Century" w:hAnsi="Century" w:cs="Miriam" w:hint="cs"/>
          <w:b/>
          <w:spacing w:val="0"/>
          <w:szCs w:val="24"/>
          <w:rtl/>
        </w:rPr>
        <w:t xml:space="preserve">הסמכות </w:t>
      </w:r>
      <w:proofErr w:type="spellStart"/>
      <w:r w:rsidRPr="000A7A5A">
        <w:rPr>
          <w:rFonts w:ascii="Century" w:hAnsi="Century" w:cs="Miriam" w:hint="cs"/>
          <w:b/>
          <w:spacing w:val="0"/>
          <w:szCs w:val="24"/>
          <w:rtl/>
        </w:rPr>
        <w:t>המינהלית</w:t>
      </w:r>
      <w:proofErr w:type="spellEnd"/>
      <w:r>
        <w:rPr>
          <w:rFonts w:ascii="Century" w:hAnsi="Century" w:hint="cs"/>
          <w:rtl/>
        </w:rPr>
        <w:t xml:space="preserve">, בעמ' 2675-2673). </w:t>
      </w:r>
      <w:r w:rsidRPr="00D57974">
        <w:rPr>
          <w:rFonts w:ascii="Century" w:hAnsi="Century" w:hint="cs"/>
          <w:rtl/>
        </w:rPr>
        <w:t>לבסוף,</w:t>
      </w:r>
      <w:r>
        <w:rPr>
          <w:rFonts w:ascii="Century" w:hAnsi="Century" w:hint="cs"/>
          <w:rtl/>
        </w:rPr>
        <w:t xml:space="preserve"> מתעורר החשש שמא תתקבל החלטה ללא שמיעת צדדים רלוונטיים, משום שבהליך תקיפה עקיפה, לעיתים קרובות, המעשה השלטוני עשוי לעמוד לביקורת שיפוטית מבלי שהגוף השלטוני הנוגע בדבר הוא צד להליך ועל כן אינו יכול להגן על פעולתו, ומכאן גם שהתשתית המוצגת בפני בית המשפט לצורך הכרעתו היא חסרה </w:t>
      </w:r>
      <w:r>
        <w:rPr>
          <w:rFonts w:hint="cs"/>
          <w:rtl/>
        </w:rPr>
        <w:t>(</w:t>
      </w:r>
      <w:r w:rsidRPr="00803F50">
        <w:rPr>
          <w:rFonts w:ascii="Century" w:hAnsi="Century" w:hint="eastAsia"/>
          <w:rtl/>
        </w:rPr>
        <w:t>ע</w:t>
      </w:r>
      <w:r w:rsidRPr="00803F50">
        <w:rPr>
          <w:rFonts w:ascii="Century" w:hAnsi="Century"/>
          <w:rtl/>
        </w:rPr>
        <w:t>"</w:t>
      </w:r>
      <w:r w:rsidRPr="00803F50">
        <w:rPr>
          <w:rFonts w:ascii="Century" w:hAnsi="Century" w:hint="eastAsia"/>
          <w:rtl/>
        </w:rPr>
        <w:t>פ</w:t>
      </w:r>
      <w:r w:rsidRPr="00803F50">
        <w:rPr>
          <w:rFonts w:ascii="Century" w:hAnsi="Century"/>
          <w:rtl/>
        </w:rPr>
        <w:t xml:space="preserve"> 1610</w:t>
      </w:r>
      <w:r>
        <w:rPr>
          <w:rFonts w:ascii="Century" w:hAnsi="Century" w:hint="cs"/>
          <w:rtl/>
        </w:rPr>
        <w:t>/</w:t>
      </w:r>
      <w:r w:rsidRPr="00803F50">
        <w:rPr>
          <w:rFonts w:ascii="Century" w:hAnsi="Century"/>
          <w:rtl/>
        </w:rPr>
        <w:t xml:space="preserve">93 </w:t>
      </w:r>
      <w:proofErr w:type="spellStart"/>
      <w:r w:rsidRPr="00803F50">
        <w:rPr>
          <w:rFonts w:ascii="Century" w:hAnsi="Century" w:cs="Miriam" w:hint="eastAsia"/>
          <w:b/>
          <w:spacing w:val="0"/>
          <w:szCs w:val="24"/>
          <w:rtl/>
        </w:rPr>
        <w:t>ותד</w:t>
      </w:r>
      <w:proofErr w:type="spellEnd"/>
      <w:r w:rsidRPr="00803F50">
        <w:rPr>
          <w:rFonts w:ascii="Century" w:hAnsi="Century" w:cs="Miriam"/>
          <w:b/>
          <w:spacing w:val="0"/>
          <w:szCs w:val="24"/>
          <w:rtl/>
        </w:rPr>
        <w:t xml:space="preserve"> </w:t>
      </w:r>
      <w:r w:rsidRPr="00803F50">
        <w:rPr>
          <w:rFonts w:ascii="Century" w:hAnsi="Century" w:cs="Miriam" w:hint="eastAsia"/>
          <w:b/>
          <w:spacing w:val="0"/>
          <w:szCs w:val="24"/>
          <w:rtl/>
        </w:rPr>
        <w:t>נ</w:t>
      </w:r>
      <w:r w:rsidRPr="00803F50">
        <w:rPr>
          <w:rFonts w:ascii="Century" w:hAnsi="Century" w:cs="Miriam"/>
          <w:b/>
          <w:spacing w:val="0"/>
          <w:szCs w:val="24"/>
          <w:rtl/>
        </w:rPr>
        <w:t xml:space="preserve">' </w:t>
      </w:r>
      <w:r w:rsidRPr="00803F50">
        <w:rPr>
          <w:rFonts w:ascii="Century" w:hAnsi="Century" w:cs="Miriam" w:hint="eastAsia"/>
          <w:b/>
          <w:spacing w:val="0"/>
          <w:szCs w:val="24"/>
          <w:rtl/>
        </w:rPr>
        <w:t>מדינת</w:t>
      </w:r>
      <w:r w:rsidRPr="00803F50">
        <w:rPr>
          <w:rFonts w:ascii="Century" w:hAnsi="Century" w:cs="Miriam"/>
          <w:b/>
          <w:spacing w:val="0"/>
          <w:szCs w:val="24"/>
          <w:rtl/>
        </w:rPr>
        <w:t xml:space="preserve"> </w:t>
      </w:r>
      <w:r w:rsidRPr="00803F50">
        <w:rPr>
          <w:rFonts w:ascii="Century" w:hAnsi="Century" w:cs="Miriam" w:hint="eastAsia"/>
          <w:b/>
          <w:spacing w:val="0"/>
          <w:szCs w:val="24"/>
          <w:rtl/>
        </w:rPr>
        <w:t>ישראל</w:t>
      </w:r>
      <w:r w:rsidRPr="00803F50">
        <w:rPr>
          <w:rFonts w:ascii="Century" w:hAnsi="Century"/>
          <w:rtl/>
        </w:rPr>
        <w:t xml:space="preserve">, </w:t>
      </w:r>
      <w:r w:rsidRPr="00803F50">
        <w:rPr>
          <w:rFonts w:ascii="Century" w:hAnsi="Century" w:hint="eastAsia"/>
          <w:rtl/>
        </w:rPr>
        <w:t>פ</w:t>
      </w:r>
      <w:r w:rsidRPr="00803F50">
        <w:rPr>
          <w:rFonts w:ascii="Century" w:hAnsi="Century"/>
          <w:rtl/>
        </w:rPr>
        <w:t>"</w:t>
      </w:r>
      <w:r w:rsidRPr="00803F50">
        <w:rPr>
          <w:rFonts w:ascii="Century" w:hAnsi="Century" w:hint="eastAsia"/>
          <w:rtl/>
        </w:rPr>
        <w:t>ד</w:t>
      </w:r>
      <w:r w:rsidRPr="00803F50">
        <w:rPr>
          <w:rFonts w:ascii="Century" w:hAnsi="Century"/>
          <w:rtl/>
        </w:rPr>
        <w:t xml:space="preserve"> </w:t>
      </w:r>
      <w:r w:rsidRPr="00803F50">
        <w:rPr>
          <w:rFonts w:ascii="Century" w:hAnsi="Century" w:hint="eastAsia"/>
          <w:rtl/>
        </w:rPr>
        <w:t>נ</w:t>
      </w:r>
      <w:r w:rsidRPr="00803F50">
        <w:rPr>
          <w:rFonts w:ascii="Century" w:hAnsi="Century"/>
          <w:rtl/>
        </w:rPr>
        <w:t>(5) 837</w:t>
      </w:r>
      <w:r>
        <w:rPr>
          <w:rFonts w:ascii="Century" w:hAnsi="Century" w:hint="cs"/>
          <w:rtl/>
        </w:rPr>
        <w:t xml:space="preserve">, 843-842 (1997); </w:t>
      </w:r>
      <w:r w:rsidRPr="000F5B21">
        <w:rPr>
          <w:rFonts w:ascii="Century" w:hAnsi="Century" w:hint="eastAsia"/>
          <w:rtl/>
        </w:rPr>
        <w:t>ע</w:t>
      </w:r>
      <w:r>
        <w:rPr>
          <w:rFonts w:ascii="Century" w:hAnsi="Century" w:hint="cs"/>
          <w:rtl/>
        </w:rPr>
        <w:t>ניין</w:t>
      </w:r>
      <w:r w:rsidRPr="005402AD">
        <w:rPr>
          <w:rFonts w:ascii="Century" w:hAnsi="Century" w:cs="Miriam"/>
          <w:b/>
          <w:spacing w:val="0"/>
          <w:szCs w:val="24"/>
          <w:rtl/>
        </w:rPr>
        <w:t xml:space="preserve"> </w:t>
      </w:r>
      <w:proofErr w:type="spellStart"/>
      <w:r w:rsidRPr="005402AD">
        <w:rPr>
          <w:rFonts w:ascii="Century" w:hAnsi="Century" w:cs="Miriam" w:hint="eastAsia"/>
          <w:b/>
          <w:spacing w:val="0"/>
          <w:szCs w:val="24"/>
          <w:rtl/>
        </w:rPr>
        <w:t>אלפריח</w:t>
      </w:r>
      <w:proofErr w:type="spellEnd"/>
      <w:r>
        <w:rPr>
          <w:rFonts w:ascii="Century" w:hAnsi="Century" w:hint="cs"/>
          <w:rtl/>
        </w:rPr>
        <w:t xml:space="preserve">, פסקה 12; </w:t>
      </w:r>
      <w:r>
        <w:rPr>
          <w:rFonts w:ascii="FrankRuehl" w:hAnsi="FrankRuehl" w:hint="cs"/>
          <w:sz w:val="28"/>
          <w:rtl/>
        </w:rPr>
        <w:t xml:space="preserve">זמיר, </w:t>
      </w:r>
      <w:r w:rsidRPr="00A121A2">
        <w:rPr>
          <w:rFonts w:ascii="Century" w:hAnsi="Century" w:cs="Miriam" w:hint="cs"/>
          <w:b/>
          <w:spacing w:val="0"/>
          <w:szCs w:val="24"/>
          <w:rtl/>
        </w:rPr>
        <w:t xml:space="preserve">השפיטה בעניינים </w:t>
      </w:r>
      <w:proofErr w:type="spellStart"/>
      <w:r w:rsidRPr="00A121A2">
        <w:rPr>
          <w:rFonts w:ascii="Century" w:hAnsi="Century" w:cs="Miriam" w:hint="cs"/>
          <w:b/>
          <w:spacing w:val="0"/>
          <w:szCs w:val="24"/>
          <w:rtl/>
        </w:rPr>
        <w:t>מינהליים</w:t>
      </w:r>
      <w:proofErr w:type="spellEnd"/>
      <w:r>
        <w:rPr>
          <w:rFonts w:ascii="FrankRuehl" w:hAnsi="FrankRuehl" w:hint="cs"/>
          <w:sz w:val="28"/>
          <w:rtl/>
        </w:rPr>
        <w:t xml:space="preserve">, בעמ' 44-43; זמיר, </w:t>
      </w:r>
      <w:r w:rsidRPr="00D21137">
        <w:rPr>
          <w:rFonts w:ascii="Century" w:hAnsi="Century" w:cs="Miriam" w:hint="cs"/>
          <w:b/>
          <w:spacing w:val="0"/>
          <w:szCs w:val="24"/>
          <w:rtl/>
        </w:rPr>
        <w:t xml:space="preserve">הסמכות </w:t>
      </w:r>
      <w:proofErr w:type="spellStart"/>
      <w:r w:rsidRPr="00D21137">
        <w:rPr>
          <w:rFonts w:ascii="Century" w:hAnsi="Century" w:cs="Miriam" w:hint="cs"/>
          <w:b/>
          <w:spacing w:val="0"/>
          <w:szCs w:val="24"/>
          <w:rtl/>
        </w:rPr>
        <w:t>המינהלית</w:t>
      </w:r>
      <w:proofErr w:type="spellEnd"/>
      <w:r>
        <w:rPr>
          <w:rFonts w:ascii="FrankRuehl" w:hAnsi="FrankRuehl" w:hint="cs"/>
          <w:sz w:val="28"/>
          <w:rtl/>
        </w:rPr>
        <w:t xml:space="preserve">, בעמ' 2677-2676; </w:t>
      </w:r>
      <w:r w:rsidRPr="00D41393">
        <w:rPr>
          <w:rFonts w:ascii="Century" w:hAnsi="Century" w:cs="Miriam" w:hint="cs"/>
          <w:b/>
          <w:spacing w:val="0"/>
          <w:szCs w:val="24"/>
          <w:rtl/>
        </w:rPr>
        <w:t>שקד</w:t>
      </w:r>
      <w:r>
        <w:rPr>
          <w:rFonts w:ascii="FrankRuehl" w:hAnsi="FrankRuehl" w:hint="cs"/>
          <w:sz w:val="28"/>
          <w:rtl/>
        </w:rPr>
        <w:t>, בעמ' 109</w:t>
      </w:r>
      <w:r>
        <w:rPr>
          <w:rFonts w:ascii="Century" w:hAnsi="Century" w:hint="cs"/>
          <w:rtl/>
        </w:rPr>
        <w:t>).</w:t>
      </w:r>
    </w:p>
    <w:p w:rsidR="00CF54A5" w:rsidRDefault="00CF54A5" w:rsidP="00CF54A5">
      <w:pPr>
        <w:pStyle w:val="Ruller41"/>
        <w:rPr>
          <w:rFonts w:ascii="Century" w:hAnsi="Century"/>
          <w:rtl/>
        </w:rPr>
      </w:pPr>
    </w:p>
    <w:p w:rsidR="00CF54A5" w:rsidRPr="0071213C" w:rsidRDefault="00CF54A5" w:rsidP="00CF54A5">
      <w:pPr>
        <w:pStyle w:val="Ruller41"/>
        <w:rPr>
          <w:rtl/>
        </w:rPr>
      </w:pPr>
      <w:r>
        <w:rPr>
          <w:rFonts w:ascii="Century" w:hAnsi="Century"/>
          <w:rtl/>
        </w:rPr>
        <w:tab/>
      </w:r>
      <w:r>
        <w:rPr>
          <w:rFonts w:ascii="Century" w:hAnsi="Century" w:hint="cs"/>
          <w:rtl/>
        </w:rPr>
        <w:t xml:space="preserve">(-) </w:t>
      </w:r>
      <w:r>
        <w:rPr>
          <w:rFonts w:hint="cs"/>
          <w:rtl/>
        </w:rPr>
        <w:t xml:space="preserve">הסוג השני נוגע לחסרונות מההיבט של </w:t>
      </w:r>
      <w:r w:rsidRPr="00C6698B">
        <w:rPr>
          <w:rFonts w:ascii="Century" w:hAnsi="Century" w:cs="Miriam" w:hint="cs"/>
          <w:b/>
          <w:spacing w:val="0"/>
          <w:szCs w:val="24"/>
          <w:rtl/>
        </w:rPr>
        <w:t>שיקולי</w:t>
      </w:r>
      <w:r>
        <w:rPr>
          <w:rFonts w:ascii="Century" w:hAnsi="Century" w:cs="Miriam" w:hint="cs"/>
          <w:b/>
          <w:spacing w:val="0"/>
          <w:szCs w:val="24"/>
          <w:rtl/>
        </w:rPr>
        <w:t xml:space="preserve"> מדיניות מערכתיים</w:t>
      </w:r>
      <w:r>
        <w:rPr>
          <w:rFonts w:ascii="Century" w:hAnsi="Century" w:cs="Miriam" w:hint="cs"/>
          <w:b/>
          <w:color w:val="A6A6A6" w:themeColor="background1" w:themeShade="A6"/>
          <w:spacing w:val="0"/>
          <w:szCs w:val="24"/>
          <w:rtl/>
        </w:rPr>
        <w:t xml:space="preserve"> </w:t>
      </w:r>
      <w:r>
        <w:rPr>
          <w:rtl/>
        </w:rPr>
        <w:t>–</w:t>
      </w:r>
      <w:r>
        <w:rPr>
          <w:rFonts w:hint="cs"/>
          <w:rtl/>
        </w:rPr>
        <w:t xml:space="preserve"> בראש ובראשונה תקיפה עקיפה שוחקת את חלוקת הסמכויות בין הערכאות השיפוטית השונות, היות שהיא מאפשרת לבית משפט שאינו מוסמך לכך לדון בתוקפו של המעשה השלטוני. חסרון זה בולט במיוחד כאשר המחוקק ייחס חשיבות מיוחדת לזהות הערכאה השיפוטית שתידון בחוקיות המעשה השלטוני, כגון באותם מקרים בהם נמנע בכוונת מכוון מלאפשר תקיפה ישירה של המעשה השלטוני בבתי המשפט המנהליים, וייחד את סמכות התקיפה הישירה לבית המשפט העליון בשבתו כבית משפט גבוה לצדק (והשוו לחוות דעתי בעניין </w:t>
      </w:r>
      <w:proofErr w:type="spellStart"/>
      <w:r w:rsidRPr="0001333A">
        <w:rPr>
          <w:rFonts w:ascii="Century" w:hAnsi="Century" w:cs="Miriam" w:hint="cs"/>
          <w:b/>
          <w:spacing w:val="0"/>
          <w:szCs w:val="24"/>
          <w:rtl/>
        </w:rPr>
        <w:t>אלפריח</w:t>
      </w:r>
      <w:proofErr w:type="spellEnd"/>
      <w:r>
        <w:rPr>
          <w:rFonts w:hint="cs"/>
          <w:rtl/>
        </w:rPr>
        <w:t xml:space="preserve">). </w:t>
      </w:r>
      <w:r>
        <w:rPr>
          <w:rFonts w:ascii="Century" w:hAnsi="Century" w:hint="cs"/>
          <w:rtl/>
        </w:rPr>
        <w:t>נוסף על כך,</w:t>
      </w:r>
      <w:r w:rsidRPr="00803F50">
        <w:rPr>
          <w:rFonts w:ascii="Century" w:hAnsi="Century" w:hint="cs"/>
          <w:rtl/>
        </w:rPr>
        <w:t xml:space="preserve"> </w:t>
      </w:r>
      <w:r>
        <w:rPr>
          <w:rFonts w:hint="cs"/>
          <w:rtl/>
        </w:rPr>
        <w:t xml:space="preserve">תקיפה עקיפה מכרסמת בסופיות המעשה השלטוני, בהינתן שהיא מאפשרת לבעלי דין להעלות טענות נגד המעשה השלטוני בהליכים ובמועדים שונים, לעיתים אף בחלוף זמן רב ממושך מעת </w:t>
      </w:r>
      <w:r w:rsidRPr="00F75C54">
        <w:rPr>
          <w:rFonts w:hint="cs"/>
          <w:rtl/>
        </w:rPr>
        <w:t xml:space="preserve">שזה </w:t>
      </w:r>
      <w:r>
        <w:rPr>
          <w:rFonts w:hint="cs"/>
          <w:rtl/>
        </w:rPr>
        <w:t>התרחש, תוך עקיפת מגבלות השיהוי, והותרת עננה מעל תוקפו של המעשה השלטוני (</w:t>
      </w:r>
      <w:r>
        <w:rPr>
          <w:rFonts w:ascii="Arimo" w:hAnsi="Arimo"/>
          <w:rtl/>
        </w:rPr>
        <w:t>ע"א 9569</w:t>
      </w:r>
      <w:r>
        <w:rPr>
          <w:rFonts w:ascii="Arimo" w:hAnsi="Arimo" w:hint="cs"/>
          <w:rtl/>
        </w:rPr>
        <w:t>/</w:t>
      </w:r>
      <w:r>
        <w:rPr>
          <w:rFonts w:ascii="Arimo" w:hAnsi="Arimo"/>
          <w:rtl/>
        </w:rPr>
        <w:t xml:space="preserve">04 </w:t>
      </w:r>
      <w:proofErr w:type="spellStart"/>
      <w:r w:rsidRPr="000F5C69">
        <w:rPr>
          <w:rFonts w:ascii="Century" w:hAnsi="Century" w:cs="Miriam"/>
          <w:b/>
          <w:spacing w:val="0"/>
          <w:szCs w:val="24"/>
          <w:rtl/>
        </w:rPr>
        <w:t>עבידאת</w:t>
      </w:r>
      <w:proofErr w:type="spellEnd"/>
      <w:r w:rsidRPr="000F5C69">
        <w:rPr>
          <w:rFonts w:ascii="Century" w:hAnsi="Century" w:cs="Miriam"/>
          <w:b/>
          <w:spacing w:val="0"/>
          <w:szCs w:val="24"/>
          <w:rtl/>
        </w:rPr>
        <w:t xml:space="preserve"> נ' הועדה המקומית לתכנון ובניה-ירושלים</w:t>
      </w:r>
      <w:r>
        <w:rPr>
          <w:rFonts w:hint="cs"/>
          <w:rtl/>
        </w:rPr>
        <w:t xml:space="preserve">, פסקה 2 לחוות דעתו של השופט (כתוארו אז) </w:t>
      </w:r>
      <w:r w:rsidRPr="0048772D">
        <w:rPr>
          <w:rFonts w:ascii="Century" w:hAnsi="Century" w:cs="Miriam" w:hint="cs"/>
          <w:b/>
          <w:spacing w:val="0"/>
          <w:szCs w:val="24"/>
          <w:rtl/>
        </w:rPr>
        <w:t xml:space="preserve">אשר </w:t>
      </w:r>
      <w:proofErr w:type="spellStart"/>
      <w:r w:rsidRPr="0048772D">
        <w:rPr>
          <w:rFonts w:ascii="Century" w:hAnsi="Century" w:cs="Miriam" w:hint="cs"/>
          <w:b/>
          <w:spacing w:val="0"/>
          <w:szCs w:val="24"/>
          <w:rtl/>
        </w:rPr>
        <w:t>גרוניס</w:t>
      </w:r>
      <w:proofErr w:type="spellEnd"/>
      <w:r>
        <w:rPr>
          <w:rFonts w:hint="cs"/>
          <w:rtl/>
        </w:rPr>
        <w:t xml:space="preserve"> (14.2.2008) (להלן: </w:t>
      </w:r>
      <w:r w:rsidRPr="00F75C54">
        <w:rPr>
          <w:rFonts w:ascii="Century" w:hAnsi="Century" w:cs="Miriam" w:hint="cs"/>
          <w:b/>
          <w:spacing w:val="0"/>
          <w:szCs w:val="24"/>
          <w:rtl/>
        </w:rPr>
        <w:t xml:space="preserve">עניין </w:t>
      </w:r>
      <w:proofErr w:type="spellStart"/>
      <w:r w:rsidRPr="00F75C54">
        <w:rPr>
          <w:rFonts w:ascii="Century" w:hAnsi="Century" w:cs="Miriam" w:hint="cs"/>
          <w:b/>
          <w:spacing w:val="0"/>
          <w:szCs w:val="24"/>
          <w:rtl/>
        </w:rPr>
        <w:t>עבידאת</w:t>
      </w:r>
      <w:proofErr w:type="spellEnd"/>
      <w:r>
        <w:rPr>
          <w:rFonts w:hint="cs"/>
          <w:rtl/>
        </w:rPr>
        <w:t xml:space="preserve">); </w:t>
      </w:r>
      <w:r>
        <w:rPr>
          <w:rFonts w:ascii="Century" w:hAnsi="Century" w:hint="cs"/>
          <w:rtl/>
        </w:rPr>
        <w:t xml:space="preserve">עניין </w:t>
      </w:r>
      <w:r w:rsidRPr="0027537B">
        <w:rPr>
          <w:rFonts w:ascii="Century" w:hAnsi="Century" w:cs="Miriam" w:hint="eastAsia"/>
          <w:b/>
          <w:spacing w:val="0"/>
          <w:szCs w:val="24"/>
          <w:rtl/>
        </w:rPr>
        <w:t>אבו</w:t>
      </w:r>
      <w:r w:rsidRPr="0027537B">
        <w:rPr>
          <w:rFonts w:ascii="Century" w:hAnsi="Century" w:cs="Miriam"/>
          <w:b/>
          <w:spacing w:val="0"/>
          <w:szCs w:val="24"/>
          <w:rtl/>
        </w:rPr>
        <w:t xml:space="preserve"> </w:t>
      </w:r>
      <w:proofErr w:type="spellStart"/>
      <w:r w:rsidRPr="0027537B">
        <w:rPr>
          <w:rFonts w:ascii="Century" w:hAnsi="Century" w:cs="Miriam" w:hint="eastAsia"/>
          <w:b/>
          <w:spacing w:val="0"/>
          <w:szCs w:val="24"/>
          <w:rtl/>
        </w:rPr>
        <w:t>פריח</w:t>
      </w:r>
      <w:proofErr w:type="spellEnd"/>
      <w:r w:rsidRPr="0027537B">
        <w:rPr>
          <w:rFonts w:ascii="Century" w:hAnsi="Century" w:hint="cs"/>
          <w:rtl/>
        </w:rPr>
        <w:t>, פסקה 8</w:t>
      </w:r>
      <w:r>
        <w:rPr>
          <w:rFonts w:ascii="Century" w:hAnsi="Century" w:hint="cs"/>
          <w:rtl/>
        </w:rPr>
        <w:t xml:space="preserve"> לפסק דינו של הנשיא (</w:t>
      </w:r>
      <w:proofErr w:type="spellStart"/>
      <w:r>
        <w:rPr>
          <w:rFonts w:ascii="Century" w:hAnsi="Century" w:hint="cs"/>
          <w:rtl/>
        </w:rPr>
        <w:t>בדימ</w:t>
      </w:r>
      <w:proofErr w:type="spellEnd"/>
      <w:r>
        <w:rPr>
          <w:rFonts w:ascii="Century" w:hAnsi="Century" w:hint="cs"/>
          <w:rtl/>
        </w:rPr>
        <w:t xml:space="preserve">') </w:t>
      </w:r>
      <w:r w:rsidRPr="0027537B">
        <w:rPr>
          <w:rFonts w:ascii="Century" w:hAnsi="Century" w:cs="Miriam" w:hint="cs"/>
          <w:b/>
          <w:spacing w:val="0"/>
          <w:szCs w:val="24"/>
          <w:rtl/>
        </w:rPr>
        <w:t xml:space="preserve">אשר </w:t>
      </w:r>
      <w:proofErr w:type="spellStart"/>
      <w:r w:rsidRPr="0027537B">
        <w:rPr>
          <w:rFonts w:ascii="Century" w:hAnsi="Century" w:cs="Miriam" w:hint="cs"/>
          <w:b/>
          <w:spacing w:val="0"/>
          <w:szCs w:val="24"/>
          <w:rtl/>
        </w:rPr>
        <w:t>גרוניס</w:t>
      </w:r>
      <w:proofErr w:type="spellEnd"/>
      <w:r>
        <w:rPr>
          <w:rFonts w:ascii="Century" w:hAnsi="Century" w:hint="cs"/>
          <w:rtl/>
        </w:rPr>
        <w:t xml:space="preserve">; </w:t>
      </w:r>
      <w:r>
        <w:rPr>
          <w:rFonts w:ascii="FrankRuehl" w:hAnsi="FrankRuehl" w:hint="cs"/>
          <w:sz w:val="28"/>
          <w:rtl/>
        </w:rPr>
        <w:t xml:space="preserve">זמיר, </w:t>
      </w:r>
      <w:r w:rsidRPr="00A121A2">
        <w:rPr>
          <w:rFonts w:ascii="Century" w:hAnsi="Century" w:cs="Miriam" w:hint="cs"/>
          <w:b/>
          <w:spacing w:val="0"/>
          <w:szCs w:val="24"/>
          <w:rtl/>
        </w:rPr>
        <w:t xml:space="preserve">השפיטה </w:t>
      </w:r>
      <w:r w:rsidRPr="00A121A2">
        <w:rPr>
          <w:rFonts w:ascii="Century" w:hAnsi="Century" w:cs="Miriam" w:hint="cs"/>
          <w:b/>
          <w:spacing w:val="0"/>
          <w:szCs w:val="24"/>
          <w:rtl/>
        </w:rPr>
        <w:lastRenderedPageBreak/>
        <w:t xml:space="preserve">בעניינים </w:t>
      </w:r>
      <w:proofErr w:type="spellStart"/>
      <w:r w:rsidRPr="00A121A2">
        <w:rPr>
          <w:rFonts w:ascii="Century" w:hAnsi="Century" w:cs="Miriam" w:hint="cs"/>
          <w:b/>
          <w:spacing w:val="0"/>
          <w:szCs w:val="24"/>
          <w:rtl/>
        </w:rPr>
        <w:t>מינהליים</w:t>
      </w:r>
      <w:proofErr w:type="spellEnd"/>
      <w:r>
        <w:rPr>
          <w:rFonts w:ascii="FrankRuehl" w:hAnsi="FrankRuehl" w:hint="cs"/>
          <w:sz w:val="28"/>
          <w:rtl/>
        </w:rPr>
        <w:t>, בעמ' 47-45</w:t>
      </w:r>
      <w:r>
        <w:rPr>
          <w:rFonts w:hint="cs"/>
          <w:rtl/>
        </w:rPr>
        <w:t xml:space="preserve">). כתוצאה מכך, גם הוודאות המשפטית מתערערת, הואיל ותקיפה עקיפה </w:t>
      </w:r>
      <w:r w:rsidRPr="007B7FF9">
        <w:rPr>
          <w:rFonts w:hint="cs"/>
          <w:rtl/>
        </w:rPr>
        <w:t>פותחת את הפתח למתן הכרעות סותרות בנוגע לאותו מעשה שלטוני, כך ש</w:t>
      </w:r>
      <w:r>
        <w:rPr>
          <w:rFonts w:hint="cs"/>
          <w:rtl/>
        </w:rPr>
        <w:t>עלול לה</w:t>
      </w:r>
      <w:r w:rsidRPr="007B7FF9">
        <w:rPr>
          <w:rFonts w:hint="cs"/>
          <w:rtl/>
        </w:rPr>
        <w:t xml:space="preserve">יווצר מצב </w:t>
      </w:r>
      <w:r>
        <w:rPr>
          <w:rFonts w:hint="cs"/>
          <w:rtl/>
        </w:rPr>
        <w:t>ש</w:t>
      </w:r>
      <w:r w:rsidRPr="007B7FF9">
        <w:rPr>
          <w:rFonts w:hint="cs"/>
          <w:rtl/>
        </w:rPr>
        <w:t>בו המעשה השל</w:t>
      </w:r>
      <w:r>
        <w:rPr>
          <w:rFonts w:hint="cs"/>
          <w:rtl/>
        </w:rPr>
        <w:t xml:space="preserve">טוני יימצא חסר תוקף בעניין מסוים וביחס לגורם ספציפי, בעוד בעניינים אחרים וביחס לאנשים אחרים הוא ימשיך לעמוד בתוקפו (עניין </w:t>
      </w:r>
      <w:proofErr w:type="spellStart"/>
      <w:r w:rsidRPr="007C37B0">
        <w:rPr>
          <w:rFonts w:ascii="Century" w:hAnsi="Century" w:cs="Miriam" w:hint="cs"/>
          <w:b/>
          <w:spacing w:val="0"/>
          <w:szCs w:val="24"/>
          <w:rtl/>
        </w:rPr>
        <w:t>אלפריח</w:t>
      </w:r>
      <w:proofErr w:type="spellEnd"/>
      <w:r>
        <w:rPr>
          <w:rFonts w:hint="cs"/>
          <w:rtl/>
        </w:rPr>
        <w:t xml:space="preserve">, פסקה 12; </w:t>
      </w:r>
      <w:r>
        <w:rPr>
          <w:rFonts w:ascii="FrankRuehl" w:hAnsi="FrankRuehl" w:hint="cs"/>
          <w:sz w:val="28"/>
          <w:rtl/>
        </w:rPr>
        <w:t xml:space="preserve">זמיר, </w:t>
      </w:r>
      <w:r w:rsidRPr="00A121A2">
        <w:rPr>
          <w:rFonts w:ascii="Century" w:hAnsi="Century" w:cs="Miriam" w:hint="cs"/>
          <w:b/>
          <w:spacing w:val="0"/>
          <w:szCs w:val="24"/>
          <w:rtl/>
        </w:rPr>
        <w:t xml:space="preserve">השפיטה בעניינים </w:t>
      </w:r>
      <w:proofErr w:type="spellStart"/>
      <w:r w:rsidRPr="00A121A2">
        <w:rPr>
          <w:rFonts w:ascii="Century" w:hAnsi="Century" w:cs="Miriam" w:hint="cs"/>
          <w:b/>
          <w:spacing w:val="0"/>
          <w:szCs w:val="24"/>
          <w:rtl/>
        </w:rPr>
        <w:t>מינהליים</w:t>
      </w:r>
      <w:proofErr w:type="spellEnd"/>
      <w:r>
        <w:rPr>
          <w:rFonts w:ascii="FrankRuehl" w:hAnsi="FrankRuehl" w:hint="cs"/>
          <w:sz w:val="28"/>
          <w:rtl/>
        </w:rPr>
        <w:t xml:space="preserve">, בעמ' 48-47; </w:t>
      </w:r>
      <w:r w:rsidRPr="00733E25">
        <w:rPr>
          <w:rFonts w:ascii="Century" w:hAnsi="Century" w:cs="Miriam" w:hint="cs"/>
          <w:b/>
          <w:spacing w:val="0"/>
          <w:szCs w:val="24"/>
          <w:rtl/>
        </w:rPr>
        <w:t>שקד</w:t>
      </w:r>
      <w:r>
        <w:rPr>
          <w:rFonts w:ascii="FrankRuehl" w:hAnsi="FrankRuehl" w:hint="cs"/>
          <w:sz w:val="28"/>
          <w:rtl/>
        </w:rPr>
        <w:t>, בעמ' 105-104)</w:t>
      </w:r>
      <w:r>
        <w:rPr>
          <w:rFonts w:hint="cs"/>
          <w:rtl/>
        </w:rPr>
        <w:t>. הנזק הטמון בכך מעלה גם סוגיות של אי שוויון (</w:t>
      </w:r>
      <w:r w:rsidRPr="00D41393">
        <w:rPr>
          <w:rFonts w:ascii="Century" w:hAnsi="Century" w:cs="Miriam" w:hint="cs"/>
          <w:b/>
          <w:spacing w:val="0"/>
          <w:szCs w:val="24"/>
          <w:rtl/>
        </w:rPr>
        <w:t>שקד</w:t>
      </w:r>
      <w:r>
        <w:rPr>
          <w:rFonts w:hint="cs"/>
          <w:rtl/>
        </w:rPr>
        <w:t xml:space="preserve">, בעמ' 108-107). </w:t>
      </w:r>
      <w:r>
        <w:rPr>
          <w:rFonts w:ascii="Century" w:hAnsi="Century" w:hint="cs"/>
          <w:rtl/>
        </w:rPr>
        <w:t>כמו כן</w:t>
      </w:r>
      <w:r w:rsidRPr="001A2E1D">
        <w:rPr>
          <w:rFonts w:ascii="Century" w:hAnsi="Century" w:hint="cs"/>
          <w:rtl/>
        </w:rPr>
        <w:t>, תקיפה עקיפה עלולה לעודד התעלמות מהמעשה השלטוני ותקיפתו רק בעת ננקטת סנקציה בגינו</w:t>
      </w:r>
      <w:r>
        <w:rPr>
          <w:rFonts w:ascii="Century" w:hAnsi="Century" w:hint="cs"/>
          <w:rtl/>
        </w:rPr>
        <w:t>, תחת ההנחה כי "ננסה ואולי נצליח לבטלו", ובכך מתערער גם הסדר הציבורי (</w:t>
      </w:r>
      <w:proofErr w:type="spellStart"/>
      <w:r w:rsidRPr="00803F50">
        <w:rPr>
          <w:rFonts w:ascii="Century" w:hAnsi="Century" w:hint="eastAsia"/>
          <w:rtl/>
        </w:rPr>
        <w:t>רע</w:t>
      </w:r>
      <w:r w:rsidRPr="00803F50">
        <w:rPr>
          <w:rFonts w:ascii="Century" w:hAnsi="Century"/>
          <w:rtl/>
        </w:rPr>
        <w:t>"</w:t>
      </w:r>
      <w:r w:rsidRPr="00803F50">
        <w:rPr>
          <w:rFonts w:ascii="Century" w:hAnsi="Century" w:hint="eastAsia"/>
          <w:rtl/>
        </w:rPr>
        <w:t>פ</w:t>
      </w:r>
      <w:proofErr w:type="spellEnd"/>
      <w:r w:rsidRPr="00803F50">
        <w:rPr>
          <w:rFonts w:ascii="Century" w:hAnsi="Century"/>
          <w:rtl/>
        </w:rPr>
        <w:t xml:space="preserve"> 4398</w:t>
      </w:r>
      <w:r>
        <w:rPr>
          <w:rFonts w:ascii="Century" w:hAnsi="Century" w:hint="cs"/>
          <w:rtl/>
        </w:rPr>
        <w:t>/</w:t>
      </w:r>
      <w:r w:rsidRPr="00803F50">
        <w:rPr>
          <w:rFonts w:ascii="Century" w:hAnsi="Century"/>
          <w:rtl/>
        </w:rPr>
        <w:t xml:space="preserve">99 </w:t>
      </w:r>
      <w:r w:rsidRPr="00803F50">
        <w:rPr>
          <w:rFonts w:ascii="Century" w:hAnsi="Century" w:cs="Miriam" w:hint="eastAsia"/>
          <w:b/>
          <w:spacing w:val="0"/>
          <w:szCs w:val="24"/>
          <w:rtl/>
        </w:rPr>
        <w:t>הראל</w:t>
      </w:r>
      <w:r w:rsidRPr="00803F50">
        <w:rPr>
          <w:rFonts w:ascii="Century" w:hAnsi="Century" w:cs="Miriam"/>
          <w:b/>
          <w:spacing w:val="0"/>
          <w:szCs w:val="24"/>
          <w:rtl/>
        </w:rPr>
        <w:t xml:space="preserve"> </w:t>
      </w:r>
      <w:r w:rsidRPr="00803F50">
        <w:rPr>
          <w:rFonts w:ascii="Century" w:hAnsi="Century" w:cs="Miriam" w:hint="eastAsia"/>
          <w:b/>
          <w:spacing w:val="0"/>
          <w:szCs w:val="24"/>
          <w:rtl/>
        </w:rPr>
        <w:t>נ</w:t>
      </w:r>
      <w:r w:rsidRPr="00803F50">
        <w:rPr>
          <w:rFonts w:ascii="Century" w:hAnsi="Century" w:cs="Miriam"/>
          <w:b/>
          <w:spacing w:val="0"/>
          <w:szCs w:val="24"/>
          <w:rtl/>
        </w:rPr>
        <w:t xml:space="preserve">' </w:t>
      </w:r>
      <w:r w:rsidRPr="00803F50">
        <w:rPr>
          <w:rFonts w:ascii="Century" w:hAnsi="Century" w:cs="Miriam" w:hint="eastAsia"/>
          <w:b/>
          <w:spacing w:val="0"/>
          <w:szCs w:val="24"/>
          <w:rtl/>
        </w:rPr>
        <w:t>מדינת</w:t>
      </w:r>
      <w:r w:rsidRPr="00803F50">
        <w:rPr>
          <w:rFonts w:ascii="Century" w:hAnsi="Century" w:cs="Miriam"/>
          <w:b/>
          <w:spacing w:val="0"/>
          <w:szCs w:val="24"/>
          <w:rtl/>
        </w:rPr>
        <w:t xml:space="preserve"> </w:t>
      </w:r>
      <w:r w:rsidRPr="00803F50">
        <w:rPr>
          <w:rFonts w:ascii="Century" w:hAnsi="Century" w:cs="Miriam" w:hint="eastAsia"/>
          <w:b/>
          <w:spacing w:val="0"/>
          <w:szCs w:val="24"/>
          <w:rtl/>
        </w:rPr>
        <w:t>ישראל</w:t>
      </w:r>
      <w:r w:rsidRPr="00803F50">
        <w:rPr>
          <w:rFonts w:ascii="Century" w:hAnsi="Century"/>
          <w:rtl/>
        </w:rPr>
        <w:t xml:space="preserve">, </w:t>
      </w:r>
      <w:r w:rsidRPr="00803F50">
        <w:rPr>
          <w:rFonts w:ascii="Century" w:hAnsi="Century" w:hint="eastAsia"/>
          <w:rtl/>
        </w:rPr>
        <w:t>פ</w:t>
      </w:r>
      <w:r w:rsidRPr="00803F50">
        <w:rPr>
          <w:rFonts w:ascii="Century" w:hAnsi="Century"/>
          <w:rtl/>
        </w:rPr>
        <w:t>"</w:t>
      </w:r>
      <w:r w:rsidRPr="00803F50">
        <w:rPr>
          <w:rFonts w:ascii="Century" w:hAnsi="Century" w:hint="eastAsia"/>
          <w:rtl/>
        </w:rPr>
        <w:t>ד</w:t>
      </w:r>
      <w:r w:rsidRPr="00803F50">
        <w:rPr>
          <w:rFonts w:ascii="Century" w:hAnsi="Century"/>
          <w:rtl/>
        </w:rPr>
        <w:t xml:space="preserve"> </w:t>
      </w:r>
      <w:r w:rsidRPr="00803F50">
        <w:rPr>
          <w:rFonts w:ascii="Century" w:hAnsi="Century" w:hint="eastAsia"/>
          <w:rtl/>
        </w:rPr>
        <w:t>נד</w:t>
      </w:r>
      <w:r w:rsidRPr="00803F50">
        <w:rPr>
          <w:rFonts w:ascii="Century" w:hAnsi="Century"/>
          <w:rtl/>
        </w:rPr>
        <w:t>(3) 637</w:t>
      </w:r>
      <w:r w:rsidRPr="00803F50">
        <w:rPr>
          <w:rFonts w:ascii="Century" w:hAnsi="Century" w:hint="cs"/>
          <w:rtl/>
        </w:rPr>
        <w:t>, 650-649 (2000)</w:t>
      </w:r>
      <w:r>
        <w:rPr>
          <w:rFonts w:ascii="Century" w:hAnsi="Century" w:hint="cs"/>
          <w:rtl/>
        </w:rPr>
        <w:t xml:space="preserve"> (להלן: </w:t>
      </w:r>
      <w:r w:rsidRPr="00D82AFA">
        <w:rPr>
          <w:rFonts w:ascii="Century" w:hAnsi="Century" w:cs="Miriam" w:hint="cs"/>
          <w:b/>
          <w:spacing w:val="0"/>
          <w:szCs w:val="24"/>
          <w:rtl/>
        </w:rPr>
        <w:t>עניין הראל</w:t>
      </w:r>
      <w:r>
        <w:rPr>
          <w:rFonts w:ascii="Century" w:hAnsi="Century" w:hint="cs"/>
          <w:rtl/>
        </w:rPr>
        <w:t>)</w:t>
      </w:r>
      <w:r w:rsidRPr="00803F50">
        <w:rPr>
          <w:rFonts w:ascii="Century" w:hAnsi="Century" w:hint="cs"/>
          <w:rtl/>
        </w:rPr>
        <w:t>; עניין</w:t>
      </w:r>
      <w:r>
        <w:rPr>
          <w:rFonts w:ascii="Century" w:hAnsi="Century" w:hint="cs"/>
          <w:rtl/>
        </w:rPr>
        <w:t xml:space="preserve"> </w:t>
      </w:r>
      <w:proofErr w:type="spellStart"/>
      <w:r w:rsidRPr="007C37B0">
        <w:rPr>
          <w:rFonts w:ascii="Century" w:hAnsi="Century" w:cs="Miriam" w:hint="cs"/>
          <w:b/>
          <w:spacing w:val="0"/>
          <w:szCs w:val="24"/>
          <w:rtl/>
        </w:rPr>
        <w:t>אלפריח</w:t>
      </w:r>
      <w:proofErr w:type="spellEnd"/>
      <w:r>
        <w:rPr>
          <w:rFonts w:ascii="Century" w:hAnsi="Century" w:hint="cs"/>
          <w:rtl/>
        </w:rPr>
        <w:t>, פסקה 12;</w:t>
      </w:r>
      <w:r w:rsidRPr="00803F50">
        <w:rPr>
          <w:rFonts w:ascii="Century" w:hAnsi="Century" w:cs="Miriam" w:hint="cs"/>
          <w:b/>
          <w:spacing w:val="0"/>
          <w:szCs w:val="24"/>
          <w:rtl/>
        </w:rPr>
        <w:t xml:space="preserve"> </w:t>
      </w:r>
      <w:r w:rsidRPr="004B5A76">
        <w:rPr>
          <w:rFonts w:ascii="Century" w:hAnsi="Century" w:cs="Miriam" w:hint="cs"/>
          <w:b/>
          <w:spacing w:val="0"/>
          <w:szCs w:val="24"/>
          <w:rtl/>
        </w:rPr>
        <w:t>ברק-ארז</w:t>
      </w:r>
      <w:r>
        <w:rPr>
          <w:rFonts w:ascii="Century" w:hAnsi="Century" w:hint="cs"/>
          <w:rtl/>
        </w:rPr>
        <w:t>, בעמ' 177)</w:t>
      </w:r>
      <w:r w:rsidRPr="001A2E1D">
        <w:rPr>
          <w:rFonts w:ascii="Century" w:hAnsi="Century" w:hint="cs"/>
          <w:rtl/>
        </w:rPr>
        <w:t>.</w:t>
      </w:r>
    </w:p>
    <w:p w:rsidR="00CF54A5" w:rsidRPr="002F0EB6" w:rsidRDefault="00CF54A5" w:rsidP="00CF54A5">
      <w:pPr>
        <w:overflowPunct/>
        <w:adjustRightInd/>
        <w:jc w:val="both"/>
        <w:textAlignment w:val="auto"/>
        <w:rPr>
          <w:rFonts w:ascii="Arial TUR" w:hAnsi="Arial TUR" w:cs="Arial TUR"/>
          <w:sz w:val="22"/>
          <w:szCs w:val="22"/>
          <w:rtl/>
        </w:rPr>
      </w:pPr>
    </w:p>
    <w:p w:rsidR="00CF54A5" w:rsidRDefault="00CF54A5" w:rsidP="00CF54A5">
      <w:pPr>
        <w:pStyle w:val="Ruller4"/>
      </w:pPr>
      <w:r>
        <w:rPr>
          <w:rFonts w:hint="cs"/>
          <w:rtl/>
        </w:rPr>
        <w:t xml:space="preserve">הבחירה בין תקיפה ישירה לבין תקיפה עקיפה מעוררת, לפיכך, דילמה לא פשוטה, הכרוכה באיזון בין אינטרסים שונים. </w:t>
      </w:r>
      <w:r w:rsidRPr="00651A54">
        <w:rPr>
          <w:rFonts w:hint="cs"/>
          <w:rtl/>
        </w:rPr>
        <w:t>בפסיקתו של בי</w:t>
      </w:r>
      <w:r>
        <w:rPr>
          <w:rFonts w:hint="cs"/>
          <w:rtl/>
        </w:rPr>
        <w:t xml:space="preserve">ת משפט זה נמנו מספר שיקולים אותם יש לקחת בחשבון בעת הקביעה האם יש להתיר את בירור המחלוקת בהליך של תקיפה עקיפה או שמא יש לחייב נקיטה בהליך של תקיפה ישירה: </w:t>
      </w:r>
    </w:p>
    <w:p w:rsidR="00CF54A5" w:rsidRPr="00D57974" w:rsidRDefault="00CF54A5" w:rsidP="00CF54A5">
      <w:pPr>
        <w:pStyle w:val="Ruller4"/>
        <w:numPr>
          <w:ilvl w:val="0"/>
          <w:numId w:val="0"/>
        </w:numPr>
        <w:rPr>
          <w:rtl/>
        </w:rPr>
      </w:pPr>
    </w:p>
    <w:p w:rsidR="00CF54A5" w:rsidRDefault="00CF54A5" w:rsidP="00565269">
      <w:pPr>
        <w:pStyle w:val="Ruller41"/>
        <w:rPr>
          <w:rtl/>
        </w:rPr>
      </w:pPr>
      <w:r>
        <w:rPr>
          <w:rtl/>
        </w:rPr>
        <w:tab/>
      </w:r>
      <w:r>
        <w:rPr>
          <w:rFonts w:hint="cs"/>
          <w:rtl/>
        </w:rPr>
        <w:t xml:space="preserve">(-) היקף הטענות שהועלו בתקיפה עקיפה ומשקלן ביחס ליתר הטענות שנטענו במסגרת אותו הליך </w:t>
      </w:r>
      <w:r>
        <w:rPr>
          <w:rtl/>
        </w:rPr>
        <w:t>–</w:t>
      </w:r>
      <w:r>
        <w:rPr>
          <w:rFonts w:hint="cs"/>
          <w:rtl/>
        </w:rPr>
        <w:t xml:space="preserve"> במסגרת זו ייבחן מהותו </w:t>
      </w:r>
      <w:proofErr w:type="spellStart"/>
      <w:r>
        <w:rPr>
          <w:rFonts w:hint="cs"/>
          <w:rtl/>
        </w:rPr>
        <w:t>האמיתית</w:t>
      </w:r>
      <w:proofErr w:type="spellEnd"/>
      <w:r>
        <w:rPr>
          <w:rFonts w:hint="cs"/>
          <w:rtl/>
        </w:rPr>
        <w:t xml:space="preserve"> של ההליך ומרכז הכובד שלו, ובתוך כך יש לבחון האם המעשה השלטוני הנתקף הוא הוא הסוגיה העיקרית או שמדובר בשאלה </w:t>
      </w:r>
      <w:r w:rsidRPr="009539F2">
        <w:rPr>
          <w:rFonts w:hint="cs"/>
          <w:rtl/>
        </w:rPr>
        <w:t xml:space="preserve">משנית </w:t>
      </w:r>
      <w:r w:rsidRPr="009539F2">
        <w:rPr>
          <w:rFonts w:ascii="Century" w:hAnsi="Century" w:hint="cs"/>
          <w:rtl/>
        </w:rPr>
        <w:t xml:space="preserve">(עניין </w:t>
      </w:r>
      <w:proofErr w:type="spellStart"/>
      <w:r w:rsidRPr="009539F2">
        <w:rPr>
          <w:rFonts w:ascii="Century" w:hAnsi="Century" w:cs="Miriam" w:hint="cs"/>
          <w:b/>
          <w:spacing w:val="0"/>
          <w:szCs w:val="24"/>
          <w:rtl/>
        </w:rPr>
        <w:t>אלפריח</w:t>
      </w:r>
      <w:proofErr w:type="spellEnd"/>
      <w:r>
        <w:rPr>
          <w:rFonts w:ascii="Century" w:hAnsi="Century" w:hint="cs"/>
          <w:rtl/>
        </w:rPr>
        <w:t xml:space="preserve">, </w:t>
      </w:r>
      <w:r w:rsidRPr="009539F2">
        <w:rPr>
          <w:rFonts w:ascii="Century" w:hAnsi="Century" w:hint="cs"/>
          <w:rtl/>
        </w:rPr>
        <w:t xml:space="preserve">פסקה 15; </w:t>
      </w:r>
      <w:r>
        <w:rPr>
          <w:rFonts w:ascii="Century" w:hAnsi="Century" w:hint="cs"/>
          <w:rtl/>
        </w:rPr>
        <w:t xml:space="preserve">עניין </w:t>
      </w:r>
      <w:r w:rsidRPr="009539F2">
        <w:rPr>
          <w:rFonts w:ascii="Century" w:hAnsi="Century" w:cs="Miriam" w:hint="eastAsia"/>
          <w:b/>
          <w:spacing w:val="0"/>
          <w:szCs w:val="24"/>
          <w:rtl/>
        </w:rPr>
        <w:t>אור</w:t>
      </w:r>
      <w:r w:rsidRPr="009539F2">
        <w:rPr>
          <w:rFonts w:ascii="Century" w:hAnsi="Century" w:cs="Miriam"/>
          <w:b/>
          <w:spacing w:val="0"/>
          <w:szCs w:val="24"/>
          <w:rtl/>
        </w:rPr>
        <w:t xml:space="preserve"> </w:t>
      </w:r>
      <w:r w:rsidRPr="009539F2">
        <w:rPr>
          <w:rFonts w:ascii="Century" w:hAnsi="Century" w:cs="Miriam" w:hint="eastAsia"/>
          <w:b/>
          <w:spacing w:val="0"/>
          <w:szCs w:val="24"/>
          <w:rtl/>
        </w:rPr>
        <w:t>עקיבא</w:t>
      </w:r>
      <w:r w:rsidRPr="009539F2">
        <w:rPr>
          <w:rFonts w:hint="cs"/>
          <w:rtl/>
        </w:rPr>
        <w:t>, פסקה 24</w:t>
      </w:r>
      <w:r>
        <w:rPr>
          <w:rFonts w:hint="cs"/>
          <w:rtl/>
        </w:rPr>
        <w:t xml:space="preserve">; </w:t>
      </w:r>
      <w:r>
        <w:rPr>
          <w:rFonts w:ascii="Arimo" w:hAnsi="Arimo"/>
          <w:rtl/>
        </w:rPr>
        <w:t>ע</w:t>
      </w:r>
      <w:r>
        <w:rPr>
          <w:rFonts w:ascii="Arimo" w:hAnsi="Arimo" w:hint="cs"/>
          <w:rtl/>
        </w:rPr>
        <w:t xml:space="preserve">ניין </w:t>
      </w:r>
      <w:r w:rsidRPr="00893AB0">
        <w:rPr>
          <w:rFonts w:ascii="Century" w:hAnsi="Century" w:cs="Miriam"/>
          <w:b/>
          <w:spacing w:val="0"/>
          <w:szCs w:val="24"/>
        </w:rPr>
        <w:t>HUMAN RIGHTS WATCH</w:t>
      </w:r>
      <w:r w:rsidRPr="00EF3444">
        <w:rPr>
          <w:rFonts w:ascii="Century" w:hAnsi="Century" w:hint="cs"/>
          <w:rtl/>
        </w:rPr>
        <w:t>, פ</w:t>
      </w:r>
      <w:r>
        <w:rPr>
          <w:rFonts w:ascii="Century" w:hAnsi="Century" w:hint="cs"/>
          <w:rtl/>
        </w:rPr>
        <w:t>סקה 12</w:t>
      </w:r>
      <w:r>
        <w:rPr>
          <w:rFonts w:ascii="FrankRuehl" w:hAnsi="FrankRuehl" w:hint="cs"/>
          <w:sz w:val="28"/>
          <w:rtl/>
        </w:rPr>
        <w:t xml:space="preserve">; </w:t>
      </w:r>
      <w:r>
        <w:rPr>
          <w:rFonts w:hint="cs"/>
          <w:rtl/>
        </w:rPr>
        <w:t xml:space="preserve">זמיר, </w:t>
      </w:r>
      <w:r w:rsidRPr="00647C35">
        <w:rPr>
          <w:rFonts w:ascii="Century" w:hAnsi="Century" w:cs="Miriam" w:hint="cs"/>
          <w:b/>
          <w:spacing w:val="0"/>
          <w:szCs w:val="24"/>
          <w:rtl/>
        </w:rPr>
        <w:t xml:space="preserve">הסמכות </w:t>
      </w:r>
      <w:proofErr w:type="spellStart"/>
      <w:r w:rsidRPr="00647C35">
        <w:rPr>
          <w:rFonts w:ascii="Century" w:hAnsi="Century" w:cs="Miriam" w:hint="cs"/>
          <w:b/>
          <w:spacing w:val="0"/>
          <w:szCs w:val="24"/>
          <w:rtl/>
        </w:rPr>
        <w:t>המינהלית</w:t>
      </w:r>
      <w:proofErr w:type="spellEnd"/>
      <w:r>
        <w:rPr>
          <w:rFonts w:hint="cs"/>
          <w:rtl/>
        </w:rPr>
        <w:t>, בעמ' 2647-2646</w:t>
      </w:r>
      <w:r>
        <w:rPr>
          <w:rFonts w:ascii="FrankRuehl" w:hAnsi="FrankRuehl" w:hint="cs"/>
          <w:sz w:val="28"/>
          <w:rtl/>
        </w:rPr>
        <w:t>)</w:t>
      </w:r>
      <w:r w:rsidRPr="009539F2">
        <w:rPr>
          <w:rFonts w:hint="cs"/>
          <w:rtl/>
        </w:rPr>
        <w:t>.</w:t>
      </w:r>
      <w:r>
        <w:rPr>
          <w:rFonts w:hint="cs"/>
          <w:rtl/>
        </w:rPr>
        <w:t xml:space="preserve"> בבירור זה, ניתן אף להיעזר בסעד המבוקש, על פי טיבו ומהותו, להבדיל מהכותרת שניתנה לו (</w:t>
      </w:r>
      <w:r>
        <w:rPr>
          <w:rFonts w:ascii="Arimo" w:hAnsi="Arimo"/>
          <w:rtl/>
        </w:rPr>
        <w:t>רע"א 6607</w:t>
      </w:r>
      <w:r>
        <w:rPr>
          <w:rFonts w:ascii="Arimo" w:hAnsi="Arimo" w:hint="cs"/>
          <w:rtl/>
        </w:rPr>
        <w:t>/</w:t>
      </w:r>
      <w:r>
        <w:rPr>
          <w:rFonts w:ascii="Arimo" w:hAnsi="Arimo"/>
          <w:rtl/>
        </w:rPr>
        <w:t xml:space="preserve">19 </w:t>
      </w:r>
      <w:r w:rsidRPr="0072657C">
        <w:rPr>
          <w:rFonts w:cs="Miriam"/>
          <w:b/>
          <w:spacing w:val="0"/>
          <w:szCs w:val="24"/>
          <w:rtl/>
        </w:rPr>
        <w:t xml:space="preserve">מדינת ישראל - משטרת ישראל נ' </w:t>
      </w:r>
      <w:proofErr w:type="spellStart"/>
      <w:r w:rsidRPr="0072657C">
        <w:rPr>
          <w:rFonts w:cs="Miriam"/>
          <w:b/>
          <w:spacing w:val="0"/>
          <w:szCs w:val="24"/>
          <w:rtl/>
        </w:rPr>
        <w:t>יעקובוב</w:t>
      </w:r>
      <w:proofErr w:type="spellEnd"/>
      <w:r>
        <w:rPr>
          <w:rFonts w:ascii="Arimo" w:hAnsi="Arimo" w:hint="cs"/>
          <w:rtl/>
        </w:rPr>
        <w:t xml:space="preserve">, פסקה 5 (12.2.2020). והשוו: </w:t>
      </w:r>
      <w:r>
        <w:rPr>
          <w:rFonts w:ascii="Arimo" w:hAnsi="Arimo"/>
          <w:rtl/>
        </w:rPr>
        <w:t>ע"א 9379</w:t>
      </w:r>
      <w:r>
        <w:rPr>
          <w:rFonts w:ascii="Arimo" w:hAnsi="Arimo" w:hint="cs"/>
          <w:rtl/>
        </w:rPr>
        <w:t>/</w:t>
      </w:r>
      <w:r>
        <w:rPr>
          <w:rFonts w:ascii="Arimo" w:hAnsi="Arimo"/>
          <w:rtl/>
        </w:rPr>
        <w:t xml:space="preserve">03 </w:t>
      </w:r>
      <w:proofErr w:type="spellStart"/>
      <w:r w:rsidRPr="00626EA9">
        <w:rPr>
          <w:rFonts w:ascii="Century" w:hAnsi="Century" w:cs="Miriam"/>
          <w:b/>
          <w:spacing w:val="0"/>
          <w:szCs w:val="24"/>
          <w:rtl/>
        </w:rPr>
        <w:t>צ'רני</w:t>
      </w:r>
      <w:proofErr w:type="spellEnd"/>
      <w:r w:rsidRPr="00626EA9">
        <w:rPr>
          <w:rFonts w:ascii="Century" w:hAnsi="Century" w:cs="Miriam"/>
          <w:b/>
          <w:spacing w:val="0"/>
          <w:szCs w:val="24"/>
          <w:rtl/>
        </w:rPr>
        <w:t xml:space="preserve"> נ' מדינת ישראל</w:t>
      </w:r>
      <w:r>
        <w:rPr>
          <w:rFonts w:ascii="Arimo" w:hAnsi="Arimo"/>
          <w:rtl/>
        </w:rPr>
        <w:t xml:space="preserve">, פ"ד </w:t>
      </w:r>
      <w:proofErr w:type="spellStart"/>
      <w:r>
        <w:rPr>
          <w:rFonts w:ascii="Arimo" w:hAnsi="Arimo"/>
          <w:rtl/>
        </w:rPr>
        <w:t>סא</w:t>
      </w:r>
      <w:proofErr w:type="spellEnd"/>
      <w:r>
        <w:rPr>
          <w:rFonts w:ascii="Arimo" w:hAnsi="Arimo"/>
          <w:rtl/>
        </w:rPr>
        <w:t>(3) 822</w:t>
      </w:r>
      <w:r>
        <w:rPr>
          <w:rFonts w:ascii="Arimo" w:hAnsi="Arimo" w:hint="cs"/>
          <w:rtl/>
        </w:rPr>
        <w:t>, 849 (2006))</w:t>
      </w:r>
      <w:r>
        <w:rPr>
          <w:rFonts w:hint="cs"/>
          <w:rtl/>
        </w:rPr>
        <w:t>. מכאן, שככל שהיקף הטענות הנוגעות למעשה השלטוני הוא משמעותי יותר, כך תגבר הנטייה שלא לאפשר את הדיון בהן במסגרת תקיפה עקיפה. עוד אוזכר בהקשר זה כי כאשר הטענה מועלית כטענת הגנה, כך תגבר הנטייה להתירה במסגרת תקיפה עקיפה (</w:t>
      </w:r>
      <w:r>
        <w:rPr>
          <w:rFonts w:ascii="Arimo" w:hAnsi="Arimo"/>
          <w:rtl/>
        </w:rPr>
        <w:t>רע"א 2063</w:t>
      </w:r>
      <w:r>
        <w:rPr>
          <w:rFonts w:ascii="Arimo" w:hAnsi="Arimo" w:hint="cs"/>
          <w:rtl/>
        </w:rPr>
        <w:t>/</w:t>
      </w:r>
      <w:r>
        <w:rPr>
          <w:rFonts w:ascii="Arimo" w:hAnsi="Arimo"/>
          <w:rtl/>
        </w:rPr>
        <w:t xml:space="preserve">16 </w:t>
      </w:r>
      <w:r w:rsidRPr="00626EA9">
        <w:rPr>
          <w:rFonts w:ascii="Century" w:hAnsi="Century" w:cs="Miriam"/>
          <w:b/>
          <w:spacing w:val="0"/>
          <w:szCs w:val="24"/>
          <w:rtl/>
        </w:rPr>
        <w:t>הרב גליק נ' משטרת ישראל</w:t>
      </w:r>
      <w:r>
        <w:rPr>
          <w:rFonts w:ascii="Arimo" w:hAnsi="Arimo" w:hint="cs"/>
          <w:rtl/>
        </w:rPr>
        <w:t xml:space="preserve">, פסקה 3 לפסק דינו של השופט </w:t>
      </w:r>
      <w:r w:rsidRPr="00626EA9">
        <w:rPr>
          <w:rFonts w:ascii="Century" w:hAnsi="Century" w:cs="Miriam" w:hint="cs"/>
          <w:b/>
          <w:spacing w:val="0"/>
          <w:szCs w:val="24"/>
          <w:rtl/>
        </w:rPr>
        <w:t>יצחק עמית</w:t>
      </w:r>
      <w:r w:rsidRPr="00626EA9">
        <w:rPr>
          <w:rFonts w:ascii="Arimo" w:hAnsi="Arimo"/>
          <w:rtl/>
        </w:rPr>
        <w:t xml:space="preserve"> </w:t>
      </w:r>
      <w:r>
        <w:rPr>
          <w:rFonts w:hint="cs"/>
          <w:rtl/>
        </w:rPr>
        <w:t xml:space="preserve">(19.1.2017) (להלן: </w:t>
      </w:r>
      <w:r w:rsidRPr="00780F60">
        <w:rPr>
          <w:rFonts w:ascii="Century" w:hAnsi="Century" w:cs="Miriam" w:hint="cs"/>
          <w:b/>
          <w:spacing w:val="0"/>
          <w:szCs w:val="24"/>
          <w:rtl/>
        </w:rPr>
        <w:t>עניין גליק</w:t>
      </w:r>
      <w:r>
        <w:rPr>
          <w:rFonts w:hint="cs"/>
          <w:rtl/>
        </w:rPr>
        <w:t xml:space="preserve">). בקשה לדיון נוסף נדחתה ביום 27.7.2017 במסגרת דנ"א </w:t>
      </w:r>
      <w:r>
        <w:rPr>
          <w:sz w:val="28"/>
          <w:rtl/>
        </w:rPr>
        <w:t>1523/17</w:t>
      </w:r>
      <w:r>
        <w:rPr>
          <w:rFonts w:hint="cs"/>
          <w:rtl/>
        </w:rPr>
        <w:t xml:space="preserve">; עניין </w:t>
      </w:r>
      <w:proofErr w:type="spellStart"/>
      <w:r w:rsidRPr="00626EA9">
        <w:rPr>
          <w:rFonts w:ascii="Century" w:hAnsi="Century" w:cs="Miriam" w:hint="cs"/>
          <w:b/>
          <w:spacing w:val="0"/>
          <w:szCs w:val="24"/>
          <w:rtl/>
        </w:rPr>
        <w:t>אלפריח</w:t>
      </w:r>
      <w:proofErr w:type="spellEnd"/>
      <w:r>
        <w:rPr>
          <w:rFonts w:hint="cs"/>
          <w:rtl/>
        </w:rPr>
        <w:t xml:space="preserve">, פסקה 11; עניין </w:t>
      </w:r>
      <w:r w:rsidRPr="00C91F16">
        <w:rPr>
          <w:rFonts w:asciiTheme="majorBidi" w:hAnsiTheme="majorBidi" w:cstheme="majorBidi"/>
          <w:b/>
          <w:spacing w:val="0"/>
          <w:szCs w:val="24"/>
        </w:rPr>
        <w:t>HUMAN RIGHTS WATCH</w:t>
      </w:r>
      <w:r w:rsidRPr="00C91F16">
        <w:rPr>
          <w:rFonts w:ascii="Century" w:hAnsi="Century" w:hint="cs"/>
          <w:rtl/>
        </w:rPr>
        <w:t>, פסקה 12.</w:t>
      </w:r>
      <w:r>
        <w:rPr>
          <w:rFonts w:hint="cs"/>
          <w:rtl/>
        </w:rPr>
        <w:t xml:space="preserve"> ואולם, בעבר הוכרו מקרים בהם הופנה בעל הדין שטענתו שימשה כחרב </w:t>
      </w:r>
      <w:r>
        <w:rPr>
          <w:rFonts w:hint="cs"/>
          <w:rtl/>
        </w:rPr>
        <w:lastRenderedPageBreak/>
        <w:t xml:space="preserve">ולא כמגן להעלותה במסגרת תקיפה עקיפה. ראו למשל: </w:t>
      </w:r>
      <w:r w:rsidRPr="009539F2">
        <w:rPr>
          <w:rFonts w:hint="eastAsia"/>
          <w:rtl/>
        </w:rPr>
        <w:t>בג</w:t>
      </w:r>
      <w:r w:rsidRPr="009539F2">
        <w:rPr>
          <w:rtl/>
        </w:rPr>
        <w:t>"</w:t>
      </w:r>
      <w:r w:rsidRPr="009539F2">
        <w:rPr>
          <w:rFonts w:hint="eastAsia"/>
          <w:rtl/>
        </w:rPr>
        <w:t>ץ</w:t>
      </w:r>
      <w:r w:rsidRPr="009539F2">
        <w:rPr>
          <w:rtl/>
        </w:rPr>
        <w:t xml:space="preserve"> 6090</w:t>
      </w:r>
      <w:r>
        <w:rPr>
          <w:rFonts w:hint="cs"/>
          <w:rtl/>
        </w:rPr>
        <w:t>/</w:t>
      </w:r>
      <w:r w:rsidRPr="009539F2">
        <w:rPr>
          <w:rtl/>
        </w:rPr>
        <w:t xml:space="preserve">08 </w:t>
      </w:r>
      <w:r w:rsidRPr="009539F2">
        <w:rPr>
          <w:rFonts w:ascii="Century" w:hAnsi="Century" w:cs="Miriam" w:hint="eastAsia"/>
          <w:b/>
          <w:spacing w:val="0"/>
          <w:szCs w:val="24"/>
          <w:rtl/>
        </w:rPr>
        <w:t>ברגר</w:t>
      </w:r>
      <w:r w:rsidRPr="009539F2">
        <w:rPr>
          <w:rFonts w:ascii="Century" w:hAnsi="Century" w:cs="Miriam"/>
          <w:b/>
          <w:spacing w:val="0"/>
          <w:szCs w:val="24"/>
          <w:rtl/>
        </w:rPr>
        <w:t xml:space="preserve"> </w:t>
      </w:r>
      <w:r w:rsidRPr="009539F2">
        <w:rPr>
          <w:rFonts w:ascii="Century" w:hAnsi="Century" w:cs="Miriam" w:hint="eastAsia"/>
          <w:b/>
          <w:spacing w:val="0"/>
          <w:szCs w:val="24"/>
          <w:rtl/>
        </w:rPr>
        <w:t>נ</w:t>
      </w:r>
      <w:r w:rsidRPr="009539F2">
        <w:rPr>
          <w:rFonts w:ascii="Century" w:hAnsi="Century" w:cs="Miriam"/>
          <w:b/>
          <w:spacing w:val="0"/>
          <w:szCs w:val="24"/>
          <w:rtl/>
        </w:rPr>
        <w:t xml:space="preserve">' </w:t>
      </w:r>
      <w:r w:rsidRPr="009539F2">
        <w:rPr>
          <w:rFonts w:ascii="Century" w:hAnsi="Century" w:cs="Miriam" w:hint="eastAsia"/>
          <w:b/>
          <w:spacing w:val="0"/>
          <w:szCs w:val="24"/>
          <w:rtl/>
        </w:rPr>
        <w:t>שר</w:t>
      </w:r>
      <w:r w:rsidRPr="009539F2">
        <w:rPr>
          <w:rFonts w:ascii="Century" w:hAnsi="Century" w:cs="Miriam"/>
          <w:b/>
          <w:spacing w:val="0"/>
          <w:szCs w:val="24"/>
          <w:rtl/>
        </w:rPr>
        <w:t xml:space="preserve"> </w:t>
      </w:r>
      <w:r w:rsidRPr="009539F2">
        <w:rPr>
          <w:rFonts w:ascii="Century" w:hAnsi="Century" w:cs="Miriam" w:hint="eastAsia"/>
          <w:b/>
          <w:spacing w:val="0"/>
          <w:szCs w:val="24"/>
          <w:rtl/>
        </w:rPr>
        <w:t>המשפטים</w:t>
      </w:r>
      <w:r>
        <w:rPr>
          <w:rFonts w:hint="cs"/>
          <w:rtl/>
        </w:rPr>
        <w:t xml:space="preserve">, פסקה 5 (11.8.2008); עניין </w:t>
      </w:r>
      <w:r w:rsidRPr="00626EA9">
        <w:rPr>
          <w:rFonts w:ascii="Century" w:hAnsi="Century" w:cs="Miriam" w:hint="cs"/>
          <w:b/>
          <w:spacing w:val="0"/>
          <w:szCs w:val="24"/>
          <w:rtl/>
        </w:rPr>
        <w:t>אור עקיבא</w:t>
      </w:r>
      <w:r>
        <w:rPr>
          <w:rFonts w:hint="cs"/>
          <w:rtl/>
        </w:rPr>
        <w:t xml:space="preserve">, פסקה 24). </w:t>
      </w:r>
    </w:p>
    <w:p w:rsidR="00CF54A5" w:rsidRPr="001D0E68" w:rsidRDefault="00CF54A5" w:rsidP="00CF54A5">
      <w:pPr>
        <w:pStyle w:val="Ruller41"/>
        <w:rPr>
          <w:highlight w:val="yellow"/>
          <w:rtl/>
        </w:rPr>
      </w:pPr>
    </w:p>
    <w:p w:rsidR="00CF54A5" w:rsidRPr="00F34C0E" w:rsidRDefault="00CF54A5" w:rsidP="00565269">
      <w:pPr>
        <w:pStyle w:val="Ruller41"/>
        <w:rPr>
          <w:rFonts w:ascii="Century" w:hAnsi="Century"/>
          <w:rtl/>
        </w:rPr>
      </w:pPr>
      <w:r w:rsidRPr="001E20EA">
        <w:rPr>
          <w:rFonts w:ascii="Century" w:hAnsi="Century"/>
          <w:rtl/>
        </w:rPr>
        <w:tab/>
      </w:r>
      <w:r w:rsidRPr="001E20EA">
        <w:rPr>
          <w:rFonts w:ascii="Century" w:hAnsi="Century" w:hint="cs"/>
          <w:rtl/>
        </w:rPr>
        <w:t xml:space="preserve">(-) הגוף השלטוני הנתקף </w:t>
      </w:r>
      <w:r>
        <w:rPr>
          <w:rFonts w:ascii="Century" w:hAnsi="Century" w:hint="cs"/>
          <w:rtl/>
        </w:rPr>
        <w:t>ו</w:t>
      </w:r>
      <w:r w:rsidRPr="001E20EA">
        <w:rPr>
          <w:rFonts w:ascii="Century" w:hAnsi="Century" w:hint="cs"/>
          <w:rtl/>
        </w:rPr>
        <w:t>סוג הפעולה השלטונית</w:t>
      </w:r>
      <w:r>
        <w:rPr>
          <w:rFonts w:ascii="Century" w:hAnsi="Century" w:hint="cs"/>
          <w:rtl/>
        </w:rPr>
        <w:t xml:space="preserve"> הנתקפת</w:t>
      </w:r>
      <w:r w:rsidRPr="001E20EA">
        <w:rPr>
          <w:rFonts w:ascii="Century" w:hAnsi="Century" w:hint="cs"/>
          <w:rtl/>
        </w:rPr>
        <w:t xml:space="preserve"> </w:t>
      </w:r>
      <w:r w:rsidRPr="001E20EA">
        <w:rPr>
          <w:rFonts w:ascii="Century" w:hAnsi="Century"/>
          <w:rtl/>
        </w:rPr>
        <w:t>–</w:t>
      </w:r>
      <w:r w:rsidRPr="001E20EA">
        <w:rPr>
          <w:rFonts w:ascii="Century" w:hAnsi="Century" w:hint="cs"/>
          <w:rtl/>
        </w:rPr>
        <w:t xml:space="preserve"> </w:t>
      </w:r>
      <w:r>
        <w:rPr>
          <w:rFonts w:ascii="Century" w:hAnsi="Century" w:hint="cs"/>
          <w:rtl/>
        </w:rPr>
        <w:t>לא הרי</w:t>
      </w:r>
      <w:r w:rsidRPr="001E20EA">
        <w:rPr>
          <w:rFonts w:ascii="Century" w:hAnsi="Century" w:hint="cs"/>
          <w:rtl/>
        </w:rPr>
        <w:t xml:space="preserve"> תקיפה של מעשה שלטוני </w:t>
      </w:r>
      <w:r w:rsidR="00565269">
        <w:rPr>
          <w:rFonts w:ascii="Century" w:hAnsi="Century" w:hint="cs"/>
          <w:rtl/>
        </w:rPr>
        <w:t xml:space="preserve">שבוצע </w:t>
      </w:r>
      <w:r w:rsidRPr="001E20EA">
        <w:rPr>
          <w:rFonts w:ascii="Century" w:hAnsi="Century" w:hint="cs"/>
          <w:rtl/>
        </w:rPr>
        <w:t xml:space="preserve">על ידי הכנסת </w:t>
      </w:r>
      <w:r>
        <w:rPr>
          <w:rFonts w:ascii="Century" w:hAnsi="Century" w:hint="cs"/>
          <w:rtl/>
        </w:rPr>
        <w:t>כהרי</w:t>
      </w:r>
      <w:r w:rsidRPr="001E20EA">
        <w:rPr>
          <w:rFonts w:ascii="Century" w:hAnsi="Century" w:hint="cs"/>
          <w:rtl/>
        </w:rPr>
        <w:t xml:space="preserve"> תקיפה של פעולה המתבצעת על ידי אחת מרשויות המדי</w:t>
      </w:r>
      <w:r>
        <w:rPr>
          <w:rFonts w:ascii="Century" w:hAnsi="Century" w:hint="cs"/>
          <w:rtl/>
        </w:rPr>
        <w:t xml:space="preserve">נה או </w:t>
      </w:r>
      <w:r w:rsidRPr="001E20EA">
        <w:rPr>
          <w:rFonts w:ascii="Century" w:hAnsi="Century" w:hint="cs"/>
          <w:rtl/>
        </w:rPr>
        <w:t>החלטה שהתקבלה על ידי עובד ציבור.</w:t>
      </w:r>
      <w:r>
        <w:rPr>
          <w:rFonts w:ascii="Century" w:hAnsi="Century" w:hint="cs"/>
          <w:rtl/>
        </w:rPr>
        <w:t xml:space="preserve"> בהתאם, </w:t>
      </w:r>
      <w:r w:rsidRPr="001E20EA">
        <w:rPr>
          <w:rFonts w:ascii="Century" w:hAnsi="Century" w:hint="cs"/>
          <w:rtl/>
        </w:rPr>
        <w:t>ככל שמדובר בנורמה בעלת רמה נורמטיבית גבוהה יותר, כך תגבר הנטייה שלא לאפשר את תקיפתה באופן עקיף. ודוק, אין תקיפת חקיקה של הכנסת דומה לתקיפת תקנה מ</w:t>
      </w:r>
      <w:r w:rsidR="00565269">
        <w:rPr>
          <w:rFonts w:ascii="Century" w:hAnsi="Century" w:hint="cs"/>
          <w:rtl/>
        </w:rPr>
        <w:t>שנה או לתקיפת החלטה או הנחייה מ</w:t>
      </w:r>
      <w:r w:rsidRPr="001E20EA">
        <w:rPr>
          <w:rFonts w:ascii="Century" w:hAnsi="Century" w:hint="cs"/>
          <w:rtl/>
        </w:rPr>
        <w:t>נהלית</w:t>
      </w:r>
      <w:r>
        <w:rPr>
          <w:rFonts w:ascii="Century" w:hAnsi="Century" w:hint="cs"/>
          <w:rtl/>
        </w:rPr>
        <w:t xml:space="preserve"> (ראו חוות דעתו של השופט (כתוארו אז) </w:t>
      </w:r>
      <w:proofErr w:type="spellStart"/>
      <w:r w:rsidRPr="007B0D42">
        <w:rPr>
          <w:rFonts w:ascii="Century" w:hAnsi="Century" w:cs="Miriam" w:hint="cs"/>
          <w:b/>
          <w:spacing w:val="0"/>
          <w:szCs w:val="24"/>
          <w:rtl/>
        </w:rPr>
        <w:t>מישאל</w:t>
      </w:r>
      <w:proofErr w:type="spellEnd"/>
      <w:r w:rsidRPr="007B0D42">
        <w:rPr>
          <w:rFonts w:ascii="Century" w:hAnsi="Century" w:cs="Miriam" w:hint="cs"/>
          <w:b/>
          <w:spacing w:val="0"/>
          <w:szCs w:val="24"/>
          <w:rtl/>
        </w:rPr>
        <w:t xml:space="preserve"> חשין</w:t>
      </w:r>
      <w:r w:rsidRPr="007B0D42">
        <w:rPr>
          <w:rFonts w:ascii="Century" w:hAnsi="Century" w:hint="cs"/>
          <w:rtl/>
        </w:rPr>
        <w:t xml:space="preserve"> </w:t>
      </w:r>
      <w:r>
        <w:rPr>
          <w:rFonts w:ascii="Century" w:hAnsi="Century" w:hint="cs"/>
          <w:rtl/>
        </w:rPr>
        <w:t>ב</w:t>
      </w:r>
      <w:r>
        <w:rPr>
          <w:rFonts w:ascii="Arimo" w:hAnsi="Arimo"/>
          <w:rtl/>
        </w:rPr>
        <w:t>ע"א 6821</w:t>
      </w:r>
      <w:r>
        <w:rPr>
          <w:rFonts w:ascii="Arimo" w:hAnsi="Arimo" w:hint="cs"/>
          <w:rtl/>
        </w:rPr>
        <w:t>/</w:t>
      </w:r>
      <w:r>
        <w:rPr>
          <w:rFonts w:ascii="Arimo" w:hAnsi="Arimo"/>
          <w:rtl/>
        </w:rPr>
        <w:t xml:space="preserve">93 </w:t>
      </w:r>
      <w:r w:rsidRPr="007B0D42">
        <w:rPr>
          <w:rFonts w:ascii="Century" w:hAnsi="Century" w:cs="Miriam"/>
          <w:b/>
          <w:spacing w:val="0"/>
          <w:szCs w:val="24"/>
          <w:rtl/>
        </w:rPr>
        <w:t>בנק המזרחי המאוחד בע"מ נ' מגדל כפר שיתופי</w:t>
      </w:r>
      <w:r>
        <w:rPr>
          <w:rFonts w:ascii="Arimo" w:hAnsi="Arimo"/>
          <w:rtl/>
        </w:rPr>
        <w:t>,</w:t>
      </w:r>
      <w:r>
        <w:rPr>
          <w:rFonts w:ascii="Arimo" w:hAnsi="Arimo" w:hint="cs"/>
          <w:rtl/>
        </w:rPr>
        <w:t xml:space="preserve"> פ"ד</w:t>
      </w:r>
      <w:r>
        <w:rPr>
          <w:rFonts w:ascii="Arimo" w:hAnsi="Arimo"/>
          <w:rtl/>
        </w:rPr>
        <w:t xml:space="preserve"> מט(4) 221</w:t>
      </w:r>
      <w:r>
        <w:rPr>
          <w:rFonts w:ascii="Arimo" w:hAnsi="Arimo" w:hint="cs"/>
          <w:rtl/>
        </w:rPr>
        <w:t xml:space="preserve">, 568 (1995); </w:t>
      </w:r>
      <w:r>
        <w:rPr>
          <w:rFonts w:hint="cs"/>
          <w:rtl/>
        </w:rPr>
        <w:t xml:space="preserve">עניין </w:t>
      </w:r>
      <w:r w:rsidRPr="00C91F16">
        <w:rPr>
          <w:rFonts w:asciiTheme="majorBidi" w:hAnsiTheme="majorBidi" w:cstheme="majorBidi"/>
          <w:b/>
          <w:spacing w:val="0"/>
          <w:szCs w:val="24"/>
        </w:rPr>
        <w:t>HUMAN RIGHTS WATCH</w:t>
      </w:r>
      <w:r w:rsidRPr="00C91F16">
        <w:rPr>
          <w:rFonts w:ascii="Century" w:hAnsi="Century" w:hint="cs"/>
          <w:rtl/>
        </w:rPr>
        <w:t>, פסק</w:t>
      </w:r>
      <w:r>
        <w:rPr>
          <w:rFonts w:ascii="Century" w:hAnsi="Century" w:hint="cs"/>
          <w:rtl/>
        </w:rPr>
        <w:t xml:space="preserve">אות 12-11; </w:t>
      </w:r>
      <w:r w:rsidRPr="003E2F43">
        <w:rPr>
          <w:rFonts w:ascii="Century" w:hAnsi="Century" w:cs="Miriam" w:hint="cs"/>
          <w:b/>
          <w:spacing w:val="0"/>
          <w:szCs w:val="24"/>
          <w:rtl/>
        </w:rPr>
        <w:t>ברק</w:t>
      </w:r>
      <w:r>
        <w:rPr>
          <w:rFonts w:ascii="Century" w:hAnsi="Century" w:hint="cs"/>
          <w:rtl/>
        </w:rPr>
        <w:t xml:space="preserve">, בעמ' 22; </w:t>
      </w:r>
      <w:r w:rsidRPr="00D76A58">
        <w:rPr>
          <w:rFonts w:ascii="Century" w:hAnsi="Century" w:cs="Miriam" w:hint="cs"/>
          <w:b/>
          <w:spacing w:val="0"/>
          <w:szCs w:val="24"/>
          <w:rtl/>
        </w:rPr>
        <w:t>שקד</w:t>
      </w:r>
      <w:r>
        <w:rPr>
          <w:rFonts w:ascii="Century" w:hAnsi="Century" w:hint="cs"/>
          <w:rtl/>
        </w:rPr>
        <w:t>, בעמ' 107-106)</w:t>
      </w:r>
      <w:r w:rsidRPr="001E20EA">
        <w:rPr>
          <w:rFonts w:ascii="Century" w:hAnsi="Century" w:hint="cs"/>
          <w:rtl/>
        </w:rPr>
        <w:t xml:space="preserve">. באופן דומה, אין תקיפת פעולה של הגוף השלטוני הפועל בכובעו השלטוני </w:t>
      </w:r>
      <w:r w:rsidR="00565269">
        <w:rPr>
          <w:rFonts w:ascii="Century" w:hAnsi="Century" w:hint="cs"/>
          <w:rtl/>
        </w:rPr>
        <w:t>כהרי תקיפה של</w:t>
      </w:r>
      <w:r w:rsidRPr="001E20EA">
        <w:rPr>
          <w:rFonts w:ascii="Century" w:hAnsi="Century" w:hint="cs"/>
          <w:rtl/>
        </w:rPr>
        <w:t xml:space="preserve"> פעולה שבוצעה בכובעו המסחרי </w:t>
      </w:r>
      <w:r w:rsidRPr="00241DB4">
        <w:rPr>
          <w:rFonts w:ascii="Century" w:hAnsi="Century" w:hint="cs"/>
          <w:rtl/>
        </w:rPr>
        <w:t xml:space="preserve">(ראו והשוו: </w:t>
      </w:r>
      <w:r w:rsidRPr="00241DB4">
        <w:rPr>
          <w:rFonts w:ascii="Arimo" w:hAnsi="Arimo"/>
          <w:rtl/>
        </w:rPr>
        <w:t>ע"</w:t>
      </w:r>
      <w:r>
        <w:rPr>
          <w:rFonts w:ascii="Arimo" w:hAnsi="Arimo"/>
          <w:rtl/>
        </w:rPr>
        <w:t>א 5796</w:t>
      </w:r>
      <w:r>
        <w:rPr>
          <w:rFonts w:ascii="Arimo" w:hAnsi="Arimo" w:hint="cs"/>
          <w:rtl/>
        </w:rPr>
        <w:t>/</w:t>
      </w:r>
      <w:r>
        <w:rPr>
          <w:rFonts w:ascii="Arimo" w:hAnsi="Arimo"/>
          <w:rtl/>
        </w:rPr>
        <w:t xml:space="preserve">08 </w:t>
      </w:r>
      <w:r w:rsidRPr="00186410">
        <w:rPr>
          <w:rFonts w:ascii="Century" w:hAnsi="Century" w:cs="Miriam"/>
          <w:b/>
          <w:spacing w:val="0"/>
          <w:szCs w:val="24"/>
          <w:rtl/>
        </w:rPr>
        <w:t xml:space="preserve">ארגון פועלים להתיישבות שיתופית בנווה ימין נ' </w:t>
      </w:r>
      <w:proofErr w:type="spellStart"/>
      <w:r w:rsidRPr="00186410">
        <w:rPr>
          <w:rFonts w:ascii="Century" w:hAnsi="Century" w:cs="Miriam"/>
          <w:b/>
          <w:spacing w:val="0"/>
          <w:szCs w:val="24"/>
          <w:rtl/>
        </w:rPr>
        <w:t>מינהל</w:t>
      </w:r>
      <w:proofErr w:type="spellEnd"/>
      <w:r w:rsidRPr="00186410">
        <w:rPr>
          <w:rFonts w:ascii="Century" w:hAnsi="Century" w:cs="Miriam"/>
          <w:b/>
          <w:spacing w:val="0"/>
          <w:szCs w:val="24"/>
          <w:rtl/>
        </w:rPr>
        <w:t xml:space="preserve"> מקרקעי ישראל</w:t>
      </w:r>
      <w:r>
        <w:rPr>
          <w:rFonts w:ascii="Arimo" w:hAnsi="Arimo" w:hint="cs"/>
          <w:rtl/>
        </w:rPr>
        <w:t>, פסקה 17 (29.12.2011</w:t>
      </w:r>
      <w:r w:rsidRPr="00186410">
        <w:rPr>
          <w:rFonts w:ascii="Arimo" w:hAnsi="Arimo" w:hint="cs"/>
          <w:rtl/>
        </w:rPr>
        <w:t xml:space="preserve">); </w:t>
      </w:r>
      <w:r w:rsidRPr="00186410">
        <w:rPr>
          <w:rFonts w:ascii="Century" w:hAnsi="Century" w:hint="cs"/>
          <w:rtl/>
        </w:rPr>
        <w:t xml:space="preserve">עניין </w:t>
      </w:r>
      <w:r w:rsidRPr="00186410">
        <w:rPr>
          <w:rFonts w:ascii="Century" w:hAnsi="Century" w:cs="Miriam" w:hint="cs"/>
          <w:b/>
          <w:spacing w:val="0"/>
          <w:szCs w:val="24"/>
          <w:rtl/>
        </w:rPr>
        <w:t>גליק</w:t>
      </w:r>
      <w:r w:rsidRPr="00186410">
        <w:rPr>
          <w:rFonts w:ascii="Century" w:hAnsi="Century" w:hint="cs"/>
          <w:rtl/>
        </w:rPr>
        <w:t xml:space="preserve">, פסקה כ"ג לחוות דעתו של </w:t>
      </w:r>
      <w:r w:rsidRPr="00186410">
        <w:rPr>
          <w:rFonts w:ascii="Century" w:hAnsi="Century" w:hint="eastAsia"/>
          <w:rtl/>
        </w:rPr>
        <w:t>המשנה</w:t>
      </w:r>
      <w:r w:rsidRPr="00186410">
        <w:rPr>
          <w:rFonts w:ascii="Century" w:hAnsi="Century"/>
          <w:rtl/>
        </w:rPr>
        <w:t xml:space="preserve"> </w:t>
      </w:r>
      <w:r w:rsidRPr="00186410">
        <w:rPr>
          <w:rFonts w:ascii="Century" w:hAnsi="Century" w:hint="eastAsia"/>
          <w:rtl/>
        </w:rPr>
        <w:t>לנשיאה</w:t>
      </w:r>
      <w:r w:rsidRPr="00186410">
        <w:rPr>
          <w:rFonts w:ascii="Century" w:hAnsi="Century"/>
          <w:rtl/>
        </w:rPr>
        <w:t xml:space="preserve"> </w:t>
      </w:r>
      <w:r w:rsidRPr="00186410">
        <w:rPr>
          <w:rFonts w:ascii="Century" w:hAnsi="Century" w:cs="Miriam" w:hint="eastAsia"/>
          <w:b/>
          <w:spacing w:val="0"/>
          <w:szCs w:val="24"/>
          <w:rtl/>
        </w:rPr>
        <w:t>א</w:t>
      </w:r>
      <w:r w:rsidRPr="00186410">
        <w:rPr>
          <w:rFonts w:ascii="Century" w:hAnsi="Century" w:cs="Miriam" w:hint="cs"/>
          <w:b/>
          <w:spacing w:val="0"/>
          <w:szCs w:val="24"/>
          <w:rtl/>
        </w:rPr>
        <w:t>ליקים</w:t>
      </w:r>
      <w:r w:rsidRPr="00186410">
        <w:rPr>
          <w:rFonts w:ascii="Century" w:hAnsi="Century" w:cs="Miriam"/>
          <w:b/>
          <w:spacing w:val="0"/>
          <w:szCs w:val="24"/>
          <w:rtl/>
        </w:rPr>
        <w:t xml:space="preserve"> </w:t>
      </w:r>
      <w:r w:rsidRPr="00186410">
        <w:rPr>
          <w:rFonts w:ascii="Century" w:hAnsi="Century" w:cs="Miriam" w:hint="eastAsia"/>
          <w:b/>
          <w:spacing w:val="0"/>
          <w:szCs w:val="24"/>
          <w:rtl/>
        </w:rPr>
        <w:t>רובינשטיין</w:t>
      </w:r>
      <w:r w:rsidRPr="00186410">
        <w:rPr>
          <w:rFonts w:ascii="Century" w:hAnsi="Century" w:hint="cs"/>
          <w:rtl/>
        </w:rPr>
        <w:t xml:space="preserve"> ופסקה 4 לפסק דינו של השופט </w:t>
      </w:r>
      <w:r w:rsidRPr="00186410">
        <w:rPr>
          <w:rFonts w:ascii="Century" w:hAnsi="Century" w:cs="Miriam" w:hint="cs"/>
          <w:b/>
          <w:spacing w:val="0"/>
          <w:szCs w:val="24"/>
          <w:rtl/>
        </w:rPr>
        <w:t>יצחק עמי</w:t>
      </w:r>
      <w:r w:rsidRPr="00B40370">
        <w:rPr>
          <w:rFonts w:ascii="Century" w:hAnsi="Century" w:cs="Miriam" w:hint="cs"/>
          <w:b/>
          <w:spacing w:val="0"/>
          <w:szCs w:val="24"/>
          <w:rtl/>
        </w:rPr>
        <w:t>ת</w:t>
      </w:r>
      <w:r w:rsidRPr="00B40370">
        <w:rPr>
          <w:rFonts w:ascii="Century" w:hAnsi="Century" w:hint="cs"/>
          <w:rtl/>
        </w:rPr>
        <w:t>). הבחנה נוספה ש</w:t>
      </w:r>
      <w:r w:rsidR="00565269">
        <w:rPr>
          <w:rFonts w:ascii="Century" w:hAnsi="Century" w:hint="cs"/>
          <w:rtl/>
        </w:rPr>
        <w:t>א</w:t>
      </w:r>
      <w:r w:rsidRPr="00B40370">
        <w:rPr>
          <w:rFonts w:ascii="Century" w:hAnsi="Century" w:hint="cs"/>
          <w:rtl/>
        </w:rPr>
        <w:t>וזכרה בפסיקה היא האם מדוב</w:t>
      </w:r>
      <w:r w:rsidR="00565269">
        <w:rPr>
          <w:rFonts w:ascii="Century" w:hAnsi="Century" w:hint="cs"/>
          <w:rtl/>
        </w:rPr>
        <w:t>ר בתקיפת נורמה כללית או במעשה מ</w:t>
      </w:r>
      <w:r w:rsidRPr="00B40370">
        <w:rPr>
          <w:rFonts w:ascii="Century" w:hAnsi="Century" w:hint="cs"/>
          <w:rtl/>
        </w:rPr>
        <w:t xml:space="preserve">נהלי אינדיבידואלי. על דרך הכלל, בעוד קיימת ציפייה </w:t>
      </w:r>
      <w:r w:rsidR="00565269">
        <w:rPr>
          <w:rFonts w:ascii="Century" w:hAnsi="Century" w:hint="cs"/>
          <w:rtl/>
        </w:rPr>
        <w:t>כי אדם הנפגע באופן אישי ממעשה מ</w:t>
      </w:r>
      <w:r w:rsidRPr="00B40370">
        <w:rPr>
          <w:rFonts w:ascii="Century" w:hAnsi="Century" w:hint="cs"/>
          <w:rtl/>
        </w:rPr>
        <w:t>נהל</w:t>
      </w:r>
      <w:r>
        <w:rPr>
          <w:rFonts w:ascii="Century" w:hAnsi="Century" w:hint="cs"/>
          <w:rtl/>
        </w:rPr>
        <w:t>י</w:t>
      </w:r>
      <w:r w:rsidRPr="00B40370">
        <w:rPr>
          <w:rFonts w:ascii="Century" w:hAnsi="Century" w:hint="cs"/>
          <w:rtl/>
        </w:rPr>
        <w:t xml:space="preserve"> המופנה כלפיו ישירות יפעל כנגדו ללא שיהוי ובמסגרת תקיפה ישירה, הצ</w:t>
      </w:r>
      <w:r>
        <w:rPr>
          <w:rFonts w:ascii="Century" w:hAnsi="Century" w:hint="cs"/>
          <w:rtl/>
        </w:rPr>
        <w:t>י</w:t>
      </w:r>
      <w:r w:rsidRPr="00B40370">
        <w:rPr>
          <w:rFonts w:ascii="Century" w:hAnsi="Century" w:hint="cs"/>
          <w:rtl/>
        </w:rPr>
        <w:t xml:space="preserve">פייה ממנו לפעול כן היא נמוכה יותר כאשר מדובר בתקיפה של נורמה כללית בטרם היא הופכת קונקרטית מבחינתנו. לפיכך, במצב דברים אחרון זה, הנטייה היא לאפשר תקיפה עקיפה (עניין </w:t>
      </w:r>
      <w:r w:rsidRPr="00B40370">
        <w:rPr>
          <w:rFonts w:ascii="Century" w:hAnsi="Century" w:cs="Miriam" w:hint="eastAsia"/>
          <w:b/>
          <w:spacing w:val="0"/>
          <w:szCs w:val="24"/>
          <w:rtl/>
        </w:rPr>
        <w:t>הראל</w:t>
      </w:r>
      <w:r w:rsidRPr="00B40370">
        <w:rPr>
          <w:rFonts w:ascii="Century" w:hAnsi="Century"/>
          <w:rtl/>
        </w:rPr>
        <w:t xml:space="preserve">, </w:t>
      </w:r>
      <w:r w:rsidRPr="00B40370">
        <w:rPr>
          <w:rFonts w:ascii="Century" w:hAnsi="Century" w:hint="cs"/>
          <w:rtl/>
        </w:rPr>
        <w:t xml:space="preserve">בעמ' 647; עניין </w:t>
      </w:r>
      <w:r w:rsidRPr="00B40370">
        <w:rPr>
          <w:rFonts w:ascii="Century" w:hAnsi="Century" w:cs="Miriam" w:hint="cs"/>
          <w:b/>
          <w:spacing w:val="0"/>
          <w:szCs w:val="24"/>
          <w:rtl/>
        </w:rPr>
        <w:t xml:space="preserve">אבו </w:t>
      </w:r>
      <w:proofErr w:type="spellStart"/>
      <w:r w:rsidRPr="00B40370">
        <w:rPr>
          <w:rFonts w:ascii="Century" w:hAnsi="Century" w:cs="Miriam" w:hint="cs"/>
          <w:b/>
          <w:spacing w:val="0"/>
          <w:szCs w:val="24"/>
          <w:rtl/>
        </w:rPr>
        <w:t>פריח</w:t>
      </w:r>
      <w:proofErr w:type="spellEnd"/>
      <w:r w:rsidRPr="00B40370">
        <w:rPr>
          <w:rFonts w:ascii="Century" w:hAnsi="Century" w:hint="cs"/>
          <w:rtl/>
        </w:rPr>
        <w:t>, פסקה 9 לפסק דינו של הנשיא (</w:t>
      </w:r>
      <w:proofErr w:type="spellStart"/>
      <w:r w:rsidRPr="00B40370">
        <w:rPr>
          <w:rFonts w:ascii="Century" w:hAnsi="Century" w:hint="cs"/>
          <w:rtl/>
        </w:rPr>
        <w:t>בדימ</w:t>
      </w:r>
      <w:proofErr w:type="spellEnd"/>
      <w:r w:rsidRPr="00B40370">
        <w:rPr>
          <w:rFonts w:ascii="Century" w:hAnsi="Century" w:hint="cs"/>
          <w:rtl/>
        </w:rPr>
        <w:t xml:space="preserve">') </w:t>
      </w:r>
      <w:r w:rsidRPr="00B40370">
        <w:rPr>
          <w:rFonts w:ascii="Century" w:hAnsi="Century" w:cs="Miriam" w:hint="cs"/>
          <w:b/>
          <w:spacing w:val="0"/>
          <w:szCs w:val="24"/>
          <w:rtl/>
        </w:rPr>
        <w:t xml:space="preserve">אשר </w:t>
      </w:r>
      <w:proofErr w:type="spellStart"/>
      <w:r w:rsidRPr="00B40370">
        <w:rPr>
          <w:rFonts w:ascii="Century" w:hAnsi="Century" w:cs="Miriam" w:hint="cs"/>
          <w:b/>
          <w:spacing w:val="0"/>
          <w:szCs w:val="24"/>
          <w:rtl/>
        </w:rPr>
        <w:t>גרוניס</w:t>
      </w:r>
      <w:proofErr w:type="spellEnd"/>
      <w:r w:rsidRPr="00B40370">
        <w:rPr>
          <w:rFonts w:ascii="Century" w:hAnsi="Century" w:hint="cs"/>
          <w:rtl/>
        </w:rPr>
        <w:t>).</w:t>
      </w:r>
    </w:p>
    <w:p w:rsidR="00CF54A5" w:rsidRDefault="00CF54A5" w:rsidP="00CF54A5">
      <w:pPr>
        <w:pStyle w:val="Ruller41"/>
        <w:rPr>
          <w:highlight w:val="yellow"/>
          <w:rtl/>
        </w:rPr>
      </w:pPr>
    </w:p>
    <w:p w:rsidR="00CF54A5" w:rsidRPr="00B10285" w:rsidRDefault="00CF54A5" w:rsidP="00CF54A5">
      <w:pPr>
        <w:pStyle w:val="Ruller41"/>
        <w:rPr>
          <w:rFonts w:ascii="Century" w:hAnsi="Century"/>
          <w:rtl/>
        </w:rPr>
      </w:pPr>
      <w:r w:rsidRPr="001E20EA">
        <w:rPr>
          <w:rFonts w:ascii="Century" w:hAnsi="Century"/>
          <w:rtl/>
        </w:rPr>
        <w:tab/>
      </w:r>
      <w:r w:rsidRPr="001E20EA">
        <w:rPr>
          <w:rFonts w:ascii="Century" w:hAnsi="Century" w:hint="cs"/>
          <w:rtl/>
        </w:rPr>
        <w:t xml:space="preserve">(-) סוג הפגם ותוצאתו </w:t>
      </w:r>
      <w:r>
        <w:rPr>
          <w:rFonts w:ascii="Century" w:hAnsi="Century"/>
          <w:rtl/>
        </w:rPr>
        <w:t>–</w:t>
      </w:r>
      <w:r>
        <w:rPr>
          <w:rFonts w:ascii="Century" w:hAnsi="Century" w:hint="cs"/>
          <w:rtl/>
        </w:rPr>
        <w:t xml:space="preserve"> בעבר הייתה נהוגה ההבחנה בין סוג הפגמים שניתן להעלות במסגרת תקיפה ישירה לבין אלו שניתן לטעון להם בהליך של תקיפה עקיפה. כך, בעוד שבהליך של תקיפה עקיפה ניתן היה לטעון אך לפגם של חוסר סמכות שתוצאתו בטלות </w:t>
      </w:r>
      <w:proofErr w:type="spellStart"/>
      <w:r>
        <w:rPr>
          <w:rFonts w:ascii="Century" w:hAnsi="Century" w:hint="cs"/>
          <w:rtl/>
        </w:rPr>
        <w:t>מדעיקרא</w:t>
      </w:r>
      <w:proofErr w:type="spellEnd"/>
      <w:r>
        <w:rPr>
          <w:rFonts w:ascii="Century" w:hAnsi="Century" w:hint="cs"/>
          <w:rtl/>
        </w:rPr>
        <w:t xml:space="preserve"> (</w:t>
      </w:r>
      <w:r w:rsidRPr="00780F60">
        <w:rPr>
          <w:rFonts w:asciiTheme="majorBidi" w:hAnsiTheme="majorBidi" w:cstheme="majorBidi"/>
          <w:sz w:val="24"/>
          <w:szCs w:val="24"/>
        </w:rPr>
        <w:t>void</w:t>
      </w:r>
      <w:r>
        <w:rPr>
          <w:rFonts w:ascii="Century" w:hAnsi="Century" w:hint="cs"/>
          <w:rtl/>
        </w:rPr>
        <w:t xml:space="preserve">), במסגרת תקיפה ישירה ניתן היה להעלות את כל סוגי הפגמים המוכרים לגבי המעשה השלטוני, בין אם תוצאתם בטלות </w:t>
      </w:r>
      <w:proofErr w:type="spellStart"/>
      <w:r>
        <w:rPr>
          <w:rFonts w:ascii="Century" w:hAnsi="Century" w:hint="cs"/>
          <w:rtl/>
        </w:rPr>
        <w:t>מדעיקרא</w:t>
      </w:r>
      <w:proofErr w:type="spellEnd"/>
      <w:r>
        <w:rPr>
          <w:rFonts w:ascii="Century" w:hAnsi="Century" w:hint="cs"/>
          <w:rtl/>
        </w:rPr>
        <w:t xml:space="preserve"> (</w:t>
      </w:r>
      <w:r w:rsidRPr="00780F60">
        <w:rPr>
          <w:rFonts w:asciiTheme="majorBidi" w:hAnsiTheme="majorBidi" w:cstheme="majorBidi"/>
          <w:sz w:val="24"/>
          <w:szCs w:val="24"/>
        </w:rPr>
        <w:t>void</w:t>
      </w:r>
      <w:r>
        <w:rPr>
          <w:rFonts w:ascii="Century" w:hAnsi="Century" w:hint="cs"/>
          <w:rtl/>
        </w:rPr>
        <w:t>) ובין אם תוצאתם נפסדות (</w:t>
      </w:r>
      <w:r w:rsidRPr="00780F60">
        <w:rPr>
          <w:rFonts w:asciiTheme="majorBidi" w:hAnsiTheme="majorBidi" w:cstheme="majorBidi"/>
          <w:sz w:val="24"/>
          <w:szCs w:val="24"/>
        </w:rPr>
        <w:t>voidable</w:t>
      </w:r>
      <w:r>
        <w:rPr>
          <w:rFonts w:ascii="Century" w:hAnsi="Century" w:hint="cs"/>
          <w:rtl/>
        </w:rPr>
        <w:t>). ואולם, עם הזמן נשחקה הבחנה זו, בין השאר, על רקע פיתוחה של דוקטרינת הבטלות היחסית (ראו, עניין</w:t>
      </w:r>
      <w:r w:rsidRPr="00DC61B4">
        <w:rPr>
          <w:rFonts w:ascii="Century" w:hAnsi="Century"/>
          <w:rtl/>
        </w:rPr>
        <w:t xml:space="preserve"> </w:t>
      </w:r>
      <w:r w:rsidRPr="00DC61B4">
        <w:rPr>
          <w:rFonts w:ascii="Century" w:hAnsi="Century" w:cs="Miriam" w:hint="eastAsia"/>
          <w:b/>
          <w:spacing w:val="0"/>
          <w:szCs w:val="24"/>
          <w:rtl/>
        </w:rPr>
        <w:t>עיריית</w:t>
      </w:r>
      <w:r w:rsidRPr="00DC61B4">
        <w:rPr>
          <w:rFonts w:ascii="Century" w:hAnsi="Century" w:cs="Miriam"/>
          <w:b/>
          <w:spacing w:val="0"/>
          <w:szCs w:val="24"/>
          <w:rtl/>
        </w:rPr>
        <w:t xml:space="preserve"> </w:t>
      </w:r>
      <w:r w:rsidRPr="00DC61B4">
        <w:rPr>
          <w:rFonts w:ascii="Century" w:hAnsi="Century" w:cs="Miriam" w:hint="eastAsia"/>
          <w:b/>
          <w:spacing w:val="0"/>
          <w:szCs w:val="24"/>
          <w:rtl/>
        </w:rPr>
        <w:t>ירושלים</w:t>
      </w:r>
      <w:r>
        <w:rPr>
          <w:rFonts w:ascii="Century" w:hAnsi="Century" w:hint="cs"/>
          <w:rtl/>
        </w:rPr>
        <w:t>, פסקה 29 לפסק דינו של הנשיא (</w:t>
      </w:r>
      <w:proofErr w:type="spellStart"/>
      <w:r>
        <w:rPr>
          <w:rFonts w:ascii="Century" w:hAnsi="Century" w:hint="cs"/>
          <w:rtl/>
        </w:rPr>
        <w:t>בדימ</w:t>
      </w:r>
      <w:proofErr w:type="spellEnd"/>
      <w:r>
        <w:rPr>
          <w:rFonts w:ascii="Century" w:hAnsi="Century" w:hint="cs"/>
          <w:rtl/>
        </w:rPr>
        <w:t xml:space="preserve">') </w:t>
      </w:r>
      <w:r w:rsidRPr="00DC61B4">
        <w:rPr>
          <w:rFonts w:ascii="Century" w:hAnsi="Century" w:cs="Miriam" w:hint="cs"/>
          <w:b/>
          <w:spacing w:val="0"/>
          <w:szCs w:val="24"/>
          <w:rtl/>
        </w:rPr>
        <w:t xml:space="preserve">אשר </w:t>
      </w:r>
      <w:proofErr w:type="spellStart"/>
      <w:r w:rsidRPr="00DC61B4">
        <w:rPr>
          <w:rFonts w:ascii="Century" w:hAnsi="Century" w:cs="Miriam" w:hint="cs"/>
          <w:b/>
          <w:spacing w:val="0"/>
          <w:szCs w:val="24"/>
          <w:rtl/>
        </w:rPr>
        <w:t>גרוניס</w:t>
      </w:r>
      <w:proofErr w:type="spellEnd"/>
      <w:r>
        <w:rPr>
          <w:rFonts w:ascii="Century" w:hAnsi="Century" w:hint="cs"/>
          <w:rtl/>
        </w:rPr>
        <w:t xml:space="preserve">; עניין </w:t>
      </w:r>
      <w:r w:rsidRPr="00D07BCE">
        <w:rPr>
          <w:rFonts w:ascii="Century" w:hAnsi="Century" w:cs="Miriam" w:hint="cs"/>
          <w:b/>
          <w:spacing w:val="0"/>
          <w:szCs w:val="24"/>
          <w:rtl/>
        </w:rPr>
        <w:t>אור עקיבא</w:t>
      </w:r>
      <w:r>
        <w:rPr>
          <w:rFonts w:ascii="Century" w:hAnsi="Century" w:hint="cs"/>
          <w:rtl/>
        </w:rPr>
        <w:t xml:space="preserve">, פסקה 18; </w:t>
      </w:r>
      <w:r w:rsidRPr="00D07BCE">
        <w:rPr>
          <w:rFonts w:ascii="Century" w:hAnsi="Century" w:cs="Miriam" w:hint="cs"/>
          <w:b/>
          <w:spacing w:val="0"/>
          <w:szCs w:val="24"/>
          <w:rtl/>
        </w:rPr>
        <w:t>ברק-ארז</w:t>
      </w:r>
      <w:r>
        <w:rPr>
          <w:rFonts w:ascii="Century" w:hAnsi="Century" w:hint="cs"/>
          <w:rtl/>
        </w:rPr>
        <w:t xml:space="preserve">, בעמ' 176-173; </w:t>
      </w:r>
      <w:r w:rsidRPr="00B10285">
        <w:rPr>
          <w:rFonts w:ascii="Century" w:hAnsi="Century" w:hint="eastAsia"/>
          <w:rtl/>
        </w:rPr>
        <w:t>יואב</w:t>
      </w:r>
      <w:r w:rsidRPr="00B10285">
        <w:rPr>
          <w:rFonts w:ascii="Century" w:hAnsi="Century"/>
          <w:rtl/>
        </w:rPr>
        <w:t xml:space="preserve"> </w:t>
      </w:r>
      <w:r w:rsidRPr="00B10285">
        <w:rPr>
          <w:rFonts w:ascii="Century" w:hAnsi="Century" w:hint="eastAsia"/>
          <w:rtl/>
        </w:rPr>
        <w:t>דותן</w:t>
      </w:r>
      <w:r w:rsidRPr="00B10285">
        <w:rPr>
          <w:rFonts w:ascii="Century" w:hAnsi="Century"/>
          <w:rtl/>
        </w:rPr>
        <w:t xml:space="preserve"> "</w:t>
      </w:r>
      <w:r w:rsidRPr="00B10285">
        <w:rPr>
          <w:rFonts w:ascii="Century" w:hAnsi="Century" w:hint="eastAsia"/>
          <w:rtl/>
        </w:rPr>
        <w:t>במקום</w:t>
      </w:r>
      <w:r w:rsidRPr="00B10285">
        <w:rPr>
          <w:rFonts w:ascii="Century" w:hAnsi="Century"/>
          <w:rtl/>
        </w:rPr>
        <w:t xml:space="preserve"> </w:t>
      </w:r>
      <w:r w:rsidRPr="00B10285">
        <w:rPr>
          <w:rFonts w:ascii="Century" w:hAnsi="Century" w:hint="eastAsia"/>
          <w:rtl/>
        </w:rPr>
        <w:t>בטלות</w:t>
      </w:r>
      <w:r w:rsidRPr="00B10285">
        <w:rPr>
          <w:rFonts w:ascii="Century" w:hAnsi="Century"/>
          <w:rtl/>
        </w:rPr>
        <w:t xml:space="preserve"> </w:t>
      </w:r>
      <w:r w:rsidRPr="00B10285">
        <w:rPr>
          <w:rFonts w:ascii="Century" w:hAnsi="Century" w:hint="eastAsia"/>
          <w:rtl/>
        </w:rPr>
        <w:t>יחסית</w:t>
      </w:r>
      <w:r>
        <w:rPr>
          <w:rFonts w:ascii="Century" w:hAnsi="Century"/>
          <w:rtl/>
        </w:rPr>
        <w:t>"</w:t>
      </w:r>
      <w:r>
        <w:rPr>
          <w:rFonts w:ascii="Century" w:hAnsi="Century" w:hint="cs"/>
          <w:rtl/>
        </w:rPr>
        <w:t xml:space="preserve"> </w:t>
      </w:r>
      <w:r w:rsidRPr="00B10285">
        <w:rPr>
          <w:rFonts w:ascii="Century" w:hAnsi="Century" w:cs="Miriam" w:hint="cs"/>
          <w:b/>
          <w:spacing w:val="0"/>
          <w:szCs w:val="24"/>
          <w:rtl/>
        </w:rPr>
        <w:t>משפטים</w:t>
      </w:r>
      <w:r>
        <w:rPr>
          <w:rFonts w:ascii="Century" w:hAnsi="Century" w:hint="cs"/>
          <w:rtl/>
        </w:rPr>
        <w:t xml:space="preserve"> </w:t>
      </w:r>
      <w:proofErr w:type="spellStart"/>
      <w:r>
        <w:rPr>
          <w:rFonts w:ascii="Century" w:hAnsi="Century" w:hint="cs"/>
          <w:rtl/>
        </w:rPr>
        <w:t>כב</w:t>
      </w:r>
      <w:proofErr w:type="spellEnd"/>
      <w:r>
        <w:rPr>
          <w:rFonts w:ascii="Century" w:hAnsi="Century" w:hint="cs"/>
          <w:rtl/>
        </w:rPr>
        <w:t xml:space="preserve"> 587, 607-604 </w:t>
      </w:r>
      <w:r>
        <w:rPr>
          <w:rFonts w:ascii="Century" w:hAnsi="Century" w:hint="cs"/>
          <w:rtl/>
        </w:rPr>
        <w:lastRenderedPageBreak/>
        <w:t>(1993)). אף על פי כן, הגם שהבחנה זו אינה אבן הבוחן המרכזית כיום בקביעה באילו מצבים י</w:t>
      </w:r>
      <w:r w:rsidRPr="003C76EA">
        <w:rPr>
          <w:rFonts w:ascii="Century" w:hAnsi="Century" w:hint="eastAsia"/>
          <w:rtl/>
        </w:rPr>
        <w:t>וּתַּר</w:t>
      </w:r>
      <w:r>
        <w:rPr>
          <w:rFonts w:ascii="Century" w:hAnsi="Century" w:hint="cs"/>
          <w:rtl/>
        </w:rPr>
        <w:t xml:space="preserve"> בירור המחלוקת באמצעות הליך תקיפה עקיפה ובאילו מצבים יופנה בעל הדין להליך של תקיפה ישירה, הבחנה זו בוודאי עשויה היום לשמש כשיקול מנחה בעניין זה (עניין </w:t>
      </w:r>
      <w:proofErr w:type="spellStart"/>
      <w:r w:rsidRPr="00B10285">
        <w:rPr>
          <w:rFonts w:ascii="Century" w:hAnsi="Century" w:cs="Miriam" w:hint="cs"/>
          <w:b/>
          <w:spacing w:val="0"/>
          <w:szCs w:val="24"/>
          <w:rtl/>
        </w:rPr>
        <w:t>אלפריח</w:t>
      </w:r>
      <w:proofErr w:type="spellEnd"/>
      <w:r>
        <w:rPr>
          <w:rFonts w:ascii="Century" w:hAnsi="Century" w:hint="cs"/>
          <w:rtl/>
        </w:rPr>
        <w:t>, פסקה 16).</w:t>
      </w:r>
    </w:p>
    <w:p w:rsidR="00CF54A5" w:rsidRPr="00631704" w:rsidRDefault="00CF54A5" w:rsidP="00CF54A5">
      <w:pPr>
        <w:pStyle w:val="Ruller41"/>
        <w:rPr>
          <w:highlight w:val="yellow"/>
          <w:rtl/>
        </w:rPr>
      </w:pPr>
    </w:p>
    <w:p w:rsidR="00CF54A5" w:rsidRPr="00AE43DC" w:rsidRDefault="00CF54A5" w:rsidP="00CF54A5">
      <w:pPr>
        <w:pStyle w:val="Ruller41"/>
        <w:rPr>
          <w:rtl/>
        </w:rPr>
      </w:pPr>
      <w:r w:rsidRPr="00186410">
        <w:rPr>
          <w:rFonts w:ascii="Century" w:hAnsi="Century"/>
          <w:rtl/>
        </w:rPr>
        <w:tab/>
      </w:r>
      <w:r w:rsidRPr="00186410">
        <w:rPr>
          <w:rFonts w:ascii="Century" w:hAnsi="Century" w:hint="cs"/>
          <w:rtl/>
        </w:rPr>
        <w:t xml:space="preserve">(-) בחינת הסוגיה הנדונה והשלכותיה במישור הרחב </w:t>
      </w:r>
      <w:r w:rsidRPr="00186410">
        <w:rPr>
          <w:rFonts w:ascii="Century" w:hAnsi="Century"/>
          <w:rtl/>
        </w:rPr>
        <w:t>–</w:t>
      </w:r>
      <w:r w:rsidRPr="00186410">
        <w:rPr>
          <w:rFonts w:ascii="Century" w:hAnsi="Century" w:hint="cs"/>
          <w:rtl/>
        </w:rPr>
        <w:t xml:space="preserve"> במסגרת זו יש לבחון את מידת החשיבות או הרגישות של הסוגיה הנדונה, מורכבותה</w:t>
      </w:r>
      <w:r>
        <w:rPr>
          <w:rFonts w:ascii="Century" w:hAnsi="Century" w:hint="cs"/>
          <w:rtl/>
        </w:rPr>
        <w:t>,</w:t>
      </w:r>
      <w:r w:rsidRPr="00186410">
        <w:rPr>
          <w:rFonts w:ascii="Century" w:hAnsi="Century" w:hint="cs"/>
          <w:rtl/>
        </w:rPr>
        <w:t xml:space="preserve"> ו</w:t>
      </w:r>
      <w:r>
        <w:rPr>
          <w:rFonts w:ascii="Century" w:hAnsi="Century" w:hint="cs"/>
          <w:rtl/>
        </w:rPr>
        <w:t xml:space="preserve">כן </w:t>
      </w:r>
      <w:r w:rsidRPr="00186410">
        <w:rPr>
          <w:rFonts w:ascii="Century" w:hAnsi="Century" w:hint="cs"/>
          <w:rtl/>
        </w:rPr>
        <w:t>האם מדובר בהכרעה עקרונית בעלת השלכות רוחב</w:t>
      </w:r>
      <w:r>
        <w:rPr>
          <w:rFonts w:ascii="Century" w:hAnsi="Century" w:hint="cs"/>
          <w:rtl/>
        </w:rPr>
        <w:t>. עמד על כך יצחק זמיר בספרו: "</w:t>
      </w:r>
      <w:r w:rsidRPr="00560676">
        <w:rPr>
          <w:rFonts w:ascii="Century" w:hAnsi="Century" w:cs="Miriam" w:hint="cs"/>
          <w:b/>
          <w:spacing w:val="0"/>
          <w:szCs w:val="24"/>
          <w:rtl/>
        </w:rPr>
        <w:t xml:space="preserve">כאשר ההחלטה </w:t>
      </w:r>
      <w:proofErr w:type="spellStart"/>
      <w:r w:rsidRPr="00560676">
        <w:rPr>
          <w:rFonts w:ascii="Century" w:hAnsi="Century" w:cs="Miriam" w:hint="cs"/>
          <w:b/>
          <w:spacing w:val="0"/>
          <w:szCs w:val="24"/>
          <w:rtl/>
        </w:rPr>
        <w:t>המינהלית</w:t>
      </w:r>
      <w:proofErr w:type="spellEnd"/>
      <w:r w:rsidRPr="00560676">
        <w:rPr>
          <w:rFonts w:ascii="Century" w:hAnsi="Century" w:cs="Miriam" w:hint="cs"/>
          <w:b/>
          <w:spacing w:val="0"/>
          <w:szCs w:val="24"/>
          <w:rtl/>
        </w:rPr>
        <w:t xml:space="preserve"> מעוררת שאלות נכבדות של מדיניות משפטית, חברתית או מדינית; כאשר יש לה השלכה רחבה וחשובה, ולכן חשוב שבית המשפט יאפשר לגורמים נוספים הקשורים לעניין הנדון להשמיע את טענותיהן; כאשר קיים חשש ממשי מפני ריבוי הכרעות סותרות באותו עניין על ידי בתי משפט שונים, ולכן גם חשש לפגיעה בוודאות וביציבות; כאשר מהות העניין הנדון הולמת יותר ביקורת ישירה; כאשר קיים אינטרס ציבורי אחר האומר כי בנסיבות המקרה ראוי לקיים ביקורת ישירה ולא ביק</w:t>
      </w:r>
      <w:r>
        <w:rPr>
          <w:rFonts w:ascii="Century" w:hAnsi="Century" w:cs="Miriam" w:hint="cs"/>
          <w:b/>
          <w:spacing w:val="0"/>
          <w:szCs w:val="24"/>
          <w:rtl/>
        </w:rPr>
        <w:t>ו</w:t>
      </w:r>
      <w:r w:rsidRPr="00560676">
        <w:rPr>
          <w:rFonts w:ascii="Century" w:hAnsi="Century" w:cs="Miriam" w:hint="cs"/>
          <w:b/>
          <w:spacing w:val="0"/>
          <w:szCs w:val="24"/>
          <w:rtl/>
        </w:rPr>
        <w:t>רת עקיפה</w:t>
      </w:r>
      <w:r>
        <w:rPr>
          <w:rFonts w:ascii="Century" w:hAnsi="Century" w:hint="cs"/>
          <w:rtl/>
        </w:rPr>
        <w:t xml:space="preserve">" (זמיר, </w:t>
      </w:r>
      <w:r w:rsidRPr="00560676">
        <w:rPr>
          <w:rFonts w:ascii="Century" w:hAnsi="Century" w:cs="Miriam" w:hint="cs"/>
          <w:b/>
          <w:spacing w:val="0"/>
          <w:szCs w:val="24"/>
          <w:rtl/>
        </w:rPr>
        <w:t xml:space="preserve">הסמכות </w:t>
      </w:r>
      <w:proofErr w:type="spellStart"/>
      <w:r w:rsidRPr="00560676">
        <w:rPr>
          <w:rFonts w:ascii="Century" w:hAnsi="Century" w:cs="Miriam" w:hint="cs"/>
          <w:b/>
          <w:spacing w:val="0"/>
          <w:szCs w:val="24"/>
          <w:rtl/>
        </w:rPr>
        <w:t>המינהלית</w:t>
      </w:r>
      <w:proofErr w:type="spellEnd"/>
      <w:r>
        <w:rPr>
          <w:rFonts w:ascii="Century" w:hAnsi="Century" w:hint="cs"/>
          <w:rtl/>
        </w:rPr>
        <w:t xml:space="preserve">, בעמ' 2688-2687. ראו גם: </w:t>
      </w:r>
      <w:r w:rsidRPr="00186410">
        <w:rPr>
          <w:rFonts w:ascii="Century" w:hAnsi="Century" w:hint="cs"/>
          <w:rtl/>
        </w:rPr>
        <w:t xml:space="preserve">עניין </w:t>
      </w:r>
      <w:proofErr w:type="spellStart"/>
      <w:r w:rsidRPr="00186410">
        <w:rPr>
          <w:rFonts w:ascii="Century" w:hAnsi="Century" w:cs="Miriam" w:hint="cs"/>
          <w:b/>
          <w:spacing w:val="0"/>
          <w:szCs w:val="24"/>
          <w:rtl/>
        </w:rPr>
        <w:t>אלפריח</w:t>
      </w:r>
      <w:proofErr w:type="spellEnd"/>
      <w:r>
        <w:rPr>
          <w:rFonts w:ascii="Century" w:hAnsi="Century" w:hint="cs"/>
          <w:rtl/>
        </w:rPr>
        <w:t xml:space="preserve">, </w:t>
      </w:r>
      <w:r w:rsidRPr="00186410">
        <w:rPr>
          <w:rFonts w:ascii="Century" w:hAnsi="Century" w:hint="cs"/>
          <w:rtl/>
        </w:rPr>
        <w:t>פסקה 15</w:t>
      </w:r>
      <w:r>
        <w:rPr>
          <w:rFonts w:ascii="Century" w:hAnsi="Century" w:hint="cs"/>
          <w:rtl/>
        </w:rPr>
        <w:t>). כך, אם קבלת עמדתו של בעל הדין התוקף את המעשה השלטוני תביא לסיכול של מדיניות ציבורית או לשינוי במצב המשפטי, תקום הצדקה שלא לאפשר העלאת טענותיו בהליך של תקיפה עקיפה (</w:t>
      </w:r>
      <w:r>
        <w:rPr>
          <w:rFonts w:ascii="Arimo" w:hAnsi="Arimo"/>
          <w:rtl/>
        </w:rPr>
        <w:t>ע"א 119</w:t>
      </w:r>
      <w:r>
        <w:rPr>
          <w:rFonts w:ascii="Arimo" w:hAnsi="Arimo" w:hint="cs"/>
          <w:rtl/>
        </w:rPr>
        <w:t>/</w:t>
      </w:r>
      <w:r>
        <w:rPr>
          <w:rFonts w:ascii="Arimo" w:hAnsi="Arimo"/>
          <w:rtl/>
        </w:rPr>
        <w:t xml:space="preserve">01 </w:t>
      </w:r>
      <w:proofErr w:type="spellStart"/>
      <w:r w:rsidRPr="00241DB4">
        <w:rPr>
          <w:rFonts w:ascii="Century" w:hAnsi="Century" w:cs="Miriam"/>
          <w:b/>
          <w:spacing w:val="0"/>
          <w:szCs w:val="24"/>
          <w:rtl/>
        </w:rPr>
        <w:t>אקונס</w:t>
      </w:r>
      <w:proofErr w:type="spellEnd"/>
      <w:r w:rsidRPr="00241DB4">
        <w:rPr>
          <w:rFonts w:ascii="Century" w:hAnsi="Century" w:cs="Miriam"/>
          <w:b/>
          <w:spacing w:val="0"/>
          <w:szCs w:val="24"/>
          <w:rtl/>
        </w:rPr>
        <w:t xml:space="preserve"> נ' מדינת ישראל</w:t>
      </w:r>
      <w:r>
        <w:rPr>
          <w:rFonts w:ascii="Arimo" w:hAnsi="Arimo"/>
          <w:rtl/>
        </w:rPr>
        <w:t xml:space="preserve">, פ"ד </w:t>
      </w:r>
      <w:proofErr w:type="spellStart"/>
      <w:r>
        <w:rPr>
          <w:rFonts w:ascii="Arimo" w:hAnsi="Arimo"/>
          <w:rtl/>
        </w:rPr>
        <w:t>נז</w:t>
      </w:r>
      <w:proofErr w:type="spellEnd"/>
      <w:r>
        <w:rPr>
          <w:rFonts w:ascii="Arimo" w:hAnsi="Arimo"/>
          <w:rtl/>
        </w:rPr>
        <w:t>(1) 817</w:t>
      </w:r>
      <w:r>
        <w:rPr>
          <w:rFonts w:ascii="Arimo" w:hAnsi="Arimo" w:hint="cs"/>
          <w:rtl/>
        </w:rPr>
        <w:t xml:space="preserve">, 861-860 (2003); </w:t>
      </w:r>
      <w:r>
        <w:rPr>
          <w:rFonts w:ascii="Arimo" w:hAnsi="Arimo"/>
          <w:rtl/>
        </w:rPr>
        <w:t>ע"א 4926</w:t>
      </w:r>
      <w:r>
        <w:rPr>
          <w:rFonts w:ascii="Arimo" w:hAnsi="Arimo" w:hint="cs"/>
          <w:rtl/>
        </w:rPr>
        <w:t>/</w:t>
      </w:r>
      <w:r>
        <w:rPr>
          <w:rFonts w:ascii="Arimo" w:hAnsi="Arimo"/>
          <w:rtl/>
        </w:rPr>
        <w:t xml:space="preserve">08 </w:t>
      </w:r>
      <w:proofErr w:type="spellStart"/>
      <w:r w:rsidRPr="00241DB4">
        <w:rPr>
          <w:rFonts w:ascii="Century" w:hAnsi="Century" w:cs="Miriam"/>
          <w:b/>
          <w:spacing w:val="0"/>
          <w:szCs w:val="24"/>
          <w:rtl/>
        </w:rPr>
        <w:t>נאשף</w:t>
      </w:r>
      <w:proofErr w:type="spellEnd"/>
      <w:r w:rsidRPr="00241DB4">
        <w:rPr>
          <w:rFonts w:ascii="Century" w:hAnsi="Century" w:cs="Miriam"/>
          <w:b/>
          <w:spacing w:val="0"/>
          <w:szCs w:val="24"/>
          <w:rtl/>
        </w:rPr>
        <w:t xml:space="preserve"> ואיל ושות' נ' הרשות הממשלתית למים וביוב</w:t>
      </w:r>
      <w:r>
        <w:rPr>
          <w:rFonts w:ascii="Arimo" w:hAnsi="Arimo" w:hint="cs"/>
          <w:rtl/>
        </w:rPr>
        <w:t xml:space="preserve">, פסקאות 40 ו-42 (9.10.2013); </w:t>
      </w:r>
      <w:r w:rsidRPr="001E20EA">
        <w:rPr>
          <w:rFonts w:ascii="Century" w:hAnsi="Century" w:hint="cs"/>
          <w:rtl/>
        </w:rPr>
        <w:t xml:space="preserve">עניין </w:t>
      </w:r>
      <w:r w:rsidRPr="00006120">
        <w:rPr>
          <w:rFonts w:ascii="Century" w:hAnsi="Century" w:cs="Miriam" w:hint="cs"/>
          <w:b/>
          <w:spacing w:val="0"/>
          <w:szCs w:val="24"/>
          <w:rtl/>
        </w:rPr>
        <w:t xml:space="preserve">אבו </w:t>
      </w:r>
      <w:proofErr w:type="spellStart"/>
      <w:r w:rsidRPr="00006120">
        <w:rPr>
          <w:rFonts w:ascii="Century" w:hAnsi="Century" w:cs="Miriam" w:hint="cs"/>
          <w:b/>
          <w:spacing w:val="0"/>
          <w:szCs w:val="24"/>
          <w:rtl/>
        </w:rPr>
        <w:t>פריח</w:t>
      </w:r>
      <w:proofErr w:type="spellEnd"/>
      <w:r>
        <w:rPr>
          <w:rFonts w:ascii="Century" w:hAnsi="Century" w:hint="cs"/>
          <w:rtl/>
        </w:rPr>
        <w:t xml:space="preserve">, </w:t>
      </w:r>
      <w:r w:rsidRPr="001E20EA">
        <w:rPr>
          <w:rFonts w:ascii="Century" w:hAnsi="Century" w:hint="cs"/>
          <w:rtl/>
        </w:rPr>
        <w:t xml:space="preserve">פסקה </w:t>
      </w:r>
      <w:r>
        <w:rPr>
          <w:rFonts w:ascii="Century" w:hAnsi="Century" w:hint="cs"/>
          <w:rtl/>
        </w:rPr>
        <w:t>10</w:t>
      </w:r>
      <w:r w:rsidRPr="001E20EA">
        <w:rPr>
          <w:rFonts w:ascii="Century" w:hAnsi="Century" w:hint="cs"/>
          <w:rtl/>
        </w:rPr>
        <w:t xml:space="preserve"> לפסק דינו של הנשיא (</w:t>
      </w:r>
      <w:proofErr w:type="spellStart"/>
      <w:r w:rsidRPr="001E20EA">
        <w:rPr>
          <w:rFonts w:ascii="Century" w:hAnsi="Century" w:hint="cs"/>
          <w:rtl/>
        </w:rPr>
        <w:t>בדימ</w:t>
      </w:r>
      <w:proofErr w:type="spellEnd"/>
      <w:r w:rsidRPr="001E20EA">
        <w:rPr>
          <w:rFonts w:ascii="Century" w:hAnsi="Century" w:hint="cs"/>
          <w:rtl/>
        </w:rPr>
        <w:t xml:space="preserve">') </w:t>
      </w:r>
      <w:r w:rsidRPr="001E20EA">
        <w:rPr>
          <w:rFonts w:ascii="Century" w:hAnsi="Century" w:cs="Miriam" w:hint="cs"/>
          <w:b/>
          <w:spacing w:val="0"/>
          <w:szCs w:val="24"/>
          <w:rtl/>
        </w:rPr>
        <w:t xml:space="preserve">אשר </w:t>
      </w:r>
      <w:proofErr w:type="spellStart"/>
      <w:r w:rsidRPr="001E20EA">
        <w:rPr>
          <w:rFonts w:ascii="Century" w:hAnsi="Century" w:cs="Miriam" w:hint="cs"/>
          <w:b/>
          <w:spacing w:val="0"/>
          <w:szCs w:val="24"/>
          <w:rtl/>
        </w:rPr>
        <w:t>גרוניס</w:t>
      </w:r>
      <w:proofErr w:type="spellEnd"/>
      <w:r w:rsidRPr="00222514">
        <w:rPr>
          <w:rFonts w:ascii="Arimo" w:hAnsi="Arimo" w:hint="cs"/>
          <w:rtl/>
        </w:rPr>
        <w:t>)</w:t>
      </w:r>
      <w:r w:rsidRPr="00222514">
        <w:rPr>
          <w:rFonts w:ascii="FrankRuehl" w:hAnsi="FrankRuehl" w:hint="cs"/>
          <w:sz w:val="28"/>
          <w:rtl/>
        </w:rPr>
        <w:t>. וכך, כאשר מדובר בשאלה בעלת רגישות ציבורית שאין זה ראוי לאפשר את הדיון בה בדרך אגבית (</w:t>
      </w:r>
      <w:r>
        <w:rPr>
          <w:rFonts w:ascii="Arimo" w:hAnsi="Arimo" w:hint="cs"/>
          <w:rtl/>
        </w:rPr>
        <w:t xml:space="preserve">עניין </w:t>
      </w:r>
      <w:r w:rsidRPr="00F049C5">
        <w:rPr>
          <w:rFonts w:ascii="Century" w:hAnsi="Century" w:cs="Miriam" w:hint="cs"/>
          <w:b/>
          <w:spacing w:val="0"/>
          <w:szCs w:val="24"/>
          <w:rtl/>
        </w:rPr>
        <w:t>גליק</w:t>
      </w:r>
      <w:r>
        <w:rPr>
          <w:rFonts w:ascii="Arimo" w:hAnsi="Arimo" w:hint="cs"/>
          <w:rtl/>
        </w:rPr>
        <w:t xml:space="preserve">, פסקאות 6 ו-38 לפסק דינו של השופט </w:t>
      </w:r>
      <w:r w:rsidRPr="00F049C5">
        <w:rPr>
          <w:rFonts w:ascii="Century" w:hAnsi="Century" w:cs="Miriam" w:hint="cs"/>
          <w:b/>
          <w:spacing w:val="0"/>
          <w:szCs w:val="24"/>
          <w:rtl/>
        </w:rPr>
        <w:t>יצחק עמית</w:t>
      </w:r>
      <w:r>
        <w:rPr>
          <w:rFonts w:ascii="Arimo" w:hAnsi="Arimo" w:hint="cs"/>
          <w:rtl/>
        </w:rPr>
        <w:t xml:space="preserve">; </w:t>
      </w:r>
      <w:r w:rsidRPr="00222514">
        <w:rPr>
          <w:rFonts w:ascii="Arimo" w:hAnsi="Arimo"/>
          <w:rtl/>
        </w:rPr>
        <w:t>בש"א (</w:t>
      </w:r>
      <w:r w:rsidRPr="00222514">
        <w:rPr>
          <w:rFonts w:ascii="Arimo" w:hAnsi="Arimo" w:hint="cs"/>
          <w:rtl/>
        </w:rPr>
        <w:t xml:space="preserve">מחוזי </w:t>
      </w:r>
      <w:r w:rsidRPr="00222514">
        <w:rPr>
          <w:rFonts w:ascii="Arimo" w:hAnsi="Arimo"/>
          <w:rtl/>
        </w:rPr>
        <w:t>י</w:t>
      </w:r>
      <w:r w:rsidRPr="00222514">
        <w:rPr>
          <w:rFonts w:ascii="Arimo" w:hAnsi="Arimo" w:hint="cs"/>
          <w:rtl/>
        </w:rPr>
        <w:t>-</w:t>
      </w:r>
      <w:r w:rsidRPr="00222514">
        <w:rPr>
          <w:rFonts w:ascii="Arimo" w:hAnsi="Arimo"/>
          <w:rtl/>
        </w:rPr>
        <w:t>ם) 4201</w:t>
      </w:r>
      <w:r w:rsidRPr="00222514">
        <w:rPr>
          <w:rFonts w:ascii="Arimo" w:hAnsi="Arimo" w:hint="cs"/>
          <w:rtl/>
        </w:rPr>
        <w:t>/</w:t>
      </w:r>
      <w:r w:rsidRPr="00222514">
        <w:rPr>
          <w:rFonts w:ascii="Arimo" w:hAnsi="Arimo"/>
          <w:rtl/>
        </w:rPr>
        <w:t xml:space="preserve">08 </w:t>
      </w:r>
      <w:r w:rsidRPr="00222514">
        <w:rPr>
          <w:rFonts w:ascii="Century" w:hAnsi="Century" w:cs="Miriam"/>
          <w:b/>
          <w:spacing w:val="0"/>
          <w:szCs w:val="24"/>
          <w:rtl/>
        </w:rPr>
        <w:t xml:space="preserve">מדרשת קדמת ירושלים נ' </w:t>
      </w:r>
      <w:proofErr w:type="spellStart"/>
      <w:r w:rsidRPr="00222514">
        <w:rPr>
          <w:rFonts w:ascii="Century" w:hAnsi="Century" w:cs="Miriam"/>
          <w:b/>
          <w:spacing w:val="0"/>
          <w:szCs w:val="24"/>
          <w:rtl/>
        </w:rPr>
        <w:t>תיאופילוס</w:t>
      </w:r>
      <w:proofErr w:type="spellEnd"/>
      <w:r w:rsidRPr="00222514">
        <w:rPr>
          <w:rFonts w:ascii="Century" w:hAnsi="Century" w:cs="Miriam"/>
          <w:b/>
          <w:spacing w:val="0"/>
          <w:szCs w:val="24"/>
          <w:rtl/>
        </w:rPr>
        <w:t xml:space="preserve"> </w:t>
      </w:r>
      <w:proofErr w:type="spellStart"/>
      <w:r w:rsidRPr="00222514">
        <w:rPr>
          <w:rFonts w:ascii="Century" w:hAnsi="Century" w:cs="Miriam"/>
          <w:b/>
          <w:spacing w:val="0"/>
          <w:szCs w:val="24"/>
          <w:rtl/>
        </w:rPr>
        <w:t>ג'אנופולוס</w:t>
      </w:r>
      <w:proofErr w:type="spellEnd"/>
      <w:r w:rsidRPr="00222514">
        <w:rPr>
          <w:rFonts w:ascii="Arimo" w:hAnsi="Arimo" w:hint="cs"/>
          <w:rtl/>
        </w:rPr>
        <w:t>, פסקה 25 (27.4.2009)</w:t>
      </w:r>
      <w:r w:rsidRPr="00222514">
        <w:rPr>
          <w:rFonts w:ascii="Century" w:hAnsi="Century" w:hint="cs"/>
          <w:rtl/>
        </w:rPr>
        <w:t>).</w:t>
      </w:r>
    </w:p>
    <w:p w:rsidR="00CF54A5" w:rsidRPr="00186410" w:rsidRDefault="00CF54A5" w:rsidP="00CF54A5">
      <w:pPr>
        <w:pStyle w:val="Ruller41"/>
        <w:rPr>
          <w:rtl/>
        </w:rPr>
      </w:pPr>
    </w:p>
    <w:p w:rsidR="00CF54A5" w:rsidRPr="00AE43DC" w:rsidRDefault="00CF54A5" w:rsidP="00CF54A5">
      <w:pPr>
        <w:pStyle w:val="Ruller41"/>
        <w:rPr>
          <w:rtl/>
        </w:rPr>
      </w:pPr>
      <w:r>
        <w:rPr>
          <w:rtl/>
        </w:rPr>
        <w:tab/>
      </w:r>
      <w:r>
        <w:rPr>
          <w:rFonts w:hint="cs"/>
          <w:rtl/>
        </w:rPr>
        <w:t xml:space="preserve">(-) האם הוגדרה בחקיקה דרך מסוימת לקיים ביקורת שיפוטית על המעשה השלטוני </w:t>
      </w:r>
      <w:r>
        <w:rPr>
          <w:rtl/>
        </w:rPr>
        <w:t>–</w:t>
      </w:r>
      <w:r>
        <w:rPr>
          <w:rFonts w:hint="cs"/>
          <w:rtl/>
        </w:rPr>
        <w:t xml:space="preserve"> מקום בו קיימת הוראת חוק מפורשת המורה על דרך ייעודית לתקיפה של המעשה השלטוני, </w:t>
      </w:r>
      <w:r>
        <w:rPr>
          <w:rFonts w:ascii="FrankRuehl" w:hAnsi="FrankRuehl"/>
          <w:sz w:val="28"/>
          <w:rtl/>
        </w:rPr>
        <w:t xml:space="preserve">יהיה זה טעם שלא להיעתר </w:t>
      </w:r>
      <w:r>
        <w:rPr>
          <w:rFonts w:ascii="FrankRuehl" w:hAnsi="FrankRuehl" w:hint="cs"/>
          <w:sz w:val="28"/>
          <w:rtl/>
        </w:rPr>
        <w:t>לבקשת בעל הדין לפעול בדרך אחרת</w:t>
      </w:r>
      <w:r>
        <w:rPr>
          <w:rFonts w:ascii="FrankRuehl" w:hAnsi="FrankRuehl"/>
          <w:sz w:val="28"/>
          <w:rtl/>
        </w:rPr>
        <w:t xml:space="preserve"> </w:t>
      </w:r>
      <w:r w:rsidRPr="00C118E2">
        <w:rPr>
          <w:rFonts w:ascii="FrankRuehl" w:hAnsi="FrankRuehl"/>
          <w:sz w:val="28"/>
          <w:rtl/>
        </w:rPr>
        <w:t xml:space="preserve">(ראו, </w:t>
      </w:r>
      <w:r w:rsidRPr="00C118E2">
        <w:rPr>
          <w:rFonts w:ascii="Arimo" w:hAnsi="Arimo"/>
          <w:rtl/>
        </w:rPr>
        <w:t>ע"א 2665</w:t>
      </w:r>
      <w:r w:rsidRPr="00C118E2">
        <w:rPr>
          <w:rFonts w:ascii="Arimo" w:hAnsi="Arimo" w:hint="cs"/>
          <w:rtl/>
        </w:rPr>
        <w:t>/</w:t>
      </w:r>
      <w:r w:rsidRPr="00C118E2">
        <w:rPr>
          <w:rFonts w:ascii="Arimo" w:hAnsi="Arimo"/>
          <w:rtl/>
        </w:rPr>
        <w:t xml:space="preserve">96 </w:t>
      </w:r>
      <w:r w:rsidRPr="00C118E2">
        <w:rPr>
          <w:rFonts w:ascii="Century" w:hAnsi="Century" w:cs="Miriam"/>
          <w:b/>
          <w:spacing w:val="0"/>
          <w:szCs w:val="24"/>
          <w:rtl/>
        </w:rPr>
        <w:t>חברת החשמל לישראל בע"מ נ' הוועדה המקומית לתכנון ולבנייה חיפה</w:t>
      </w:r>
      <w:r w:rsidRPr="00C118E2">
        <w:rPr>
          <w:rFonts w:ascii="Arimo" w:hAnsi="Arimo"/>
          <w:rtl/>
        </w:rPr>
        <w:t>, פ"ד נב(4) 124</w:t>
      </w:r>
      <w:r w:rsidRPr="00C118E2">
        <w:rPr>
          <w:rFonts w:ascii="Arimo" w:hAnsi="Arimo" w:hint="cs"/>
          <w:rtl/>
        </w:rPr>
        <w:t xml:space="preserve">, 142-141 (1998); </w:t>
      </w:r>
      <w:r>
        <w:rPr>
          <w:rFonts w:ascii="Arimo" w:hAnsi="Arimo" w:hint="cs"/>
          <w:rtl/>
        </w:rPr>
        <w:t xml:space="preserve">עניין </w:t>
      </w:r>
      <w:r w:rsidRPr="009A4C4B">
        <w:rPr>
          <w:rFonts w:ascii="Century" w:hAnsi="Century" w:cs="Miriam" w:hint="cs"/>
          <w:b/>
          <w:spacing w:val="0"/>
          <w:szCs w:val="24"/>
          <w:rtl/>
        </w:rPr>
        <w:t>הראל</w:t>
      </w:r>
      <w:r>
        <w:rPr>
          <w:rFonts w:ascii="Arimo" w:hAnsi="Arimo" w:hint="cs"/>
          <w:rtl/>
        </w:rPr>
        <w:t xml:space="preserve">, בעמ' 648; </w:t>
      </w:r>
      <w:r>
        <w:rPr>
          <w:rFonts w:ascii="Century" w:hAnsi="Century" w:hint="cs"/>
          <w:rtl/>
        </w:rPr>
        <w:t>עניין</w:t>
      </w:r>
      <w:r w:rsidRPr="00C3540F">
        <w:rPr>
          <w:rFonts w:ascii="Century" w:hAnsi="Century"/>
          <w:rtl/>
        </w:rPr>
        <w:t xml:space="preserve"> </w:t>
      </w:r>
      <w:r w:rsidRPr="00C3540F">
        <w:rPr>
          <w:rFonts w:ascii="Century" w:hAnsi="Century" w:cs="Miriam" w:hint="eastAsia"/>
          <w:b/>
          <w:spacing w:val="0"/>
          <w:szCs w:val="24"/>
          <w:rtl/>
        </w:rPr>
        <w:t>עיריית</w:t>
      </w:r>
      <w:r w:rsidRPr="00C3540F">
        <w:rPr>
          <w:rFonts w:ascii="Century" w:hAnsi="Century" w:cs="Miriam"/>
          <w:b/>
          <w:spacing w:val="0"/>
          <w:szCs w:val="24"/>
          <w:rtl/>
        </w:rPr>
        <w:t xml:space="preserve"> </w:t>
      </w:r>
      <w:r w:rsidRPr="00C3540F">
        <w:rPr>
          <w:rFonts w:ascii="Century" w:hAnsi="Century" w:cs="Miriam" w:hint="eastAsia"/>
          <w:b/>
          <w:spacing w:val="0"/>
          <w:szCs w:val="24"/>
          <w:rtl/>
        </w:rPr>
        <w:t>ירושלים</w:t>
      </w:r>
      <w:r>
        <w:rPr>
          <w:rFonts w:ascii="Century" w:hAnsi="Century" w:hint="cs"/>
          <w:rtl/>
        </w:rPr>
        <w:t xml:space="preserve">, פסקה 28; </w:t>
      </w:r>
      <w:r w:rsidRPr="00C118E2">
        <w:rPr>
          <w:rFonts w:ascii="Century" w:hAnsi="Century" w:hint="cs"/>
          <w:rtl/>
        </w:rPr>
        <w:t xml:space="preserve">זמיר, </w:t>
      </w:r>
      <w:r w:rsidRPr="00C118E2">
        <w:rPr>
          <w:rFonts w:ascii="Century" w:hAnsi="Century" w:cs="Miriam" w:hint="cs"/>
          <w:b/>
          <w:spacing w:val="0"/>
          <w:szCs w:val="24"/>
          <w:rtl/>
        </w:rPr>
        <w:t xml:space="preserve">הסמכות </w:t>
      </w:r>
      <w:proofErr w:type="spellStart"/>
      <w:r w:rsidRPr="00C118E2">
        <w:rPr>
          <w:rFonts w:ascii="Century" w:hAnsi="Century" w:cs="Miriam" w:hint="cs"/>
          <w:b/>
          <w:spacing w:val="0"/>
          <w:szCs w:val="24"/>
          <w:rtl/>
        </w:rPr>
        <w:t>המינהלית</w:t>
      </w:r>
      <w:proofErr w:type="spellEnd"/>
      <w:r w:rsidRPr="00C118E2">
        <w:rPr>
          <w:rFonts w:ascii="Century" w:hAnsi="Century" w:hint="cs"/>
          <w:rtl/>
        </w:rPr>
        <w:t>, בעמ' 2688</w:t>
      </w:r>
      <w:r w:rsidRPr="00C118E2">
        <w:rPr>
          <w:rFonts w:ascii="FrankRuehl" w:hAnsi="FrankRuehl"/>
          <w:sz w:val="28"/>
          <w:rtl/>
        </w:rPr>
        <w:t>).</w:t>
      </w:r>
    </w:p>
    <w:p w:rsidR="00CF54A5" w:rsidRDefault="00CF54A5" w:rsidP="00CF54A5">
      <w:pPr>
        <w:pStyle w:val="Ruller4"/>
        <w:numPr>
          <w:ilvl w:val="0"/>
          <w:numId w:val="0"/>
        </w:numPr>
        <w:rPr>
          <w:rFonts w:ascii="Century" w:hAnsi="Century"/>
          <w:rtl/>
        </w:rPr>
      </w:pPr>
    </w:p>
    <w:p w:rsidR="00CF54A5" w:rsidRDefault="00CF54A5" w:rsidP="00CF54A5">
      <w:pPr>
        <w:pStyle w:val="Ruller41"/>
        <w:rPr>
          <w:rtl/>
        </w:rPr>
      </w:pPr>
      <w:r>
        <w:rPr>
          <w:rFonts w:ascii="Century" w:hAnsi="Century"/>
          <w:rtl/>
        </w:rPr>
        <w:tab/>
      </w:r>
      <w:r>
        <w:rPr>
          <w:rFonts w:ascii="Century" w:hAnsi="Century" w:hint="cs"/>
          <w:rtl/>
        </w:rPr>
        <w:t xml:space="preserve">(-) שיקולים הנוגעים להתנהלות בעל הדין המבקש לתקוף את המעשה השלטוני </w:t>
      </w:r>
      <w:r>
        <w:rPr>
          <w:rFonts w:ascii="Century" w:hAnsi="Century"/>
          <w:rtl/>
        </w:rPr>
        <w:t>–</w:t>
      </w:r>
      <w:r>
        <w:rPr>
          <w:rFonts w:ascii="Century" w:hAnsi="Century" w:hint="cs"/>
          <w:rtl/>
        </w:rPr>
        <w:t xml:space="preserve"> האם בעל הדין היה יכול להעמיד את הפגם הנטען לביקורת שיפוטית </w:t>
      </w:r>
      <w:r>
        <w:rPr>
          <w:rFonts w:ascii="Century" w:hAnsi="Century" w:hint="cs"/>
          <w:rtl/>
        </w:rPr>
        <w:lastRenderedPageBreak/>
        <w:t>במסגרת תקיפה ישירה ונמנע מכך (</w:t>
      </w:r>
      <w:r>
        <w:rPr>
          <w:rFonts w:ascii="Arimo" w:hAnsi="Arimo"/>
          <w:rtl/>
        </w:rPr>
        <w:t>ע</w:t>
      </w:r>
      <w:r>
        <w:rPr>
          <w:rFonts w:ascii="Arimo" w:hAnsi="Arimo" w:hint="cs"/>
          <w:rtl/>
        </w:rPr>
        <w:t>ניין</w:t>
      </w:r>
      <w:r w:rsidRPr="009A4C4B">
        <w:rPr>
          <w:rFonts w:ascii="Century" w:hAnsi="Century" w:cs="Miriam"/>
          <w:b/>
          <w:spacing w:val="0"/>
          <w:szCs w:val="24"/>
          <w:rtl/>
        </w:rPr>
        <w:t xml:space="preserve"> </w:t>
      </w:r>
      <w:proofErr w:type="spellStart"/>
      <w:r w:rsidRPr="009A4C4B">
        <w:rPr>
          <w:rFonts w:ascii="Century" w:hAnsi="Century" w:cs="Miriam"/>
          <w:b/>
          <w:spacing w:val="0"/>
          <w:szCs w:val="24"/>
          <w:rtl/>
        </w:rPr>
        <w:t>בידאת</w:t>
      </w:r>
      <w:proofErr w:type="spellEnd"/>
      <w:r w:rsidRPr="009A4C4B">
        <w:rPr>
          <w:rFonts w:ascii="Arimo" w:hAnsi="Arimo" w:hint="cs"/>
          <w:rtl/>
        </w:rPr>
        <w:t xml:space="preserve">, חוות דעתו של השופט (כתוארו אז) </w:t>
      </w:r>
      <w:r w:rsidRPr="009A4C4B">
        <w:rPr>
          <w:rFonts w:ascii="Century" w:hAnsi="Century" w:cs="Miriam" w:hint="cs"/>
          <w:b/>
          <w:spacing w:val="0"/>
          <w:szCs w:val="24"/>
          <w:rtl/>
        </w:rPr>
        <w:t xml:space="preserve">אשר </w:t>
      </w:r>
      <w:proofErr w:type="spellStart"/>
      <w:r w:rsidRPr="009A4C4B">
        <w:rPr>
          <w:rFonts w:ascii="Century" w:hAnsi="Century" w:cs="Miriam" w:hint="cs"/>
          <w:b/>
          <w:spacing w:val="0"/>
          <w:szCs w:val="24"/>
          <w:rtl/>
        </w:rPr>
        <w:t>גרוניס</w:t>
      </w:r>
      <w:proofErr w:type="spellEnd"/>
      <w:r w:rsidRPr="009A4C4B">
        <w:rPr>
          <w:rFonts w:ascii="Arimo" w:hAnsi="Arimo" w:hint="cs"/>
          <w:rtl/>
        </w:rPr>
        <w:t>;</w:t>
      </w:r>
      <w:r w:rsidRPr="009A4C4B">
        <w:rPr>
          <w:rFonts w:ascii="FrankRuehl" w:hAnsi="FrankRuehl"/>
          <w:sz w:val="28"/>
          <w:rtl/>
        </w:rPr>
        <w:t xml:space="preserve"> </w:t>
      </w:r>
      <w:r>
        <w:rPr>
          <w:rFonts w:ascii="Arimo" w:hAnsi="Arimo"/>
          <w:rtl/>
        </w:rPr>
        <w:t>בר"מ 7363</w:t>
      </w:r>
      <w:r>
        <w:rPr>
          <w:rFonts w:ascii="Arimo" w:hAnsi="Arimo" w:hint="cs"/>
          <w:rtl/>
        </w:rPr>
        <w:t>/</w:t>
      </w:r>
      <w:r>
        <w:rPr>
          <w:rFonts w:ascii="Arimo" w:hAnsi="Arimo"/>
          <w:rtl/>
        </w:rPr>
        <w:t xml:space="preserve">09 </w:t>
      </w:r>
      <w:r w:rsidRPr="002C0481">
        <w:rPr>
          <w:rFonts w:ascii="Century" w:hAnsi="Century" w:cs="Miriam"/>
          <w:b/>
          <w:spacing w:val="0"/>
          <w:szCs w:val="24"/>
          <w:rtl/>
        </w:rPr>
        <w:t>מרכז משען בע"מ נ' עיריית תל אביב יפו</w:t>
      </w:r>
      <w:r>
        <w:rPr>
          <w:rFonts w:ascii="Arimo" w:hAnsi="Arimo" w:hint="cs"/>
          <w:rtl/>
        </w:rPr>
        <w:t xml:space="preserve">, פסקה 8 (2.3.2010); </w:t>
      </w:r>
      <w:r w:rsidRPr="009A4C4B">
        <w:rPr>
          <w:rFonts w:ascii="Arimo" w:hAnsi="Arimo"/>
          <w:rtl/>
        </w:rPr>
        <w:t>ע"א 7958</w:t>
      </w:r>
      <w:r w:rsidRPr="009A4C4B">
        <w:rPr>
          <w:rFonts w:ascii="Arimo" w:hAnsi="Arimo" w:hint="cs"/>
          <w:rtl/>
        </w:rPr>
        <w:t>/</w:t>
      </w:r>
      <w:r w:rsidRPr="009A4C4B">
        <w:rPr>
          <w:rFonts w:ascii="Arimo" w:hAnsi="Arimo"/>
          <w:rtl/>
        </w:rPr>
        <w:t xml:space="preserve">10 </w:t>
      </w:r>
      <w:r w:rsidRPr="009A4C4B">
        <w:rPr>
          <w:rFonts w:ascii="Century" w:hAnsi="Century" w:cs="Miriam"/>
          <w:b/>
          <w:spacing w:val="0"/>
          <w:szCs w:val="24"/>
          <w:rtl/>
        </w:rPr>
        <w:t>פלאפון תקשורת בע"מ נ' מדינת ישראל</w:t>
      </w:r>
      <w:r w:rsidRPr="009A4C4B">
        <w:rPr>
          <w:rFonts w:hint="cs"/>
          <w:rtl/>
        </w:rPr>
        <w:t>, פסקה ל"א (1.8.2012)</w:t>
      </w:r>
      <w:r>
        <w:rPr>
          <w:rFonts w:ascii="Century" w:hAnsi="Century" w:hint="cs"/>
          <w:rtl/>
        </w:rPr>
        <w:t xml:space="preserve"> (להלן: </w:t>
      </w:r>
      <w:r w:rsidRPr="00780F60">
        <w:rPr>
          <w:rFonts w:ascii="Century" w:hAnsi="Century" w:cs="Miriam" w:hint="cs"/>
          <w:b/>
          <w:spacing w:val="0"/>
          <w:szCs w:val="24"/>
          <w:rtl/>
        </w:rPr>
        <w:t>עניין פלאפון</w:t>
      </w:r>
      <w:r>
        <w:rPr>
          <w:rFonts w:ascii="Century" w:hAnsi="Century" w:hint="cs"/>
          <w:rtl/>
        </w:rPr>
        <w:t>)</w:t>
      </w:r>
      <w:r w:rsidRPr="009A4C4B">
        <w:rPr>
          <w:rFonts w:ascii="Century" w:hAnsi="Century" w:hint="cs"/>
          <w:rtl/>
        </w:rPr>
        <w:t>);</w:t>
      </w:r>
      <w:r>
        <w:rPr>
          <w:rFonts w:ascii="Century" w:hAnsi="Century" w:hint="cs"/>
          <w:rtl/>
        </w:rPr>
        <w:t xml:space="preserve"> והאם בעל הדין עשה דין לעצמו ופעל בניגוד למעשה השלטוני אותו הוא מבקש </w:t>
      </w:r>
      <w:r w:rsidRPr="002C0481">
        <w:rPr>
          <w:rFonts w:ascii="Century" w:hAnsi="Century" w:hint="cs"/>
          <w:rtl/>
        </w:rPr>
        <w:t>לתקוף</w:t>
      </w:r>
      <w:r w:rsidRPr="002C0481">
        <w:rPr>
          <w:rFonts w:ascii="FrankRuehl" w:hAnsi="FrankRuehl"/>
          <w:sz w:val="28"/>
          <w:rtl/>
        </w:rPr>
        <w:t xml:space="preserve"> (</w:t>
      </w:r>
      <w:r w:rsidRPr="002C0481">
        <w:rPr>
          <w:rFonts w:ascii="FrankRuehl" w:hAnsi="FrankRuehl" w:hint="cs"/>
          <w:sz w:val="28"/>
          <w:rtl/>
        </w:rPr>
        <w:t xml:space="preserve">עניין </w:t>
      </w:r>
      <w:r w:rsidRPr="002C0481">
        <w:rPr>
          <w:rFonts w:ascii="Century" w:hAnsi="Century" w:cs="Miriam" w:hint="cs"/>
          <w:b/>
          <w:spacing w:val="0"/>
          <w:szCs w:val="24"/>
          <w:rtl/>
        </w:rPr>
        <w:t>הראל</w:t>
      </w:r>
      <w:r w:rsidRPr="002C0481">
        <w:rPr>
          <w:rFonts w:ascii="FrankRuehl" w:hAnsi="FrankRuehl" w:hint="cs"/>
          <w:sz w:val="28"/>
          <w:rtl/>
        </w:rPr>
        <w:t xml:space="preserve">, בעמ' 650; </w:t>
      </w:r>
      <w:r w:rsidRPr="002C0481">
        <w:rPr>
          <w:rFonts w:ascii="Arimo" w:hAnsi="Arimo"/>
          <w:rtl/>
        </w:rPr>
        <w:t>בג"ץ 3483</w:t>
      </w:r>
      <w:r w:rsidRPr="002C0481">
        <w:rPr>
          <w:rFonts w:ascii="Arimo" w:hAnsi="Arimo" w:hint="cs"/>
          <w:rtl/>
        </w:rPr>
        <w:t>/</w:t>
      </w:r>
      <w:r w:rsidRPr="002C0481">
        <w:rPr>
          <w:rFonts w:ascii="Arimo" w:hAnsi="Arimo"/>
          <w:rtl/>
        </w:rPr>
        <w:t xml:space="preserve">05 </w:t>
      </w:r>
      <w:proofErr w:type="spellStart"/>
      <w:r w:rsidRPr="002C0481">
        <w:rPr>
          <w:rFonts w:ascii="Century" w:hAnsi="Century" w:cs="Miriam"/>
          <w:b/>
          <w:spacing w:val="0"/>
          <w:szCs w:val="24"/>
          <w:rtl/>
        </w:rPr>
        <w:t>די.בי.אס</w:t>
      </w:r>
      <w:proofErr w:type="spellEnd"/>
      <w:r w:rsidRPr="002C0481">
        <w:rPr>
          <w:rFonts w:ascii="Century" w:hAnsi="Century" w:cs="Miriam"/>
          <w:b/>
          <w:spacing w:val="0"/>
          <w:szCs w:val="24"/>
          <w:rtl/>
        </w:rPr>
        <w:t xml:space="preserve">. שרותי </w:t>
      </w:r>
      <w:proofErr w:type="spellStart"/>
      <w:r w:rsidRPr="002C0481">
        <w:rPr>
          <w:rFonts w:ascii="Century" w:hAnsi="Century" w:cs="Miriam"/>
          <w:b/>
          <w:spacing w:val="0"/>
          <w:szCs w:val="24"/>
          <w:rtl/>
        </w:rPr>
        <w:t>לווין</w:t>
      </w:r>
      <w:proofErr w:type="spellEnd"/>
      <w:r w:rsidRPr="002C0481">
        <w:rPr>
          <w:rFonts w:ascii="Century" w:hAnsi="Century" w:cs="Miriam"/>
          <w:b/>
          <w:spacing w:val="0"/>
          <w:szCs w:val="24"/>
          <w:rtl/>
        </w:rPr>
        <w:t xml:space="preserve"> (1998)</w:t>
      </w:r>
      <w:r>
        <w:rPr>
          <w:rFonts w:ascii="Century" w:hAnsi="Century" w:cs="Miriam" w:hint="cs"/>
          <w:b/>
          <w:spacing w:val="0"/>
          <w:szCs w:val="24"/>
          <w:rtl/>
        </w:rPr>
        <w:t xml:space="preserve"> </w:t>
      </w:r>
      <w:r w:rsidRPr="002C0481">
        <w:rPr>
          <w:rFonts w:ascii="Century" w:hAnsi="Century" w:cs="Miriam"/>
          <w:b/>
          <w:spacing w:val="0"/>
          <w:szCs w:val="24"/>
          <w:rtl/>
        </w:rPr>
        <w:t>בע"מ נ' שרת התקשורת</w:t>
      </w:r>
      <w:r w:rsidRPr="002C0481">
        <w:rPr>
          <w:rFonts w:ascii="Arimo" w:hAnsi="Arimo" w:hint="cs"/>
          <w:rtl/>
        </w:rPr>
        <w:t>, פסקה 20 (9.9.2007)).</w:t>
      </w:r>
    </w:p>
    <w:p w:rsidR="00CF54A5" w:rsidRDefault="00CF54A5" w:rsidP="00CF54A5">
      <w:pPr>
        <w:pStyle w:val="Ruller41"/>
        <w:rPr>
          <w:rtl/>
        </w:rPr>
      </w:pPr>
    </w:p>
    <w:p w:rsidR="00CF54A5" w:rsidRDefault="00CF54A5" w:rsidP="00CF54A5">
      <w:pPr>
        <w:pStyle w:val="Ruller41"/>
        <w:rPr>
          <w:rFonts w:cs="Arial TUR"/>
          <w:szCs w:val="22"/>
          <w:rtl/>
        </w:rPr>
      </w:pPr>
      <w:r>
        <w:rPr>
          <w:rFonts w:ascii="Century" w:hAnsi="Century"/>
          <w:rtl/>
        </w:rPr>
        <w:tab/>
      </w:r>
      <w:r>
        <w:rPr>
          <w:rFonts w:ascii="Century" w:hAnsi="Century" w:hint="cs"/>
          <w:rtl/>
        </w:rPr>
        <w:t xml:space="preserve">(-) שיקולי צדק </w:t>
      </w:r>
      <w:r>
        <w:rPr>
          <w:rFonts w:ascii="Century" w:hAnsi="Century"/>
          <w:rtl/>
        </w:rPr>
        <w:t>–</w:t>
      </w:r>
      <w:r>
        <w:rPr>
          <w:rFonts w:ascii="Century" w:hAnsi="Century" w:hint="cs"/>
          <w:rtl/>
        </w:rPr>
        <w:t xml:space="preserve"> במסגרת זו ישקלו נסיבותיו האישיות של המבקש לתקוף את המעשה השלטוני, כגון האם מדובר בגורם בעל כוח ומידע או שמא בפרט </w:t>
      </w:r>
      <w:r w:rsidRPr="000430EC">
        <w:rPr>
          <w:rFonts w:ascii="Century" w:hAnsi="Century" w:hint="cs"/>
          <w:rtl/>
        </w:rPr>
        <w:t>מוחלש (</w:t>
      </w:r>
      <w:r>
        <w:rPr>
          <w:rFonts w:ascii="Arimo" w:hAnsi="Arimo" w:hint="cs"/>
          <w:rtl/>
        </w:rPr>
        <w:t xml:space="preserve">השוו: </w:t>
      </w:r>
      <w:r w:rsidRPr="000430EC">
        <w:rPr>
          <w:rFonts w:ascii="Arimo" w:hAnsi="Arimo"/>
          <w:rtl/>
        </w:rPr>
        <w:t>ע</w:t>
      </w:r>
      <w:r>
        <w:rPr>
          <w:rFonts w:ascii="Arimo" w:hAnsi="Arimo" w:hint="cs"/>
          <w:rtl/>
        </w:rPr>
        <w:t>ניין</w:t>
      </w:r>
      <w:r w:rsidRPr="009A4C4B">
        <w:rPr>
          <w:rFonts w:ascii="Arimo" w:hAnsi="Arimo"/>
          <w:rtl/>
        </w:rPr>
        <w:t xml:space="preserve"> </w:t>
      </w:r>
      <w:r w:rsidRPr="009A4C4B">
        <w:rPr>
          <w:rFonts w:ascii="Century" w:hAnsi="Century" w:cs="Miriam"/>
          <w:b/>
          <w:spacing w:val="0"/>
          <w:szCs w:val="24"/>
          <w:rtl/>
        </w:rPr>
        <w:t>פלאפון</w:t>
      </w:r>
      <w:r w:rsidRPr="009A4C4B">
        <w:rPr>
          <w:rFonts w:hint="cs"/>
          <w:rtl/>
        </w:rPr>
        <w:t>, פסקה ל"</w:t>
      </w:r>
      <w:r>
        <w:rPr>
          <w:rFonts w:hint="cs"/>
          <w:rtl/>
        </w:rPr>
        <w:t xml:space="preserve">ג; עניין </w:t>
      </w:r>
      <w:r w:rsidRPr="00C91F16">
        <w:rPr>
          <w:rFonts w:asciiTheme="majorBidi" w:hAnsiTheme="majorBidi" w:cstheme="majorBidi"/>
          <w:b/>
          <w:spacing w:val="0"/>
          <w:szCs w:val="24"/>
        </w:rPr>
        <w:t>HUMAN RIGHTS WATCH</w:t>
      </w:r>
      <w:r w:rsidRPr="00C91F16">
        <w:rPr>
          <w:rFonts w:ascii="Century" w:hAnsi="Century" w:hint="cs"/>
          <w:rtl/>
        </w:rPr>
        <w:t>, פסק</w:t>
      </w:r>
      <w:r>
        <w:rPr>
          <w:rFonts w:ascii="Century" w:hAnsi="Century" w:hint="cs"/>
          <w:rtl/>
        </w:rPr>
        <w:t xml:space="preserve">ה 10); האם הייתה לו אפשרות מעשית להביא את טענותיו במסגרת תקיפה ישירה </w:t>
      </w:r>
      <w:r>
        <w:rPr>
          <w:rFonts w:ascii="FrankRuehl" w:hAnsi="FrankRuehl"/>
          <w:sz w:val="28"/>
          <w:rtl/>
        </w:rPr>
        <w:t>(</w:t>
      </w:r>
      <w:r w:rsidRPr="001E20EA">
        <w:rPr>
          <w:rFonts w:ascii="Century" w:hAnsi="Century" w:hint="cs"/>
          <w:rtl/>
        </w:rPr>
        <w:t xml:space="preserve">עניין </w:t>
      </w:r>
      <w:r w:rsidRPr="00006120">
        <w:rPr>
          <w:rFonts w:ascii="Century" w:hAnsi="Century" w:cs="Miriam" w:hint="cs"/>
          <w:b/>
          <w:spacing w:val="0"/>
          <w:szCs w:val="24"/>
          <w:rtl/>
        </w:rPr>
        <w:t xml:space="preserve">אבו </w:t>
      </w:r>
      <w:proofErr w:type="spellStart"/>
      <w:r w:rsidRPr="00006120">
        <w:rPr>
          <w:rFonts w:ascii="Century" w:hAnsi="Century" w:cs="Miriam" w:hint="cs"/>
          <w:b/>
          <w:spacing w:val="0"/>
          <w:szCs w:val="24"/>
          <w:rtl/>
        </w:rPr>
        <w:t>פריח</w:t>
      </w:r>
      <w:proofErr w:type="spellEnd"/>
      <w:r>
        <w:rPr>
          <w:rFonts w:ascii="Century" w:hAnsi="Century" w:hint="cs"/>
          <w:rtl/>
        </w:rPr>
        <w:t xml:space="preserve">, </w:t>
      </w:r>
      <w:r w:rsidRPr="001E20EA">
        <w:rPr>
          <w:rFonts w:ascii="Century" w:hAnsi="Century" w:hint="cs"/>
          <w:rtl/>
        </w:rPr>
        <w:t xml:space="preserve">פסקה </w:t>
      </w:r>
      <w:r>
        <w:rPr>
          <w:rFonts w:ascii="Century" w:hAnsi="Century" w:hint="cs"/>
          <w:rtl/>
        </w:rPr>
        <w:t>10</w:t>
      </w:r>
      <w:r w:rsidRPr="001E20EA">
        <w:rPr>
          <w:rFonts w:ascii="Century" w:hAnsi="Century" w:hint="cs"/>
          <w:rtl/>
        </w:rPr>
        <w:t xml:space="preserve"> לפסק דינו של הנשיא (</w:t>
      </w:r>
      <w:proofErr w:type="spellStart"/>
      <w:r w:rsidRPr="001E20EA">
        <w:rPr>
          <w:rFonts w:ascii="Century" w:hAnsi="Century" w:hint="cs"/>
          <w:rtl/>
        </w:rPr>
        <w:t>בדימ</w:t>
      </w:r>
      <w:proofErr w:type="spellEnd"/>
      <w:r w:rsidRPr="001E20EA">
        <w:rPr>
          <w:rFonts w:ascii="Century" w:hAnsi="Century" w:hint="cs"/>
          <w:rtl/>
        </w:rPr>
        <w:t xml:space="preserve">') </w:t>
      </w:r>
      <w:r w:rsidRPr="001E20EA">
        <w:rPr>
          <w:rFonts w:ascii="Century" w:hAnsi="Century" w:cs="Miriam" w:hint="cs"/>
          <w:b/>
          <w:spacing w:val="0"/>
          <w:szCs w:val="24"/>
          <w:rtl/>
        </w:rPr>
        <w:t xml:space="preserve">אשר </w:t>
      </w:r>
      <w:proofErr w:type="spellStart"/>
      <w:r w:rsidRPr="001E20EA">
        <w:rPr>
          <w:rFonts w:ascii="Century" w:hAnsi="Century" w:cs="Miriam" w:hint="cs"/>
          <w:b/>
          <w:spacing w:val="0"/>
          <w:szCs w:val="24"/>
          <w:rtl/>
        </w:rPr>
        <w:t>גרוניס</w:t>
      </w:r>
      <w:proofErr w:type="spellEnd"/>
      <w:r>
        <w:rPr>
          <w:rFonts w:ascii="Century" w:hAnsi="Century" w:hint="cs"/>
          <w:rtl/>
        </w:rPr>
        <w:t>); וכן תיבחן חומרת הפגם, כך שככל שהפגם המיוחס למ</w:t>
      </w:r>
      <w:r w:rsidR="00565269">
        <w:rPr>
          <w:rFonts w:ascii="Century" w:hAnsi="Century" w:hint="cs"/>
          <w:rtl/>
        </w:rPr>
        <w:t>עשה השלטוני הוא חמור יותר, כך ת</w:t>
      </w:r>
      <w:r>
        <w:rPr>
          <w:rFonts w:ascii="Century" w:hAnsi="Century" w:hint="cs"/>
          <w:rtl/>
        </w:rPr>
        <w:t>גבר הנטייה להידרש לטענות המועלות נגדו בתקיפה עקיפה</w:t>
      </w:r>
      <w:r>
        <w:rPr>
          <w:rFonts w:ascii="FrankRuehl" w:hAnsi="FrankRuehl"/>
          <w:sz w:val="28"/>
          <w:rtl/>
        </w:rPr>
        <w:t xml:space="preserve"> </w:t>
      </w:r>
      <w:r>
        <w:rPr>
          <w:rFonts w:ascii="Century" w:hAnsi="Century" w:hint="cs"/>
          <w:rtl/>
        </w:rPr>
        <w:t xml:space="preserve">אף שהיה מקום להעלותן בתקיפה ישירה </w:t>
      </w:r>
      <w:r>
        <w:rPr>
          <w:rFonts w:ascii="FrankRuehl" w:hAnsi="FrankRuehl"/>
          <w:sz w:val="28"/>
          <w:rtl/>
        </w:rPr>
        <w:t>(</w:t>
      </w:r>
      <w:r>
        <w:rPr>
          <w:rFonts w:ascii="Arimo" w:hAnsi="Arimo" w:hint="cs"/>
          <w:rtl/>
        </w:rPr>
        <w:t xml:space="preserve">עניין </w:t>
      </w:r>
      <w:r w:rsidRPr="000430EC">
        <w:rPr>
          <w:rFonts w:ascii="Century" w:hAnsi="Century" w:cs="Miriam" w:hint="cs"/>
          <w:b/>
          <w:spacing w:val="0"/>
          <w:szCs w:val="24"/>
          <w:rtl/>
        </w:rPr>
        <w:t>הראל</w:t>
      </w:r>
      <w:r>
        <w:rPr>
          <w:rFonts w:ascii="Arimo" w:hAnsi="Arimo" w:hint="cs"/>
          <w:rtl/>
        </w:rPr>
        <w:t>, בעמ' 650; עניין</w:t>
      </w:r>
      <w:r w:rsidRPr="009A4C4B">
        <w:rPr>
          <w:rFonts w:ascii="Arimo" w:hAnsi="Arimo"/>
          <w:rtl/>
        </w:rPr>
        <w:t xml:space="preserve"> </w:t>
      </w:r>
      <w:r w:rsidRPr="009A4C4B">
        <w:rPr>
          <w:rFonts w:ascii="Century" w:hAnsi="Century" w:cs="Miriam"/>
          <w:b/>
          <w:spacing w:val="0"/>
          <w:szCs w:val="24"/>
          <w:rtl/>
        </w:rPr>
        <w:t>פלאפון</w:t>
      </w:r>
      <w:r w:rsidRPr="009A4C4B">
        <w:rPr>
          <w:rFonts w:hint="cs"/>
          <w:rtl/>
        </w:rPr>
        <w:t>, פסקה ל"</w:t>
      </w:r>
      <w:r>
        <w:rPr>
          <w:rFonts w:hint="cs"/>
          <w:rtl/>
        </w:rPr>
        <w:t>ב</w:t>
      </w:r>
      <w:r>
        <w:rPr>
          <w:rFonts w:ascii="FrankRuehl" w:hAnsi="FrankRuehl" w:hint="cs"/>
          <w:sz w:val="28"/>
          <w:rtl/>
        </w:rPr>
        <w:t xml:space="preserve">; </w:t>
      </w:r>
      <w:r w:rsidRPr="001E20EA">
        <w:rPr>
          <w:rFonts w:ascii="Century" w:hAnsi="Century" w:hint="cs"/>
          <w:rtl/>
        </w:rPr>
        <w:t xml:space="preserve">עניין </w:t>
      </w:r>
      <w:r w:rsidRPr="00006120">
        <w:rPr>
          <w:rFonts w:ascii="Century" w:hAnsi="Century" w:cs="Miriam" w:hint="cs"/>
          <w:b/>
          <w:spacing w:val="0"/>
          <w:szCs w:val="24"/>
          <w:rtl/>
        </w:rPr>
        <w:t xml:space="preserve">אבו </w:t>
      </w:r>
      <w:proofErr w:type="spellStart"/>
      <w:r w:rsidRPr="00006120">
        <w:rPr>
          <w:rFonts w:ascii="Century" w:hAnsi="Century" w:cs="Miriam" w:hint="cs"/>
          <w:b/>
          <w:spacing w:val="0"/>
          <w:szCs w:val="24"/>
          <w:rtl/>
        </w:rPr>
        <w:t>פריח</w:t>
      </w:r>
      <w:proofErr w:type="spellEnd"/>
      <w:r>
        <w:rPr>
          <w:rFonts w:ascii="Century" w:hAnsi="Century" w:hint="cs"/>
          <w:rtl/>
        </w:rPr>
        <w:t xml:space="preserve">, </w:t>
      </w:r>
      <w:r w:rsidRPr="001E20EA">
        <w:rPr>
          <w:rFonts w:ascii="Century" w:hAnsi="Century" w:hint="cs"/>
          <w:rtl/>
        </w:rPr>
        <w:t xml:space="preserve">פסקה </w:t>
      </w:r>
      <w:r>
        <w:rPr>
          <w:rFonts w:ascii="Century" w:hAnsi="Century" w:hint="cs"/>
          <w:rtl/>
        </w:rPr>
        <w:t>10</w:t>
      </w:r>
      <w:r w:rsidRPr="001E20EA">
        <w:rPr>
          <w:rFonts w:ascii="Century" w:hAnsi="Century" w:hint="cs"/>
          <w:rtl/>
        </w:rPr>
        <w:t xml:space="preserve"> לפסק דינו של הנשיא (</w:t>
      </w:r>
      <w:proofErr w:type="spellStart"/>
      <w:r w:rsidRPr="001E20EA">
        <w:rPr>
          <w:rFonts w:ascii="Century" w:hAnsi="Century" w:hint="cs"/>
          <w:rtl/>
        </w:rPr>
        <w:t>בדימ</w:t>
      </w:r>
      <w:proofErr w:type="spellEnd"/>
      <w:r w:rsidRPr="001E20EA">
        <w:rPr>
          <w:rFonts w:ascii="Century" w:hAnsi="Century" w:hint="cs"/>
          <w:rtl/>
        </w:rPr>
        <w:t xml:space="preserve">') </w:t>
      </w:r>
      <w:r w:rsidRPr="001E20EA">
        <w:rPr>
          <w:rFonts w:ascii="Century" w:hAnsi="Century" w:cs="Miriam" w:hint="cs"/>
          <w:b/>
          <w:spacing w:val="0"/>
          <w:szCs w:val="24"/>
          <w:rtl/>
        </w:rPr>
        <w:t xml:space="preserve">אשר </w:t>
      </w:r>
      <w:proofErr w:type="spellStart"/>
      <w:r w:rsidRPr="001E20EA">
        <w:rPr>
          <w:rFonts w:ascii="Century" w:hAnsi="Century" w:cs="Miriam" w:hint="cs"/>
          <w:b/>
          <w:spacing w:val="0"/>
          <w:szCs w:val="24"/>
          <w:rtl/>
        </w:rPr>
        <w:t>גרוניס</w:t>
      </w:r>
      <w:proofErr w:type="spellEnd"/>
      <w:r>
        <w:rPr>
          <w:rFonts w:ascii="FrankRuehl" w:hAnsi="FrankRuehl" w:hint="cs"/>
          <w:sz w:val="28"/>
          <w:rtl/>
        </w:rPr>
        <w:t xml:space="preserve">). </w:t>
      </w:r>
    </w:p>
    <w:p w:rsidR="00CF54A5" w:rsidRPr="009A4C4B" w:rsidRDefault="00CF54A5" w:rsidP="00CF54A5">
      <w:pPr>
        <w:pStyle w:val="Ruller41"/>
        <w:rPr>
          <w:rFonts w:ascii="Century" w:hAnsi="Century"/>
          <w:rtl/>
        </w:rPr>
      </w:pPr>
    </w:p>
    <w:p w:rsidR="00CF54A5" w:rsidRPr="00E42F66" w:rsidRDefault="00CF54A5" w:rsidP="00CF54A5">
      <w:pPr>
        <w:pStyle w:val="Ruller41"/>
        <w:rPr>
          <w:rFonts w:ascii="Century" w:hAnsi="Century"/>
          <w:rtl/>
        </w:rPr>
      </w:pPr>
      <w:r>
        <w:rPr>
          <w:rFonts w:ascii="Century" w:hAnsi="Century"/>
          <w:rtl/>
        </w:rPr>
        <w:tab/>
      </w:r>
      <w:r>
        <w:rPr>
          <w:rFonts w:ascii="Century" w:hAnsi="Century" w:hint="cs"/>
          <w:rtl/>
        </w:rPr>
        <w:t>ויובהר, שיקולים אלה אינם ממצים, ובסופו של דבר, ההחלטה האם לאפשר ביקורת שיפוטית בדרך שנבחרה תוכרע בכל מקרה בהתאם לנסיבותיו</w:t>
      </w:r>
      <w:r>
        <w:rPr>
          <w:rFonts w:ascii="Arimo" w:hAnsi="Arimo" w:hint="cs"/>
          <w:rtl/>
        </w:rPr>
        <w:t xml:space="preserve"> (זמיר, </w:t>
      </w:r>
      <w:r w:rsidRPr="002C69D1">
        <w:rPr>
          <w:rFonts w:cs="Miriam" w:hint="cs"/>
          <w:b/>
          <w:spacing w:val="0"/>
          <w:szCs w:val="24"/>
          <w:rtl/>
        </w:rPr>
        <w:t xml:space="preserve">הסמכות </w:t>
      </w:r>
      <w:proofErr w:type="spellStart"/>
      <w:r w:rsidRPr="002C69D1">
        <w:rPr>
          <w:rFonts w:cs="Miriam" w:hint="cs"/>
          <w:b/>
          <w:spacing w:val="0"/>
          <w:szCs w:val="24"/>
          <w:rtl/>
        </w:rPr>
        <w:t>המינהלית</w:t>
      </w:r>
      <w:proofErr w:type="spellEnd"/>
      <w:r>
        <w:rPr>
          <w:rFonts w:ascii="Arimo" w:hAnsi="Arimo" w:hint="cs"/>
          <w:rtl/>
        </w:rPr>
        <w:t>, בעמ' 2667).</w:t>
      </w:r>
    </w:p>
    <w:p w:rsidR="00CF54A5" w:rsidRDefault="00CF54A5" w:rsidP="00CF54A5">
      <w:pPr>
        <w:pStyle w:val="Ruller41"/>
        <w:rPr>
          <w:rFonts w:ascii="Century" w:hAnsi="Century"/>
          <w:rtl/>
        </w:rPr>
      </w:pPr>
    </w:p>
    <w:p w:rsidR="00CF54A5" w:rsidRDefault="00CF54A5" w:rsidP="00CF54A5">
      <w:pPr>
        <w:pStyle w:val="Ruller4"/>
        <w:rPr>
          <w:rtl/>
        </w:rPr>
      </w:pPr>
      <w:r>
        <w:rPr>
          <w:rFonts w:hint="cs"/>
          <w:rtl/>
        </w:rPr>
        <w:t xml:space="preserve">עוד יצוין כי גם כאשר מאפשר בית המשפט את בירורו של עניין מסוים במסגרת של תקיפה עקיפה, לבחירה בין תקיפה ישירה לבין תקיפה עקיפה תהיה, מטבע הדברים, גם השלכה על גבולות הסעד שייפסק ושיקול הדעת </w:t>
      </w:r>
      <w:r w:rsidRPr="001E669C">
        <w:rPr>
          <w:rFonts w:hint="cs"/>
          <w:rtl/>
        </w:rPr>
        <w:t>בנתינתו (</w:t>
      </w:r>
      <w:r>
        <w:rPr>
          <w:rFonts w:hint="cs"/>
          <w:rtl/>
        </w:rPr>
        <w:t>עניין</w:t>
      </w:r>
      <w:r w:rsidRPr="001E669C">
        <w:rPr>
          <w:rtl/>
        </w:rPr>
        <w:t xml:space="preserve"> </w:t>
      </w:r>
      <w:r w:rsidRPr="001E669C">
        <w:rPr>
          <w:rFonts w:ascii="Century" w:hAnsi="Century" w:cs="Miriam" w:hint="eastAsia"/>
          <w:b/>
          <w:spacing w:val="0"/>
          <w:sz w:val="22"/>
          <w:szCs w:val="24"/>
          <w:rtl/>
        </w:rPr>
        <w:t>אור</w:t>
      </w:r>
      <w:r w:rsidRPr="001E669C">
        <w:rPr>
          <w:rFonts w:ascii="Century" w:hAnsi="Century" w:cs="Miriam"/>
          <w:b/>
          <w:spacing w:val="0"/>
          <w:sz w:val="22"/>
          <w:szCs w:val="24"/>
          <w:rtl/>
        </w:rPr>
        <w:t xml:space="preserve"> </w:t>
      </w:r>
      <w:r w:rsidRPr="001E669C">
        <w:rPr>
          <w:rFonts w:ascii="Century" w:hAnsi="Century" w:cs="Miriam" w:hint="eastAsia"/>
          <w:b/>
          <w:spacing w:val="0"/>
          <w:sz w:val="22"/>
          <w:szCs w:val="24"/>
          <w:rtl/>
        </w:rPr>
        <w:t>עקיבא</w:t>
      </w:r>
      <w:r w:rsidRPr="001E669C">
        <w:rPr>
          <w:rFonts w:hint="cs"/>
          <w:rtl/>
        </w:rPr>
        <w:t>, פסקה 25</w:t>
      </w:r>
      <w:r>
        <w:rPr>
          <w:rFonts w:hint="cs"/>
          <w:rtl/>
        </w:rPr>
        <w:t xml:space="preserve"> והאסמכתאות המובאות שם</w:t>
      </w:r>
      <w:r w:rsidRPr="001E669C">
        <w:rPr>
          <w:rFonts w:hint="cs"/>
          <w:rtl/>
        </w:rPr>
        <w:t>).</w:t>
      </w:r>
      <w:r>
        <w:rPr>
          <w:rFonts w:hint="cs"/>
          <w:rtl/>
        </w:rPr>
        <w:t xml:space="preserve"> </w:t>
      </w:r>
    </w:p>
    <w:p w:rsidR="00CF54A5" w:rsidRDefault="00CF54A5" w:rsidP="00CF54A5">
      <w:pPr>
        <w:pStyle w:val="Ruller41"/>
        <w:rPr>
          <w:rFonts w:ascii="Century" w:hAnsi="Century"/>
          <w:rtl/>
        </w:rPr>
      </w:pPr>
    </w:p>
    <w:p w:rsidR="00CF54A5" w:rsidRPr="00C623DF" w:rsidRDefault="00CF54A5" w:rsidP="00CF54A5">
      <w:pPr>
        <w:pStyle w:val="Ruller4"/>
        <w:rPr>
          <w:rFonts w:ascii="Arimo" w:hAnsi="Arimo"/>
        </w:rPr>
      </w:pPr>
      <w:r>
        <w:rPr>
          <w:rFonts w:hint="cs"/>
          <w:rtl/>
        </w:rPr>
        <w:t xml:space="preserve">שאלת אופן התקיפה של מעשה שלטוני התעוררה לא אחת גם בהקשר של דיני המס. הייחודיות בהקשר זה היא העובדה כי טענות בעל הדין (ובהקשר של דיני המס </w:t>
      </w:r>
      <w:r>
        <w:rPr>
          <w:rtl/>
        </w:rPr>
        <w:t>–</w:t>
      </w:r>
      <w:r>
        <w:rPr>
          <w:rFonts w:hint="cs"/>
          <w:rtl/>
        </w:rPr>
        <w:t xml:space="preserve"> הנישום) הן ברובם המכריע של המקרים נוגעות במישרין </w:t>
      </w:r>
      <w:proofErr w:type="spellStart"/>
      <w:r>
        <w:rPr>
          <w:rFonts w:hint="cs"/>
          <w:rtl/>
        </w:rPr>
        <w:t>לחבותם</w:t>
      </w:r>
      <w:proofErr w:type="spellEnd"/>
      <w:r>
        <w:rPr>
          <w:rFonts w:hint="cs"/>
          <w:rtl/>
        </w:rPr>
        <w:t xml:space="preserve"> במס, בין אם לסכום המס, לשיעורו או לעצם החבות בו. ואכן, באותם מקרים שבהם מתגלעת מחלוקת בין הנישום לבין רשויות המס בקשר לשומה שהוצאה לנישום, חוקי המס השונים קובעים את הדרך להגשת השגה וערעור על החבות במס, בין אם לבית המשפט האזרחי, ובין אם בהגשת השגה למנהל, לפקיד השומה או לוועדת הערר תחילה, ולאחר </w:t>
      </w:r>
      <w:r>
        <w:rPr>
          <w:rFonts w:hint="cs"/>
          <w:rtl/>
        </w:rPr>
        <w:lastRenderedPageBreak/>
        <w:t>מכן</w:t>
      </w:r>
      <w:r w:rsidRPr="00693B4F">
        <w:rPr>
          <w:rFonts w:hint="cs"/>
          <w:rtl/>
        </w:rPr>
        <w:t xml:space="preserve">, וככל שהנישום אינו מרוצה מההחלטה </w:t>
      </w:r>
      <w:r>
        <w:rPr>
          <w:rFonts w:hint="cs"/>
          <w:rtl/>
        </w:rPr>
        <w:t>בהשגה</w:t>
      </w:r>
      <w:r w:rsidRPr="00693B4F">
        <w:rPr>
          <w:rFonts w:hint="cs"/>
          <w:rtl/>
        </w:rPr>
        <w:t xml:space="preserve">, הגשת ערעור </w:t>
      </w:r>
      <w:r>
        <w:rPr>
          <w:rFonts w:hint="cs"/>
          <w:rtl/>
        </w:rPr>
        <w:t>לערכאה האזרחית</w:t>
      </w:r>
      <w:r w:rsidRPr="00693B4F">
        <w:rPr>
          <w:rFonts w:hint="cs"/>
          <w:rtl/>
        </w:rPr>
        <w:t xml:space="preserve"> המוסמ</w:t>
      </w:r>
      <w:r>
        <w:rPr>
          <w:rFonts w:hint="cs"/>
          <w:rtl/>
        </w:rPr>
        <w:t>כת</w:t>
      </w:r>
      <w:r w:rsidRPr="00693B4F">
        <w:rPr>
          <w:rFonts w:hint="cs"/>
          <w:rtl/>
        </w:rPr>
        <w:t xml:space="preserve"> (ראו</w:t>
      </w:r>
      <w:r>
        <w:rPr>
          <w:rFonts w:hint="cs"/>
          <w:rtl/>
        </w:rPr>
        <w:t xml:space="preserve">, </w:t>
      </w:r>
      <w:r w:rsidRPr="00AF7200">
        <w:rPr>
          <w:rFonts w:hint="cs"/>
          <w:rtl/>
        </w:rPr>
        <w:t>למשל, סעיפים 150 ו-153(א) לפקודת מס הכנסה;</w:t>
      </w:r>
      <w:r>
        <w:rPr>
          <w:rFonts w:hint="cs"/>
          <w:rtl/>
        </w:rPr>
        <w:t xml:space="preserve"> סעיף 154 לפקודת המכס [נוסח חדש]; סעיף 5ח לחוק מס קניה (טובין ושירותים), התשי"ב-1952; סעיפים 90-87 לחוק מיסוי מקרקעין (שבח ורכישה), התשכ"ג-1963; סעיפים 83-82 ל</w:t>
      </w:r>
      <w:r w:rsidRPr="002805DD">
        <w:rPr>
          <w:rFonts w:hint="eastAsia"/>
          <w:rtl/>
        </w:rPr>
        <w:t>חוק</w:t>
      </w:r>
      <w:r w:rsidRPr="002805DD">
        <w:rPr>
          <w:rtl/>
        </w:rPr>
        <w:t xml:space="preserve"> </w:t>
      </w:r>
      <w:r w:rsidRPr="002805DD">
        <w:rPr>
          <w:rFonts w:hint="eastAsia"/>
          <w:rtl/>
        </w:rPr>
        <w:t>מס</w:t>
      </w:r>
      <w:r w:rsidRPr="002805DD">
        <w:rPr>
          <w:rtl/>
        </w:rPr>
        <w:t xml:space="preserve"> </w:t>
      </w:r>
      <w:r w:rsidRPr="002805DD">
        <w:rPr>
          <w:rFonts w:hint="eastAsia"/>
          <w:rtl/>
        </w:rPr>
        <w:t>ערך</w:t>
      </w:r>
      <w:r w:rsidRPr="002805DD">
        <w:rPr>
          <w:rtl/>
        </w:rPr>
        <w:t xml:space="preserve"> </w:t>
      </w:r>
      <w:r w:rsidRPr="002805DD">
        <w:rPr>
          <w:rFonts w:hint="eastAsia"/>
          <w:rtl/>
        </w:rPr>
        <w:t>מוסף</w:t>
      </w:r>
      <w:r w:rsidRPr="002805DD">
        <w:rPr>
          <w:rtl/>
        </w:rPr>
        <w:t xml:space="preserve">, </w:t>
      </w:r>
      <w:r>
        <w:rPr>
          <w:rFonts w:hint="cs"/>
          <w:rtl/>
        </w:rPr>
        <w:t>ה</w:t>
      </w:r>
      <w:r w:rsidRPr="002805DD">
        <w:rPr>
          <w:rFonts w:hint="eastAsia"/>
          <w:rtl/>
        </w:rPr>
        <w:t>תשל</w:t>
      </w:r>
      <w:r w:rsidRPr="002805DD">
        <w:rPr>
          <w:rtl/>
        </w:rPr>
        <w:t>"</w:t>
      </w:r>
      <w:r w:rsidRPr="002805DD">
        <w:rPr>
          <w:rFonts w:hint="eastAsia"/>
          <w:rtl/>
        </w:rPr>
        <w:t>ו</w:t>
      </w:r>
      <w:r w:rsidRPr="002805DD">
        <w:rPr>
          <w:rtl/>
        </w:rPr>
        <w:t>-1975</w:t>
      </w:r>
      <w:r>
        <w:rPr>
          <w:rFonts w:hint="cs"/>
          <w:rtl/>
        </w:rPr>
        <w:t xml:space="preserve">). מכאן, ובהינתן השיקול שהוזכר לעיל, לפיו יש לבכר את הדרך הייעודית שנקבעה בהוראת חוק מפורשת, נקודת המוצא היא כי על דרך הכלל, אין מקום להתיר לנישום לתקוף את החיוב במס בדרך אחרת מזו שהוגדרה. בעקבות זאת, מרבית המחלוקות בין הנישומים ובין רשויות המס מתבררות בבתי המשפט האזרחיים, כאשר </w:t>
      </w:r>
      <w:r>
        <w:rPr>
          <w:rFonts w:ascii="Century" w:hAnsi="Century" w:hint="cs"/>
          <w:rtl/>
        </w:rPr>
        <w:t>ה</w:t>
      </w:r>
      <w:r w:rsidRPr="003C76EA">
        <w:rPr>
          <w:rFonts w:ascii="Century" w:hAnsi="Century" w:hint="eastAsia"/>
          <w:rtl/>
        </w:rPr>
        <w:t>וּתַּר</w:t>
      </w:r>
      <w:r>
        <w:rPr>
          <w:rFonts w:ascii="Century" w:hAnsi="Century" w:hint="cs"/>
          <w:rtl/>
        </w:rPr>
        <w:t xml:space="preserve"> </w:t>
      </w:r>
      <w:r>
        <w:rPr>
          <w:rFonts w:hint="cs"/>
          <w:rtl/>
        </w:rPr>
        <w:t xml:space="preserve">לנישומים להעלות מנעד רחב של טענות כנגד </w:t>
      </w:r>
      <w:proofErr w:type="spellStart"/>
      <w:r>
        <w:rPr>
          <w:rFonts w:hint="cs"/>
          <w:rtl/>
        </w:rPr>
        <w:t>חבותם</w:t>
      </w:r>
      <w:proofErr w:type="spellEnd"/>
      <w:r>
        <w:rPr>
          <w:rFonts w:hint="cs"/>
          <w:rtl/>
        </w:rPr>
        <w:t xml:space="preserve"> במס, </w:t>
      </w:r>
      <w:r w:rsidR="00565269">
        <w:rPr>
          <w:rFonts w:hint="cs"/>
          <w:rtl/>
        </w:rPr>
        <w:t>ובכלל זאת טענות במישור החוקתי-מ</w:t>
      </w:r>
      <w:r>
        <w:rPr>
          <w:rFonts w:hint="cs"/>
          <w:rtl/>
        </w:rPr>
        <w:t>נהלי (</w:t>
      </w:r>
      <w:r>
        <w:rPr>
          <w:rFonts w:ascii="Arimo" w:hAnsi="Arimo" w:hint="cs"/>
          <w:rtl/>
        </w:rPr>
        <w:t xml:space="preserve">ראו, למשל: </w:t>
      </w:r>
      <w:r w:rsidRPr="00590B4C">
        <w:rPr>
          <w:rFonts w:ascii="Arimo" w:hAnsi="Arimo" w:hint="eastAsia"/>
          <w:rtl/>
        </w:rPr>
        <w:t>בג</w:t>
      </w:r>
      <w:r w:rsidRPr="00590B4C">
        <w:rPr>
          <w:rFonts w:ascii="Arimo" w:hAnsi="Arimo"/>
          <w:rtl/>
        </w:rPr>
        <w:t>"</w:t>
      </w:r>
      <w:r w:rsidRPr="00590B4C">
        <w:rPr>
          <w:rFonts w:ascii="Arimo" w:hAnsi="Arimo" w:hint="eastAsia"/>
          <w:rtl/>
        </w:rPr>
        <w:t>ץ</w:t>
      </w:r>
      <w:r w:rsidRPr="00590B4C">
        <w:rPr>
          <w:rFonts w:ascii="Arimo" w:hAnsi="Arimo"/>
          <w:rtl/>
        </w:rPr>
        <w:t xml:space="preserve"> 474</w:t>
      </w:r>
      <w:r>
        <w:rPr>
          <w:rFonts w:ascii="Arimo" w:hAnsi="Arimo" w:hint="cs"/>
          <w:rtl/>
        </w:rPr>
        <w:t>/</w:t>
      </w:r>
      <w:r w:rsidRPr="00590B4C">
        <w:rPr>
          <w:rFonts w:ascii="Arimo" w:hAnsi="Arimo"/>
          <w:rtl/>
        </w:rPr>
        <w:t xml:space="preserve">71 </w:t>
      </w:r>
      <w:r w:rsidRPr="00590B4C">
        <w:rPr>
          <w:rFonts w:ascii="Century" w:hAnsi="Century" w:cs="Miriam" w:hint="eastAsia"/>
          <w:b/>
          <w:spacing w:val="0"/>
          <w:sz w:val="22"/>
          <w:szCs w:val="24"/>
          <w:rtl/>
        </w:rPr>
        <w:t>בן</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אליהו</w:t>
      </w:r>
      <w:r w:rsidRPr="00590B4C">
        <w:rPr>
          <w:rFonts w:ascii="Century" w:hAnsi="Century" w:cs="Miriam" w:hint="cs"/>
          <w:b/>
          <w:spacing w:val="0"/>
          <w:sz w:val="22"/>
          <w:szCs w:val="24"/>
          <w:rtl/>
        </w:rPr>
        <w:t xml:space="preserve"> </w:t>
      </w:r>
      <w:r w:rsidRPr="00590B4C">
        <w:rPr>
          <w:rFonts w:ascii="Century" w:hAnsi="Century" w:cs="Miriam" w:hint="eastAsia"/>
          <w:b/>
          <w:spacing w:val="0"/>
          <w:sz w:val="22"/>
          <w:szCs w:val="24"/>
          <w:rtl/>
        </w:rPr>
        <w:t>נ</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הוועדה</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המקומית</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לתכנון</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ולבניה</w:t>
      </w:r>
      <w:r w:rsidRPr="00590B4C">
        <w:rPr>
          <w:rFonts w:ascii="Century" w:hAnsi="Century" w:cs="Miriam"/>
          <w:b/>
          <w:spacing w:val="0"/>
          <w:sz w:val="22"/>
          <w:szCs w:val="24"/>
          <w:rtl/>
        </w:rPr>
        <w:t xml:space="preserve">, </w:t>
      </w:r>
      <w:r w:rsidRPr="00590B4C">
        <w:rPr>
          <w:rFonts w:ascii="Century" w:hAnsi="Century" w:cs="Miriam" w:hint="eastAsia"/>
          <w:b/>
          <w:spacing w:val="0"/>
          <w:sz w:val="22"/>
          <w:szCs w:val="24"/>
          <w:rtl/>
        </w:rPr>
        <w:t>רעננה</w:t>
      </w:r>
      <w:r w:rsidRPr="00590B4C">
        <w:rPr>
          <w:rFonts w:ascii="Arimo" w:hAnsi="Arimo"/>
          <w:rtl/>
        </w:rPr>
        <w:t xml:space="preserve">, </w:t>
      </w:r>
      <w:r w:rsidRPr="00590B4C">
        <w:rPr>
          <w:rFonts w:ascii="Arimo" w:hAnsi="Arimo" w:hint="eastAsia"/>
          <w:rtl/>
        </w:rPr>
        <w:t>פ</w:t>
      </w:r>
      <w:r w:rsidRPr="00590B4C">
        <w:rPr>
          <w:rFonts w:ascii="Arimo" w:hAnsi="Arimo"/>
          <w:rtl/>
        </w:rPr>
        <w:t>"</w:t>
      </w:r>
      <w:r w:rsidRPr="00590B4C">
        <w:rPr>
          <w:rFonts w:ascii="Arimo" w:hAnsi="Arimo" w:hint="eastAsia"/>
          <w:rtl/>
        </w:rPr>
        <w:t>ד</w:t>
      </w:r>
      <w:r w:rsidRPr="00590B4C">
        <w:rPr>
          <w:rFonts w:ascii="Arimo" w:hAnsi="Arimo"/>
          <w:rtl/>
        </w:rPr>
        <w:t xml:space="preserve"> </w:t>
      </w:r>
      <w:proofErr w:type="spellStart"/>
      <w:r w:rsidRPr="00590B4C">
        <w:rPr>
          <w:rFonts w:ascii="Arimo" w:hAnsi="Arimo" w:hint="eastAsia"/>
          <w:rtl/>
        </w:rPr>
        <w:t>כו</w:t>
      </w:r>
      <w:proofErr w:type="spellEnd"/>
      <w:r>
        <w:rPr>
          <w:rFonts w:ascii="Arimo" w:hAnsi="Arimo"/>
          <w:rtl/>
        </w:rPr>
        <w:t>(1) 522</w:t>
      </w:r>
      <w:r>
        <w:rPr>
          <w:rFonts w:ascii="Arimo" w:hAnsi="Arimo" w:hint="cs"/>
          <w:rtl/>
        </w:rPr>
        <w:t xml:space="preserve">, 523 (1972); </w:t>
      </w:r>
      <w:r>
        <w:rPr>
          <w:rFonts w:ascii="Arimo" w:hAnsi="Arimo"/>
          <w:rtl/>
        </w:rPr>
        <w:t>ע"א 367</w:t>
      </w:r>
      <w:r>
        <w:rPr>
          <w:rFonts w:ascii="Arimo" w:hAnsi="Arimo" w:hint="cs"/>
          <w:rtl/>
        </w:rPr>
        <w:t>/</w:t>
      </w:r>
      <w:r>
        <w:rPr>
          <w:rFonts w:ascii="Arimo" w:hAnsi="Arimo"/>
          <w:rtl/>
        </w:rPr>
        <w:t xml:space="preserve">85 </w:t>
      </w:r>
      <w:r w:rsidRPr="00147293">
        <w:rPr>
          <w:rFonts w:ascii="Century" w:hAnsi="Century" w:cs="Miriam"/>
          <w:b/>
          <w:spacing w:val="0"/>
          <w:szCs w:val="24"/>
          <w:rtl/>
        </w:rPr>
        <w:t xml:space="preserve">מדינת ישראל נ' </w:t>
      </w:r>
      <w:proofErr w:type="spellStart"/>
      <w:r w:rsidRPr="00147293">
        <w:rPr>
          <w:rFonts w:ascii="Century" w:hAnsi="Century" w:cs="Miriam"/>
          <w:b/>
          <w:spacing w:val="0"/>
          <w:szCs w:val="24"/>
          <w:rtl/>
        </w:rPr>
        <w:t>קיטאי</w:t>
      </w:r>
      <w:proofErr w:type="spellEnd"/>
      <w:r>
        <w:rPr>
          <w:rFonts w:ascii="Arimo" w:hAnsi="Arimo"/>
          <w:rtl/>
        </w:rPr>
        <w:t>,</w:t>
      </w:r>
      <w:r>
        <w:rPr>
          <w:rFonts w:ascii="Arimo" w:hAnsi="Arimo" w:hint="cs"/>
          <w:rtl/>
        </w:rPr>
        <w:t xml:space="preserve"> פ"ד</w:t>
      </w:r>
      <w:r>
        <w:rPr>
          <w:rFonts w:ascii="Arimo" w:hAnsi="Arimo"/>
          <w:rtl/>
        </w:rPr>
        <w:t xml:space="preserve"> </w:t>
      </w:r>
      <w:proofErr w:type="spellStart"/>
      <w:r>
        <w:rPr>
          <w:rFonts w:ascii="Arimo" w:hAnsi="Arimo"/>
          <w:rtl/>
        </w:rPr>
        <w:t>מא</w:t>
      </w:r>
      <w:proofErr w:type="spellEnd"/>
      <w:r>
        <w:rPr>
          <w:rFonts w:ascii="Arimo" w:hAnsi="Arimo"/>
          <w:rtl/>
        </w:rPr>
        <w:t>(3) 398</w:t>
      </w:r>
      <w:r>
        <w:rPr>
          <w:rFonts w:hint="cs"/>
          <w:rtl/>
        </w:rPr>
        <w:t>, 401 (1987</w:t>
      </w:r>
      <w:r w:rsidRPr="000F6A3E">
        <w:rPr>
          <w:rFonts w:hint="cs"/>
          <w:rtl/>
        </w:rPr>
        <w:t xml:space="preserve">); </w:t>
      </w:r>
      <w:r w:rsidRPr="000F6A3E">
        <w:rPr>
          <w:rFonts w:ascii="Arimo" w:hAnsi="Arimo"/>
          <w:rtl/>
        </w:rPr>
        <w:t>רע"א 483</w:t>
      </w:r>
      <w:r w:rsidRPr="000F6A3E">
        <w:rPr>
          <w:rFonts w:ascii="Arimo" w:hAnsi="Arimo" w:hint="cs"/>
          <w:rtl/>
        </w:rPr>
        <w:t>/</w:t>
      </w:r>
      <w:r w:rsidRPr="000F6A3E">
        <w:rPr>
          <w:rFonts w:ascii="Arimo" w:hAnsi="Arimo"/>
          <w:rtl/>
        </w:rPr>
        <w:t xml:space="preserve">88 </w:t>
      </w:r>
      <w:r w:rsidRPr="000F6A3E">
        <w:rPr>
          <w:rFonts w:ascii="Century" w:hAnsi="Century" w:cs="Miriam"/>
          <w:b/>
          <w:spacing w:val="0"/>
          <w:sz w:val="22"/>
          <w:szCs w:val="24"/>
          <w:rtl/>
        </w:rPr>
        <w:t>מפעלים פטרוכימיים בע"מ נ' מדינת ישראל - אגף המכס והבלו</w:t>
      </w:r>
      <w:r w:rsidRPr="000F6A3E">
        <w:rPr>
          <w:rFonts w:ascii="Arimo" w:hAnsi="Arimo"/>
          <w:rtl/>
        </w:rPr>
        <w:t>,</w:t>
      </w:r>
      <w:r w:rsidRPr="000F6A3E">
        <w:rPr>
          <w:rFonts w:ascii="Arimo" w:hAnsi="Arimo" w:hint="cs"/>
          <w:rtl/>
        </w:rPr>
        <w:t xml:space="preserve"> פ"ד</w:t>
      </w:r>
      <w:r w:rsidRPr="000F6A3E">
        <w:rPr>
          <w:rFonts w:ascii="Arimo" w:hAnsi="Arimo"/>
          <w:rtl/>
        </w:rPr>
        <w:t xml:space="preserve"> מד(3) 812</w:t>
      </w:r>
      <w:r w:rsidRPr="000F6A3E">
        <w:rPr>
          <w:rFonts w:ascii="Arimo" w:hAnsi="Arimo" w:hint="cs"/>
          <w:rtl/>
        </w:rPr>
        <w:t>, 815 (1990);</w:t>
      </w:r>
      <w:r>
        <w:rPr>
          <w:rFonts w:hint="cs"/>
          <w:rtl/>
        </w:rPr>
        <w:t xml:space="preserve"> ע"א 5065/06 </w:t>
      </w:r>
      <w:r w:rsidRPr="00EC0918">
        <w:rPr>
          <w:rFonts w:ascii="Century" w:hAnsi="Century" w:cs="Miriam" w:hint="cs"/>
          <w:b/>
          <w:spacing w:val="0"/>
          <w:sz w:val="22"/>
          <w:szCs w:val="24"/>
          <w:rtl/>
        </w:rPr>
        <w:t xml:space="preserve">מסעדת הקדרים בע"מ נ' פקיד השומה </w:t>
      </w:r>
      <w:r w:rsidRPr="00EC0918">
        <w:rPr>
          <w:rFonts w:ascii="Century" w:hAnsi="Century" w:cs="Miriam"/>
          <w:b/>
          <w:spacing w:val="0"/>
          <w:sz w:val="22"/>
          <w:szCs w:val="24"/>
          <w:rtl/>
        </w:rPr>
        <w:t>–</w:t>
      </w:r>
      <w:r w:rsidRPr="00EC0918">
        <w:rPr>
          <w:rFonts w:ascii="Century" w:hAnsi="Century" w:cs="Miriam" w:hint="cs"/>
          <w:b/>
          <w:spacing w:val="0"/>
          <w:sz w:val="22"/>
          <w:szCs w:val="24"/>
          <w:rtl/>
        </w:rPr>
        <w:t xml:space="preserve"> חיפה </w:t>
      </w:r>
      <w:r>
        <w:rPr>
          <w:rFonts w:hint="cs"/>
          <w:rtl/>
        </w:rPr>
        <w:t xml:space="preserve">(19.3.2007); </w:t>
      </w:r>
      <w:r w:rsidRPr="00C623DF">
        <w:rPr>
          <w:rFonts w:ascii="Arimo" w:hAnsi="Arimo"/>
          <w:rtl/>
        </w:rPr>
        <w:t>בג"ץ 6972</w:t>
      </w:r>
      <w:r w:rsidRPr="00C623DF">
        <w:rPr>
          <w:rFonts w:ascii="Arimo" w:hAnsi="Arimo" w:hint="cs"/>
          <w:rtl/>
        </w:rPr>
        <w:t>/</w:t>
      </w:r>
      <w:r w:rsidRPr="00C623DF">
        <w:rPr>
          <w:rFonts w:ascii="Arimo" w:hAnsi="Arimo"/>
          <w:rtl/>
        </w:rPr>
        <w:t xml:space="preserve">07 </w:t>
      </w:r>
      <w:r w:rsidRPr="00C623DF">
        <w:rPr>
          <w:rFonts w:ascii="Century" w:hAnsi="Century" w:cs="Miriam"/>
          <w:b/>
          <w:spacing w:val="0"/>
          <w:sz w:val="22"/>
          <w:szCs w:val="24"/>
          <w:rtl/>
        </w:rPr>
        <w:t xml:space="preserve">עו"ד </w:t>
      </w:r>
      <w:proofErr w:type="spellStart"/>
      <w:r w:rsidRPr="00C623DF">
        <w:rPr>
          <w:rFonts w:ascii="Century" w:hAnsi="Century" w:cs="Miriam"/>
          <w:b/>
          <w:spacing w:val="0"/>
          <w:sz w:val="22"/>
          <w:szCs w:val="24"/>
          <w:rtl/>
        </w:rPr>
        <w:t>לקסר</w:t>
      </w:r>
      <w:proofErr w:type="spellEnd"/>
      <w:r w:rsidRPr="00C623DF">
        <w:rPr>
          <w:rFonts w:ascii="Century" w:hAnsi="Century" w:cs="Miriam"/>
          <w:b/>
          <w:spacing w:val="0"/>
          <w:sz w:val="22"/>
          <w:szCs w:val="24"/>
          <w:rtl/>
        </w:rPr>
        <w:t xml:space="preserve"> נ' שר האוצר</w:t>
      </w:r>
      <w:r w:rsidRPr="00C623DF">
        <w:rPr>
          <w:rFonts w:hint="cs"/>
          <w:rtl/>
        </w:rPr>
        <w:t>, פסקה 29 (22.3.2009);</w:t>
      </w:r>
      <w:r w:rsidRPr="00C623DF">
        <w:rPr>
          <w:rFonts w:ascii="Arimo" w:hAnsi="Arimo" w:hint="cs"/>
          <w:rtl/>
        </w:rPr>
        <w:t xml:space="preserve"> </w:t>
      </w:r>
      <w:r w:rsidRPr="00C623DF">
        <w:rPr>
          <w:rFonts w:ascii="Arimo" w:hAnsi="Arimo"/>
          <w:rtl/>
        </w:rPr>
        <w:t>ע"א 151</w:t>
      </w:r>
      <w:r w:rsidRPr="00C623DF">
        <w:rPr>
          <w:rFonts w:ascii="Arimo" w:hAnsi="Arimo" w:hint="cs"/>
          <w:rtl/>
        </w:rPr>
        <w:t>/</w:t>
      </w:r>
      <w:r w:rsidRPr="00C623DF">
        <w:rPr>
          <w:rFonts w:ascii="Arimo" w:hAnsi="Arimo"/>
          <w:rtl/>
        </w:rPr>
        <w:t xml:space="preserve">10 </w:t>
      </w:r>
      <w:r w:rsidRPr="00C623DF">
        <w:rPr>
          <w:rFonts w:ascii="Century" w:hAnsi="Century" w:cs="Miriam"/>
          <w:b/>
          <w:spacing w:val="0"/>
          <w:szCs w:val="24"/>
          <w:rtl/>
        </w:rPr>
        <w:t>מנהל מיסוי מקרקעין אזור תל אביב נ' עיריית תל אביב</w:t>
      </w:r>
      <w:r w:rsidRPr="00C623DF">
        <w:rPr>
          <w:rFonts w:hint="cs"/>
          <w:rtl/>
        </w:rPr>
        <w:t>, פסקה 49 (20.6.2012)</w:t>
      </w:r>
      <w:r>
        <w:rPr>
          <w:rFonts w:hint="cs"/>
          <w:rtl/>
        </w:rPr>
        <w:t xml:space="preserve">; </w:t>
      </w:r>
      <w:r w:rsidRPr="00C623DF">
        <w:rPr>
          <w:rFonts w:ascii="Arimo" w:hAnsi="Arimo"/>
          <w:rtl/>
        </w:rPr>
        <w:t>ע"א 3901</w:t>
      </w:r>
      <w:r w:rsidRPr="00C623DF">
        <w:rPr>
          <w:rFonts w:ascii="Arimo" w:hAnsi="Arimo" w:hint="cs"/>
          <w:rtl/>
        </w:rPr>
        <w:t>/</w:t>
      </w:r>
      <w:r w:rsidRPr="00C623DF">
        <w:rPr>
          <w:rFonts w:ascii="Arimo" w:hAnsi="Arimo"/>
          <w:rtl/>
        </w:rPr>
        <w:t xml:space="preserve">11 </w:t>
      </w:r>
      <w:proofErr w:type="spellStart"/>
      <w:r w:rsidRPr="00C623DF">
        <w:rPr>
          <w:rFonts w:ascii="Century" w:hAnsi="Century" w:cs="Miriam"/>
          <w:b/>
          <w:spacing w:val="0"/>
          <w:sz w:val="22"/>
          <w:szCs w:val="24"/>
          <w:rtl/>
        </w:rPr>
        <w:t>מחקשווילי</w:t>
      </w:r>
      <w:proofErr w:type="spellEnd"/>
      <w:r w:rsidRPr="00C623DF">
        <w:rPr>
          <w:rFonts w:ascii="Century" w:hAnsi="Century" w:cs="Miriam"/>
          <w:b/>
          <w:spacing w:val="0"/>
          <w:sz w:val="22"/>
          <w:szCs w:val="24"/>
          <w:rtl/>
        </w:rPr>
        <w:t xml:space="preserve"> נ' רשות המיסים בישראל</w:t>
      </w:r>
      <w:r w:rsidRPr="00C623DF">
        <w:rPr>
          <w:rFonts w:ascii="Arimo" w:hAnsi="Arimo" w:hint="cs"/>
          <w:rtl/>
        </w:rPr>
        <w:t>, פסקה 26 (7.8.2012)</w:t>
      </w:r>
      <w:r>
        <w:rPr>
          <w:rFonts w:ascii="Arimo" w:hAnsi="Arimo" w:hint="cs"/>
          <w:rtl/>
        </w:rPr>
        <w:t xml:space="preserve"> (להלן: </w:t>
      </w:r>
      <w:r w:rsidRPr="0087792A">
        <w:rPr>
          <w:rFonts w:ascii="Century" w:hAnsi="Century" w:cs="Miriam" w:hint="cs"/>
          <w:b/>
          <w:spacing w:val="0"/>
          <w:sz w:val="22"/>
          <w:szCs w:val="24"/>
          <w:rtl/>
        </w:rPr>
        <w:t xml:space="preserve">עניין </w:t>
      </w:r>
      <w:proofErr w:type="spellStart"/>
      <w:r w:rsidRPr="0087792A">
        <w:rPr>
          <w:rFonts w:ascii="Century" w:hAnsi="Century" w:cs="Miriam" w:hint="cs"/>
          <w:b/>
          <w:spacing w:val="0"/>
          <w:sz w:val="22"/>
          <w:szCs w:val="24"/>
          <w:rtl/>
        </w:rPr>
        <w:t>מחקשווילי</w:t>
      </w:r>
      <w:proofErr w:type="spellEnd"/>
      <w:r>
        <w:rPr>
          <w:rFonts w:ascii="Arimo" w:hAnsi="Arimo" w:hint="cs"/>
          <w:rtl/>
        </w:rPr>
        <w:t>)</w:t>
      </w:r>
      <w:r w:rsidRPr="00C623DF">
        <w:rPr>
          <w:rFonts w:ascii="Arimo" w:hAnsi="Arimo" w:hint="cs"/>
          <w:rtl/>
        </w:rPr>
        <w:t>;</w:t>
      </w:r>
      <w:r w:rsidRPr="00C623DF">
        <w:rPr>
          <w:rFonts w:hint="cs"/>
          <w:rtl/>
        </w:rPr>
        <w:t xml:space="preserve"> </w:t>
      </w:r>
      <w:r w:rsidRPr="00C623DF">
        <w:rPr>
          <w:rFonts w:ascii="Arimo" w:hAnsi="Arimo" w:hint="eastAsia"/>
          <w:rtl/>
        </w:rPr>
        <w:t>בג</w:t>
      </w:r>
      <w:r w:rsidRPr="00C623DF">
        <w:rPr>
          <w:rFonts w:ascii="Arimo" w:hAnsi="Arimo"/>
          <w:rtl/>
        </w:rPr>
        <w:t>"</w:t>
      </w:r>
      <w:r w:rsidRPr="00C623DF">
        <w:rPr>
          <w:rFonts w:ascii="Arimo" w:hAnsi="Arimo" w:hint="eastAsia"/>
          <w:rtl/>
        </w:rPr>
        <w:t>ץ</w:t>
      </w:r>
      <w:r w:rsidRPr="00C623DF">
        <w:rPr>
          <w:rFonts w:ascii="Arimo" w:hAnsi="Arimo"/>
          <w:rtl/>
        </w:rPr>
        <w:t xml:space="preserve"> 2762/22 </w:t>
      </w:r>
      <w:r w:rsidRPr="00C623DF">
        <w:rPr>
          <w:rFonts w:ascii="Century" w:hAnsi="Century" w:cs="Miriam" w:hint="eastAsia"/>
          <w:b/>
          <w:spacing w:val="0"/>
          <w:sz w:val="22"/>
          <w:szCs w:val="24"/>
          <w:rtl/>
        </w:rPr>
        <w:t>אלי</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פתיה</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יבוא</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ושיווק</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בע</w:t>
      </w:r>
      <w:r w:rsidRPr="00C623DF">
        <w:rPr>
          <w:rFonts w:ascii="Century" w:hAnsi="Century" w:cs="Miriam"/>
          <w:b/>
          <w:spacing w:val="0"/>
          <w:sz w:val="22"/>
          <w:szCs w:val="24"/>
          <w:rtl/>
        </w:rPr>
        <w:t>"</w:t>
      </w:r>
      <w:r w:rsidRPr="00C623DF">
        <w:rPr>
          <w:rFonts w:ascii="Century" w:hAnsi="Century" w:cs="Miriam" w:hint="eastAsia"/>
          <w:b/>
          <w:spacing w:val="0"/>
          <w:sz w:val="22"/>
          <w:szCs w:val="24"/>
          <w:rtl/>
        </w:rPr>
        <w:t>מ</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נ</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מנהל</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רשות</w:t>
      </w:r>
      <w:r w:rsidRPr="00C623DF">
        <w:rPr>
          <w:rFonts w:ascii="Century" w:hAnsi="Century" w:cs="Miriam"/>
          <w:b/>
          <w:spacing w:val="0"/>
          <w:sz w:val="22"/>
          <w:szCs w:val="24"/>
          <w:rtl/>
        </w:rPr>
        <w:t xml:space="preserve"> </w:t>
      </w:r>
      <w:r w:rsidRPr="00C623DF">
        <w:rPr>
          <w:rFonts w:ascii="Century" w:hAnsi="Century" w:cs="Miriam" w:hint="eastAsia"/>
          <w:b/>
          <w:spacing w:val="0"/>
          <w:sz w:val="22"/>
          <w:szCs w:val="24"/>
          <w:rtl/>
        </w:rPr>
        <w:t>המיסים</w:t>
      </w:r>
      <w:r w:rsidRPr="00C623DF">
        <w:rPr>
          <w:rFonts w:ascii="Arimo" w:hAnsi="Arimo" w:hint="cs"/>
          <w:rtl/>
        </w:rPr>
        <w:t>, פסקה 8 והאסמכתאות המובאות שם</w:t>
      </w:r>
      <w:r w:rsidRPr="00C623DF">
        <w:rPr>
          <w:rFonts w:ascii="Arimo" w:hAnsi="Arimo"/>
          <w:rtl/>
        </w:rPr>
        <w:t xml:space="preserve"> (12.</w:t>
      </w:r>
      <w:r>
        <w:rPr>
          <w:rFonts w:ascii="Arimo" w:hAnsi="Arimo" w:hint="cs"/>
          <w:rtl/>
        </w:rPr>
        <w:t>6</w:t>
      </w:r>
      <w:r w:rsidRPr="00C623DF">
        <w:rPr>
          <w:rFonts w:ascii="Arimo" w:hAnsi="Arimo"/>
          <w:rtl/>
        </w:rPr>
        <w:t>.2022)</w:t>
      </w:r>
      <w:r w:rsidRPr="00C623DF">
        <w:rPr>
          <w:rFonts w:hint="cs"/>
          <w:rtl/>
        </w:rPr>
        <w:t>).</w:t>
      </w:r>
      <w:r>
        <w:rPr>
          <w:rFonts w:hint="cs"/>
          <w:rtl/>
        </w:rPr>
        <w:t xml:space="preserve"> </w:t>
      </w:r>
    </w:p>
    <w:p w:rsidR="00CF54A5" w:rsidRPr="00B40370" w:rsidRDefault="00CF54A5" w:rsidP="00CF54A5">
      <w:pPr>
        <w:pStyle w:val="Ruller4"/>
        <w:numPr>
          <w:ilvl w:val="0"/>
          <w:numId w:val="0"/>
        </w:numPr>
        <w:rPr>
          <w:rtl/>
        </w:rPr>
      </w:pPr>
    </w:p>
    <w:p w:rsidR="00CF54A5" w:rsidRDefault="00CF54A5" w:rsidP="00CF54A5">
      <w:pPr>
        <w:pStyle w:val="Ruller4"/>
        <w:numPr>
          <w:ilvl w:val="0"/>
          <w:numId w:val="0"/>
        </w:numPr>
        <w:rPr>
          <w:rFonts w:ascii="Arimo" w:hAnsi="Arimo"/>
          <w:rtl/>
        </w:rPr>
      </w:pPr>
      <w:r>
        <w:rPr>
          <w:rtl/>
        </w:rPr>
        <w:tab/>
      </w:r>
      <w:r>
        <w:rPr>
          <w:rFonts w:hint="cs"/>
          <w:rtl/>
        </w:rPr>
        <w:t xml:space="preserve">יחד עם זאת, אין משמעות הדבר כי בהקשר של דיני המס לעולם תתאפשר תקיפה עקיפה. עדיין, יהיה צורך לבחון האם הסכסוך הנדון, על פי טיבו ומהותו, מתאים לדיון ובירור בדרך שבו הוגש בהתאם לשיקולים שנמנו לעיל. </w:t>
      </w:r>
      <w:r w:rsidRPr="00EA31C0">
        <w:rPr>
          <w:rFonts w:hint="cs"/>
          <w:rtl/>
        </w:rPr>
        <w:t xml:space="preserve">באופן </w:t>
      </w:r>
      <w:r>
        <w:rPr>
          <w:rFonts w:hint="cs"/>
          <w:rtl/>
        </w:rPr>
        <w:t xml:space="preserve">עקרוני, ניתן להוסיף ולהציע את ההבחנה הבאה: כאשר חלקו הארי של הסכסוך בין הנישום לרשויות המס עוסק במחלוקות עובדתיות או בשאלות של פרשנות דין, אז יש לבררן במסגרת המסלול שנקבע בחוקי המס; לעומת זאת, כאשר ליבת המחלוקת מתמקדת בשאלות של חוקיות </w:t>
      </w:r>
      <w:r w:rsidRPr="00483425">
        <w:rPr>
          <w:rFonts w:hint="cs"/>
          <w:rtl/>
        </w:rPr>
        <w:t>או בעלות חשיבות עקרונית, יש לבכר את בחינתן במסגרת עתירה</w:t>
      </w:r>
      <w:r>
        <w:rPr>
          <w:rFonts w:hint="cs"/>
          <w:rtl/>
        </w:rPr>
        <w:t xml:space="preserve"> לבית המשפט המנהלי המוסמך (וראו והשוו: </w:t>
      </w:r>
      <w:r w:rsidRPr="009C318B">
        <w:rPr>
          <w:rFonts w:ascii="Century" w:hAnsi="Century" w:cs="Miriam" w:hint="cs"/>
          <w:b/>
          <w:spacing w:val="0"/>
          <w:sz w:val="22"/>
          <w:szCs w:val="24"/>
          <w:rtl/>
        </w:rPr>
        <w:t>ברק-ארז</w:t>
      </w:r>
      <w:r>
        <w:rPr>
          <w:rFonts w:hint="cs"/>
          <w:rtl/>
        </w:rPr>
        <w:t xml:space="preserve">, בעמ' 165-160; </w:t>
      </w:r>
      <w:r w:rsidRPr="00AE66D1">
        <w:rPr>
          <w:rFonts w:ascii="Arimo" w:hAnsi="Arimo"/>
          <w:rtl/>
        </w:rPr>
        <w:t>ע</w:t>
      </w:r>
      <w:r>
        <w:rPr>
          <w:rFonts w:ascii="Arimo" w:hAnsi="Arimo" w:hint="cs"/>
          <w:rtl/>
        </w:rPr>
        <w:t xml:space="preserve">ניין </w:t>
      </w:r>
      <w:proofErr w:type="spellStart"/>
      <w:r w:rsidRPr="00AE66D1">
        <w:rPr>
          <w:rFonts w:ascii="Century" w:hAnsi="Century" w:cs="Miriam"/>
          <w:b/>
          <w:spacing w:val="0"/>
          <w:sz w:val="22"/>
          <w:szCs w:val="24"/>
          <w:rtl/>
        </w:rPr>
        <w:t>מחקשווילי</w:t>
      </w:r>
      <w:proofErr w:type="spellEnd"/>
      <w:r w:rsidRPr="00AE66D1">
        <w:rPr>
          <w:rFonts w:ascii="Arimo" w:hAnsi="Arimo" w:hint="cs"/>
          <w:rtl/>
        </w:rPr>
        <w:t xml:space="preserve">, פסקה </w:t>
      </w:r>
      <w:r>
        <w:rPr>
          <w:rFonts w:ascii="Arimo" w:hAnsi="Arimo" w:hint="cs"/>
          <w:rtl/>
        </w:rPr>
        <w:t xml:space="preserve">23. כן ראו: </w:t>
      </w:r>
      <w:r w:rsidRPr="0035168C">
        <w:rPr>
          <w:rFonts w:ascii="Arimo" w:hAnsi="Arimo"/>
          <w:rtl/>
        </w:rPr>
        <w:t>ע"א 9647</w:t>
      </w:r>
      <w:r w:rsidRPr="0035168C">
        <w:rPr>
          <w:rFonts w:ascii="Arimo" w:hAnsi="Arimo" w:hint="cs"/>
          <w:rtl/>
        </w:rPr>
        <w:t>/</w:t>
      </w:r>
      <w:r w:rsidRPr="0035168C">
        <w:rPr>
          <w:rFonts w:ascii="Arimo" w:hAnsi="Arimo"/>
          <w:rtl/>
        </w:rPr>
        <w:t xml:space="preserve">05 </w:t>
      </w:r>
      <w:proofErr w:type="spellStart"/>
      <w:r w:rsidRPr="0035168C">
        <w:rPr>
          <w:rFonts w:ascii="Century" w:hAnsi="Century" w:cs="Miriam"/>
          <w:b/>
          <w:spacing w:val="0"/>
          <w:sz w:val="22"/>
          <w:szCs w:val="24"/>
          <w:rtl/>
        </w:rPr>
        <w:t>פוליבה</w:t>
      </w:r>
      <w:proofErr w:type="spellEnd"/>
      <w:r w:rsidRPr="0035168C">
        <w:rPr>
          <w:rFonts w:ascii="Century" w:hAnsi="Century" w:cs="Miriam"/>
          <w:b/>
          <w:spacing w:val="0"/>
          <w:sz w:val="22"/>
          <w:szCs w:val="24"/>
          <w:rtl/>
        </w:rPr>
        <w:t xml:space="preserve"> בע"מ נ' מדינת ישראל אגף המכס ומע"מ ומשרד המסחר</w:t>
      </w:r>
      <w:r>
        <w:rPr>
          <w:rFonts w:ascii="Arimo" w:hAnsi="Arimo" w:hint="cs"/>
          <w:b/>
          <w:rtl/>
        </w:rPr>
        <w:t>, פסקה 26</w:t>
      </w:r>
      <w:r w:rsidRPr="0035168C">
        <w:rPr>
          <w:rFonts w:ascii="Arimo" w:hAnsi="Arimo" w:hint="cs"/>
          <w:rtl/>
        </w:rPr>
        <w:t xml:space="preserve"> (22.7.2007)</w:t>
      </w:r>
      <w:r>
        <w:rPr>
          <w:rFonts w:ascii="Arimo" w:hAnsi="Arimo" w:hint="cs"/>
          <w:rtl/>
        </w:rPr>
        <w:t xml:space="preserve">, ואולם השוו לפסקאות 21-18; </w:t>
      </w:r>
      <w:r w:rsidRPr="0035168C">
        <w:rPr>
          <w:rFonts w:ascii="Arimo" w:hAnsi="Arimo" w:hint="eastAsia"/>
          <w:rtl/>
        </w:rPr>
        <w:t>בג</w:t>
      </w:r>
      <w:r w:rsidRPr="0035168C">
        <w:rPr>
          <w:rFonts w:ascii="Arimo" w:hAnsi="Arimo"/>
          <w:rtl/>
        </w:rPr>
        <w:t>"</w:t>
      </w:r>
      <w:r w:rsidRPr="0035168C">
        <w:rPr>
          <w:rFonts w:ascii="Arimo" w:hAnsi="Arimo" w:hint="eastAsia"/>
          <w:rtl/>
        </w:rPr>
        <w:t>ץ</w:t>
      </w:r>
      <w:r w:rsidRPr="0035168C">
        <w:rPr>
          <w:rFonts w:ascii="Arimo" w:hAnsi="Arimo"/>
          <w:rtl/>
        </w:rPr>
        <w:t xml:space="preserve"> 6499</w:t>
      </w:r>
      <w:r>
        <w:rPr>
          <w:rFonts w:ascii="Arimo" w:hAnsi="Arimo" w:hint="cs"/>
          <w:rtl/>
        </w:rPr>
        <w:t>/</w:t>
      </w:r>
      <w:r w:rsidRPr="0035168C">
        <w:rPr>
          <w:rFonts w:ascii="Arimo" w:hAnsi="Arimo"/>
          <w:rtl/>
        </w:rPr>
        <w:t xml:space="preserve">93 </w:t>
      </w:r>
      <w:proofErr w:type="spellStart"/>
      <w:r w:rsidRPr="0035168C">
        <w:rPr>
          <w:rFonts w:ascii="Century" w:hAnsi="Century" w:cs="Miriam" w:hint="eastAsia"/>
          <w:b/>
          <w:spacing w:val="0"/>
          <w:sz w:val="22"/>
          <w:szCs w:val="24"/>
          <w:rtl/>
        </w:rPr>
        <w:t>מנפאואר</w:t>
      </w:r>
      <w:proofErr w:type="spellEnd"/>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ישראל</w:t>
      </w:r>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בע</w:t>
      </w:r>
      <w:r w:rsidRPr="0035168C">
        <w:rPr>
          <w:rFonts w:ascii="Century" w:hAnsi="Century" w:cs="Miriam"/>
          <w:b/>
          <w:spacing w:val="0"/>
          <w:sz w:val="22"/>
          <w:szCs w:val="24"/>
          <w:rtl/>
        </w:rPr>
        <w:t>"</w:t>
      </w:r>
      <w:r w:rsidRPr="0035168C">
        <w:rPr>
          <w:rFonts w:ascii="Century" w:hAnsi="Century" w:cs="Miriam" w:hint="eastAsia"/>
          <w:b/>
          <w:spacing w:val="0"/>
          <w:sz w:val="22"/>
          <w:szCs w:val="24"/>
          <w:rtl/>
        </w:rPr>
        <w:t>מ</w:t>
      </w:r>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נ</w:t>
      </w:r>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נציב</w:t>
      </w:r>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מס</w:t>
      </w:r>
      <w:r w:rsidRPr="0035168C">
        <w:rPr>
          <w:rFonts w:ascii="Century" w:hAnsi="Century" w:cs="Miriam"/>
          <w:b/>
          <w:spacing w:val="0"/>
          <w:sz w:val="22"/>
          <w:szCs w:val="24"/>
          <w:rtl/>
        </w:rPr>
        <w:t xml:space="preserve"> </w:t>
      </w:r>
      <w:r w:rsidRPr="0035168C">
        <w:rPr>
          <w:rFonts w:ascii="Century" w:hAnsi="Century" w:cs="Miriam" w:hint="eastAsia"/>
          <w:b/>
          <w:spacing w:val="0"/>
          <w:sz w:val="22"/>
          <w:szCs w:val="24"/>
          <w:rtl/>
        </w:rPr>
        <w:t>הכנסה</w:t>
      </w:r>
      <w:r w:rsidRPr="0035168C">
        <w:rPr>
          <w:rFonts w:ascii="Arimo" w:hAnsi="Arimo"/>
          <w:rtl/>
        </w:rPr>
        <w:t xml:space="preserve"> (30.1.1994)</w:t>
      </w:r>
      <w:r>
        <w:rPr>
          <w:rFonts w:hint="cs"/>
          <w:rtl/>
        </w:rPr>
        <w:t xml:space="preserve">). </w:t>
      </w:r>
    </w:p>
    <w:p w:rsidR="00CF54A5" w:rsidRPr="00F115A1" w:rsidRDefault="00CF54A5" w:rsidP="00CF54A5">
      <w:pPr>
        <w:pStyle w:val="Ruller41"/>
        <w:rPr>
          <w:rFonts w:ascii="Arimo" w:hAnsi="Arimo"/>
          <w:rtl/>
        </w:rPr>
      </w:pPr>
    </w:p>
    <w:p w:rsidR="00CF54A5" w:rsidRDefault="00CF54A5" w:rsidP="00CF54A5">
      <w:pPr>
        <w:pStyle w:val="Ruller4"/>
      </w:pPr>
      <w:r w:rsidRPr="00483425">
        <w:rPr>
          <w:rFonts w:hint="cs"/>
          <w:rtl/>
        </w:rPr>
        <w:lastRenderedPageBreak/>
        <w:t>ביישום האמור על ענייננו,</w:t>
      </w:r>
      <w:r>
        <w:rPr>
          <w:rFonts w:hint="cs"/>
          <w:rtl/>
        </w:rPr>
        <w:t xml:space="preserve"> סבורני כי במקרה שלפנינו מצבור השיקולים שלעיל מוביל באופן מובהק למסקנה כי לא היה מקום לברר את טענות </w:t>
      </w:r>
      <w:proofErr w:type="spellStart"/>
      <w:r>
        <w:rPr>
          <w:rFonts w:hint="cs"/>
          <w:rtl/>
        </w:rPr>
        <w:t>הנישומות</w:t>
      </w:r>
      <w:proofErr w:type="spellEnd"/>
      <w:r>
        <w:rPr>
          <w:rFonts w:hint="cs"/>
          <w:rtl/>
        </w:rPr>
        <w:t xml:space="preserve"> ביחס לשנת 2012 בדרך של תקיפה עקיפה, במסגרת ערעורי המס שהגישו, אלא בהליך של תקיפה ישירה, באמצעות הגשת עתירה לבית משפט זה. </w:t>
      </w:r>
    </w:p>
    <w:p w:rsidR="00CF54A5" w:rsidRDefault="00CF54A5" w:rsidP="00CF54A5">
      <w:pPr>
        <w:pStyle w:val="Ruller4"/>
        <w:numPr>
          <w:ilvl w:val="0"/>
          <w:numId w:val="0"/>
        </w:numPr>
        <w:rPr>
          <w:rtl/>
        </w:rPr>
      </w:pPr>
    </w:p>
    <w:p w:rsidR="00CF54A5" w:rsidRDefault="00CF54A5" w:rsidP="00CF54A5">
      <w:pPr>
        <w:pStyle w:val="Ruller4"/>
        <w:rPr>
          <w:rtl/>
        </w:rPr>
      </w:pPr>
      <w:r>
        <w:rPr>
          <w:rFonts w:hint="cs"/>
          <w:rtl/>
        </w:rPr>
        <w:t xml:space="preserve">בשונה מערעור </w:t>
      </w:r>
      <w:proofErr w:type="spellStart"/>
      <w:r>
        <w:rPr>
          <w:rFonts w:hint="cs"/>
          <w:rtl/>
        </w:rPr>
        <w:t>הנישומות</w:t>
      </w:r>
      <w:proofErr w:type="spellEnd"/>
      <w:r>
        <w:rPr>
          <w:rFonts w:hint="cs"/>
          <w:rtl/>
        </w:rPr>
        <w:t xml:space="preserve"> ביחס לשנת 2011, שעסק במחלוקות עובדתיות ופרשנויות הדין, טענות </w:t>
      </w:r>
      <w:proofErr w:type="spellStart"/>
      <w:r>
        <w:rPr>
          <w:rFonts w:hint="cs"/>
          <w:rtl/>
        </w:rPr>
        <w:t>הנישומות</w:t>
      </w:r>
      <w:proofErr w:type="spellEnd"/>
      <w:r>
        <w:rPr>
          <w:rFonts w:hint="cs"/>
          <w:rtl/>
        </w:rPr>
        <w:t xml:space="preserve"> במסגרת הערעור בקשר לשנת 2012, רובן ככולן, נסובות על חוקיות תיקון מס' 70, ובפרט מכוונות הן לביטול ההוראה הרטרואקטיבית שנקבעה בתיקון זה; אין מדובר בטענות שהתעוררו באופן משני או אגבי, אלא הן מהותו וליבו של ערעור המס לשנת 2012. זאת ועוד, </w:t>
      </w:r>
      <w:proofErr w:type="spellStart"/>
      <w:r>
        <w:rPr>
          <w:rFonts w:hint="cs"/>
          <w:rtl/>
        </w:rPr>
        <w:t>הנישומות</w:t>
      </w:r>
      <w:proofErr w:type="spellEnd"/>
      <w:r>
        <w:rPr>
          <w:rFonts w:hint="cs"/>
          <w:rtl/>
        </w:rPr>
        <w:t xml:space="preserve"> מבקשות באופן שאינו משתמע לשני פנים כי תיפסל חקיקה ראשית שיצאה מאת הכנסת, תוך הידרשות לבחינת תקינות הליך החקיקה, לאופן הפעלת שיקול הדעת של המחוקק, וכן למדיניות הכלכלית המעוגנת בבסיסה </w:t>
      </w:r>
      <w:r>
        <w:rPr>
          <w:rtl/>
        </w:rPr>
        <w:t>–</w:t>
      </w:r>
      <w:r>
        <w:rPr>
          <w:rFonts w:hint="cs"/>
          <w:rtl/>
        </w:rPr>
        <w:t xml:space="preserve"> מקרה אשר נמנה באופן מובהק עם סוג המקרים המצויים בסמכותו הייחודית של בית המשפט העליון בשבתו כבית משפט גבוה לצדק. בהינתן שני מאפיינים מרכזיים אלה של הערעור בקשר לשנת 2012, לא היה מקום כי בית המשפט המחוזי יקיים דיון על חוקיות תיקון מס' 70. כך במיוחד, בהינתן שהכנסת, אשר עבודתה היא זו שעומדת בליבת המחלוקת, אינה צד להליך, ועמדתה נפקדת. </w:t>
      </w:r>
      <w:proofErr w:type="spellStart"/>
      <w:r>
        <w:rPr>
          <w:rFonts w:hint="cs"/>
          <w:rtl/>
        </w:rPr>
        <w:t>הנישומות</w:t>
      </w:r>
      <w:proofErr w:type="spellEnd"/>
      <w:r>
        <w:rPr>
          <w:rFonts w:hint="cs"/>
          <w:rtl/>
        </w:rPr>
        <w:t xml:space="preserve"> מודעות לקושי האמור, אך הן סבורות כי מדובר בפגם חמור ובוטה, ועל כן, יש להתיר להן לדון בו. ואולם, אינני סבור כי הטענות שהעלו מצביעות על פגם כה חמור בתיקון החוק המצדיק סטייה מהעקרונות שפורטו לעיל. </w:t>
      </w:r>
    </w:p>
    <w:p w:rsidR="00CF54A5" w:rsidRPr="001D7859" w:rsidRDefault="00CF54A5" w:rsidP="00CF54A5">
      <w:pPr>
        <w:pStyle w:val="Ruller41"/>
      </w:pPr>
    </w:p>
    <w:p w:rsidR="00CF54A5" w:rsidRDefault="00CF54A5" w:rsidP="00CF54A5">
      <w:pPr>
        <w:pStyle w:val="Ruller4"/>
        <w:rPr>
          <w:rtl/>
        </w:rPr>
      </w:pPr>
      <w:r>
        <w:rPr>
          <w:rFonts w:hint="cs"/>
          <w:rtl/>
        </w:rPr>
        <w:t xml:space="preserve">אם לא די בכך, הרי שבאי כוח </w:t>
      </w:r>
      <w:proofErr w:type="spellStart"/>
      <w:r>
        <w:rPr>
          <w:rFonts w:hint="cs"/>
          <w:rtl/>
        </w:rPr>
        <w:t>הנישומות</w:t>
      </w:r>
      <w:proofErr w:type="spellEnd"/>
      <w:r>
        <w:rPr>
          <w:rFonts w:hint="cs"/>
          <w:rtl/>
        </w:rPr>
        <w:t xml:space="preserve"> נכחו בישיבת ועדת הכספים שעסקה בהצעת החוק לתיקון מס' 70, בכובעם כמייצגים של מספר רב של חברות, והיו ערים לדבר התיקון ולמשמעותו, ועל כן יכלו לטעון באשר לחוקיותו בזמן אמת, עת שעבר בקריאה שנייה ושלישית ונכנס לספר החוקים של המדינה. אף על פי כן, נמנעו מלעשות כן, וזאת למרות שהיו בידיהם הכלים והמשאבים הנדרשים לכך. </w:t>
      </w:r>
    </w:p>
    <w:p w:rsidR="00CF54A5" w:rsidRPr="00901894" w:rsidRDefault="00CF54A5" w:rsidP="00CF54A5">
      <w:pPr>
        <w:pStyle w:val="Ruller41"/>
        <w:rPr>
          <w:rtl/>
        </w:rPr>
      </w:pPr>
    </w:p>
    <w:p w:rsidR="00CF54A5" w:rsidRDefault="00CF54A5" w:rsidP="00B55675">
      <w:pPr>
        <w:pStyle w:val="Ruller4"/>
        <w:rPr>
          <w:rtl/>
        </w:rPr>
      </w:pPr>
      <w:r>
        <w:rPr>
          <w:rFonts w:hint="cs"/>
          <w:rtl/>
        </w:rPr>
        <w:t xml:space="preserve">לא זו אף זו, מקרה זה גם מדגים את הבעייתיות הכרוכה בקבלת עמדת </w:t>
      </w:r>
      <w:proofErr w:type="spellStart"/>
      <w:r>
        <w:rPr>
          <w:rFonts w:hint="cs"/>
          <w:rtl/>
        </w:rPr>
        <w:t>הנישומות</w:t>
      </w:r>
      <w:proofErr w:type="spellEnd"/>
      <w:r>
        <w:rPr>
          <w:rFonts w:hint="cs"/>
          <w:rtl/>
        </w:rPr>
        <w:t xml:space="preserve"> בראי התרופה המבוקשת. טענות </w:t>
      </w:r>
      <w:proofErr w:type="spellStart"/>
      <w:r>
        <w:rPr>
          <w:rFonts w:hint="cs"/>
          <w:rtl/>
        </w:rPr>
        <w:t>הנישומות</w:t>
      </w:r>
      <w:proofErr w:type="spellEnd"/>
      <w:r>
        <w:rPr>
          <w:rFonts w:hint="cs"/>
          <w:rtl/>
        </w:rPr>
        <w:t xml:space="preserve"> אינן בעלות אופי אינדי</w:t>
      </w:r>
      <w:r>
        <w:rPr>
          <w:rFonts w:hint="eastAsia"/>
          <w:rtl/>
        </w:rPr>
        <w:t>בידואלי</w:t>
      </w:r>
      <w:r>
        <w:rPr>
          <w:rFonts w:hint="cs"/>
          <w:rtl/>
        </w:rPr>
        <w:t xml:space="preserve">, שכן אין הן מעלות כל מחלוקת פרטנית בין </w:t>
      </w:r>
      <w:proofErr w:type="spellStart"/>
      <w:r>
        <w:rPr>
          <w:rFonts w:hint="cs"/>
          <w:rtl/>
        </w:rPr>
        <w:t>הנישומות</w:t>
      </w:r>
      <w:proofErr w:type="spellEnd"/>
      <w:r>
        <w:rPr>
          <w:rFonts w:hint="cs"/>
          <w:rtl/>
        </w:rPr>
        <w:t xml:space="preserve"> לפקידי השומה, אלא נוגעות הן לשינוי במדיניות שהתווה המחוקק</w:t>
      </w:r>
      <w:r w:rsidR="00B55675">
        <w:rPr>
          <w:rFonts w:hint="cs"/>
          <w:rtl/>
        </w:rPr>
        <w:t>,</w:t>
      </w:r>
      <w:r>
        <w:rPr>
          <w:rFonts w:hint="cs"/>
          <w:rtl/>
        </w:rPr>
        <w:t xml:space="preserve"> </w:t>
      </w:r>
      <w:r w:rsidR="00B55675">
        <w:rPr>
          <w:rFonts w:hint="cs"/>
          <w:rtl/>
        </w:rPr>
        <w:t>כ</w:t>
      </w:r>
      <w:r>
        <w:rPr>
          <w:rFonts w:hint="cs"/>
          <w:rtl/>
        </w:rPr>
        <w:t>אשר הכרעה ב</w:t>
      </w:r>
      <w:r w:rsidR="00B55675">
        <w:rPr>
          <w:rFonts w:hint="cs"/>
          <w:rtl/>
        </w:rPr>
        <w:t>טענות הללו</w:t>
      </w:r>
      <w:r>
        <w:rPr>
          <w:rFonts w:hint="cs"/>
          <w:rtl/>
        </w:rPr>
        <w:t xml:space="preserve"> היא בעלת השפעה פוטנציאלית על ציבור רחב של נישומים. ברם, </w:t>
      </w:r>
      <w:r w:rsidRPr="00A5550D">
        <w:rPr>
          <w:rFonts w:hint="eastAsia"/>
          <w:rtl/>
        </w:rPr>
        <w:t>לוּ</w:t>
      </w:r>
      <w:r>
        <w:rPr>
          <w:rFonts w:hint="cs"/>
          <w:rtl/>
        </w:rPr>
        <w:t xml:space="preserve"> תוכר זכאות </w:t>
      </w:r>
      <w:proofErr w:type="spellStart"/>
      <w:r>
        <w:rPr>
          <w:rFonts w:hint="cs"/>
          <w:rtl/>
        </w:rPr>
        <w:t>הנישומות</w:t>
      </w:r>
      <w:proofErr w:type="spellEnd"/>
      <w:r>
        <w:rPr>
          <w:rFonts w:hint="cs"/>
          <w:rtl/>
        </w:rPr>
        <w:t xml:space="preserve"> בהטבת המס הנדונה, קביעה זו תחול עליהן, ועליהן בלבד, ואילו נישומים אחרים בעלי פעילות </w:t>
      </w:r>
      <w:r>
        <w:rPr>
          <w:rFonts w:hint="cs"/>
          <w:rtl/>
        </w:rPr>
        <w:lastRenderedPageBreak/>
        <w:t xml:space="preserve">הדומה לזו של </w:t>
      </w:r>
      <w:proofErr w:type="spellStart"/>
      <w:r>
        <w:rPr>
          <w:rFonts w:hint="cs"/>
          <w:rtl/>
        </w:rPr>
        <w:t>הנישומות</w:t>
      </w:r>
      <w:proofErr w:type="spellEnd"/>
      <w:r>
        <w:rPr>
          <w:rFonts w:hint="cs"/>
          <w:rtl/>
        </w:rPr>
        <w:t xml:space="preserve"> לא יזכו לקבלת ההטבה אך משום שאינם צד לערעורים דנן </w:t>
      </w:r>
      <w:r>
        <w:rPr>
          <w:rtl/>
        </w:rPr>
        <w:t>–</w:t>
      </w:r>
      <w:r>
        <w:rPr>
          <w:rFonts w:hint="cs"/>
          <w:rtl/>
        </w:rPr>
        <w:t xml:space="preserve"> תוצאה שקשה להשלים עמה. </w:t>
      </w:r>
    </w:p>
    <w:p w:rsidR="00CF54A5" w:rsidRPr="002D3838" w:rsidRDefault="00CF54A5" w:rsidP="00CF54A5">
      <w:pPr>
        <w:pStyle w:val="Ruller41"/>
        <w:rPr>
          <w:rtl/>
        </w:rPr>
      </w:pPr>
    </w:p>
    <w:p w:rsidR="00CF54A5" w:rsidRDefault="00CF54A5" w:rsidP="00B55675">
      <w:pPr>
        <w:pStyle w:val="Ruller4"/>
        <w:rPr>
          <w:rtl/>
        </w:rPr>
      </w:pPr>
      <w:r>
        <w:rPr>
          <w:rFonts w:ascii="Century" w:hAnsi="Century" w:cs="Miriam" w:hint="cs"/>
          <w:b/>
          <w:spacing w:val="0"/>
          <w:sz w:val="22"/>
          <w:szCs w:val="24"/>
          <w:rtl/>
        </w:rPr>
        <w:t xml:space="preserve">סיכומו </w:t>
      </w:r>
      <w:r w:rsidRPr="00901894">
        <w:rPr>
          <w:rFonts w:ascii="Century" w:hAnsi="Century" w:cs="Miriam" w:hint="cs"/>
          <w:b/>
          <w:spacing w:val="0"/>
          <w:sz w:val="22"/>
          <w:szCs w:val="24"/>
          <w:rtl/>
        </w:rPr>
        <w:t>של דבר</w:t>
      </w:r>
      <w:r w:rsidRPr="001039BA">
        <w:rPr>
          <w:rFonts w:hint="cs"/>
          <w:rtl/>
        </w:rPr>
        <w:t xml:space="preserve"> </w:t>
      </w:r>
      <w:r>
        <w:rPr>
          <w:rtl/>
        </w:rPr>
        <w:t>–</w:t>
      </w:r>
      <w:r w:rsidRPr="001D7859">
        <w:rPr>
          <w:rFonts w:hint="cs"/>
          <w:rtl/>
        </w:rPr>
        <w:t xml:space="preserve"> </w:t>
      </w:r>
      <w:r>
        <w:rPr>
          <w:rFonts w:hint="cs"/>
          <w:rtl/>
        </w:rPr>
        <w:t xml:space="preserve">בנסיבות המקרה שלפנינו, </w:t>
      </w:r>
      <w:r w:rsidRPr="001D7859">
        <w:rPr>
          <w:rFonts w:hint="cs"/>
          <w:rtl/>
        </w:rPr>
        <w:t xml:space="preserve">הדרך </w:t>
      </w:r>
      <w:r>
        <w:rPr>
          <w:rFonts w:hint="cs"/>
          <w:rtl/>
        </w:rPr>
        <w:t xml:space="preserve">הנכונה </w:t>
      </w:r>
      <w:r w:rsidRPr="001D7859">
        <w:rPr>
          <w:rFonts w:hint="cs"/>
          <w:rtl/>
        </w:rPr>
        <w:t xml:space="preserve">להעלות את טענות </w:t>
      </w:r>
      <w:proofErr w:type="spellStart"/>
      <w:r w:rsidRPr="001D7859">
        <w:rPr>
          <w:rFonts w:hint="cs"/>
          <w:rtl/>
        </w:rPr>
        <w:t>הנישומות</w:t>
      </w:r>
      <w:proofErr w:type="spellEnd"/>
      <w:r w:rsidRPr="001D7859">
        <w:rPr>
          <w:rFonts w:hint="cs"/>
          <w:rtl/>
        </w:rPr>
        <w:t xml:space="preserve"> </w:t>
      </w:r>
      <w:r>
        <w:rPr>
          <w:rFonts w:hint="cs"/>
          <w:rtl/>
        </w:rPr>
        <w:t>נגד חוקיותו של תיקון מס' 70, תיקון שנעשה בחקיקה ראשית</w:t>
      </w:r>
      <w:r w:rsidR="00B55675">
        <w:rPr>
          <w:rFonts w:hint="cs"/>
          <w:rtl/>
        </w:rPr>
        <w:t xml:space="preserve"> של הכנסת</w:t>
      </w:r>
      <w:r>
        <w:rPr>
          <w:rFonts w:hint="cs"/>
          <w:rtl/>
        </w:rPr>
        <w:t xml:space="preserve">, </w:t>
      </w:r>
      <w:r w:rsidRPr="001D7859">
        <w:rPr>
          <w:rFonts w:hint="cs"/>
          <w:rtl/>
        </w:rPr>
        <w:t xml:space="preserve">הייתה </w:t>
      </w:r>
      <w:r>
        <w:rPr>
          <w:rFonts w:hint="cs"/>
          <w:rtl/>
        </w:rPr>
        <w:t xml:space="preserve">על דרך של </w:t>
      </w:r>
      <w:r w:rsidRPr="001D7859">
        <w:rPr>
          <w:rFonts w:hint="cs"/>
          <w:rtl/>
        </w:rPr>
        <w:t>תקיפה ישירה,</w:t>
      </w:r>
      <w:r>
        <w:rPr>
          <w:rFonts w:hint="cs"/>
          <w:rtl/>
        </w:rPr>
        <w:t xml:space="preserve"> בפני בית משפט זה בשבתו כבית משפט גבוה לצדק,</w:t>
      </w:r>
      <w:r w:rsidRPr="001D7859">
        <w:rPr>
          <w:rFonts w:hint="cs"/>
          <w:rtl/>
        </w:rPr>
        <w:t xml:space="preserve"> ולא בדרך של תקיפה עקיפה, </w:t>
      </w:r>
      <w:r>
        <w:rPr>
          <w:rFonts w:hint="cs"/>
          <w:rtl/>
        </w:rPr>
        <w:t xml:space="preserve">בפני בית המשפט המחוזי במסגרת ערעורי המס. </w:t>
      </w:r>
      <w:r w:rsidRPr="001D7859">
        <w:rPr>
          <w:rFonts w:hint="cs"/>
          <w:rtl/>
        </w:rPr>
        <w:t>מ</w:t>
      </w:r>
      <w:r>
        <w:rPr>
          <w:rFonts w:hint="cs"/>
          <w:rtl/>
        </w:rPr>
        <w:t xml:space="preserve">אחר </w:t>
      </w:r>
      <w:proofErr w:type="spellStart"/>
      <w:r w:rsidRPr="001D7859">
        <w:rPr>
          <w:rFonts w:hint="cs"/>
          <w:rtl/>
        </w:rPr>
        <w:t>שהנישומות</w:t>
      </w:r>
      <w:proofErr w:type="spellEnd"/>
      <w:r w:rsidRPr="001D7859">
        <w:rPr>
          <w:rFonts w:hint="cs"/>
          <w:rtl/>
        </w:rPr>
        <w:t xml:space="preserve"> לא פעלו כנדרש, </w:t>
      </w:r>
      <w:r>
        <w:rPr>
          <w:rFonts w:hint="cs"/>
          <w:rtl/>
        </w:rPr>
        <w:t xml:space="preserve">ולא נקטו בהליך של תקיפה ישירה, לא </w:t>
      </w:r>
      <w:r w:rsidRPr="001D7859">
        <w:rPr>
          <w:rFonts w:hint="cs"/>
          <w:rtl/>
        </w:rPr>
        <w:t xml:space="preserve">היה </w:t>
      </w:r>
      <w:r>
        <w:rPr>
          <w:rFonts w:hint="cs"/>
          <w:rtl/>
        </w:rPr>
        <w:t xml:space="preserve">מקום </w:t>
      </w:r>
      <w:r w:rsidRPr="001D7859">
        <w:rPr>
          <w:rFonts w:hint="cs"/>
          <w:rtl/>
        </w:rPr>
        <w:t>ל</w:t>
      </w:r>
      <w:r>
        <w:rPr>
          <w:rFonts w:hint="cs"/>
          <w:rtl/>
        </w:rPr>
        <w:t xml:space="preserve">התיר להן לברר את השאלות הנוגעות לחוקיות תיקון מס' 70 על דרך של </w:t>
      </w:r>
      <w:r w:rsidR="00B55675">
        <w:rPr>
          <w:rFonts w:hint="cs"/>
          <w:rtl/>
        </w:rPr>
        <w:t>תקיפה עקיפה</w:t>
      </w:r>
      <w:r w:rsidRPr="001D7859">
        <w:rPr>
          <w:rFonts w:hint="cs"/>
          <w:rtl/>
        </w:rPr>
        <w:t xml:space="preserve">. </w:t>
      </w:r>
      <w:r>
        <w:rPr>
          <w:rFonts w:hint="cs"/>
          <w:rtl/>
        </w:rPr>
        <w:t>די בכך</w:t>
      </w:r>
      <w:r w:rsidR="00B55675">
        <w:rPr>
          <w:rFonts w:hint="cs"/>
          <w:rtl/>
        </w:rPr>
        <w:t>,</w:t>
      </w:r>
      <w:r>
        <w:rPr>
          <w:rFonts w:hint="cs"/>
          <w:rtl/>
        </w:rPr>
        <w:t xml:space="preserve"> לשיטתי</w:t>
      </w:r>
      <w:r w:rsidR="00B55675">
        <w:rPr>
          <w:rFonts w:hint="cs"/>
          <w:rtl/>
        </w:rPr>
        <w:t>,</w:t>
      </w:r>
      <w:r>
        <w:rPr>
          <w:rFonts w:hint="cs"/>
          <w:rtl/>
        </w:rPr>
        <w:t xml:space="preserve"> על מנת שלא נזקק כלל לטענות </w:t>
      </w:r>
      <w:proofErr w:type="spellStart"/>
      <w:r>
        <w:rPr>
          <w:rFonts w:hint="cs"/>
          <w:rtl/>
        </w:rPr>
        <w:t>הנישומות</w:t>
      </w:r>
      <w:proofErr w:type="spellEnd"/>
      <w:r>
        <w:rPr>
          <w:rFonts w:hint="cs"/>
          <w:rtl/>
        </w:rPr>
        <w:t xml:space="preserve"> ביחס לתוקפו של תיקון מס' 70, וכנגזר מכך נדחה את טענותיהן לעניין עמידתן בקריטריון גודל השוק בשנת 2012. </w:t>
      </w:r>
    </w:p>
    <w:p w:rsidR="00CF54A5" w:rsidRDefault="00CF54A5" w:rsidP="00CF54A5">
      <w:pPr>
        <w:pStyle w:val="Ruller41"/>
        <w:rPr>
          <w:rtl/>
        </w:rPr>
      </w:pPr>
    </w:p>
    <w:p w:rsidR="00CF54A5" w:rsidRPr="003C14F6" w:rsidRDefault="00CF54A5" w:rsidP="00B55675">
      <w:pPr>
        <w:pStyle w:val="Ruller4"/>
        <w:rPr>
          <w:rtl/>
        </w:rPr>
      </w:pPr>
      <w:r>
        <w:rPr>
          <w:rFonts w:hint="cs"/>
          <w:rtl/>
        </w:rPr>
        <w:t>למעלה מהדרוש אציין כי לאור הפרשנות שניתנה על ידי לחלופת המכירה לשוק גדול עובר לתיקון</w:t>
      </w:r>
      <w:r w:rsidR="00B55675">
        <w:rPr>
          <w:rFonts w:hint="cs"/>
          <w:rtl/>
        </w:rPr>
        <w:t xml:space="preserve"> מס' 70, נשמט</w:t>
      </w:r>
      <w:r>
        <w:rPr>
          <w:rFonts w:hint="cs"/>
          <w:rtl/>
        </w:rPr>
        <w:t xml:space="preserve"> חלק ניכר מטענות </w:t>
      </w:r>
      <w:proofErr w:type="spellStart"/>
      <w:r>
        <w:rPr>
          <w:rFonts w:hint="cs"/>
          <w:rtl/>
        </w:rPr>
        <w:t>ה</w:t>
      </w:r>
      <w:r w:rsidR="00B55675">
        <w:rPr>
          <w:rFonts w:hint="cs"/>
          <w:rtl/>
        </w:rPr>
        <w:t>נישומות</w:t>
      </w:r>
      <w:proofErr w:type="spellEnd"/>
      <w:r>
        <w:rPr>
          <w:rFonts w:hint="cs"/>
          <w:rtl/>
        </w:rPr>
        <w:t xml:space="preserve"> נגד תיקון מס' 70 והשלכותיו. בעקבות כך, קשה להניח כי יש סיכוי של ממש לטענות שמעלות </w:t>
      </w:r>
      <w:proofErr w:type="spellStart"/>
      <w:r>
        <w:rPr>
          <w:rFonts w:hint="cs"/>
          <w:rtl/>
        </w:rPr>
        <w:t>ה</w:t>
      </w:r>
      <w:r w:rsidR="00B55675">
        <w:rPr>
          <w:rFonts w:hint="cs"/>
          <w:rtl/>
        </w:rPr>
        <w:t>נישומות</w:t>
      </w:r>
      <w:proofErr w:type="spellEnd"/>
      <w:r>
        <w:rPr>
          <w:rFonts w:hint="cs"/>
          <w:rtl/>
        </w:rPr>
        <w:t xml:space="preserve"> כלפי תוקפו של תיקון מס' 70 לגופן. </w:t>
      </w:r>
    </w:p>
    <w:p w:rsidR="00CF54A5" w:rsidRDefault="00CF54A5" w:rsidP="00CF54A5">
      <w:pPr>
        <w:pStyle w:val="Ruller41"/>
        <w:rPr>
          <w:rtl/>
        </w:rPr>
      </w:pPr>
    </w:p>
    <w:p w:rsidR="00CF54A5" w:rsidRPr="00431A00" w:rsidRDefault="00CF54A5" w:rsidP="00CF54A5">
      <w:pPr>
        <w:pStyle w:val="Ruller41"/>
        <w:rPr>
          <w:rFonts w:ascii="Century" w:hAnsi="Century" w:cs="Miriam"/>
          <w:b/>
          <w:spacing w:val="0"/>
          <w:szCs w:val="24"/>
          <w:rtl/>
        </w:rPr>
      </w:pPr>
      <w:r>
        <w:rPr>
          <w:rFonts w:ascii="Century" w:hAnsi="Century" w:cs="Miriam" w:hint="cs"/>
          <w:b/>
          <w:spacing w:val="0"/>
          <w:szCs w:val="24"/>
          <w:rtl/>
        </w:rPr>
        <w:t>סוף דבר</w:t>
      </w:r>
    </w:p>
    <w:p w:rsidR="00CF54A5" w:rsidRDefault="00CF54A5" w:rsidP="00CF54A5">
      <w:pPr>
        <w:pStyle w:val="Ruller41"/>
        <w:rPr>
          <w:rFonts w:ascii="Century" w:hAnsi="Century"/>
          <w:rtl/>
        </w:rPr>
      </w:pPr>
    </w:p>
    <w:p w:rsidR="00CF54A5" w:rsidRDefault="00CF54A5" w:rsidP="00B55675">
      <w:pPr>
        <w:pStyle w:val="Ruller4"/>
        <w:rPr>
          <w:rtl/>
        </w:rPr>
      </w:pPr>
      <w:r>
        <w:rPr>
          <w:rFonts w:hint="cs"/>
          <w:rtl/>
        </w:rPr>
        <w:t xml:space="preserve">לאור כל האמור לעיל, אם תישמע דעתי, נורה על דחיית שלושת הערעורים, במובן הזה שכלל ערעורי המס שהגישו המערערות לשנות המס 2011 ו-2012 יידחו (וכן יידחה הערעור לשנת המס 2013 שהוגש במסגרת ע"א 3995/19), והשומות המתוקנות שהוצאו למערערות על ידי פקידי השומה יוותרו על כנן. הבסיס המרכזי לעמדתי זו היא הפרשנות אותה יש לאמץ לשיטתי לחלופת המכירה לשוק גדול שבסעיף 18א(ג)(1)(ג) לחוק עידוד השקעות, המצמצמת את תחולתו למכירות לשוק גדול </w:t>
      </w:r>
      <w:r w:rsidRPr="003C14F6">
        <w:rPr>
          <w:rFonts w:ascii="Century" w:hAnsi="Century" w:cs="Miriam" w:hint="cs"/>
          <w:b/>
          <w:spacing w:val="0"/>
          <w:sz w:val="22"/>
          <w:szCs w:val="24"/>
          <w:rtl/>
        </w:rPr>
        <w:t>זר</w:t>
      </w:r>
      <w:r>
        <w:rPr>
          <w:rFonts w:hint="cs"/>
          <w:rtl/>
        </w:rPr>
        <w:t xml:space="preserve">. בסיס נוסף לדחיית הערעורים הוא כי לא הוכח </w:t>
      </w:r>
      <w:r w:rsidR="00B55675">
        <w:rPr>
          <w:rFonts w:hint="cs"/>
          <w:rtl/>
        </w:rPr>
        <w:t>ש</w:t>
      </w:r>
      <w:r>
        <w:rPr>
          <w:rFonts w:hint="cs"/>
          <w:rtl/>
        </w:rPr>
        <w:t xml:space="preserve">השוק הישראלי (לרבות תושבי אזור יהודה ושומרון ועזה) עמד בקריטריון גודל השוק בשנים הרלוונטיות לערעורים </w:t>
      </w:r>
      <w:r>
        <w:rPr>
          <w:rtl/>
        </w:rPr>
        <w:t>–</w:t>
      </w:r>
      <w:r>
        <w:rPr>
          <w:rFonts w:hint="cs"/>
          <w:rtl/>
        </w:rPr>
        <w:t xml:space="preserve"> בשנת 2011 לא עמד בקריטריון מאחר שלא הוכח כי מספר התושבים בשוק הישראלי עלה על 12 מיליון נפש לאורך כל שנת המס (אלא רק החל ממחציתה); בשנת 2012 לא עמד השוק הישראלי בקריטריון גודל השוק לאור הגדלת הרף להגדרת שוק גדול בתיקון מס' 70 ל-14 מיליון תושבים, תיקון חקיקה ראשית שאת חוקיותו אין המערערות יכולות לתקוף, במכלול נסיבות העניין, בתקיפת עקי</w:t>
      </w:r>
      <w:r w:rsidR="00B55675">
        <w:rPr>
          <w:rFonts w:hint="cs"/>
          <w:rtl/>
        </w:rPr>
        <w:t>פה</w:t>
      </w:r>
      <w:r>
        <w:rPr>
          <w:rFonts w:hint="cs"/>
          <w:rtl/>
        </w:rPr>
        <w:t xml:space="preserve">. </w:t>
      </w:r>
    </w:p>
    <w:p w:rsidR="00CF54A5" w:rsidRPr="00541972" w:rsidRDefault="00CF54A5" w:rsidP="00CF54A5">
      <w:pPr>
        <w:pStyle w:val="Ruller41"/>
        <w:rPr>
          <w:rtl/>
        </w:rPr>
      </w:pPr>
    </w:p>
    <w:p w:rsidR="00CF54A5" w:rsidRDefault="00CF54A5" w:rsidP="00CF54A5">
      <w:pPr>
        <w:pStyle w:val="Ruller4"/>
        <w:rPr>
          <w:rtl/>
        </w:rPr>
      </w:pPr>
      <w:r>
        <w:rPr>
          <w:rFonts w:hint="cs"/>
          <w:rtl/>
        </w:rPr>
        <w:lastRenderedPageBreak/>
        <w:t xml:space="preserve">עוד אציע לחייב את המערערות בע"א 3129/19 בהוצאות פקידי השומה </w:t>
      </w:r>
      <w:r w:rsidRPr="00F71CEE">
        <w:rPr>
          <w:rFonts w:hint="cs"/>
          <w:rtl/>
        </w:rPr>
        <w:t xml:space="preserve">בסכום של </w:t>
      </w:r>
      <w:r>
        <w:rPr>
          <w:rFonts w:hint="cs"/>
          <w:rtl/>
        </w:rPr>
        <w:t>25</w:t>
      </w:r>
      <w:r w:rsidRPr="00F71CEE">
        <w:rPr>
          <w:rFonts w:hint="cs"/>
          <w:rtl/>
        </w:rPr>
        <w:t>,000 ש"ח</w:t>
      </w:r>
      <w:r>
        <w:rPr>
          <w:rFonts w:hint="cs"/>
          <w:rtl/>
        </w:rPr>
        <w:t xml:space="preserve"> כל אחת (100,000 ש"ח בסך הכול)</w:t>
      </w:r>
      <w:r w:rsidRPr="00F71CEE">
        <w:rPr>
          <w:rFonts w:hint="cs"/>
          <w:rtl/>
        </w:rPr>
        <w:t>.</w:t>
      </w:r>
      <w:r>
        <w:rPr>
          <w:rFonts w:hint="cs"/>
          <w:rtl/>
        </w:rPr>
        <w:t xml:space="preserve"> כן אציע כי נגד המערערת בע"א 3138/19 (חברת </w:t>
      </w:r>
      <w:proofErr w:type="spellStart"/>
      <w:r>
        <w:rPr>
          <w:rFonts w:hint="cs"/>
          <w:rtl/>
        </w:rPr>
        <w:t>טופגאם</w:t>
      </w:r>
      <w:proofErr w:type="spellEnd"/>
      <w:r>
        <w:rPr>
          <w:rFonts w:hint="cs"/>
          <w:rtl/>
        </w:rPr>
        <w:t>) לא יינתן צו להוצאות לאור חזרתה מהערעור במעמד הדיון.</w:t>
      </w:r>
    </w:p>
    <w:p w:rsidR="00016EF1" w:rsidRDefault="00016EF1"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BD73C7" w:rsidTr="00AC4C90">
        <w:tc>
          <w:tcPr>
            <w:tcW w:w="2842" w:type="dxa"/>
            <w:shd w:val="clear" w:color="auto" w:fill="auto"/>
          </w:tcPr>
          <w:p w:rsidR="00BD73C7" w:rsidRDefault="00BD73C7" w:rsidP="00AC4C90">
            <w:pPr>
              <w:pStyle w:val="Ruller41"/>
              <w:rPr>
                <w:rtl/>
              </w:rPr>
            </w:pPr>
          </w:p>
        </w:tc>
        <w:tc>
          <w:tcPr>
            <w:tcW w:w="2843" w:type="dxa"/>
            <w:shd w:val="clear" w:color="auto" w:fill="auto"/>
          </w:tcPr>
          <w:p w:rsidR="00BD73C7" w:rsidRDefault="00BD73C7" w:rsidP="00AC4C90">
            <w:pPr>
              <w:pStyle w:val="Ruller41"/>
              <w:jc w:val="center"/>
              <w:rPr>
                <w:rtl/>
              </w:rPr>
            </w:pPr>
          </w:p>
        </w:tc>
        <w:tc>
          <w:tcPr>
            <w:tcW w:w="2843" w:type="dxa"/>
            <w:shd w:val="clear" w:color="auto" w:fill="auto"/>
          </w:tcPr>
          <w:p w:rsidR="00BD73C7" w:rsidRDefault="00BD73C7" w:rsidP="007E47B8">
            <w:pPr>
              <w:pStyle w:val="Ruller41"/>
              <w:jc w:val="right"/>
              <w:rPr>
                <w:rtl/>
              </w:rPr>
            </w:pPr>
            <w:r>
              <w:rPr>
                <w:rFonts w:hint="cs"/>
                <w:rtl/>
              </w:rPr>
              <w:t>ש ו פ ט</w:t>
            </w:r>
          </w:p>
        </w:tc>
      </w:tr>
    </w:tbl>
    <w:p w:rsidR="00BD73C7" w:rsidRDefault="00BD73C7" w:rsidP="00A51FAE">
      <w:pPr>
        <w:pStyle w:val="Ruller41"/>
        <w:rPr>
          <w:rtl/>
        </w:rPr>
      </w:pPr>
    </w:p>
    <w:p w:rsidR="00BD73C7" w:rsidRDefault="00BD73C7" w:rsidP="00A51FAE">
      <w:pPr>
        <w:pStyle w:val="Ruller41"/>
        <w:rPr>
          <w:rtl/>
        </w:rPr>
      </w:pPr>
    </w:p>
    <w:p w:rsidR="00BD73C7" w:rsidRPr="00BD73C7" w:rsidRDefault="00BD73C7" w:rsidP="00A51FAE">
      <w:pPr>
        <w:pStyle w:val="Ruller41"/>
        <w:rPr>
          <w:rFonts w:ascii="Century" w:hAnsi="Century" w:cs="Miriam"/>
          <w:b/>
          <w:spacing w:val="0"/>
          <w:szCs w:val="24"/>
          <w:u w:val="single"/>
          <w:rtl/>
        </w:rPr>
      </w:pPr>
      <w:r w:rsidRPr="00BD73C7">
        <w:rPr>
          <w:rFonts w:ascii="Century" w:hAnsi="Century" w:cs="Miriam" w:hint="cs"/>
          <w:b/>
          <w:spacing w:val="0"/>
          <w:szCs w:val="24"/>
          <w:u w:val="single"/>
          <w:rtl/>
        </w:rPr>
        <w:t>השופט י' עמית:</w:t>
      </w:r>
    </w:p>
    <w:p w:rsidR="00BD73C7" w:rsidRDefault="00BD73C7" w:rsidP="00A51FAE">
      <w:pPr>
        <w:pStyle w:val="Ruller41"/>
        <w:rPr>
          <w:rtl/>
        </w:rPr>
      </w:pPr>
    </w:p>
    <w:p w:rsidR="00BD73C7" w:rsidRDefault="00BD73C7" w:rsidP="00A51FAE">
      <w:pPr>
        <w:pStyle w:val="Ruller41"/>
        <w:rPr>
          <w:rtl/>
        </w:rPr>
      </w:pPr>
      <w:r>
        <w:rPr>
          <w:rtl/>
        </w:rPr>
        <w:tab/>
      </w:r>
      <w:r>
        <w:rPr>
          <w:rFonts w:hint="cs"/>
          <w:rtl/>
        </w:rPr>
        <w:t>אני מסכים.</w:t>
      </w:r>
    </w:p>
    <w:p w:rsidR="00CF54A5" w:rsidRDefault="00CF54A5"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1"/>
              <w:rPr>
                <w:rtl/>
              </w:rPr>
            </w:pPr>
          </w:p>
        </w:tc>
        <w:tc>
          <w:tcPr>
            <w:tcW w:w="2843" w:type="dxa"/>
            <w:shd w:val="clear" w:color="auto" w:fill="auto"/>
          </w:tcPr>
          <w:p w:rsidR="001A0164" w:rsidRDefault="001A0164" w:rsidP="00BA0B08">
            <w:pPr>
              <w:pStyle w:val="Ruller41"/>
              <w:jc w:val="center"/>
              <w:rPr>
                <w:rtl/>
              </w:rPr>
            </w:pPr>
          </w:p>
        </w:tc>
        <w:tc>
          <w:tcPr>
            <w:tcW w:w="2843" w:type="dxa"/>
            <w:shd w:val="clear" w:color="auto" w:fill="auto"/>
          </w:tcPr>
          <w:p w:rsidR="001A0164" w:rsidRDefault="00BD73C7" w:rsidP="007E47B8">
            <w:pPr>
              <w:pStyle w:val="Ruller41"/>
              <w:jc w:val="right"/>
              <w:rPr>
                <w:rtl/>
              </w:rPr>
            </w:pPr>
            <w:r>
              <w:rPr>
                <w:rFonts w:hint="cs"/>
                <w:rtl/>
              </w:rPr>
              <w:t>ש ו פ ט</w:t>
            </w:r>
          </w:p>
        </w:tc>
      </w:tr>
    </w:tbl>
    <w:p w:rsidR="00044953" w:rsidRDefault="00044953" w:rsidP="00A51FAE">
      <w:pPr>
        <w:pStyle w:val="Ruller41"/>
        <w:rPr>
          <w:rtl/>
        </w:rPr>
      </w:pPr>
    </w:p>
    <w:p w:rsidR="00BD73C7" w:rsidRDefault="00BD73C7" w:rsidP="00A51FAE">
      <w:pPr>
        <w:pStyle w:val="Ruller41"/>
        <w:rPr>
          <w:rtl/>
        </w:rPr>
      </w:pPr>
    </w:p>
    <w:p w:rsidR="00BD73C7" w:rsidRPr="00503A3E" w:rsidRDefault="00BD73C7" w:rsidP="00BD73C7">
      <w:pPr>
        <w:pStyle w:val="BODYVERDICT"/>
        <w:rPr>
          <w:rFonts w:cs="Miriam"/>
          <w:sz w:val="24"/>
          <w:szCs w:val="24"/>
          <w:u w:val="single"/>
          <w:rtl/>
        </w:rPr>
      </w:pPr>
      <w:r>
        <w:rPr>
          <w:rFonts w:cs="Miriam"/>
          <w:sz w:val="24"/>
          <w:szCs w:val="24"/>
          <w:u w:val="single"/>
          <w:rtl/>
        </w:rPr>
        <w:t>השופט א' שטיין:</w:t>
      </w:r>
    </w:p>
    <w:p w:rsidR="00BD73C7" w:rsidRDefault="00BD73C7" w:rsidP="00BD73C7">
      <w:pPr>
        <w:pStyle w:val="Ruller41"/>
        <w:rPr>
          <w:rtl/>
        </w:rPr>
      </w:pPr>
    </w:p>
    <w:p w:rsidR="00BD73C7" w:rsidRDefault="00BD73C7" w:rsidP="00BD73C7">
      <w:pPr>
        <w:pStyle w:val="Ruller41"/>
        <w:rPr>
          <w:rtl/>
        </w:rPr>
      </w:pPr>
      <w:r>
        <w:rPr>
          <w:rtl/>
        </w:rPr>
        <w:t>1.</w:t>
      </w:r>
      <w:r>
        <w:rPr>
          <w:rtl/>
        </w:rPr>
        <w:tab/>
      </w:r>
      <w:r>
        <w:rPr>
          <w:rFonts w:hint="eastAsia"/>
          <w:rtl/>
        </w:rPr>
        <w:t>אני</w:t>
      </w:r>
      <w:r>
        <w:rPr>
          <w:rtl/>
        </w:rPr>
        <w:t xml:space="preserve"> </w:t>
      </w:r>
      <w:r>
        <w:rPr>
          <w:rFonts w:hint="eastAsia"/>
          <w:rtl/>
        </w:rPr>
        <w:t>מצטרף</w:t>
      </w:r>
      <w:r>
        <w:rPr>
          <w:rtl/>
        </w:rPr>
        <w:t xml:space="preserve"> </w:t>
      </w:r>
      <w:r>
        <w:rPr>
          <w:rFonts w:hint="eastAsia"/>
          <w:rtl/>
        </w:rPr>
        <w:t>למסקנה</w:t>
      </w:r>
      <w:r>
        <w:rPr>
          <w:rtl/>
        </w:rPr>
        <w:t xml:space="preserve"> </w:t>
      </w:r>
      <w:r>
        <w:rPr>
          <w:rFonts w:hint="eastAsia"/>
          <w:rtl/>
        </w:rPr>
        <w:t>אליה</w:t>
      </w:r>
      <w:r>
        <w:rPr>
          <w:rtl/>
        </w:rPr>
        <w:t xml:space="preserve"> </w:t>
      </w:r>
      <w:r>
        <w:rPr>
          <w:rFonts w:hint="eastAsia"/>
          <w:rtl/>
        </w:rPr>
        <w:t>הגיע</w:t>
      </w:r>
      <w:r>
        <w:rPr>
          <w:rtl/>
        </w:rPr>
        <w:t xml:space="preserve"> </w:t>
      </w:r>
      <w:r>
        <w:rPr>
          <w:rFonts w:hint="eastAsia"/>
          <w:rtl/>
        </w:rPr>
        <w:t>חברי</w:t>
      </w:r>
      <w:r>
        <w:rPr>
          <w:rtl/>
        </w:rPr>
        <w:t xml:space="preserve">, </w:t>
      </w:r>
      <w:r>
        <w:rPr>
          <w:rFonts w:hint="eastAsia"/>
          <w:rtl/>
        </w:rPr>
        <w:t>השופט</w:t>
      </w:r>
      <w:r>
        <w:rPr>
          <w:rtl/>
        </w:rPr>
        <w:t xml:space="preserve"> </w:t>
      </w:r>
      <w:r w:rsidRPr="00DE4817">
        <w:rPr>
          <w:rFonts w:ascii="Century" w:hAnsi="Century" w:cs="Miriam" w:hint="eastAsia"/>
          <w:b/>
          <w:spacing w:val="0"/>
          <w:szCs w:val="24"/>
          <w:rtl/>
        </w:rPr>
        <w:t>ע׳</w:t>
      </w:r>
      <w:r w:rsidRPr="00DE4817">
        <w:rPr>
          <w:rFonts w:ascii="Century" w:hAnsi="Century" w:cs="Miriam"/>
          <w:b/>
          <w:spacing w:val="0"/>
          <w:szCs w:val="24"/>
          <w:rtl/>
        </w:rPr>
        <w:t xml:space="preserve"> </w:t>
      </w:r>
      <w:r w:rsidRPr="00DE4817">
        <w:rPr>
          <w:rFonts w:ascii="Century" w:hAnsi="Century" w:cs="Miriam" w:hint="eastAsia"/>
          <w:b/>
          <w:spacing w:val="0"/>
          <w:szCs w:val="24"/>
          <w:rtl/>
        </w:rPr>
        <w:t>גרוסקופף</w:t>
      </w:r>
      <w:r>
        <w:rPr>
          <w:rtl/>
        </w:rPr>
        <w:t xml:space="preserve">, </w:t>
      </w:r>
      <w:r>
        <w:rPr>
          <w:rFonts w:hint="eastAsia"/>
          <w:rtl/>
        </w:rPr>
        <w:t>בדבר</w:t>
      </w:r>
      <w:r>
        <w:rPr>
          <w:rtl/>
        </w:rPr>
        <w:t xml:space="preserve"> </w:t>
      </w:r>
      <w:r>
        <w:rPr>
          <w:rFonts w:hint="eastAsia"/>
          <w:rtl/>
        </w:rPr>
        <w:t>קבלת</w:t>
      </w:r>
      <w:r>
        <w:rPr>
          <w:rtl/>
        </w:rPr>
        <w:t xml:space="preserve"> </w:t>
      </w:r>
      <w:r>
        <w:rPr>
          <w:rFonts w:hint="eastAsia"/>
          <w:rtl/>
        </w:rPr>
        <w:t>עמדתם</w:t>
      </w:r>
      <w:r>
        <w:rPr>
          <w:rtl/>
        </w:rPr>
        <w:t xml:space="preserve"> </w:t>
      </w:r>
      <w:r>
        <w:rPr>
          <w:rFonts w:hint="eastAsia"/>
          <w:rtl/>
        </w:rPr>
        <w:t>של</w:t>
      </w:r>
      <w:r>
        <w:rPr>
          <w:rtl/>
        </w:rPr>
        <w:t xml:space="preserve"> </w:t>
      </w:r>
      <w:r>
        <w:rPr>
          <w:rFonts w:hint="eastAsia"/>
          <w:rtl/>
        </w:rPr>
        <w:t>פקידי</w:t>
      </w:r>
      <w:r>
        <w:rPr>
          <w:rtl/>
        </w:rPr>
        <w:t xml:space="preserve"> </w:t>
      </w:r>
      <w:r>
        <w:rPr>
          <w:rFonts w:hint="eastAsia"/>
          <w:rtl/>
        </w:rPr>
        <w:t>השומה</w:t>
      </w:r>
      <w:r>
        <w:rPr>
          <w:rtl/>
        </w:rPr>
        <w:t xml:space="preserve"> </w:t>
      </w:r>
      <w:r>
        <w:rPr>
          <w:rFonts w:hint="eastAsia"/>
          <w:rtl/>
        </w:rPr>
        <w:t>ביחס</w:t>
      </w:r>
      <w:r>
        <w:rPr>
          <w:rtl/>
        </w:rPr>
        <w:t xml:space="preserve"> </w:t>
      </w:r>
      <w:r>
        <w:rPr>
          <w:rFonts w:hint="eastAsia"/>
          <w:rtl/>
        </w:rPr>
        <w:t>לכל</w:t>
      </w:r>
      <w:r>
        <w:rPr>
          <w:rtl/>
        </w:rPr>
        <w:t xml:space="preserve"> </w:t>
      </w:r>
      <w:r>
        <w:rPr>
          <w:rFonts w:hint="eastAsia"/>
          <w:rtl/>
        </w:rPr>
        <w:t>אחת</w:t>
      </w:r>
      <w:r>
        <w:rPr>
          <w:rtl/>
        </w:rPr>
        <w:t xml:space="preserve"> </w:t>
      </w:r>
      <w:r>
        <w:rPr>
          <w:rFonts w:hint="eastAsia"/>
          <w:rtl/>
        </w:rPr>
        <w:t>מהמערערות</w:t>
      </w:r>
      <w:r>
        <w:rPr>
          <w:rtl/>
        </w:rPr>
        <w:t>-</w:t>
      </w:r>
      <w:proofErr w:type="spellStart"/>
      <w:r>
        <w:rPr>
          <w:rFonts w:hint="eastAsia"/>
          <w:rtl/>
        </w:rPr>
        <w:t>הנישומות</w:t>
      </w:r>
      <w:proofErr w:type="spellEnd"/>
      <w:r>
        <w:rPr>
          <w:rtl/>
        </w:rPr>
        <w:t xml:space="preserve">, </w:t>
      </w:r>
      <w:r>
        <w:rPr>
          <w:rFonts w:hint="eastAsia"/>
          <w:rtl/>
        </w:rPr>
        <w:t>אולם</w:t>
      </w:r>
      <w:r>
        <w:rPr>
          <w:rtl/>
        </w:rPr>
        <w:t xml:space="preserve"> </w:t>
      </w:r>
      <w:r>
        <w:rPr>
          <w:rFonts w:hint="eastAsia"/>
          <w:rtl/>
        </w:rPr>
        <w:t>נימוקיי</w:t>
      </w:r>
      <w:r>
        <w:rPr>
          <w:rtl/>
        </w:rPr>
        <w:t xml:space="preserve"> </w:t>
      </w:r>
      <w:r>
        <w:rPr>
          <w:rFonts w:hint="eastAsia"/>
          <w:rtl/>
        </w:rPr>
        <w:t>אינם</w:t>
      </w:r>
      <w:r>
        <w:rPr>
          <w:rtl/>
        </w:rPr>
        <w:t xml:space="preserve"> </w:t>
      </w:r>
      <w:r>
        <w:rPr>
          <w:rFonts w:hint="eastAsia"/>
          <w:rtl/>
        </w:rPr>
        <w:t>זהים</w:t>
      </w:r>
      <w:r>
        <w:rPr>
          <w:rtl/>
        </w:rPr>
        <w:t xml:space="preserve"> </w:t>
      </w:r>
      <w:r>
        <w:rPr>
          <w:rFonts w:hint="eastAsia"/>
          <w:rtl/>
        </w:rPr>
        <w:t>לכל</w:t>
      </w:r>
      <w:r>
        <w:rPr>
          <w:rtl/>
        </w:rPr>
        <w:t xml:space="preserve"> </w:t>
      </w:r>
      <w:r>
        <w:rPr>
          <w:rFonts w:hint="eastAsia"/>
          <w:rtl/>
        </w:rPr>
        <w:t>נימוקיו</w:t>
      </w:r>
      <w:r>
        <w:rPr>
          <w:rtl/>
        </w:rPr>
        <w:t>.</w:t>
      </w:r>
    </w:p>
    <w:p w:rsidR="00BD73C7" w:rsidRDefault="00BD73C7" w:rsidP="00BD73C7">
      <w:pPr>
        <w:pStyle w:val="Ruller41"/>
        <w:rPr>
          <w:rtl/>
        </w:rPr>
      </w:pPr>
      <w:r>
        <w:rPr>
          <w:rtl/>
        </w:rPr>
        <w:t xml:space="preserve"> </w:t>
      </w:r>
    </w:p>
    <w:p w:rsidR="00BD73C7" w:rsidRDefault="00BD73C7" w:rsidP="00BD73C7">
      <w:pPr>
        <w:pStyle w:val="Ruller41"/>
        <w:rPr>
          <w:rtl/>
        </w:rPr>
      </w:pPr>
      <w:r>
        <w:rPr>
          <w:rtl/>
        </w:rPr>
        <w:t>2.</w:t>
      </w:r>
      <w:r>
        <w:rPr>
          <w:rtl/>
        </w:rPr>
        <w:tab/>
      </w:r>
      <w:r>
        <w:rPr>
          <w:rFonts w:hint="eastAsia"/>
          <w:rtl/>
        </w:rPr>
        <w:t>הנני</w:t>
      </w:r>
      <w:r>
        <w:rPr>
          <w:rtl/>
        </w:rPr>
        <w:t xml:space="preserve"> </w:t>
      </w:r>
      <w:r>
        <w:rPr>
          <w:rFonts w:hint="eastAsia"/>
          <w:rtl/>
        </w:rPr>
        <w:t>סבור</w:t>
      </w:r>
      <w:r>
        <w:rPr>
          <w:rtl/>
        </w:rPr>
        <w:t xml:space="preserve"> </w:t>
      </w:r>
      <w:r>
        <w:rPr>
          <w:rFonts w:hint="eastAsia"/>
          <w:rtl/>
        </w:rPr>
        <w:t>כי</w:t>
      </w:r>
      <w:r>
        <w:rPr>
          <w:rtl/>
        </w:rPr>
        <w:t xml:space="preserve"> </w:t>
      </w:r>
      <w:r>
        <w:rPr>
          <w:rFonts w:hint="eastAsia"/>
          <w:rtl/>
        </w:rPr>
        <w:t>צדק</w:t>
      </w:r>
      <w:r>
        <w:rPr>
          <w:rtl/>
        </w:rPr>
        <w:t xml:space="preserve"> </w:t>
      </w:r>
      <w:r>
        <w:rPr>
          <w:rFonts w:hint="eastAsia"/>
          <w:rtl/>
        </w:rPr>
        <w:t>בית</w:t>
      </w:r>
      <w:r>
        <w:rPr>
          <w:rtl/>
        </w:rPr>
        <w:t xml:space="preserve"> </w:t>
      </w:r>
      <w:r>
        <w:rPr>
          <w:rFonts w:hint="eastAsia"/>
          <w:rtl/>
        </w:rPr>
        <w:t>המשפט</w:t>
      </w:r>
      <w:r>
        <w:rPr>
          <w:rtl/>
        </w:rPr>
        <w:t xml:space="preserve"> </w:t>
      </w:r>
      <w:r>
        <w:rPr>
          <w:rFonts w:hint="eastAsia"/>
          <w:rtl/>
        </w:rPr>
        <w:t>המחוזי</w:t>
      </w:r>
      <w:r>
        <w:rPr>
          <w:rtl/>
        </w:rPr>
        <w:t xml:space="preserve"> </w:t>
      </w:r>
      <w:r>
        <w:rPr>
          <w:rFonts w:hint="eastAsia"/>
          <w:rtl/>
        </w:rPr>
        <w:t>בקבעו</w:t>
      </w:r>
      <w:r>
        <w:rPr>
          <w:rtl/>
        </w:rPr>
        <w:t xml:space="preserve"> </w:t>
      </w:r>
      <w:r>
        <w:rPr>
          <w:rFonts w:hint="eastAsia"/>
          <w:rtl/>
        </w:rPr>
        <w:t>כי</w:t>
      </w:r>
      <w:r>
        <w:rPr>
          <w:rtl/>
        </w:rPr>
        <w:t xml:space="preserve"> </w:t>
      </w:r>
      <w:r>
        <w:rPr>
          <w:rFonts w:hint="eastAsia"/>
          <w:rtl/>
        </w:rPr>
        <w:t>דרישת</w:t>
      </w:r>
      <w:r>
        <w:rPr>
          <w:rtl/>
        </w:rPr>
        <w:t xml:space="preserve"> </w:t>
      </w:r>
      <w:r>
        <w:rPr>
          <w:rFonts w:hint="eastAsia"/>
          <w:rtl/>
        </w:rPr>
        <w:t>גודל</w:t>
      </w:r>
      <w:r>
        <w:rPr>
          <w:rtl/>
        </w:rPr>
        <w:t xml:space="preserve"> </w:t>
      </w:r>
      <w:r>
        <w:rPr>
          <w:rFonts w:hint="eastAsia"/>
          <w:rtl/>
        </w:rPr>
        <w:t>השוק</w:t>
      </w:r>
      <w:r>
        <w:rPr>
          <w:rtl/>
        </w:rPr>
        <w:t xml:space="preserve">, </w:t>
      </w:r>
      <w:r>
        <w:rPr>
          <w:rFonts w:hint="eastAsia"/>
          <w:rtl/>
        </w:rPr>
        <w:t>שבבסיס</w:t>
      </w:r>
      <w:r>
        <w:rPr>
          <w:rtl/>
        </w:rPr>
        <w:t xml:space="preserve"> </w:t>
      </w:r>
      <w:r>
        <w:rPr>
          <w:rFonts w:hint="eastAsia"/>
          <w:rtl/>
        </w:rPr>
        <w:t>הטבת</w:t>
      </w:r>
      <w:r>
        <w:rPr>
          <w:rtl/>
        </w:rPr>
        <w:t xml:space="preserve"> </w:t>
      </w:r>
      <w:r>
        <w:rPr>
          <w:rFonts w:hint="eastAsia"/>
          <w:rtl/>
        </w:rPr>
        <w:t>המס</w:t>
      </w:r>
      <w:r>
        <w:rPr>
          <w:rtl/>
        </w:rPr>
        <w:t xml:space="preserve"> </w:t>
      </w:r>
      <w:r>
        <w:rPr>
          <w:rFonts w:hint="eastAsia"/>
          <w:rtl/>
        </w:rPr>
        <w:t>שבה</w:t>
      </w:r>
      <w:r>
        <w:rPr>
          <w:rtl/>
        </w:rPr>
        <w:t xml:space="preserve"> </w:t>
      </w:r>
      <w:r>
        <w:rPr>
          <w:rFonts w:hint="eastAsia"/>
          <w:rtl/>
        </w:rPr>
        <w:t>עסקינן</w:t>
      </w:r>
      <w:r>
        <w:rPr>
          <w:rtl/>
        </w:rPr>
        <w:t xml:space="preserve">, </w:t>
      </w:r>
      <w:r>
        <w:rPr>
          <w:rFonts w:hint="eastAsia"/>
          <w:rtl/>
        </w:rPr>
        <w:t>צריכה</w:t>
      </w:r>
      <w:r>
        <w:rPr>
          <w:rtl/>
        </w:rPr>
        <w:t xml:space="preserve"> </w:t>
      </w:r>
      <w:r>
        <w:rPr>
          <w:rFonts w:hint="eastAsia"/>
          <w:rtl/>
        </w:rPr>
        <w:t>להתקיים</w:t>
      </w:r>
      <w:r>
        <w:rPr>
          <w:rtl/>
        </w:rPr>
        <w:t xml:space="preserve">, </w:t>
      </w:r>
      <w:r>
        <w:rPr>
          <w:rFonts w:hint="eastAsia"/>
          <w:rtl/>
        </w:rPr>
        <w:t>על</w:t>
      </w:r>
      <w:r>
        <w:rPr>
          <w:rtl/>
        </w:rPr>
        <w:t xml:space="preserve"> </w:t>
      </w:r>
      <w:r>
        <w:rPr>
          <w:rFonts w:hint="eastAsia"/>
          <w:rtl/>
        </w:rPr>
        <w:t>פי</w:t>
      </w:r>
      <w:r>
        <w:rPr>
          <w:rtl/>
        </w:rPr>
        <w:t xml:space="preserve"> </w:t>
      </w:r>
      <w:r>
        <w:rPr>
          <w:rFonts w:hint="eastAsia"/>
          <w:rtl/>
        </w:rPr>
        <w:t>נתונים</w:t>
      </w:r>
      <w:r>
        <w:rPr>
          <w:rtl/>
        </w:rPr>
        <w:t xml:space="preserve"> </w:t>
      </w:r>
      <w:r>
        <w:rPr>
          <w:rFonts w:hint="eastAsia"/>
          <w:rtl/>
        </w:rPr>
        <w:t>רשמיים</w:t>
      </w:r>
      <w:r>
        <w:rPr>
          <w:rtl/>
        </w:rPr>
        <w:t xml:space="preserve"> </w:t>
      </w:r>
      <w:r>
        <w:rPr>
          <w:rFonts w:hint="eastAsia"/>
          <w:rtl/>
        </w:rPr>
        <w:t>ומוסמכים</w:t>
      </w:r>
      <w:r>
        <w:rPr>
          <w:rtl/>
        </w:rPr>
        <w:t xml:space="preserve">, </w:t>
      </w:r>
      <w:r>
        <w:rPr>
          <w:rFonts w:hint="eastAsia"/>
          <w:rtl/>
        </w:rPr>
        <w:t>במהלכה</w:t>
      </w:r>
      <w:r>
        <w:rPr>
          <w:rtl/>
        </w:rPr>
        <w:t xml:space="preserve"> </w:t>
      </w:r>
      <w:r>
        <w:rPr>
          <w:rFonts w:hint="eastAsia"/>
          <w:rtl/>
        </w:rPr>
        <w:t>של</w:t>
      </w:r>
      <w:r>
        <w:rPr>
          <w:rtl/>
        </w:rPr>
        <w:t xml:space="preserve"> </w:t>
      </w:r>
      <w:r>
        <w:rPr>
          <w:rFonts w:hint="eastAsia"/>
          <w:rtl/>
        </w:rPr>
        <w:t>כל</w:t>
      </w:r>
      <w:r>
        <w:rPr>
          <w:rtl/>
        </w:rPr>
        <w:t xml:space="preserve"> </w:t>
      </w:r>
      <w:r>
        <w:rPr>
          <w:rFonts w:hint="eastAsia"/>
          <w:rtl/>
        </w:rPr>
        <w:t>שנת</w:t>
      </w:r>
      <w:r>
        <w:rPr>
          <w:rtl/>
        </w:rPr>
        <w:t>-</w:t>
      </w:r>
      <w:r>
        <w:rPr>
          <w:rFonts w:hint="eastAsia"/>
          <w:rtl/>
        </w:rPr>
        <w:t>המס</w:t>
      </w:r>
      <w:r>
        <w:rPr>
          <w:rtl/>
        </w:rPr>
        <w:t xml:space="preserve"> </w:t>
      </w:r>
      <w:r>
        <w:rPr>
          <w:rFonts w:hint="eastAsia"/>
          <w:rtl/>
        </w:rPr>
        <w:t>הנתונה</w:t>
      </w:r>
      <w:r>
        <w:rPr>
          <w:rtl/>
        </w:rPr>
        <w:t xml:space="preserve"> — </w:t>
      </w:r>
      <w:r>
        <w:rPr>
          <w:rFonts w:hint="eastAsia"/>
          <w:rtl/>
        </w:rPr>
        <w:t>קביעה</w:t>
      </w:r>
      <w:r>
        <w:rPr>
          <w:rtl/>
        </w:rPr>
        <w:t xml:space="preserve"> </w:t>
      </w:r>
      <w:r>
        <w:rPr>
          <w:rFonts w:hint="eastAsia"/>
          <w:rtl/>
        </w:rPr>
        <w:t>אשר</w:t>
      </w:r>
      <w:r>
        <w:rPr>
          <w:rtl/>
        </w:rPr>
        <w:t xml:space="preserve"> </w:t>
      </w:r>
      <w:r>
        <w:rPr>
          <w:rFonts w:hint="eastAsia"/>
          <w:rtl/>
        </w:rPr>
        <w:t>שוללת</w:t>
      </w:r>
      <w:r>
        <w:rPr>
          <w:rtl/>
        </w:rPr>
        <w:t xml:space="preserve"> </w:t>
      </w:r>
      <w:r>
        <w:rPr>
          <w:rFonts w:hint="eastAsia"/>
          <w:rtl/>
        </w:rPr>
        <w:t>את</w:t>
      </w:r>
      <w:r>
        <w:rPr>
          <w:rtl/>
        </w:rPr>
        <w:t xml:space="preserve"> </w:t>
      </w:r>
      <w:r>
        <w:rPr>
          <w:rFonts w:hint="eastAsia"/>
          <w:rtl/>
        </w:rPr>
        <w:t>טענת</w:t>
      </w:r>
      <w:r>
        <w:rPr>
          <w:rtl/>
        </w:rPr>
        <w:t xml:space="preserve"> </w:t>
      </w:r>
      <w:r>
        <w:rPr>
          <w:rFonts w:hint="eastAsia"/>
          <w:rtl/>
        </w:rPr>
        <w:t>הזכאות</w:t>
      </w:r>
      <w:r>
        <w:rPr>
          <w:rtl/>
        </w:rPr>
        <w:t xml:space="preserve"> </w:t>
      </w:r>
      <w:r>
        <w:rPr>
          <w:rFonts w:hint="eastAsia"/>
          <w:rtl/>
        </w:rPr>
        <w:t>של</w:t>
      </w:r>
      <w:r>
        <w:rPr>
          <w:rtl/>
        </w:rPr>
        <w:t xml:space="preserve"> </w:t>
      </w:r>
      <w:r>
        <w:rPr>
          <w:rFonts w:hint="eastAsia"/>
          <w:rtl/>
        </w:rPr>
        <w:t>המערערות</w:t>
      </w:r>
      <w:r>
        <w:rPr>
          <w:rtl/>
        </w:rPr>
        <w:t xml:space="preserve"> </w:t>
      </w:r>
      <w:r>
        <w:rPr>
          <w:rFonts w:hint="eastAsia"/>
          <w:rtl/>
        </w:rPr>
        <w:t>ביחס</w:t>
      </w:r>
      <w:r>
        <w:rPr>
          <w:rtl/>
        </w:rPr>
        <w:t xml:space="preserve"> </w:t>
      </w:r>
      <w:r>
        <w:rPr>
          <w:rFonts w:hint="eastAsia"/>
          <w:rtl/>
        </w:rPr>
        <w:t>לשנת</w:t>
      </w:r>
      <w:r>
        <w:rPr>
          <w:rtl/>
        </w:rPr>
        <w:t xml:space="preserve"> </w:t>
      </w:r>
      <w:r>
        <w:rPr>
          <w:rFonts w:hint="eastAsia"/>
          <w:rtl/>
        </w:rPr>
        <w:t>המס</w:t>
      </w:r>
      <w:r>
        <w:rPr>
          <w:rtl/>
        </w:rPr>
        <w:t xml:space="preserve"> 2011. </w:t>
      </w:r>
      <w:r>
        <w:rPr>
          <w:rFonts w:hint="eastAsia"/>
          <w:rtl/>
        </w:rPr>
        <w:t>בהקשר</w:t>
      </w:r>
      <w:r>
        <w:rPr>
          <w:rtl/>
        </w:rPr>
        <w:t xml:space="preserve"> </w:t>
      </w:r>
      <w:r>
        <w:rPr>
          <w:rFonts w:hint="eastAsia"/>
          <w:rtl/>
        </w:rPr>
        <w:t>זה</w:t>
      </w:r>
      <w:r>
        <w:rPr>
          <w:rtl/>
        </w:rPr>
        <w:t xml:space="preserve">, </w:t>
      </w:r>
      <w:r>
        <w:rPr>
          <w:rFonts w:hint="eastAsia"/>
          <w:rtl/>
        </w:rPr>
        <w:t>אציין</w:t>
      </w:r>
      <w:r>
        <w:rPr>
          <w:rtl/>
        </w:rPr>
        <w:t xml:space="preserve"> </w:t>
      </w:r>
      <w:r>
        <w:rPr>
          <w:rFonts w:hint="eastAsia"/>
          <w:rtl/>
        </w:rPr>
        <w:t>כי</w:t>
      </w:r>
      <w:r>
        <w:rPr>
          <w:rtl/>
        </w:rPr>
        <w:t xml:space="preserve"> </w:t>
      </w:r>
      <w:r>
        <w:rPr>
          <w:rFonts w:hint="eastAsia"/>
          <w:rtl/>
        </w:rPr>
        <w:t>הסתמכות</w:t>
      </w:r>
      <w:r>
        <w:rPr>
          <w:rtl/>
        </w:rPr>
        <w:t xml:space="preserve"> </w:t>
      </w:r>
      <w:r>
        <w:rPr>
          <w:rFonts w:hint="eastAsia"/>
          <w:rtl/>
        </w:rPr>
        <w:t>על</w:t>
      </w:r>
      <w:r>
        <w:rPr>
          <w:rtl/>
        </w:rPr>
        <w:t xml:space="preserve"> </w:t>
      </w:r>
      <w:r>
        <w:rPr>
          <w:rFonts w:hint="eastAsia"/>
          <w:rtl/>
        </w:rPr>
        <w:t>נתוני</w:t>
      </w:r>
      <w:r>
        <w:rPr>
          <w:rtl/>
        </w:rPr>
        <w:t xml:space="preserve"> </w:t>
      </w:r>
      <w:r>
        <w:rPr>
          <w:rFonts w:hint="eastAsia"/>
          <w:rtl/>
        </w:rPr>
        <w:t>הלשכה</w:t>
      </w:r>
      <w:r>
        <w:rPr>
          <w:rtl/>
        </w:rPr>
        <w:t xml:space="preserve"> </w:t>
      </w:r>
      <w:r>
        <w:rPr>
          <w:rFonts w:hint="eastAsia"/>
          <w:rtl/>
        </w:rPr>
        <w:t>המרכזית</w:t>
      </w:r>
      <w:r>
        <w:rPr>
          <w:rtl/>
        </w:rPr>
        <w:t xml:space="preserve"> </w:t>
      </w:r>
      <w:r>
        <w:rPr>
          <w:rFonts w:hint="eastAsia"/>
          <w:rtl/>
        </w:rPr>
        <w:t>לסטטיסטיקה</w:t>
      </w:r>
      <w:r>
        <w:rPr>
          <w:rtl/>
        </w:rPr>
        <w:t xml:space="preserve"> </w:t>
      </w:r>
      <w:r>
        <w:rPr>
          <w:rFonts w:hint="eastAsia"/>
          <w:rtl/>
        </w:rPr>
        <w:t>באשר</w:t>
      </w:r>
      <w:r>
        <w:rPr>
          <w:rtl/>
        </w:rPr>
        <w:t xml:space="preserve"> </w:t>
      </w:r>
      <w:r>
        <w:rPr>
          <w:rFonts w:hint="eastAsia"/>
          <w:rtl/>
        </w:rPr>
        <w:t>לגודלה</w:t>
      </w:r>
      <w:r>
        <w:rPr>
          <w:rtl/>
        </w:rPr>
        <w:t xml:space="preserve"> </w:t>
      </w:r>
      <w:r>
        <w:rPr>
          <w:rFonts w:hint="eastAsia"/>
          <w:rtl/>
        </w:rPr>
        <w:t>של</w:t>
      </w:r>
      <w:r>
        <w:rPr>
          <w:rtl/>
        </w:rPr>
        <w:t xml:space="preserve"> </w:t>
      </w:r>
      <w:r>
        <w:rPr>
          <w:rFonts w:hint="eastAsia"/>
          <w:rtl/>
        </w:rPr>
        <w:t>אוכלוסיית</w:t>
      </w:r>
      <w:r>
        <w:rPr>
          <w:rtl/>
        </w:rPr>
        <w:t xml:space="preserve"> </w:t>
      </w:r>
      <w:r>
        <w:rPr>
          <w:rFonts w:hint="eastAsia"/>
          <w:rtl/>
        </w:rPr>
        <w:t>ישראל</w:t>
      </w:r>
      <w:r>
        <w:rPr>
          <w:rtl/>
        </w:rPr>
        <w:t xml:space="preserve"> — </w:t>
      </w:r>
      <w:r>
        <w:rPr>
          <w:rFonts w:hint="eastAsia"/>
          <w:rtl/>
        </w:rPr>
        <w:t>אשר</w:t>
      </w:r>
      <w:r>
        <w:rPr>
          <w:rtl/>
        </w:rPr>
        <w:t xml:space="preserve"> </w:t>
      </w:r>
      <w:r>
        <w:rPr>
          <w:rFonts w:hint="eastAsia"/>
          <w:rtl/>
        </w:rPr>
        <w:t>לא</w:t>
      </w:r>
      <w:r>
        <w:rPr>
          <w:rtl/>
        </w:rPr>
        <w:t xml:space="preserve"> </w:t>
      </w:r>
      <w:r>
        <w:rPr>
          <w:rFonts w:hint="eastAsia"/>
          <w:rtl/>
        </w:rPr>
        <w:t>הגיעה</w:t>
      </w:r>
      <w:r>
        <w:rPr>
          <w:rtl/>
        </w:rPr>
        <w:t xml:space="preserve"> </w:t>
      </w:r>
      <w:r>
        <w:rPr>
          <w:rFonts w:hint="eastAsia"/>
          <w:rtl/>
        </w:rPr>
        <w:t>באותה</w:t>
      </w:r>
      <w:r>
        <w:rPr>
          <w:rtl/>
        </w:rPr>
        <w:t xml:space="preserve"> </w:t>
      </w:r>
      <w:r>
        <w:rPr>
          <w:rFonts w:hint="eastAsia"/>
          <w:rtl/>
        </w:rPr>
        <w:t>שנה</w:t>
      </w:r>
      <w:r>
        <w:rPr>
          <w:rtl/>
        </w:rPr>
        <w:t xml:space="preserve"> </w:t>
      </w:r>
      <w:r>
        <w:rPr>
          <w:rFonts w:hint="eastAsia"/>
          <w:rtl/>
        </w:rPr>
        <w:t>כולה</w:t>
      </w:r>
      <w:r>
        <w:rPr>
          <w:rtl/>
        </w:rPr>
        <w:t xml:space="preserve"> </w:t>
      </w:r>
      <w:r>
        <w:rPr>
          <w:rFonts w:hint="eastAsia"/>
          <w:rtl/>
        </w:rPr>
        <w:t>לסף</w:t>
      </w:r>
      <w:r>
        <w:rPr>
          <w:rtl/>
        </w:rPr>
        <w:t xml:space="preserve"> </w:t>
      </w:r>
      <w:r>
        <w:rPr>
          <w:rFonts w:hint="eastAsia"/>
          <w:rtl/>
        </w:rPr>
        <w:t>הדרוש</w:t>
      </w:r>
      <w:r>
        <w:rPr>
          <w:rtl/>
        </w:rPr>
        <w:t xml:space="preserve"> </w:t>
      </w:r>
      <w:r>
        <w:rPr>
          <w:rFonts w:hint="eastAsia"/>
          <w:rtl/>
        </w:rPr>
        <w:t>של</w:t>
      </w:r>
      <w:r>
        <w:rPr>
          <w:rtl/>
        </w:rPr>
        <w:t xml:space="preserve"> 12,000,000 </w:t>
      </w:r>
      <w:r>
        <w:rPr>
          <w:rFonts w:hint="eastAsia"/>
          <w:rtl/>
        </w:rPr>
        <w:t>תושבים</w:t>
      </w:r>
      <w:r>
        <w:rPr>
          <w:rtl/>
        </w:rPr>
        <w:t xml:space="preserve"> — </w:t>
      </w:r>
      <w:r>
        <w:rPr>
          <w:rFonts w:hint="eastAsia"/>
          <w:rtl/>
        </w:rPr>
        <w:t>כאל</w:t>
      </w:r>
      <w:r>
        <w:rPr>
          <w:rtl/>
        </w:rPr>
        <w:t xml:space="preserve"> </w:t>
      </w:r>
      <w:r>
        <w:rPr>
          <w:rFonts w:hint="eastAsia"/>
          <w:rtl/>
        </w:rPr>
        <w:t>ראיה</w:t>
      </w:r>
      <w:r>
        <w:rPr>
          <w:rtl/>
        </w:rPr>
        <w:t xml:space="preserve"> </w:t>
      </w:r>
      <w:r>
        <w:rPr>
          <w:rFonts w:hint="eastAsia"/>
          <w:rtl/>
        </w:rPr>
        <w:t>מספקת</w:t>
      </w:r>
      <w:r>
        <w:rPr>
          <w:rtl/>
        </w:rPr>
        <w:t xml:space="preserve"> </w:t>
      </w:r>
      <w:proofErr w:type="spellStart"/>
      <w:r>
        <w:rPr>
          <w:rFonts w:hint="eastAsia"/>
          <w:rtl/>
        </w:rPr>
        <w:t>היתה</w:t>
      </w:r>
      <w:proofErr w:type="spellEnd"/>
      <w:r>
        <w:rPr>
          <w:rtl/>
        </w:rPr>
        <w:t xml:space="preserve"> </w:t>
      </w:r>
      <w:r>
        <w:rPr>
          <w:rFonts w:hint="eastAsia"/>
          <w:rtl/>
        </w:rPr>
        <w:t>במקומה</w:t>
      </w:r>
      <w:r>
        <w:rPr>
          <w:rtl/>
        </w:rPr>
        <w:t>.</w:t>
      </w:r>
    </w:p>
    <w:p w:rsidR="00BD73C7" w:rsidRDefault="00BD73C7" w:rsidP="00BD73C7">
      <w:pPr>
        <w:pStyle w:val="Ruller41"/>
        <w:rPr>
          <w:rtl/>
        </w:rPr>
      </w:pPr>
      <w:r>
        <w:rPr>
          <w:rtl/>
        </w:rPr>
        <w:t xml:space="preserve"> </w:t>
      </w:r>
    </w:p>
    <w:p w:rsidR="00BD73C7" w:rsidRDefault="00BD73C7" w:rsidP="00BD73C7">
      <w:pPr>
        <w:pStyle w:val="Ruller41"/>
        <w:rPr>
          <w:rtl/>
        </w:rPr>
      </w:pPr>
      <w:r>
        <w:rPr>
          <w:rtl/>
        </w:rPr>
        <w:t>3.</w:t>
      </w:r>
      <w:r>
        <w:rPr>
          <w:rtl/>
        </w:rPr>
        <w:tab/>
      </w:r>
      <w:r>
        <w:rPr>
          <w:rFonts w:hint="eastAsia"/>
          <w:rtl/>
        </w:rPr>
        <w:t>באשר</w:t>
      </w:r>
      <w:r>
        <w:rPr>
          <w:rtl/>
        </w:rPr>
        <w:t xml:space="preserve"> </w:t>
      </w:r>
      <w:proofErr w:type="spellStart"/>
      <w:r>
        <w:rPr>
          <w:rFonts w:hint="eastAsia"/>
          <w:rtl/>
        </w:rPr>
        <w:t>לחוקתיותו</w:t>
      </w:r>
      <w:proofErr w:type="spellEnd"/>
      <w:r>
        <w:rPr>
          <w:rtl/>
        </w:rPr>
        <w:t xml:space="preserve"> </w:t>
      </w:r>
      <w:r>
        <w:rPr>
          <w:rFonts w:hint="eastAsia"/>
          <w:rtl/>
        </w:rPr>
        <w:t>של</w:t>
      </w:r>
      <w:r>
        <w:rPr>
          <w:rtl/>
        </w:rPr>
        <w:t xml:space="preserve"> </w:t>
      </w:r>
      <w:r>
        <w:rPr>
          <w:rFonts w:hint="eastAsia"/>
          <w:rtl/>
        </w:rPr>
        <w:t>תיקון</w:t>
      </w:r>
      <w:r>
        <w:rPr>
          <w:rtl/>
        </w:rPr>
        <w:t xml:space="preserve"> </w:t>
      </w:r>
      <w:r>
        <w:rPr>
          <w:rFonts w:hint="eastAsia"/>
          <w:rtl/>
        </w:rPr>
        <w:t>מס׳</w:t>
      </w:r>
      <w:r>
        <w:rPr>
          <w:rtl/>
        </w:rPr>
        <w:t xml:space="preserve"> 70 </w:t>
      </w:r>
      <w:r>
        <w:rPr>
          <w:rFonts w:hint="eastAsia"/>
          <w:rtl/>
        </w:rPr>
        <w:t>לחוק</w:t>
      </w:r>
      <w:r>
        <w:rPr>
          <w:rtl/>
        </w:rPr>
        <w:t xml:space="preserve"> </w:t>
      </w:r>
      <w:r>
        <w:rPr>
          <w:rFonts w:hint="eastAsia"/>
          <w:rtl/>
        </w:rPr>
        <w:t>עידוד</w:t>
      </w:r>
      <w:r>
        <w:rPr>
          <w:rtl/>
        </w:rPr>
        <w:t xml:space="preserve"> </w:t>
      </w:r>
      <w:r>
        <w:rPr>
          <w:rFonts w:hint="eastAsia"/>
          <w:rtl/>
        </w:rPr>
        <w:t>השקעות</w:t>
      </w:r>
      <w:r>
        <w:rPr>
          <w:rtl/>
        </w:rPr>
        <w:t xml:space="preserve"> </w:t>
      </w:r>
      <w:r>
        <w:rPr>
          <w:rFonts w:hint="eastAsia"/>
          <w:rtl/>
        </w:rPr>
        <w:t>הון</w:t>
      </w:r>
      <w:r>
        <w:rPr>
          <w:rtl/>
        </w:rPr>
        <w:t xml:space="preserve">, </w:t>
      </w:r>
      <w:r>
        <w:rPr>
          <w:rFonts w:hint="eastAsia"/>
          <w:rtl/>
        </w:rPr>
        <w:t>התשי״ט</w:t>
      </w:r>
      <w:r>
        <w:rPr>
          <w:rtl/>
        </w:rPr>
        <w:t>-1959 (</w:t>
      </w:r>
      <w:r>
        <w:rPr>
          <w:rFonts w:hint="eastAsia"/>
          <w:rtl/>
        </w:rPr>
        <w:t>להלן</w:t>
      </w:r>
      <w:r>
        <w:rPr>
          <w:rtl/>
        </w:rPr>
        <w:t xml:space="preserve">: </w:t>
      </w:r>
      <w:r w:rsidRPr="005D36E9">
        <w:rPr>
          <w:rFonts w:ascii="Century" w:hAnsi="Century" w:cs="Miriam" w:hint="eastAsia"/>
          <w:b/>
          <w:spacing w:val="0"/>
          <w:szCs w:val="24"/>
          <w:rtl/>
        </w:rPr>
        <w:t>החוק</w:t>
      </w:r>
      <w:r>
        <w:rPr>
          <w:rtl/>
        </w:rPr>
        <w:t xml:space="preserve">), </w:t>
      </w:r>
      <w:r>
        <w:rPr>
          <w:rFonts w:hint="eastAsia"/>
          <w:rtl/>
        </w:rPr>
        <w:t>אשר</w:t>
      </w:r>
      <w:r>
        <w:rPr>
          <w:rtl/>
        </w:rPr>
        <w:t xml:space="preserve"> </w:t>
      </w:r>
      <w:r>
        <w:rPr>
          <w:rFonts w:hint="eastAsia"/>
          <w:rtl/>
        </w:rPr>
        <w:t>העלה</w:t>
      </w:r>
      <w:r>
        <w:rPr>
          <w:rtl/>
        </w:rPr>
        <w:t xml:space="preserve"> </w:t>
      </w:r>
      <w:r>
        <w:rPr>
          <w:rFonts w:hint="eastAsia"/>
          <w:rtl/>
        </w:rPr>
        <w:t>את</w:t>
      </w:r>
      <w:r>
        <w:rPr>
          <w:rtl/>
        </w:rPr>
        <w:t xml:space="preserve"> </w:t>
      </w:r>
      <w:r>
        <w:rPr>
          <w:rFonts w:hint="eastAsia"/>
          <w:rtl/>
        </w:rPr>
        <w:t>גודל</w:t>
      </w:r>
      <w:r>
        <w:rPr>
          <w:rtl/>
        </w:rPr>
        <w:t xml:space="preserve"> </w:t>
      </w:r>
      <w:r>
        <w:rPr>
          <w:rFonts w:hint="eastAsia"/>
          <w:rtl/>
        </w:rPr>
        <w:t>השוק</w:t>
      </w:r>
      <w:r>
        <w:rPr>
          <w:rtl/>
        </w:rPr>
        <w:t xml:space="preserve"> </w:t>
      </w:r>
      <w:r>
        <w:rPr>
          <w:rFonts w:hint="eastAsia"/>
          <w:rtl/>
        </w:rPr>
        <w:t>המזכה</w:t>
      </w:r>
      <w:r>
        <w:rPr>
          <w:rtl/>
        </w:rPr>
        <w:t xml:space="preserve"> </w:t>
      </w:r>
      <w:r>
        <w:rPr>
          <w:rFonts w:hint="eastAsia"/>
          <w:rtl/>
        </w:rPr>
        <w:t>את</w:t>
      </w:r>
      <w:r>
        <w:rPr>
          <w:rtl/>
        </w:rPr>
        <w:t xml:space="preserve"> </w:t>
      </w:r>
      <w:r>
        <w:rPr>
          <w:rFonts w:hint="eastAsia"/>
          <w:rtl/>
        </w:rPr>
        <w:t>הנישום</w:t>
      </w:r>
      <w:r>
        <w:rPr>
          <w:rtl/>
        </w:rPr>
        <w:t xml:space="preserve"> </w:t>
      </w:r>
      <w:r>
        <w:rPr>
          <w:rFonts w:hint="eastAsia"/>
          <w:rtl/>
        </w:rPr>
        <w:t>בהטבת</w:t>
      </w:r>
      <w:r>
        <w:rPr>
          <w:rtl/>
        </w:rPr>
        <w:t xml:space="preserve"> </w:t>
      </w:r>
      <w:r>
        <w:rPr>
          <w:rFonts w:hint="eastAsia"/>
          <w:rtl/>
        </w:rPr>
        <w:t>המס</w:t>
      </w:r>
      <w:r>
        <w:rPr>
          <w:rtl/>
        </w:rPr>
        <w:t xml:space="preserve"> </w:t>
      </w:r>
      <w:r>
        <w:rPr>
          <w:rFonts w:hint="eastAsia"/>
          <w:rtl/>
        </w:rPr>
        <w:t>לסף</w:t>
      </w:r>
      <w:r>
        <w:rPr>
          <w:rtl/>
        </w:rPr>
        <w:t xml:space="preserve"> </w:t>
      </w:r>
      <w:r>
        <w:rPr>
          <w:rFonts w:hint="eastAsia"/>
          <w:rtl/>
        </w:rPr>
        <w:t>של</w:t>
      </w:r>
      <w:r>
        <w:rPr>
          <w:rtl/>
        </w:rPr>
        <w:t xml:space="preserve"> 14,000,000 </w:t>
      </w:r>
      <w:r>
        <w:rPr>
          <w:rFonts w:hint="eastAsia"/>
          <w:rtl/>
        </w:rPr>
        <w:t>תושבים</w:t>
      </w:r>
      <w:r>
        <w:rPr>
          <w:rtl/>
        </w:rPr>
        <w:t xml:space="preserve">, </w:t>
      </w:r>
      <w:r>
        <w:rPr>
          <w:rFonts w:hint="eastAsia"/>
          <w:rtl/>
        </w:rPr>
        <w:t>המתעדכן</w:t>
      </w:r>
      <w:r>
        <w:rPr>
          <w:rtl/>
        </w:rPr>
        <w:t xml:space="preserve"> </w:t>
      </w:r>
      <w:r>
        <w:rPr>
          <w:rFonts w:hint="eastAsia"/>
          <w:rtl/>
        </w:rPr>
        <w:t>מעת</w:t>
      </w:r>
      <w:r>
        <w:rPr>
          <w:rtl/>
        </w:rPr>
        <w:t xml:space="preserve"> </w:t>
      </w:r>
      <w:r>
        <w:rPr>
          <w:rFonts w:hint="eastAsia"/>
          <w:rtl/>
        </w:rPr>
        <w:t>לעת</w:t>
      </w:r>
      <w:r>
        <w:rPr>
          <w:rtl/>
        </w:rPr>
        <w:t xml:space="preserve"> — </w:t>
      </w:r>
      <w:r>
        <w:rPr>
          <w:rFonts w:hint="eastAsia"/>
          <w:rtl/>
        </w:rPr>
        <w:t>מדובר</w:t>
      </w:r>
      <w:r>
        <w:rPr>
          <w:rtl/>
        </w:rPr>
        <w:t xml:space="preserve"> </w:t>
      </w:r>
      <w:r>
        <w:rPr>
          <w:rFonts w:hint="eastAsia"/>
          <w:rtl/>
        </w:rPr>
        <w:t>בדרישה</w:t>
      </w:r>
      <w:r>
        <w:rPr>
          <w:rtl/>
        </w:rPr>
        <w:t xml:space="preserve"> </w:t>
      </w:r>
      <w:r>
        <w:rPr>
          <w:rFonts w:hint="eastAsia"/>
          <w:rtl/>
        </w:rPr>
        <w:t>שמאחוריה</w:t>
      </w:r>
      <w:r>
        <w:rPr>
          <w:rtl/>
        </w:rPr>
        <w:t xml:space="preserve"> </w:t>
      </w:r>
      <w:r>
        <w:rPr>
          <w:rFonts w:hint="eastAsia"/>
          <w:rtl/>
        </w:rPr>
        <w:t>רציונל</w:t>
      </w:r>
      <w:r>
        <w:rPr>
          <w:rtl/>
        </w:rPr>
        <w:t xml:space="preserve"> </w:t>
      </w:r>
      <w:r>
        <w:rPr>
          <w:rFonts w:hint="eastAsia"/>
          <w:rtl/>
        </w:rPr>
        <w:t>כלכלי</w:t>
      </w:r>
      <w:r>
        <w:rPr>
          <w:rtl/>
        </w:rPr>
        <w:t>-</w:t>
      </w:r>
      <w:r>
        <w:rPr>
          <w:rFonts w:hint="eastAsia"/>
          <w:rtl/>
        </w:rPr>
        <w:t>מדיני</w:t>
      </w:r>
      <w:r>
        <w:rPr>
          <w:rtl/>
        </w:rPr>
        <w:t xml:space="preserve"> </w:t>
      </w:r>
      <w:r>
        <w:rPr>
          <w:rFonts w:hint="eastAsia"/>
          <w:rtl/>
        </w:rPr>
        <w:t>ברור</w:t>
      </w:r>
      <w:r>
        <w:rPr>
          <w:rtl/>
        </w:rPr>
        <w:t xml:space="preserve">, </w:t>
      </w:r>
      <w:r>
        <w:rPr>
          <w:rFonts w:hint="eastAsia"/>
          <w:rtl/>
        </w:rPr>
        <w:t>ועל</w:t>
      </w:r>
      <w:r>
        <w:rPr>
          <w:rtl/>
        </w:rPr>
        <w:t xml:space="preserve"> </w:t>
      </w:r>
      <w:r>
        <w:rPr>
          <w:rFonts w:hint="eastAsia"/>
          <w:rtl/>
        </w:rPr>
        <w:t>כן</w:t>
      </w:r>
      <w:r>
        <w:rPr>
          <w:rtl/>
        </w:rPr>
        <w:t xml:space="preserve"> </w:t>
      </w:r>
      <w:r>
        <w:rPr>
          <w:rFonts w:hint="eastAsia"/>
          <w:rtl/>
        </w:rPr>
        <w:t>מן</w:t>
      </w:r>
      <w:r>
        <w:rPr>
          <w:rtl/>
        </w:rPr>
        <w:t xml:space="preserve"> </w:t>
      </w:r>
      <w:r>
        <w:rPr>
          <w:rFonts w:hint="eastAsia"/>
          <w:rtl/>
        </w:rPr>
        <w:t>הדין</w:t>
      </w:r>
      <w:r>
        <w:rPr>
          <w:rtl/>
        </w:rPr>
        <w:t xml:space="preserve"> </w:t>
      </w:r>
      <w:r>
        <w:rPr>
          <w:rFonts w:hint="eastAsia"/>
          <w:rtl/>
        </w:rPr>
        <w:t>לדחות</w:t>
      </w:r>
      <w:r>
        <w:rPr>
          <w:rtl/>
        </w:rPr>
        <w:t xml:space="preserve"> </w:t>
      </w:r>
      <w:r>
        <w:rPr>
          <w:rFonts w:hint="eastAsia"/>
          <w:rtl/>
        </w:rPr>
        <w:t>על</w:t>
      </w:r>
      <w:r>
        <w:rPr>
          <w:rtl/>
        </w:rPr>
        <w:t xml:space="preserve"> </w:t>
      </w:r>
      <w:r>
        <w:rPr>
          <w:rFonts w:hint="eastAsia"/>
          <w:rtl/>
        </w:rPr>
        <w:t>הסף</w:t>
      </w:r>
      <w:r>
        <w:rPr>
          <w:rtl/>
        </w:rPr>
        <w:t xml:space="preserve"> </w:t>
      </w:r>
      <w:r>
        <w:rPr>
          <w:rFonts w:hint="eastAsia"/>
          <w:rtl/>
        </w:rPr>
        <w:t>את</w:t>
      </w:r>
      <w:r>
        <w:rPr>
          <w:rtl/>
        </w:rPr>
        <w:t xml:space="preserve"> </w:t>
      </w:r>
      <w:r>
        <w:rPr>
          <w:rFonts w:hint="eastAsia"/>
          <w:rtl/>
        </w:rPr>
        <w:t>טענת</w:t>
      </w:r>
      <w:r>
        <w:rPr>
          <w:rtl/>
        </w:rPr>
        <w:t xml:space="preserve"> </w:t>
      </w:r>
      <w:r>
        <w:rPr>
          <w:rFonts w:hint="eastAsia"/>
          <w:rtl/>
        </w:rPr>
        <w:t>הבטלות</w:t>
      </w:r>
      <w:r>
        <w:rPr>
          <w:rtl/>
        </w:rPr>
        <w:t xml:space="preserve"> </w:t>
      </w:r>
      <w:r>
        <w:rPr>
          <w:rFonts w:hint="eastAsia"/>
          <w:rtl/>
        </w:rPr>
        <w:t>שהועלתה</w:t>
      </w:r>
      <w:r>
        <w:rPr>
          <w:rtl/>
        </w:rPr>
        <w:t xml:space="preserve"> </w:t>
      </w:r>
      <w:r>
        <w:rPr>
          <w:rFonts w:hint="eastAsia"/>
          <w:rtl/>
        </w:rPr>
        <w:t>ביחס</w:t>
      </w:r>
      <w:r>
        <w:rPr>
          <w:rtl/>
        </w:rPr>
        <w:t xml:space="preserve"> </w:t>
      </w:r>
      <w:r>
        <w:rPr>
          <w:rFonts w:hint="eastAsia"/>
          <w:rtl/>
        </w:rPr>
        <w:t>אליה</w:t>
      </w:r>
      <w:r>
        <w:rPr>
          <w:rtl/>
        </w:rPr>
        <w:t xml:space="preserve"> (</w:t>
      </w:r>
      <w:r>
        <w:rPr>
          <w:rFonts w:hint="cs"/>
          <w:rtl/>
        </w:rPr>
        <w:t xml:space="preserve">למשל, </w:t>
      </w:r>
      <w:r>
        <w:rPr>
          <w:rFonts w:hint="eastAsia"/>
          <w:rtl/>
        </w:rPr>
        <w:t>ראו</w:t>
      </w:r>
      <w:r>
        <w:rPr>
          <w:rtl/>
        </w:rPr>
        <w:t>:</w:t>
      </w:r>
      <w:r w:rsidRPr="00791764">
        <w:rPr>
          <w:rtl/>
        </w:rPr>
        <w:t xml:space="preserve"> בג"ץ 334/21 </w:t>
      </w:r>
      <w:r w:rsidRPr="00791764">
        <w:rPr>
          <w:rFonts w:ascii="Century" w:hAnsi="Century" w:cs="Miriam"/>
          <w:b/>
          <w:spacing w:val="0"/>
          <w:szCs w:val="24"/>
          <w:rtl/>
        </w:rPr>
        <w:t>הסתדרות מדיצינית "הדסה" נ' כנסת ישראל</w:t>
      </w:r>
      <w:r w:rsidRPr="00791764">
        <w:rPr>
          <w:rFonts w:ascii="Century" w:hAnsi="Century" w:hint="cs"/>
          <w:rtl/>
        </w:rPr>
        <w:t>, פסקה 41</w:t>
      </w:r>
      <w:r w:rsidRPr="00791764">
        <w:rPr>
          <w:rtl/>
        </w:rPr>
        <w:t xml:space="preserve"> (23.11.2021)</w:t>
      </w:r>
      <w:r>
        <w:rPr>
          <w:rFonts w:hint="cs"/>
          <w:rtl/>
        </w:rPr>
        <w:t>;</w:t>
      </w:r>
      <w:r>
        <w:rPr>
          <w:rtl/>
        </w:rPr>
        <w:t xml:space="preserve"> </w:t>
      </w:r>
      <w:r w:rsidRPr="00791764">
        <w:rPr>
          <w:rtl/>
        </w:rPr>
        <w:t xml:space="preserve">בג"ץ 4406/16 </w:t>
      </w:r>
      <w:r w:rsidRPr="00791764">
        <w:rPr>
          <w:rFonts w:ascii="Century" w:hAnsi="Century" w:cs="Miriam"/>
          <w:b/>
          <w:spacing w:val="0"/>
          <w:szCs w:val="24"/>
          <w:rtl/>
        </w:rPr>
        <w:t>איגוד הבנקים בישראל (</w:t>
      </w:r>
      <w:proofErr w:type="spellStart"/>
      <w:r w:rsidRPr="00791764">
        <w:rPr>
          <w:rFonts w:ascii="Century" w:hAnsi="Century" w:cs="Miriam"/>
          <w:b/>
          <w:spacing w:val="0"/>
          <w:szCs w:val="24"/>
          <w:rtl/>
        </w:rPr>
        <w:t>ע"ר</w:t>
      </w:r>
      <w:proofErr w:type="spellEnd"/>
      <w:r w:rsidRPr="00791764">
        <w:rPr>
          <w:rFonts w:ascii="Century" w:hAnsi="Century" w:cs="Miriam"/>
          <w:b/>
          <w:spacing w:val="0"/>
          <w:szCs w:val="24"/>
          <w:rtl/>
        </w:rPr>
        <w:t>) נ' כנסת ישראל</w:t>
      </w:r>
      <w:r>
        <w:rPr>
          <w:rFonts w:hint="cs"/>
          <w:rtl/>
        </w:rPr>
        <w:t xml:space="preserve">, פסקה 33 </w:t>
      </w:r>
      <w:r>
        <w:rPr>
          <w:rFonts w:hint="cs"/>
          <w:rtl/>
        </w:rPr>
        <w:lastRenderedPageBreak/>
        <w:t xml:space="preserve">לפסק דינה של הנשיאה </w:t>
      </w:r>
      <w:r w:rsidRPr="00791764">
        <w:rPr>
          <w:rFonts w:ascii="Century" w:hAnsi="Century" w:cs="Miriam" w:hint="cs"/>
          <w:b/>
          <w:spacing w:val="0"/>
          <w:szCs w:val="24"/>
          <w:rtl/>
        </w:rPr>
        <w:t>מ' נאור</w:t>
      </w:r>
      <w:r w:rsidRPr="00791764">
        <w:rPr>
          <w:rFonts w:hint="cs"/>
          <w:rtl/>
        </w:rPr>
        <w:t xml:space="preserve"> </w:t>
      </w:r>
      <w:r>
        <w:rPr>
          <w:rFonts w:hint="cs"/>
          <w:rtl/>
        </w:rPr>
        <w:t>והאסמכתאות שם</w:t>
      </w:r>
      <w:r w:rsidRPr="00791764">
        <w:rPr>
          <w:rtl/>
        </w:rPr>
        <w:t xml:space="preserve"> (</w:t>
      </w:r>
      <w:r>
        <w:rPr>
          <w:rFonts w:hint="cs"/>
          <w:rtl/>
        </w:rPr>
        <w:t>29.9.2016</w:t>
      </w:r>
      <w:r w:rsidRPr="00791764">
        <w:rPr>
          <w:rtl/>
        </w:rPr>
        <w:t>)</w:t>
      </w:r>
      <w:r>
        <w:rPr>
          <w:rtl/>
        </w:rPr>
        <w:t xml:space="preserve">). </w:t>
      </w:r>
      <w:r>
        <w:rPr>
          <w:rFonts w:hint="eastAsia"/>
          <w:rtl/>
        </w:rPr>
        <w:t>מסקנה</w:t>
      </w:r>
      <w:r>
        <w:rPr>
          <w:rtl/>
        </w:rPr>
        <w:t xml:space="preserve"> </w:t>
      </w:r>
      <w:r>
        <w:rPr>
          <w:rFonts w:hint="eastAsia"/>
          <w:rtl/>
        </w:rPr>
        <w:t>פשוטה</w:t>
      </w:r>
      <w:r>
        <w:rPr>
          <w:rtl/>
        </w:rPr>
        <w:t xml:space="preserve"> </w:t>
      </w:r>
      <w:r>
        <w:rPr>
          <w:rFonts w:hint="eastAsia"/>
          <w:rtl/>
        </w:rPr>
        <w:t>זו</w:t>
      </w:r>
      <w:r>
        <w:rPr>
          <w:rtl/>
        </w:rPr>
        <w:t xml:space="preserve"> </w:t>
      </w:r>
      <w:r>
        <w:rPr>
          <w:rFonts w:hint="eastAsia"/>
          <w:rtl/>
        </w:rPr>
        <w:t>מביאה</w:t>
      </w:r>
      <w:r>
        <w:rPr>
          <w:rtl/>
        </w:rPr>
        <w:t xml:space="preserve"> </w:t>
      </w:r>
      <w:r>
        <w:rPr>
          <w:rFonts w:hint="eastAsia"/>
          <w:rtl/>
        </w:rPr>
        <w:t>מניה</w:t>
      </w:r>
      <w:r>
        <w:rPr>
          <w:rtl/>
        </w:rPr>
        <w:t xml:space="preserve"> </w:t>
      </w:r>
      <w:r>
        <w:rPr>
          <w:rFonts w:hint="eastAsia"/>
          <w:rtl/>
        </w:rPr>
        <w:t>וביה</w:t>
      </w:r>
      <w:r>
        <w:rPr>
          <w:rtl/>
        </w:rPr>
        <w:t xml:space="preserve"> </w:t>
      </w:r>
      <w:r>
        <w:rPr>
          <w:rFonts w:hint="eastAsia"/>
          <w:rtl/>
        </w:rPr>
        <w:t>לדחיית</w:t>
      </w:r>
      <w:r>
        <w:rPr>
          <w:rtl/>
        </w:rPr>
        <w:t xml:space="preserve"> </w:t>
      </w:r>
      <w:r>
        <w:rPr>
          <w:rFonts w:hint="eastAsia"/>
          <w:rtl/>
        </w:rPr>
        <w:t>טענת</w:t>
      </w:r>
      <w:r>
        <w:rPr>
          <w:rtl/>
        </w:rPr>
        <w:t xml:space="preserve"> </w:t>
      </w:r>
      <w:r>
        <w:rPr>
          <w:rFonts w:hint="eastAsia"/>
          <w:rtl/>
        </w:rPr>
        <w:t>המערערות</w:t>
      </w:r>
      <w:r>
        <w:rPr>
          <w:rtl/>
        </w:rPr>
        <w:t xml:space="preserve"> </w:t>
      </w:r>
      <w:r>
        <w:rPr>
          <w:rFonts w:hint="eastAsia"/>
          <w:rtl/>
        </w:rPr>
        <w:t>בדבר</w:t>
      </w:r>
      <w:r>
        <w:rPr>
          <w:rtl/>
        </w:rPr>
        <w:t xml:space="preserve"> </w:t>
      </w:r>
      <w:r>
        <w:rPr>
          <w:rFonts w:hint="eastAsia"/>
          <w:rtl/>
        </w:rPr>
        <w:t>זכאותן</w:t>
      </w:r>
      <w:r>
        <w:rPr>
          <w:rtl/>
        </w:rPr>
        <w:t xml:space="preserve"> </w:t>
      </w:r>
      <w:r>
        <w:rPr>
          <w:rFonts w:hint="eastAsia"/>
          <w:rtl/>
        </w:rPr>
        <w:t>להטבה</w:t>
      </w:r>
      <w:r>
        <w:rPr>
          <w:rtl/>
        </w:rPr>
        <w:t xml:space="preserve"> </w:t>
      </w:r>
      <w:r>
        <w:rPr>
          <w:rFonts w:hint="eastAsia"/>
          <w:rtl/>
        </w:rPr>
        <w:t>בשנת</w:t>
      </w:r>
      <w:r>
        <w:rPr>
          <w:rtl/>
        </w:rPr>
        <w:t xml:space="preserve"> </w:t>
      </w:r>
      <w:r>
        <w:rPr>
          <w:rFonts w:hint="eastAsia"/>
          <w:rtl/>
        </w:rPr>
        <w:t>המס</w:t>
      </w:r>
      <w:r>
        <w:rPr>
          <w:rtl/>
        </w:rPr>
        <w:t xml:space="preserve"> 2012.</w:t>
      </w:r>
    </w:p>
    <w:p w:rsidR="00BD73C7" w:rsidRDefault="00BD73C7" w:rsidP="00BD73C7">
      <w:pPr>
        <w:pStyle w:val="Ruller41"/>
        <w:rPr>
          <w:rtl/>
        </w:rPr>
      </w:pPr>
    </w:p>
    <w:p w:rsidR="00BD73C7" w:rsidRPr="0024615A" w:rsidRDefault="00BD73C7" w:rsidP="00BD73C7">
      <w:pPr>
        <w:pStyle w:val="Ruller41"/>
      </w:pPr>
      <w:r>
        <w:rPr>
          <w:rtl/>
        </w:rPr>
        <w:t>4.</w:t>
      </w:r>
      <w:r>
        <w:rPr>
          <w:rtl/>
        </w:rPr>
        <w:tab/>
      </w:r>
      <w:r>
        <w:rPr>
          <w:rFonts w:hint="eastAsia"/>
          <w:rtl/>
        </w:rPr>
        <w:t>מסקנות</w:t>
      </w:r>
      <w:r>
        <w:rPr>
          <w:rtl/>
        </w:rPr>
        <w:t xml:space="preserve"> </w:t>
      </w:r>
      <w:r>
        <w:rPr>
          <w:rFonts w:hint="eastAsia"/>
          <w:rtl/>
        </w:rPr>
        <w:t>אלה</w:t>
      </w:r>
      <w:r>
        <w:rPr>
          <w:rtl/>
        </w:rPr>
        <w:t xml:space="preserve"> </w:t>
      </w:r>
      <w:r>
        <w:rPr>
          <w:rFonts w:hint="eastAsia"/>
          <w:rtl/>
        </w:rPr>
        <w:t>מייתרות</w:t>
      </w:r>
      <w:r>
        <w:rPr>
          <w:rtl/>
        </w:rPr>
        <w:t xml:space="preserve">, </w:t>
      </w:r>
      <w:r>
        <w:rPr>
          <w:rFonts w:hint="eastAsia"/>
          <w:rtl/>
        </w:rPr>
        <w:t>לדעתי</w:t>
      </w:r>
      <w:r>
        <w:rPr>
          <w:rtl/>
        </w:rPr>
        <w:t xml:space="preserve">, </w:t>
      </w:r>
      <w:r>
        <w:rPr>
          <w:rFonts w:hint="eastAsia"/>
          <w:rtl/>
        </w:rPr>
        <w:t>את</w:t>
      </w:r>
      <w:r>
        <w:rPr>
          <w:rtl/>
        </w:rPr>
        <w:t xml:space="preserve"> </w:t>
      </w:r>
      <w:r>
        <w:rPr>
          <w:rFonts w:hint="eastAsia"/>
          <w:rtl/>
        </w:rPr>
        <w:t>הצורך</w:t>
      </w:r>
      <w:r>
        <w:rPr>
          <w:rtl/>
        </w:rPr>
        <w:t xml:space="preserve"> </w:t>
      </w:r>
      <w:r>
        <w:rPr>
          <w:rFonts w:hint="eastAsia"/>
          <w:rtl/>
        </w:rPr>
        <w:t>לדון</w:t>
      </w:r>
      <w:r>
        <w:rPr>
          <w:rtl/>
        </w:rPr>
        <w:t xml:space="preserve"> </w:t>
      </w:r>
      <w:r>
        <w:rPr>
          <w:rFonts w:hint="eastAsia"/>
          <w:rtl/>
        </w:rPr>
        <w:t>ולהכריע</w:t>
      </w:r>
      <w:r>
        <w:rPr>
          <w:rtl/>
        </w:rPr>
        <w:t xml:space="preserve"> </w:t>
      </w:r>
      <w:r>
        <w:rPr>
          <w:rFonts w:hint="eastAsia"/>
          <w:rtl/>
        </w:rPr>
        <w:t>בשאר</w:t>
      </w:r>
      <w:r>
        <w:rPr>
          <w:rtl/>
        </w:rPr>
        <w:t xml:space="preserve"> </w:t>
      </w:r>
      <w:r>
        <w:rPr>
          <w:rFonts w:hint="eastAsia"/>
          <w:rtl/>
        </w:rPr>
        <w:t>הטענות</w:t>
      </w:r>
      <w:r>
        <w:rPr>
          <w:rtl/>
        </w:rPr>
        <w:t xml:space="preserve"> </w:t>
      </w:r>
      <w:r>
        <w:rPr>
          <w:rFonts w:hint="eastAsia"/>
          <w:rtl/>
        </w:rPr>
        <w:t>שהועלו</w:t>
      </w:r>
      <w:r>
        <w:rPr>
          <w:rtl/>
        </w:rPr>
        <w:t xml:space="preserve"> </w:t>
      </w:r>
      <w:r>
        <w:rPr>
          <w:rFonts w:hint="eastAsia"/>
          <w:rtl/>
        </w:rPr>
        <w:t>במסגרת</w:t>
      </w:r>
      <w:r>
        <w:rPr>
          <w:rtl/>
        </w:rPr>
        <w:t xml:space="preserve"> </w:t>
      </w:r>
      <w:r>
        <w:rPr>
          <w:rFonts w:hint="eastAsia"/>
          <w:rtl/>
        </w:rPr>
        <w:t>הערעורים</w:t>
      </w:r>
      <w:r>
        <w:rPr>
          <w:rtl/>
        </w:rPr>
        <w:t xml:space="preserve"> </w:t>
      </w:r>
      <w:r>
        <w:rPr>
          <w:rFonts w:hint="eastAsia"/>
          <w:rtl/>
        </w:rPr>
        <w:t>דכאן</w:t>
      </w:r>
      <w:r>
        <w:rPr>
          <w:rtl/>
        </w:rPr>
        <w:t xml:space="preserve">. </w:t>
      </w:r>
      <w:r>
        <w:rPr>
          <w:rFonts w:hint="eastAsia"/>
          <w:rtl/>
        </w:rPr>
        <w:t>אומר</w:t>
      </w:r>
      <w:r>
        <w:rPr>
          <w:rtl/>
        </w:rPr>
        <w:t xml:space="preserve"> </w:t>
      </w:r>
      <w:r>
        <w:rPr>
          <w:rFonts w:hint="eastAsia"/>
          <w:rtl/>
        </w:rPr>
        <w:t>בקצרה</w:t>
      </w:r>
      <w:r>
        <w:rPr>
          <w:rtl/>
        </w:rPr>
        <w:t xml:space="preserve"> </w:t>
      </w:r>
      <w:r>
        <w:rPr>
          <w:rFonts w:hint="eastAsia"/>
          <w:rtl/>
        </w:rPr>
        <w:t>כי</w:t>
      </w:r>
      <w:r>
        <w:rPr>
          <w:rtl/>
        </w:rPr>
        <w:t xml:space="preserve"> </w:t>
      </w:r>
      <w:r>
        <w:rPr>
          <w:rFonts w:hint="eastAsia"/>
          <w:rtl/>
        </w:rPr>
        <w:t>מדיניות</w:t>
      </w:r>
      <w:r>
        <w:rPr>
          <w:rtl/>
        </w:rPr>
        <w:t xml:space="preserve"> </w:t>
      </w:r>
      <w:r>
        <w:rPr>
          <w:rFonts w:hint="eastAsia"/>
          <w:rtl/>
        </w:rPr>
        <w:t>הצמצום</w:t>
      </w:r>
      <w:r>
        <w:rPr>
          <w:rtl/>
        </w:rPr>
        <w:t xml:space="preserve"> </w:t>
      </w:r>
      <w:r>
        <w:rPr>
          <w:rFonts w:hint="eastAsia"/>
          <w:rtl/>
        </w:rPr>
        <w:t>אשר</w:t>
      </w:r>
      <w:r>
        <w:rPr>
          <w:rtl/>
        </w:rPr>
        <w:t xml:space="preserve"> </w:t>
      </w:r>
      <w:proofErr w:type="spellStart"/>
      <w:r>
        <w:rPr>
          <w:rFonts w:hint="eastAsia"/>
          <w:rtl/>
        </w:rPr>
        <w:t>נקוטה</w:t>
      </w:r>
      <w:proofErr w:type="spellEnd"/>
      <w:r>
        <w:rPr>
          <w:rtl/>
        </w:rPr>
        <w:t xml:space="preserve"> </w:t>
      </w:r>
      <w:r>
        <w:rPr>
          <w:rFonts w:hint="eastAsia"/>
          <w:rtl/>
        </w:rPr>
        <w:t>בידינו</w:t>
      </w:r>
      <w:r>
        <w:rPr>
          <w:rtl/>
        </w:rPr>
        <w:t xml:space="preserve"> </w:t>
      </w:r>
      <w:r>
        <w:rPr>
          <w:rFonts w:hint="eastAsia"/>
          <w:rtl/>
        </w:rPr>
        <w:t>ביחס</w:t>
      </w:r>
      <w:r>
        <w:rPr>
          <w:rtl/>
        </w:rPr>
        <w:t xml:space="preserve"> </w:t>
      </w:r>
      <w:r>
        <w:rPr>
          <w:rFonts w:hint="eastAsia"/>
          <w:rtl/>
        </w:rPr>
        <w:t>לתקיפה</w:t>
      </w:r>
      <w:r>
        <w:rPr>
          <w:rtl/>
        </w:rPr>
        <w:t xml:space="preserve"> </w:t>
      </w:r>
      <w:r>
        <w:rPr>
          <w:rFonts w:hint="eastAsia"/>
          <w:rtl/>
        </w:rPr>
        <w:t>עקיפה</w:t>
      </w:r>
      <w:r>
        <w:rPr>
          <w:rtl/>
        </w:rPr>
        <w:t xml:space="preserve"> </w:t>
      </w:r>
      <w:r>
        <w:rPr>
          <w:rFonts w:hint="eastAsia"/>
          <w:rtl/>
        </w:rPr>
        <w:t>של</w:t>
      </w:r>
      <w:r>
        <w:rPr>
          <w:rtl/>
        </w:rPr>
        <w:t xml:space="preserve"> </w:t>
      </w:r>
      <w:r>
        <w:rPr>
          <w:rFonts w:hint="eastAsia"/>
          <w:rtl/>
        </w:rPr>
        <w:t>חוקים</w:t>
      </w:r>
      <w:r>
        <w:rPr>
          <w:rtl/>
        </w:rPr>
        <w:t xml:space="preserve"> </w:t>
      </w:r>
      <w:r>
        <w:rPr>
          <w:rFonts w:hint="eastAsia"/>
          <w:rtl/>
        </w:rPr>
        <w:t>צריכה</w:t>
      </w:r>
      <w:r>
        <w:rPr>
          <w:rtl/>
        </w:rPr>
        <w:t xml:space="preserve"> </w:t>
      </w:r>
      <w:r>
        <w:rPr>
          <w:rFonts w:hint="eastAsia"/>
          <w:rtl/>
        </w:rPr>
        <w:t>להימשך</w:t>
      </w:r>
      <w:r>
        <w:rPr>
          <w:rtl/>
        </w:rPr>
        <w:t xml:space="preserve"> </w:t>
      </w:r>
      <w:r>
        <w:rPr>
          <w:rFonts w:hint="eastAsia"/>
          <w:rtl/>
        </w:rPr>
        <w:t>ולהתעצם</w:t>
      </w:r>
      <w:r>
        <w:rPr>
          <w:rtl/>
        </w:rPr>
        <w:t xml:space="preserve">. </w:t>
      </w:r>
      <w:r>
        <w:rPr>
          <w:rFonts w:hint="eastAsia"/>
          <w:rtl/>
        </w:rPr>
        <w:t>באשר</w:t>
      </w:r>
      <w:r>
        <w:rPr>
          <w:rtl/>
        </w:rPr>
        <w:t xml:space="preserve"> </w:t>
      </w:r>
      <w:r>
        <w:rPr>
          <w:rFonts w:hint="eastAsia"/>
          <w:rtl/>
        </w:rPr>
        <w:t>לפרשנותם</w:t>
      </w:r>
      <w:r>
        <w:rPr>
          <w:rtl/>
        </w:rPr>
        <w:t xml:space="preserve"> </w:t>
      </w:r>
      <w:r>
        <w:rPr>
          <w:rFonts w:hint="eastAsia"/>
          <w:rtl/>
        </w:rPr>
        <w:t>של</w:t>
      </w:r>
      <w:r>
        <w:rPr>
          <w:rtl/>
        </w:rPr>
        <w:t xml:space="preserve"> </w:t>
      </w:r>
      <w:r>
        <w:rPr>
          <w:rFonts w:hint="eastAsia"/>
          <w:rtl/>
        </w:rPr>
        <w:t>חוקי</w:t>
      </w:r>
      <w:r>
        <w:rPr>
          <w:rtl/>
        </w:rPr>
        <w:t xml:space="preserve"> </w:t>
      </w:r>
      <w:r>
        <w:rPr>
          <w:rFonts w:hint="eastAsia"/>
          <w:rtl/>
        </w:rPr>
        <w:t>המס</w:t>
      </w:r>
      <w:r>
        <w:rPr>
          <w:rtl/>
        </w:rPr>
        <w:t xml:space="preserve">, </w:t>
      </w:r>
      <w:r>
        <w:rPr>
          <w:rFonts w:hint="eastAsia"/>
          <w:rtl/>
        </w:rPr>
        <w:t>סבורני</w:t>
      </w:r>
      <w:r>
        <w:rPr>
          <w:rtl/>
        </w:rPr>
        <w:t xml:space="preserve"> </w:t>
      </w:r>
      <w:r>
        <w:rPr>
          <w:rFonts w:hint="eastAsia"/>
          <w:rtl/>
        </w:rPr>
        <w:t>כי</w:t>
      </w:r>
      <w:r>
        <w:rPr>
          <w:rtl/>
        </w:rPr>
        <w:t xml:space="preserve"> </w:t>
      </w:r>
      <w:r>
        <w:rPr>
          <w:rFonts w:hint="eastAsia"/>
          <w:rtl/>
        </w:rPr>
        <w:t>לשונו</w:t>
      </w:r>
      <w:r>
        <w:rPr>
          <w:rtl/>
        </w:rPr>
        <w:t xml:space="preserve"> </w:t>
      </w:r>
      <w:r>
        <w:rPr>
          <w:rFonts w:hint="eastAsia"/>
          <w:rtl/>
        </w:rPr>
        <w:t>הברורה</w:t>
      </w:r>
      <w:r>
        <w:rPr>
          <w:rtl/>
        </w:rPr>
        <w:t xml:space="preserve"> </w:t>
      </w:r>
      <w:r>
        <w:rPr>
          <w:rFonts w:hint="eastAsia"/>
          <w:rtl/>
        </w:rPr>
        <w:t>של</w:t>
      </w:r>
      <w:r>
        <w:rPr>
          <w:rtl/>
        </w:rPr>
        <w:t xml:space="preserve"> </w:t>
      </w:r>
      <w:r>
        <w:rPr>
          <w:rFonts w:hint="eastAsia"/>
          <w:rtl/>
        </w:rPr>
        <w:t>החוק</w:t>
      </w:r>
      <w:r>
        <w:rPr>
          <w:rtl/>
        </w:rPr>
        <w:t xml:space="preserve">, </w:t>
      </w:r>
      <w:r>
        <w:rPr>
          <w:rFonts w:hint="eastAsia"/>
          <w:rtl/>
        </w:rPr>
        <w:t>שאינה</w:t>
      </w:r>
      <w:r>
        <w:rPr>
          <w:rtl/>
        </w:rPr>
        <w:t xml:space="preserve"> </w:t>
      </w:r>
      <w:r>
        <w:rPr>
          <w:rFonts w:hint="eastAsia"/>
          <w:rtl/>
        </w:rPr>
        <w:t>משתמעת</w:t>
      </w:r>
      <w:r>
        <w:rPr>
          <w:rtl/>
        </w:rPr>
        <w:t xml:space="preserve"> </w:t>
      </w:r>
      <w:r>
        <w:rPr>
          <w:rFonts w:hint="eastAsia"/>
          <w:rtl/>
        </w:rPr>
        <w:t>לשתי</w:t>
      </w:r>
      <w:r>
        <w:rPr>
          <w:rtl/>
        </w:rPr>
        <w:t xml:space="preserve"> </w:t>
      </w:r>
      <w:r>
        <w:rPr>
          <w:rFonts w:hint="eastAsia"/>
          <w:rtl/>
        </w:rPr>
        <w:t>פנים</w:t>
      </w:r>
      <w:r>
        <w:rPr>
          <w:rtl/>
        </w:rPr>
        <w:t xml:space="preserve">, </w:t>
      </w:r>
      <w:r>
        <w:rPr>
          <w:rFonts w:hint="eastAsia"/>
          <w:rtl/>
        </w:rPr>
        <w:t>צריכה</w:t>
      </w:r>
      <w:r>
        <w:rPr>
          <w:rtl/>
        </w:rPr>
        <w:t xml:space="preserve"> </w:t>
      </w:r>
      <w:r>
        <w:rPr>
          <w:rFonts w:hint="eastAsia"/>
          <w:rtl/>
        </w:rPr>
        <w:t>לקבל</w:t>
      </w:r>
      <w:r>
        <w:rPr>
          <w:rtl/>
        </w:rPr>
        <w:t xml:space="preserve"> </w:t>
      </w:r>
      <w:r>
        <w:rPr>
          <w:rFonts w:hint="eastAsia"/>
          <w:rtl/>
        </w:rPr>
        <w:t>מעמד</w:t>
      </w:r>
      <w:r>
        <w:rPr>
          <w:rtl/>
        </w:rPr>
        <w:t xml:space="preserve"> </w:t>
      </w:r>
      <w:r>
        <w:rPr>
          <w:rFonts w:hint="eastAsia"/>
          <w:rtl/>
        </w:rPr>
        <w:t>בכורה</w:t>
      </w:r>
      <w:r>
        <w:rPr>
          <w:rtl/>
        </w:rPr>
        <w:t xml:space="preserve"> </w:t>
      </w:r>
      <w:r>
        <w:rPr>
          <w:rFonts w:hint="eastAsia"/>
          <w:rtl/>
        </w:rPr>
        <w:t>בכל</w:t>
      </w:r>
      <w:r>
        <w:rPr>
          <w:rtl/>
        </w:rPr>
        <w:t xml:space="preserve"> </w:t>
      </w:r>
      <w:r>
        <w:rPr>
          <w:rFonts w:hint="eastAsia"/>
          <w:rtl/>
        </w:rPr>
        <w:t>מקרה</w:t>
      </w:r>
      <w:r>
        <w:rPr>
          <w:rtl/>
        </w:rPr>
        <w:t xml:space="preserve"> </w:t>
      </w:r>
      <w:r>
        <w:rPr>
          <w:rFonts w:hint="eastAsia"/>
          <w:rtl/>
        </w:rPr>
        <w:t>ומקרה</w:t>
      </w:r>
      <w:r>
        <w:rPr>
          <w:rtl/>
        </w:rPr>
        <w:t xml:space="preserve"> (</w:t>
      </w:r>
      <w:r>
        <w:rPr>
          <w:rFonts w:hint="eastAsia"/>
          <w:rtl/>
        </w:rPr>
        <w:t>ראו</w:t>
      </w:r>
      <w:r>
        <w:rPr>
          <w:rtl/>
        </w:rPr>
        <w:t xml:space="preserve">: </w:t>
      </w:r>
      <w:r w:rsidRPr="00DE4817">
        <w:rPr>
          <w:rFonts w:hint="eastAsia"/>
          <w:rtl/>
        </w:rPr>
        <w:t>ע</w:t>
      </w:r>
      <w:r w:rsidRPr="00DE4817">
        <w:rPr>
          <w:rtl/>
        </w:rPr>
        <w:t>"</w:t>
      </w:r>
      <w:r w:rsidRPr="00DE4817">
        <w:rPr>
          <w:rFonts w:hint="eastAsia"/>
          <w:rtl/>
        </w:rPr>
        <w:t>א</w:t>
      </w:r>
      <w:r w:rsidRPr="00DE4817">
        <w:rPr>
          <w:rtl/>
        </w:rPr>
        <w:t xml:space="preserve"> 3012/18 </w:t>
      </w:r>
      <w:r w:rsidRPr="00DE4817">
        <w:rPr>
          <w:rFonts w:ascii="Century" w:hAnsi="Century" w:cs="Miriam" w:hint="eastAsia"/>
          <w:b/>
          <w:spacing w:val="0"/>
          <w:szCs w:val="24"/>
          <w:rtl/>
        </w:rPr>
        <w:t>מנהל</w:t>
      </w:r>
      <w:r w:rsidRPr="00DE4817">
        <w:rPr>
          <w:rFonts w:ascii="Century" w:hAnsi="Century" w:cs="Miriam"/>
          <w:b/>
          <w:spacing w:val="0"/>
          <w:szCs w:val="24"/>
          <w:rtl/>
        </w:rPr>
        <w:t xml:space="preserve"> </w:t>
      </w:r>
      <w:r w:rsidRPr="00DE4817">
        <w:rPr>
          <w:rFonts w:ascii="Century" w:hAnsi="Century" w:cs="Miriam" w:hint="eastAsia"/>
          <w:b/>
          <w:spacing w:val="0"/>
          <w:szCs w:val="24"/>
          <w:rtl/>
        </w:rPr>
        <w:t>מיסוי</w:t>
      </w:r>
      <w:r w:rsidRPr="00DE4817">
        <w:rPr>
          <w:rFonts w:ascii="Century" w:hAnsi="Century" w:cs="Miriam"/>
          <w:b/>
          <w:spacing w:val="0"/>
          <w:szCs w:val="24"/>
          <w:rtl/>
        </w:rPr>
        <w:t xml:space="preserve"> </w:t>
      </w:r>
      <w:r w:rsidRPr="00DE4817">
        <w:rPr>
          <w:rFonts w:ascii="Century" w:hAnsi="Century" w:cs="Miriam" w:hint="eastAsia"/>
          <w:b/>
          <w:spacing w:val="0"/>
          <w:szCs w:val="24"/>
          <w:rtl/>
        </w:rPr>
        <w:t>מקרקעין</w:t>
      </w:r>
      <w:r w:rsidRPr="00DE4817">
        <w:rPr>
          <w:rFonts w:ascii="Century" w:hAnsi="Century" w:cs="Miriam"/>
          <w:b/>
          <w:spacing w:val="0"/>
          <w:szCs w:val="24"/>
          <w:rtl/>
        </w:rPr>
        <w:t xml:space="preserve"> </w:t>
      </w:r>
      <w:r w:rsidRPr="00DE4817">
        <w:rPr>
          <w:rFonts w:ascii="Century" w:hAnsi="Century" w:cs="Miriam" w:hint="eastAsia"/>
          <w:b/>
          <w:spacing w:val="0"/>
          <w:szCs w:val="24"/>
          <w:rtl/>
        </w:rPr>
        <w:t>חיפה</w:t>
      </w:r>
      <w:r w:rsidRPr="00DE4817">
        <w:rPr>
          <w:rFonts w:ascii="Century" w:hAnsi="Century" w:cs="Miriam"/>
          <w:b/>
          <w:spacing w:val="0"/>
          <w:szCs w:val="24"/>
          <w:rtl/>
        </w:rPr>
        <w:t xml:space="preserve"> </w:t>
      </w:r>
      <w:r w:rsidRPr="00DE4817">
        <w:rPr>
          <w:rFonts w:ascii="Century" w:hAnsi="Century" w:cs="Miriam" w:hint="eastAsia"/>
          <w:b/>
          <w:spacing w:val="0"/>
          <w:szCs w:val="24"/>
          <w:rtl/>
        </w:rPr>
        <w:t>נ</w:t>
      </w:r>
      <w:r w:rsidRPr="00DE4817">
        <w:rPr>
          <w:rFonts w:ascii="Century" w:hAnsi="Century" w:cs="Miriam"/>
          <w:b/>
          <w:spacing w:val="0"/>
          <w:szCs w:val="24"/>
          <w:rtl/>
        </w:rPr>
        <w:t xml:space="preserve">' </w:t>
      </w:r>
      <w:proofErr w:type="spellStart"/>
      <w:r w:rsidRPr="00DE4817">
        <w:rPr>
          <w:rFonts w:ascii="Century" w:hAnsi="Century" w:cs="Miriam" w:hint="eastAsia"/>
          <w:b/>
          <w:spacing w:val="0"/>
          <w:szCs w:val="24"/>
          <w:rtl/>
        </w:rPr>
        <w:t>טוונטי</w:t>
      </w:r>
      <w:proofErr w:type="spellEnd"/>
      <w:r w:rsidRPr="00DE4817">
        <w:rPr>
          <w:rFonts w:ascii="Century" w:hAnsi="Century" w:cs="Miriam"/>
          <w:b/>
          <w:spacing w:val="0"/>
          <w:szCs w:val="24"/>
          <w:rtl/>
        </w:rPr>
        <w:t xml:space="preserve"> </w:t>
      </w:r>
      <w:proofErr w:type="spellStart"/>
      <w:r w:rsidRPr="00DE4817">
        <w:rPr>
          <w:rFonts w:ascii="Century" w:hAnsi="Century" w:cs="Miriam" w:hint="eastAsia"/>
          <w:b/>
          <w:spacing w:val="0"/>
          <w:szCs w:val="24"/>
          <w:rtl/>
        </w:rPr>
        <w:t>האנדרד</w:t>
      </w:r>
      <w:proofErr w:type="spellEnd"/>
      <w:r w:rsidRPr="00DE4817">
        <w:rPr>
          <w:rFonts w:ascii="Century" w:hAnsi="Century" w:cs="Miriam"/>
          <w:b/>
          <w:spacing w:val="0"/>
          <w:szCs w:val="24"/>
          <w:rtl/>
        </w:rPr>
        <w:t xml:space="preserve"> </w:t>
      </w:r>
      <w:r w:rsidRPr="00DE4817">
        <w:rPr>
          <w:rFonts w:ascii="Century" w:hAnsi="Century" w:cs="Miriam" w:hint="eastAsia"/>
          <w:b/>
          <w:spacing w:val="0"/>
          <w:szCs w:val="24"/>
          <w:rtl/>
        </w:rPr>
        <w:t>נהריה</w:t>
      </w:r>
      <w:r w:rsidRPr="00DE4817">
        <w:rPr>
          <w:rFonts w:ascii="Century" w:hAnsi="Century" w:cs="Miriam"/>
          <w:b/>
          <w:spacing w:val="0"/>
          <w:szCs w:val="24"/>
          <w:rtl/>
        </w:rPr>
        <w:t xml:space="preserve"> </w:t>
      </w:r>
      <w:r w:rsidRPr="00DE4817">
        <w:rPr>
          <w:rFonts w:ascii="Century" w:hAnsi="Century" w:cs="Miriam" w:hint="eastAsia"/>
          <w:b/>
          <w:spacing w:val="0"/>
          <w:szCs w:val="24"/>
          <w:rtl/>
        </w:rPr>
        <w:t>בע</w:t>
      </w:r>
      <w:r w:rsidRPr="00DE4817">
        <w:rPr>
          <w:rFonts w:ascii="Century" w:hAnsi="Century" w:cs="Miriam"/>
          <w:b/>
          <w:spacing w:val="0"/>
          <w:szCs w:val="24"/>
          <w:rtl/>
        </w:rPr>
        <w:t>"</w:t>
      </w:r>
      <w:r w:rsidRPr="00DE4817">
        <w:rPr>
          <w:rFonts w:ascii="Century" w:hAnsi="Century" w:cs="Miriam" w:hint="eastAsia"/>
          <w:b/>
          <w:spacing w:val="0"/>
          <w:szCs w:val="24"/>
          <w:rtl/>
        </w:rPr>
        <w:t>מ</w:t>
      </w:r>
      <w:r w:rsidRPr="005D36E9">
        <w:rPr>
          <w:rFonts w:ascii="Century" w:hAnsi="Century" w:hint="cs"/>
          <w:rtl/>
        </w:rPr>
        <w:t xml:space="preserve">, פסקאות </w:t>
      </w:r>
      <w:r>
        <w:rPr>
          <w:rFonts w:ascii="Century" w:hAnsi="Century" w:hint="cs"/>
          <w:rtl/>
        </w:rPr>
        <w:t>37-29</w:t>
      </w:r>
      <w:r w:rsidRPr="005D36E9">
        <w:rPr>
          <w:rFonts w:ascii="Century" w:hAnsi="Century" w:hint="cs"/>
          <w:rtl/>
        </w:rPr>
        <w:t xml:space="preserve"> לפסק דיני</w:t>
      </w:r>
      <w:r w:rsidRPr="005D36E9">
        <w:rPr>
          <w:rtl/>
        </w:rPr>
        <w:t xml:space="preserve"> </w:t>
      </w:r>
      <w:r w:rsidRPr="00DE4817">
        <w:rPr>
          <w:rtl/>
        </w:rPr>
        <w:t>(</w:t>
      </w:r>
      <w:r>
        <w:rPr>
          <w:rFonts w:hint="cs"/>
          <w:rtl/>
        </w:rPr>
        <w:t>4.7.2019</w:t>
      </w:r>
      <w:r w:rsidRPr="00DE4817">
        <w:rPr>
          <w:rtl/>
        </w:rPr>
        <w:t>)</w:t>
      </w:r>
      <w:r>
        <w:rPr>
          <w:rtl/>
        </w:rPr>
        <w:t xml:space="preserve">; </w:t>
      </w:r>
      <w:r>
        <w:rPr>
          <w:rFonts w:hint="eastAsia"/>
          <w:rtl/>
        </w:rPr>
        <w:t>וכן</w:t>
      </w:r>
      <w:r>
        <w:rPr>
          <w:rtl/>
        </w:rPr>
        <w:t xml:space="preserve"> </w:t>
      </w:r>
      <w:r w:rsidRPr="00AE3528">
        <w:rPr>
          <w:rFonts w:hint="eastAsia"/>
          <w:rtl/>
        </w:rPr>
        <w:t>ע</w:t>
      </w:r>
      <w:r w:rsidRPr="00AE3528">
        <w:rPr>
          <w:rtl/>
        </w:rPr>
        <w:t>"</w:t>
      </w:r>
      <w:r w:rsidRPr="00AE3528">
        <w:rPr>
          <w:rFonts w:hint="eastAsia"/>
          <w:rtl/>
        </w:rPr>
        <w:t>א</w:t>
      </w:r>
      <w:r w:rsidRPr="00AE3528">
        <w:rPr>
          <w:rtl/>
        </w:rPr>
        <w:t xml:space="preserve"> 1839/19 </w:t>
      </w:r>
      <w:r w:rsidRPr="00AE3528">
        <w:rPr>
          <w:rFonts w:ascii="Century" w:hAnsi="Century" w:cs="Miriam" w:hint="eastAsia"/>
          <w:b/>
          <w:spacing w:val="0"/>
          <w:szCs w:val="24"/>
          <w:rtl/>
        </w:rPr>
        <w:t>פקיד</w:t>
      </w:r>
      <w:r w:rsidRPr="00AE3528">
        <w:rPr>
          <w:rFonts w:ascii="Century" w:hAnsi="Century" w:cs="Miriam"/>
          <w:b/>
          <w:spacing w:val="0"/>
          <w:szCs w:val="24"/>
          <w:rtl/>
        </w:rPr>
        <w:t xml:space="preserve"> </w:t>
      </w:r>
      <w:r w:rsidRPr="00AE3528">
        <w:rPr>
          <w:rFonts w:ascii="Century" w:hAnsi="Century" w:cs="Miriam" w:hint="eastAsia"/>
          <w:b/>
          <w:spacing w:val="0"/>
          <w:szCs w:val="24"/>
          <w:rtl/>
        </w:rPr>
        <w:t>שומה</w:t>
      </w:r>
      <w:r w:rsidRPr="00AE3528">
        <w:rPr>
          <w:rFonts w:ascii="Century" w:hAnsi="Century" w:cs="Miriam"/>
          <w:b/>
          <w:spacing w:val="0"/>
          <w:szCs w:val="24"/>
          <w:rtl/>
        </w:rPr>
        <w:t xml:space="preserve"> </w:t>
      </w:r>
      <w:r w:rsidRPr="00AE3528">
        <w:rPr>
          <w:rFonts w:ascii="Century" w:hAnsi="Century" w:cs="Miriam" w:hint="eastAsia"/>
          <w:b/>
          <w:spacing w:val="0"/>
          <w:szCs w:val="24"/>
          <w:rtl/>
        </w:rPr>
        <w:t>כפר</w:t>
      </w:r>
      <w:r w:rsidRPr="00AE3528">
        <w:rPr>
          <w:rFonts w:ascii="Century" w:hAnsi="Century" w:cs="Miriam"/>
          <w:b/>
          <w:spacing w:val="0"/>
          <w:szCs w:val="24"/>
          <w:rtl/>
        </w:rPr>
        <w:t xml:space="preserve"> </w:t>
      </w:r>
      <w:r w:rsidRPr="00AE3528">
        <w:rPr>
          <w:rFonts w:ascii="Century" w:hAnsi="Century" w:cs="Miriam" w:hint="eastAsia"/>
          <w:b/>
          <w:spacing w:val="0"/>
          <w:szCs w:val="24"/>
          <w:rtl/>
        </w:rPr>
        <w:t>סבא</w:t>
      </w:r>
      <w:r w:rsidRPr="00AE3528">
        <w:rPr>
          <w:rFonts w:ascii="Century" w:hAnsi="Century" w:cs="Miriam"/>
          <w:b/>
          <w:spacing w:val="0"/>
          <w:szCs w:val="24"/>
          <w:rtl/>
        </w:rPr>
        <w:t xml:space="preserve"> </w:t>
      </w:r>
      <w:r w:rsidRPr="00AE3528">
        <w:rPr>
          <w:rFonts w:ascii="Century" w:hAnsi="Century" w:cs="Miriam" w:hint="eastAsia"/>
          <w:b/>
          <w:spacing w:val="0"/>
          <w:szCs w:val="24"/>
          <w:rtl/>
        </w:rPr>
        <w:t>נ</w:t>
      </w:r>
      <w:r w:rsidRPr="00AE3528">
        <w:rPr>
          <w:rFonts w:ascii="Century" w:hAnsi="Century" w:cs="Miriam"/>
          <w:b/>
          <w:spacing w:val="0"/>
          <w:szCs w:val="24"/>
          <w:rtl/>
        </w:rPr>
        <w:t xml:space="preserve">' </w:t>
      </w:r>
      <w:proofErr w:type="spellStart"/>
      <w:r w:rsidRPr="00AE3528">
        <w:rPr>
          <w:rFonts w:ascii="Century" w:hAnsi="Century" w:cs="Miriam" w:hint="eastAsia"/>
          <w:b/>
          <w:spacing w:val="0"/>
          <w:szCs w:val="24"/>
          <w:rtl/>
        </w:rPr>
        <w:t>ריזמן</w:t>
      </w:r>
      <w:proofErr w:type="spellEnd"/>
      <w:r>
        <w:rPr>
          <w:rFonts w:hint="cs"/>
          <w:rtl/>
        </w:rPr>
        <w:t>, פסקאות 38-37 לפסק דיני</w:t>
      </w:r>
      <w:r w:rsidRPr="00AE3528">
        <w:rPr>
          <w:rtl/>
        </w:rPr>
        <w:t xml:space="preserve"> (</w:t>
      </w:r>
      <w:r>
        <w:rPr>
          <w:rFonts w:hint="cs"/>
          <w:rtl/>
        </w:rPr>
        <w:t>14.6.2021</w:t>
      </w:r>
      <w:r w:rsidRPr="00AE3528">
        <w:rPr>
          <w:rtl/>
        </w:rPr>
        <w:t>)</w:t>
      </w:r>
      <w:r>
        <w:rPr>
          <w:rtl/>
        </w:rPr>
        <w:t xml:space="preserve">). </w:t>
      </w:r>
      <w:r>
        <w:rPr>
          <w:rFonts w:hint="eastAsia"/>
          <w:rtl/>
        </w:rPr>
        <w:t>במקרים</w:t>
      </w:r>
      <w:r>
        <w:rPr>
          <w:rtl/>
        </w:rPr>
        <w:t xml:space="preserve"> </w:t>
      </w:r>
      <w:r>
        <w:rPr>
          <w:rFonts w:hint="eastAsia"/>
          <w:rtl/>
        </w:rPr>
        <w:t>כאלה</w:t>
      </w:r>
      <w:r>
        <w:rPr>
          <w:rtl/>
        </w:rPr>
        <w:t xml:space="preserve">, </w:t>
      </w:r>
      <w:r>
        <w:rPr>
          <w:rFonts w:hint="eastAsia"/>
          <w:rtl/>
        </w:rPr>
        <w:t>גם</w:t>
      </w:r>
      <w:r>
        <w:rPr>
          <w:rtl/>
        </w:rPr>
        <w:t xml:space="preserve"> </w:t>
      </w:r>
      <w:r>
        <w:rPr>
          <w:rFonts w:hint="eastAsia"/>
          <w:rtl/>
        </w:rPr>
        <w:t>אם</w:t>
      </w:r>
      <w:r>
        <w:rPr>
          <w:rtl/>
        </w:rPr>
        <w:t xml:space="preserve"> </w:t>
      </w:r>
      <w:r>
        <w:rPr>
          <w:rFonts w:hint="eastAsia"/>
          <w:rtl/>
        </w:rPr>
        <w:t>נמצא</w:t>
      </w:r>
      <w:r>
        <w:rPr>
          <w:rtl/>
        </w:rPr>
        <w:t xml:space="preserve"> </w:t>
      </w:r>
      <w:r>
        <w:rPr>
          <w:rFonts w:hint="eastAsia"/>
          <w:rtl/>
        </w:rPr>
        <w:t>שמתחת</w:t>
      </w:r>
      <w:r>
        <w:rPr>
          <w:rtl/>
        </w:rPr>
        <w:t xml:space="preserve"> </w:t>
      </w:r>
      <w:r>
        <w:rPr>
          <w:rFonts w:hint="eastAsia"/>
          <w:rtl/>
        </w:rPr>
        <w:t>לידי</w:t>
      </w:r>
      <w:r>
        <w:rPr>
          <w:rtl/>
        </w:rPr>
        <w:t xml:space="preserve"> </w:t>
      </w:r>
      <w:r>
        <w:rPr>
          <w:rFonts w:hint="eastAsia"/>
          <w:rtl/>
        </w:rPr>
        <w:t>המחוקק</w:t>
      </w:r>
      <w:r>
        <w:rPr>
          <w:rtl/>
        </w:rPr>
        <w:t xml:space="preserve"> </w:t>
      </w:r>
      <w:r>
        <w:rPr>
          <w:rFonts w:hint="eastAsia"/>
          <w:rtl/>
        </w:rPr>
        <w:t>נפלה</w:t>
      </w:r>
      <w:r>
        <w:rPr>
          <w:rtl/>
        </w:rPr>
        <w:t xml:space="preserve"> </w:t>
      </w:r>
      <w:r>
        <w:rPr>
          <w:rFonts w:hint="eastAsia"/>
          <w:rtl/>
        </w:rPr>
        <w:t>שגגה</w:t>
      </w:r>
      <w:r>
        <w:rPr>
          <w:rtl/>
        </w:rPr>
        <w:t xml:space="preserve">, </w:t>
      </w:r>
      <w:r>
        <w:rPr>
          <w:rFonts w:hint="eastAsia"/>
          <w:rtl/>
        </w:rPr>
        <w:t>אין</w:t>
      </w:r>
      <w:r>
        <w:rPr>
          <w:rtl/>
        </w:rPr>
        <w:t xml:space="preserve"> </w:t>
      </w:r>
      <w:r>
        <w:rPr>
          <w:rFonts w:hint="eastAsia"/>
          <w:rtl/>
        </w:rPr>
        <w:t>זה</w:t>
      </w:r>
      <w:r>
        <w:rPr>
          <w:rtl/>
        </w:rPr>
        <w:t xml:space="preserve"> </w:t>
      </w:r>
      <w:r>
        <w:rPr>
          <w:rFonts w:hint="eastAsia"/>
          <w:rtl/>
        </w:rPr>
        <w:t>מתפקידנו</w:t>
      </w:r>
      <w:r>
        <w:rPr>
          <w:rtl/>
        </w:rPr>
        <w:t xml:space="preserve"> </w:t>
      </w:r>
      <w:r>
        <w:rPr>
          <w:rFonts w:hint="eastAsia"/>
          <w:rtl/>
        </w:rPr>
        <w:t>לתקנה</w:t>
      </w:r>
      <w:r>
        <w:rPr>
          <w:rtl/>
        </w:rPr>
        <w:t xml:space="preserve"> </w:t>
      </w:r>
      <w:r>
        <w:rPr>
          <w:rFonts w:hint="eastAsia"/>
          <w:rtl/>
        </w:rPr>
        <w:t>בדרך</w:t>
      </w:r>
      <w:r>
        <w:rPr>
          <w:rtl/>
        </w:rPr>
        <w:t xml:space="preserve"> </w:t>
      </w:r>
      <w:r>
        <w:rPr>
          <w:rFonts w:hint="eastAsia"/>
          <w:rtl/>
        </w:rPr>
        <w:t>של</w:t>
      </w:r>
      <w:r>
        <w:rPr>
          <w:rtl/>
        </w:rPr>
        <w:t xml:space="preserve"> </w:t>
      </w:r>
      <w:r>
        <w:rPr>
          <w:rFonts w:hint="eastAsia"/>
          <w:rtl/>
        </w:rPr>
        <w:t>חקיקה</w:t>
      </w:r>
      <w:r>
        <w:rPr>
          <w:rtl/>
        </w:rPr>
        <w:t xml:space="preserve"> </w:t>
      </w:r>
      <w:r>
        <w:rPr>
          <w:rFonts w:hint="eastAsia"/>
          <w:rtl/>
        </w:rPr>
        <w:t>שיפוטית</w:t>
      </w:r>
      <w:r>
        <w:rPr>
          <w:rtl/>
        </w:rPr>
        <w:t xml:space="preserve">. </w:t>
      </w:r>
      <w:r>
        <w:rPr>
          <w:rFonts w:hint="eastAsia"/>
          <w:rtl/>
        </w:rPr>
        <w:t>מלאכה</w:t>
      </w:r>
      <w:r>
        <w:rPr>
          <w:rtl/>
        </w:rPr>
        <w:t xml:space="preserve"> </w:t>
      </w:r>
      <w:r>
        <w:rPr>
          <w:rFonts w:hint="eastAsia"/>
          <w:rtl/>
        </w:rPr>
        <w:t>זו</w:t>
      </w:r>
      <w:r>
        <w:rPr>
          <w:rtl/>
        </w:rPr>
        <w:t xml:space="preserve"> </w:t>
      </w:r>
      <w:r>
        <w:rPr>
          <w:rFonts w:hint="eastAsia"/>
          <w:rtl/>
        </w:rPr>
        <w:t>עלינו</w:t>
      </w:r>
      <w:r>
        <w:rPr>
          <w:rtl/>
        </w:rPr>
        <w:t xml:space="preserve"> </w:t>
      </w:r>
      <w:r>
        <w:rPr>
          <w:rFonts w:hint="eastAsia"/>
          <w:rtl/>
        </w:rPr>
        <w:t>להשאיר</w:t>
      </w:r>
      <w:r>
        <w:rPr>
          <w:rtl/>
        </w:rPr>
        <w:t xml:space="preserve"> </w:t>
      </w:r>
      <w:r>
        <w:rPr>
          <w:rFonts w:hint="eastAsia"/>
          <w:rtl/>
        </w:rPr>
        <w:t>למחוקק</w:t>
      </w:r>
      <w:r>
        <w:rPr>
          <w:rtl/>
        </w:rPr>
        <w:t xml:space="preserve">, </w:t>
      </w:r>
      <w:r>
        <w:rPr>
          <w:rFonts w:hint="eastAsia"/>
          <w:rtl/>
        </w:rPr>
        <w:t>ככל</w:t>
      </w:r>
      <w:r>
        <w:rPr>
          <w:rtl/>
        </w:rPr>
        <w:t xml:space="preserve"> </w:t>
      </w:r>
      <w:r>
        <w:rPr>
          <w:rFonts w:hint="eastAsia"/>
          <w:rtl/>
        </w:rPr>
        <w:t>שהוא</w:t>
      </w:r>
      <w:r>
        <w:rPr>
          <w:rtl/>
        </w:rPr>
        <w:t xml:space="preserve"> </w:t>
      </w:r>
      <w:r>
        <w:rPr>
          <w:rFonts w:hint="eastAsia"/>
          <w:rtl/>
        </w:rPr>
        <w:t>סבור</w:t>
      </w:r>
      <w:r>
        <w:rPr>
          <w:rtl/>
        </w:rPr>
        <w:t xml:space="preserve"> </w:t>
      </w:r>
      <w:r>
        <w:rPr>
          <w:rFonts w:hint="eastAsia"/>
          <w:rtl/>
        </w:rPr>
        <w:t>כי</w:t>
      </w:r>
      <w:r>
        <w:rPr>
          <w:rtl/>
        </w:rPr>
        <w:t xml:space="preserve"> </w:t>
      </w:r>
      <w:r>
        <w:rPr>
          <w:rFonts w:hint="eastAsia"/>
          <w:rtl/>
        </w:rPr>
        <w:t>טעה</w:t>
      </w:r>
      <w:r>
        <w:rPr>
          <w:rtl/>
        </w:rPr>
        <w:t xml:space="preserve">. </w:t>
      </w:r>
      <w:r>
        <w:rPr>
          <w:rFonts w:hint="eastAsia"/>
          <w:rtl/>
        </w:rPr>
        <w:t>במקרה</w:t>
      </w:r>
      <w:r>
        <w:rPr>
          <w:rtl/>
        </w:rPr>
        <w:t xml:space="preserve"> </w:t>
      </w:r>
      <w:r>
        <w:rPr>
          <w:rFonts w:hint="eastAsia"/>
          <w:rtl/>
        </w:rPr>
        <w:t>שלפנינו</w:t>
      </w:r>
      <w:r>
        <w:rPr>
          <w:rtl/>
        </w:rPr>
        <w:t xml:space="preserve">, </w:t>
      </w:r>
      <w:r>
        <w:rPr>
          <w:rFonts w:hint="eastAsia"/>
          <w:rtl/>
        </w:rPr>
        <w:t>הגדרתו</w:t>
      </w:r>
      <w:r>
        <w:rPr>
          <w:rtl/>
        </w:rPr>
        <w:t xml:space="preserve"> </w:t>
      </w:r>
      <w:r>
        <w:rPr>
          <w:rFonts w:hint="eastAsia"/>
          <w:rtl/>
        </w:rPr>
        <w:t>של</w:t>
      </w:r>
      <w:r>
        <w:rPr>
          <w:rtl/>
        </w:rPr>
        <w:t xml:space="preserve"> </w:t>
      </w:r>
      <w:r>
        <w:rPr>
          <w:rFonts w:hint="eastAsia"/>
          <w:rtl/>
        </w:rPr>
        <w:t>״שוק״</w:t>
      </w:r>
      <w:r>
        <w:rPr>
          <w:rtl/>
        </w:rPr>
        <w:t xml:space="preserve"> </w:t>
      </w:r>
      <w:r>
        <w:rPr>
          <w:rFonts w:hint="eastAsia"/>
          <w:rtl/>
        </w:rPr>
        <w:t>בסעיף</w:t>
      </w:r>
      <w:r>
        <w:rPr>
          <w:rtl/>
        </w:rPr>
        <w:t xml:space="preserve"> 18</w:t>
      </w:r>
      <w:r>
        <w:rPr>
          <w:rFonts w:hint="eastAsia"/>
          <w:rtl/>
        </w:rPr>
        <w:t>א</w:t>
      </w:r>
      <w:r>
        <w:rPr>
          <w:rtl/>
        </w:rPr>
        <w:t>(</w:t>
      </w:r>
      <w:r>
        <w:rPr>
          <w:rFonts w:hint="eastAsia"/>
          <w:rtl/>
        </w:rPr>
        <w:t>א</w:t>
      </w:r>
      <w:r>
        <w:rPr>
          <w:rtl/>
        </w:rPr>
        <w:t xml:space="preserve">) </w:t>
      </w:r>
      <w:r>
        <w:rPr>
          <w:rFonts w:hint="eastAsia"/>
          <w:rtl/>
        </w:rPr>
        <w:t>לחוק</w:t>
      </w:r>
      <w:r>
        <w:rPr>
          <w:rtl/>
        </w:rPr>
        <w:t xml:space="preserve"> </w:t>
      </w:r>
      <w:proofErr w:type="spellStart"/>
      <w:r>
        <w:rPr>
          <w:rFonts w:hint="eastAsia"/>
          <w:rtl/>
        </w:rPr>
        <w:t>כ״מדינה</w:t>
      </w:r>
      <w:proofErr w:type="spellEnd"/>
      <w:r>
        <w:rPr>
          <w:rtl/>
        </w:rPr>
        <w:t xml:space="preserve"> </w:t>
      </w:r>
      <w:r>
        <w:rPr>
          <w:rFonts w:hint="eastAsia"/>
          <w:rtl/>
        </w:rPr>
        <w:t>או</w:t>
      </w:r>
      <w:r>
        <w:rPr>
          <w:rtl/>
        </w:rPr>
        <w:t xml:space="preserve"> </w:t>
      </w:r>
      <w:r>
        <w:rPr>
          <w:rFonts w:hint="eastAsia"/>
          <w:rtl/>
        </w:rPr>
        <w:t>טריטוריית</w:t>
      </w:r>
      <w:r>
        <w:rPr>
          <w:rtl/>
        </w:rPr>
        <w:t xml:space="preserve"> </w:t>
      </w:r>
      <w:r>
        <w:rPr>
          <w:rFonts w:hint="eastAsia"/>
          <w:rtl/>
        </w:rPr>
        <w:t>מכס</w:t>
      </w:r>
      <w:r>
        <w:rPr>
          <w:rtl/>
        </w:rPr>
        <w:t xml:space="preserve"> </w:t>
      </w:r>
      <w:r>
        <w:rPr>
          <w:rFonts w:hint="eastAsia"/>
          <w:rtl/>
        </w:rPr>
        <w:t>נפרדת״</w:t>
      </w:r>
      <w:r>
        <w:rPr>
          <w:rtl/>
        </w:rPr>
        <w:t xml:space="preserve"> </w:t>
      </w:r>
      <w:r>
        <w:rPr>
          <w:rFonts w:hint="eastAsia"/>
          <w:rtl/>
        </w:rPr>
        <w:t>הינה</w:t>
      </w:r>
      <w:r>
        <w:rPr>
          <w:rtl/>
        </w:rPr>
        <w:t xml:space="preserve"> </w:t>
      </w:r>
      <w:r>
        <w:rPr>
          <w:rFonts w:hint="eastAsia"/>
          <w:rtl/>
        </w:rPr>
        <w:t>ברורה</w:t>
      </w:r>
      <w:r>
        <w:rPr>
          <w:rtl/>
        </w:rPr>
        <w:t xml:space="preserve"> </w:t>
      </w:r>
      <w:r>
        <w:rPr>
          <w:rFonts w:hint="eastAsia"/>
          <w:rtl/>
        </w:rPr>
        <w:t>ואינה</w:t>
      </w:r>
      <w:r>
        <w:rPr>
          <w:rtl/>
        </w:rPr>
        <w:t xml:space="preserve"> </w:t>
      </w:r>
      <w:r>
        <w:rPr>
          <w:rFonts w:hint="eastAsia"/>
          <w:rtl/>
        </w:rPr>
        <w:t>משתמעת</w:t>
      </w:r>
      <w:r>
        <w:rPr>
          <w:rtl/>
        </w:rPr>
        <w:t xml:space="preserve"> </w:t>
      </w:r>
      <w:r>
        <w:rPr>
          <w:rFonts w:hint="eastAsia"/>
          <w:rtl/>
        </w:rPr>
        <w:t>לשתי</w:t>
      </w:r>
      <w:r>
        <w:rPr>
          <w:rtl/>
        </w:rPr>
        <w:t xml:space="preserve"> </w:t>
      </w:r>
      <w:r>
        <w:rPr>
          <w:rFonts w:hint="eastAsia"/>
          <w:rtl/>
        </w:rPr>
        <w:t>פנים</w:t>
      </w:r>
      <w:r>
        <w:rPr>
          <w:rtl/>
        </w:rPr>
        <w:t xml:space="preserve">. </w:t>
      </w:r>
      <w:r>
        <w:rPr>
          <w:rFonts w:hint="eastAsia"/>
          <w:rtl/>
        </w:rPr>
        <w:t>הגדרה</w:t>
      </w:r>
      <w:r>
        <w:rPr>
          <w:rtl/>
        </w:rPr>
        <w:t xml:space="preserve"> </w:t>
      </w:r>
      <w:r>
        <w:rPr>
          <w:rFonts w:hint="eastAsia"/>
          <w:rtl/>
        </w:rPr>
        <w:t>זו</w:t>
      </w:r>
      <w:r>
        <w:rPr>
          <w:rtl/>
        </w:rPr>
        <w:t xml:space="preserve"> </w:t>
      </w:r>
      <w:r>
        <w:rPr>
          <w:rFonts w:hint="eastAsia"/>
          <w:rtl/>
        </w:rPr>
        <w:t>חובקת</w:t>
      </w:r>
      <w:r>
        <w:rPr>
          <w:rtl/>
        </w:rPr>
        <w:t xml:space="preserve"> </w:t>
      </w:r>
      <w:r>
        <w:rPr>
          <w:rFonts w:hint="eastAsia"/>
          <w:rtl/>
        </w:rPr>
        <w:t>בתוכה</w:t>
      </w:r>
      <w:r>
        <w:rPr>
          <w:rtl/>
        </w:rPr>
        <w:t xml:space="preserve"> </w:t>
      </w:r>
      <w:r>
        <w:rPr>
          <w:rFonts w:hint="eastAsia"/>
          <w:rtl/>
        </w:rPr>
        <w:t>כל</w:t>
      </w:r>
      <w:r>
        <w:rPr>
          <w:rtl/>
        </w:rPr>
        <w:t xml:space="preserve"> </w:t>
      </w:r>
      <w:r>
        <w:rPr>
          <w:rFonts w:hint="eastAsia"/>
          <w:rtl/>
        </w:rPr>
        <w:t>מדינה</w:t>
      </w:r>
      <w:r>
        <w:rPr>
          <w:rtl/>
        </w:rPr>
        <w:t xml:space="preserve"> </w:t>
      </w:r>
      <w:r>
        <w:rPr>
          <w:rFonts w:hint="eastAsia"/>
          <w:rtl/>
        </w:rPr>
        <w:t>ומדינה</w:t>
      </w:r>
      <w:r>
        <w:rPr>
          <w:rtl/>
        </w:rPr>
        <w:t xml:space="preserve">, </w:t>
      </w:r>
      <w:r>
        <w:rPr>
          <w:rFonts w:hint="eastAsia"/>
          <w:rtl/>
        </w:rPr>
        <w:t>לרבות</w:t>
      </w:r>
      <w:r>
        <w:rPr>
          <w:rtl/>
        </w:rPr>
        <w:t xml:space="preserve"> </w:t>
      </w:r>
      <w:r>
        <w:rPr>
          <w:rFonts w:hint="eastAsia"/>
          <w:rtl/>
        </w:rPr>
        <w:t>מדינת</w:t>
      </w:r>
      <w:r>
        <w:rPr>
          <w:rtl/>
        </w:rPr>
        <w:t xml:space="preserve"> </w:t>
      </w:r>
      <w:r>
        <w:rPr>
          <w:rFonts w:hint="eastAsia"/>
          <w:rtl/>
        </w:rPr>
        <w:t>ישראל</w:t>
      </w:r>
      <w:r>
        <w:rPr>
          <w:rtl/>
        </w:rPr>
        <w:t xml:space="preserve">. </w:t>
      </w:r>
      <w:r>
        <w:rPr>
          <w:rFonts w:hint="eastAsia"/>
          <w:rtl/>
        </w:rPr>
        <w:t>מטעם</w:t>
      </w:r>
      <w:r>
        <w:rPr>
          <w:rtl/>
        </w:rPr>
        <w:t xml:space="preserve"> </w:t>
      </w:r>
      <w:r>
        <w:rPr>
          <w:rFonts w:hint="eastAsia"/>
          <w:rtl/>
        </w:rPr>
        <w:t>זה</w:t>
      </w:r>
      <w:r>
        <w:rPr>
          <w:rtl/>
        </w:rPr>
        <w:t xml:space="preserve">, </w:t>
      </w:r>
      <w:r>
        <w:rPr>
          <w:rFonts w:hint="eastAsia"/>
          <w:rtl/>
        </w:rPr>
        <w:t>אילו</w:t>
      </w:r>
      <w:r>
        <w:rPr>
          <w:rtl/>
        </w:rPr>
        <w:t xml:space="preserve"> </w:t>
      </w:r>
      <w:r>
        <w:rPr>
          <w:rFonts w:hint="eastAsia"/>
          <w:rtl/>
        </w:rPr>
        <w:t>מצאנו</w:t>
      </w:r>
      <w:r>
        <w:rPr>
          <w:rtl/>
        </w:rPr>
        <w:t xml:space="preserve"> </w:t>
      </w:r>
      <w:r>
        <w:rPr>
          <w:rFonts w:hint="eastAsia"/>
          <w:rtl/>
        </w:rPr>
        <w:t>כי</w:t>
      </w:r>
      <w:r>
        <w:rPr>
          <w:rtl/>
        </w:rPr>
        <w:t xml:space="preserve"> </w:t>
      </w:r>
      <w:r>
        <w:rPr>
          <w:rFonts w:hint="eastAsia"/>
          <w:rtl/>
        </w:rPr>
        <w:t>מדינת</w:t>
      </w:r>
      <w:r>
        <w:rPr>
          <w:rtl/>
        </w:rPr>
        <w:t xml:space="preserve"> </w:t>
      </w:r>
      <w:r>
        <w:rPr>
          <w:rFonts w:hint="eastAsia"/>
          <w:rtl/>
        </w:rPr>
        <w:t>ישראל</w:t>
      </w:r>
      <w:r>
        <w:rPr>
          <w:rtl/>
        </w:rPr>
        <w:t xml:space="preserve"> </w:t>
      </w:r>
      <w:r>
        <w:rPr>
          <w:rFonts w:hint="eastAsia"/>
          <w:rtl/>
        </w:rPr>
        <w:t>מנתה</w:t>
      </w:r>
      <w:r>
        <w:rPr>
          <w:rtl/>
        </w:rPr>
        <w:t xml:space="preserve"> </w:t>
      </w:r>
      <w:r>
        <w:rPr>
          <w:rFonts w:hint="eastAsia"/>
          <w:rtl/>
        </w:rPr>
        <w:t>בכל</w:t>
      </w:r>
      <w:r>
        <w:rPr>
          <w:rtl/>
        </w:rPr>
        <w:t xml:space="preserve"> </w:t>
      </w:r>
      <w:r>
        <w:rPr>
          <w:rFonts w:hint="eastAsia"/>
          <w:rtl/>
        </w:rPr>
        <w:t>שנת</w:t>
      </w:r>
      <w:r>
        <w:rPr>
          <w:rtl/>
        </w:rPr>
        <w:t xml:space="preserve"> </w:t>
      </w:r>
      <w:r>
        <w:rPr>
          <w:rFonts w:hint="eastAsia"/>
          <w:rtl/>
        </w:rPr>
        <w:t>המס</w:t>
      </w:r>
      <w:r>
        <w:rPr>
          <w:rtl/>
        </w:rPr>
        <w:t xml:space="preserve"> 2011 12,000,000 </w:t>
      </w:r>
      <w:r>
        <w:rPr>
          <w:rFonts w:hint="eastAsia"/>
          <w:rtl/>
        </w:rPr>
        <w:t>תושבים</w:t>
      </w:r>
      <w:r>
        <w:rPr>
          <w:rtl/>
        </w:rPr>
        <w:t xml:space="preserve"> </w:t>
      </w:r>
      <w:r>
        <w:rPr>
          <w:rFonts w:hint="eastAsia"/>
          <w:rtl/>
        </w:rPr>
        <w:t>או</w:t>
      </w:r>
      <w:r>
        <w:rPr>
          <w:rtl/>
        </w:rPr>
        <w:t xml:space="preserve"> </w:t>
      </w:r>
      <w:r>
        <w:rPr>
          <w:rFonts w:hint="eastAsia"/>
          <w:rtl/>
        </w:rPr>
        <w:t>יותר</w:t>
      </w:r>
      <w:r>
        <w:rPr>
          <w:rtl/>
        </w:rPr>
        <w:t xml:space="preserve">, </w:t>
      </w:r>
      <w:r>
        <w:rPr>
          <w:rFonts w:hint="eastAsia"/>
          <w:rtl/>
        </w:rPr>
        <w:t>היה</w:t>
      </w:r>
      <w:r>
        <w:rPr>
          <w:rtl/>
        </w:rPr>
        <w:t xml:space="preserve"> </w:t>
      </w:r>
      <w:r>
        <w:rPr>
          <w:rFonts w:hint="eastAsia"/>
          <w:rtl/>
        </w:rPr>
        <w:t>עלינו</w:t>
      </w:r>
      <w:r>
        <w:rPr>
          <w:rtl/>
        </w:rPr>
        <w:t xml:space="preserve"> </w:t>
      </w:r>
      <w:r>
        <w:rPr>
          <w:rFonts w:hint="eastAsia"/>
          <w:rtl/>
        </w:rPr>
        <w:t>לקבוע</w:t>
      </w:r>
      <w:r>
        <w:rPr>
          <w:rtl/>
        </w:rPr>
        <w:t xml:space="preserve"> </w:t>
      </w:r>
      <w:r>
        <w:rPr>
          <w:rFonts w:hint="eastAsia"/>
          <w:rtl/>
        </w:rPr>
        <w:t>את</w:t>
      </w:r>
      <w:r>
        <w:rPr>
          <w:rtl/>
        </w:rPr>
        <w:t xml:space="preserve"> </w:t>
      </w:r>
      <w:r>
        <w:rPr>
          <w:rFonts w:hint="eastAsia"/>
          <w:rtl/>
        </w:rPr>
        <w:t>זכאות</w:t>
      </w:r>
      <w:r>
        <w:rPr>
          <w:rtl/>
        </w:rPr>
        <w:t xml:space="preserve"> </w:t>
      </w:r>
      <w:r>
        <w:rPr>
          <w:rFonts w:hint="eastAsia"/>
          <w:rtl/>
        </w:rPr>
        <w:t>המערערות</w:t>
      </w:r>
      <w:r>
        <w:rPr>
          <w:rtl/>
        </w:rPr>
        <w:t xml:space="preserve"> </w:t>
      </w:r>
      <w:r>
        <w:rPr>
          <w:rFonts w:hint="eastAsia"/>
          <w:rtl/>
        </w:rPr>
        <w:t>להטבה</w:t>
      </w:r>
      <w:r>
        <w:rPr>
          <w:rtl/>
        </w:rPr>
        <w:t xml:space="preserve"> </w:t>
      </w:r>
      <w:r>
        <w:rPr>
          <w:rFonts w:hint="eastAsia"/>
          <w:rtl/>
        </w:rPr>
        <w:t>בהתאם</w:t>
      </w:r>
      <w:r>
        <w:rPr>
          <w:rtl/>
        </w:rPr>
        <w:t xml:space="preserve"> </w:t>
      </w:r>
      <w:r>
        <w:rPr>
          <w:rFonts w:hint="eastAsia"/>
          <w:rtl/>
        </w:rPr>
        <w:t>לכך</w:t>
      </w:r>
      <w:r>
        <w:rPr>
          <w:rtl/>
        </w:rPr>
        <w:t>.</w:t>
      </w:r>
    </w:p>
    <w:p w:rsidR="00BD73C7" w:rsidRDefault="00BD73C7"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BD73C7" w:rsidTr="00AC4C90">
        <w:tc>
          <w:tcPr>
            <w:tcW w:w="2842" w:type="dxa"/>
            <w:shd w:val="clear" w:color="auto" w:fill="auto"/>
          </w:tcPr>
          <w:p w:rsidR="00BD73C7" w:rsidRDefault="00BD73C7" w:rsidP="00AC4C90">
            <w:pPr>
              <w:pStyle w:val="Ruller41"/>
              <w:rPr>
                <w:rtl/>
              </w:rPr>
            </w:pPr>
          </w:p>
        </w:tc>
        <w:tc>
          <w:tcPr>
            <w:tcW w:w="2843" w:type="dxa"/>
            <w:shd w:val="clear" w:color="auto" w:fill="auto"/>
          </w:tcPr>
          <w:p w:rsidR="00BD73C7" w:rsidRDefault="00BD73C7" w:rsidP="00AC4C90">
            <w:pPr>
              <w:pStyle w:val="Ruller41"/>
              <w:jc w:val="center"/>
              <w:rPr>
                <w:rtl/>
              </w:rPr>
            </w:pPr>
          </w:p>
        </w:tc>
        <w:tc>
          <w:tcPr>
            <w:tcW w:w="2843" w:type="dxa"/>
            <w:shd w:val="clear" w:color="auto" w:fill="auto"/>
          </w:tcPr>
          <w:p w:rsidR="00BD73C7" w:rsidRDefault="00BD73C7" w:rsidP="007E47B8">
            <w:pPr>
              <w:pStyle w:val="Ruller41"/>
              <w:jc w:val="right"/>
              <w:rPr>
                <w:rtl/>
              </w:rPr>
            </w:pPr>
            <w:r>
              <w:rPr>
                <w:rFonts w:hint="cs"/>
                <w:rtl/>
              </w:rPr>
              <w:t>ש ו פ ט</w:t>
            </w:r>
          </w:p>
        </w:tc>
      </w:tr>
    </w:tbl>
    <w:p w:rsidR="00BD73C7" w:rsidRDefault="00BD73C7" w:rsidP="00A51FAE">
      <w:pPr>
        <w:pStyle w:val="Ruller41"/>
        <w:rPr>
          <w:rtl/>
        </w:rPr>
      </w:pPr>
    </w:p>
    <w:p w:rsidR="00BD73C7" w:rsidRDefault="00BD73C7" w:rsidP="00A51FAE">
      <w:pPr>
        <w:pStyle w:val="Ruller41"/>
        <w:rPr>
          <w:rtl/>
        </w:rPr>
      </w:pPr>
    </w:p>
    <w:p w:rsidR="00BD73C7" w:rsidRDefault="00BD73C7" w:rsidP="00BD73C7">
      <w:pPr>
        <w:pStyle w:val="Ruller41"/>
        <w:rPr>
          <w:rtl/>
        </w:rPr>
      </w:pPr>
      <w:r>
        <w:rPr>
          <w:rtl/>
        </w:rPr>
        <w:tab/>
      </w:r>
      <w:r>
        <w:rPr>
          <w:rFonts w:hint="cs"/>
          <w:rtl/>
        </w:rPr>
        <w:t xml:space="preserve">הוחלט כאמור בפסק דינו של השופט </w:t>
      </w:r>
      <w:r w:rsidRPr="00BD73C7">
        <w:rPr>
          <w:rFonts w:ascii="Century" w:hAnsi="Century" w:cs="Miriam" w:hint="cs"/>
          <w:b/>
          <w:spacing w:val="0"/>
          <w:szCs w:val="24"/>
          <w:rtl/>
        </w:rPr>
        <w:t>ע' גרוסקופף</w:t>
      </w:r>
      <w:r>
        <w:rPr>
          <w:rFonts w:hint="cs"/>
          <w:rtl/>
        </w:rPr>
        <w:t>.</w:t>
      </w:r>
    </w:p>
    <w:p w:rsidR="00BD73C7" w:rsidRDefault="00BD73C7" w:rsidP="00A51FAE">
      <w:pPr>
        <w:pStyle w:val="Ruller41"/>
        <w:rPr>
          <w:rtl/>
        </w:rPr>
      </w:pPr>
    </w:p>
    <w:p w:rsidR="00BD73C7" w:rsidRDefault="00BD73C7" w:rsidP="00BD73C7">
      <w:pPr>
        <w:pStyle w:val="Ruller41"/>
        <w:rPr>
          <w:rtl/>
        </w:rPr>
      </w:pPr>
    </w:p>
    <w:p w:rsidR="00BD73C7" w:rsidRDefault="007E47B8" w:rsidP="00BD73C7">
      <w:pPr>
        <w:pStyle w:val="Ruller41"/>
        <w:rPr>
          <w:rtl/>
        </w:rPr>
      </w:pPr>
      <w:r>
        <w:rPr>
          <w:rtl/>
        </w:rPr>
        <w:tab/>
        <w:t xml:space="preserve">ניתן היום, </w:t>
      </w:r>
      <w:r>
        <w:rPr>
          <w:rFonts w:hint="eastAsia"/>
          <w:rtl/>
        </w:rPr>
        <w:t>‏כ</w:t>
      </w:r>
      <w:r>
        <w:rPr>
          <w:rtl/>
        </w:rPr>
        <w:t xml:space="preserve">"ח באב </w:t>
      </w:r>
      <w:proofErr w:type="spellStart"/>
      <w:r>
        <w:rPr>
          <w:rtl/>
        </w:rPr>
        <w:t>התשפ"ב</w:t>
      </w:r>
      <w:proofErr w:type="spellEnd"/>
      <w:r>
        <w:rPr>
          <w:rtl/>
        </w:rPr>
        <w:t xml:space="preserve"> (</w:t>
      </w:r>
      <w:r>
        <w:rPr>
          <w:rFonts w:hint="eastAsia"/>
          <w:rtl/>
        </w:rPr>
        <w:t>‏</w:t>
      </w:r>
      <w:r>
        <w:rPr>
          <w:rtl/>
        </w:rPr>
        <w:t>25.8.2022).</w:t>
      </w:r>
    </w:p>
    <w:p w:rsidR="007E47B8" w:rsidRDefault="007E47B8" w:rsidP="00BD73C7">
      <w:pPr>
        <w:pStyle w:val="Ruller41"/>
        <w:rPr>
          <w:rtl/>
        </w:rPr>
      </w:pPr>
    </w:p>
    <w:p w:rsidR="00BD73C7" w:rsidRDefault="00BD73C7" w:rsidP="00BD73C7">
      <w:pPr>
        <w:pStyle w:val="Ruller41"/>
        <w:rPr>
          <w:rtl/>
        </w:rPr>
      </w:pPr>
    </w:p>
    <w:p w:rsidR="00BD73C7" w:rsidRDefault="00BD73C7" w:rsidP="00A51FAE">
      <w:pPr>
        <w:pStyle w:val="Ruller41"/>
        <w:rPr>
          <w:rtl/>
        </w:rPr>
      </w:pPr>
    </w:p>
    <w:tbl>
      <w:tblPr>
        <w:bidiVisual/>
        <w:tblW w:w="8363" w:type="dxa"/>
        <w:tblLook w:val="01E0" w:firstRow="1" w:lastRow="1" w:firstColumn="1" w:lastColumn="1" w:noHBand="0" w:noVBand="0"/>
      </w:tblPr>
      <w:tblGrid>
        <w:gridCol w:w="2787"/>
        <w:gridCol w:w="2788"/>
        <w:gridCol w:w="2788"/>
      </w:tblGrid>
      <w:tr w:rsidR="00BD73C7" w:rsidTr="00AC4C90">
        <w:tc>
          <w:tcPr>
            <w:tcW w:w="2842" w:type="dxa"/>
            <w:shd w:val="clear" w:color="auto" w:fill="auto"/>
          </w:tcPr>
          <w:p w:rsidR="00BD73C7" w:rsidRDefault="00BD73C7" w:rsidP="007E47B8">
            <w:pPr>
              <w:pStyle w:val="Ruller41"/>
              <w:jc w:val="left"/>
              <w:rPr>
                <w:rtl/>
              </w:rPr>
            </w:pPr>
            <w:r>
              <w:rPr>
                <w:rFonts w:hint="cs"/>
                <w:rtl/>
              </w:rPr>
              <w:t>ש ו פ ט</w:t>
            </w:r>
          </w:p>
        </w:tc>
        <w:tc>
          <w:tcPr>
            <w:tcW w:w="2843" w:type="dxa"/>
            <w:shd w:val="clear" w:color="auto" w:fill="auto"/>
          </w:tcPr>
          <w:p w:rsidR="00BD73C7" w:rsidRDefault="00BD73C7" w:rsidP="00AC4C90">
            <w:pPr>
              <w:pStyle w:val="Ruller41"/>
              <w:jc w:val="center"/>
              <w:rPr>
                <w:rtl/>
              </w:rPr>
            </w:pPr>
            <w:r>
              <w:rPr>
                <w:rFonts w:hint="cs"/>
                <w:rtl/>
              </w:rPr>
              <w:t>ש ו פ ט</w:t>
            </w:r>
          </w:p>
        </w:tc>
        <w:tc>
          <w:tcPr>
            <w:tcW w:w="2843" w:type="dxa"/>
            <w:shd w:val="clear" w:color="auto" w:fill="auto"/>
          </w:tcPr>
          <w:p w:rsidR="00BD73C7" w:rsidRDefault="00BD73C7" w:rsidP="007E47B8">
            <w:pPr>
              <w:pStyle w:val="Ruller41"/>
              <w:jc w:val="right"/>
              <w:rPr>
                <w:rtl/>
              </w:rPr>
            </w:pPr>
            <w:r>
              <w:rPr>
                <w:rFonts w:hint="cs"/>
                <w:rtl/>
              </w:rPr>
              <w:t>ש ו פ ט</w:t>
            </w:r>
          </w:p>
        </w:tc>
      </w:tr>
    </w:tbl>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2965EF">
        <w:rPr>
          <w:sz w:val="16"/>
        </w:rPr>
        <w:t xml:space="preserve">19031290_Y19.docx   </w:t>
      </w:r>
      <w:r w:rsidR="002965EF">
        <w:rPr>
          <w:sz w:val="16"/>
          <w:rtl/>
        </w:rPr>
        <w:t>אב</w:t>
      </w:r>
    </w:p>
    <w:p w:rsidR="003F1F97" w:rsidRDefault="00591983" w:rsidP="00BD73C7">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FC0252" w:rsidRPr="00BB4C68">
          <w:rPr>
            <w:rStyle w:val="Hyperlink"/>
            <w:sz w:val="16"/>
          </w:rPr>
          <w:t>https://supreme.court.gov.il</w:t>
        </w:r>
      </w:hyperlink>
    </w:p>
    <w:sectPr w:rsidR="003F1F97" w:rsidSect="00CF54A5">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418" w:right="1985" w:bottom="1440" w:left="1797" w:header="567" w:footer="397" w:gutter="0"/>
      <w:cols w:space="720"/>
      <w:titlePg/>
      <w:bidi/>
      <w:rtlGutter/>
      <w:docGrid w:linePitch="272"/>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4A5" w:rsidRDefault="00CF54A5">
      <w:r>
        <w:separator/>
      </w:r>
    </w:p>
  </w:endnote>
  <w:endnote w:type="continuationSeparator" w:id="0">
    <w:p w:rsidR="00CF54A5" w:rsidRDefault="00CF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rial TUR">
    <w:charset w:val="00"/>
    <w:family w:val="swiss"/>
    <w:pitch w:val="variable"/>
    <w:sig w:usb0="E0002EFF" w:usb1="C000785B"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Century">
    <w:panose1 w:val="02040604050505020304"/>
    <w:charset w:val="00"/>
    <w:family w:val="roman"/>
    <w:pitch w:val="variable"/>
    <w:sig w:usb0="00000287" w:usb1="00000000" w:usb2="00000000" w:usb3="00000000" w:csb0="0000009F" w:csb1="00000000"/>
  </w:font>
  <w:font w:name="Arim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A5" w:rsidRDefault="00CF54A5">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CF54A5" w:rsidRDefault="00CF54A5">
    <w:pPr>
      <w:pStyle w:val="a3"/>
      <w:rPr>
        <w:rtl/>
      </w:rPr>
    </w:pPr>
  </w:p>
  <w:p w:rsidR="00CF54A5" w:rsidRDefault="00CF54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A5" w:rsidRDefault="00CF54A5">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A5" w:rsidRPr="00F959DB" w:rsidRDefault="00CF54A5" w:rsidP="00914156">
    <w:pPr>
      <w:pStyle w:val="a3"/>
      <w:bidi w:val="0"/>
      <w:jc w:val="right"/>
      <w:rPr>
        <w:sz w:val="16"/>
        <w:szCs w:val="16"/>
      </w:rPr>
    </w:pPr>
    <w:bookmarkStart w:id="35" w:name="footer_line"/>
    <w:bookmarkEnd w:id="35"/>
  </w:p>
  <w:p w:rsidR="00CF54A5" w:rsidRDefault="00CF54A5">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4A5" w:rsidRDefault="00CF54A5">
      <w:r>
        <w:separator/>
      </w:r>
    </w:p>
  </w:footnote>
  <w:footnote w:type="continuationSeparator" w:id="0">
    <w:p w:rsidR="00CF54A5" w:rsidRDefault="00CF54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A5" w:rsidRDefault="00CF54A5">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CF54A5" w:rsidRDefault="00CF54A5">
    <w:pPr>
      <w:pStyle w:val="a5"/>
      <w:rPr>
        <w:rtl/>
      </w:rPr>
    </w:pPr>
  </w:p>
  <w:p w:rsidR="00CF54A5" w:rsidRDefault="00CF54A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4A5" w:rsidRDefault="00CF54A5">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4F5E29">
      <w:rPr>
        <w:rStyle w:val="a4"/>
        <w:noProof/>
        <w:rtl/>
      </w:rPr>
      <w:t>20</w:t>
    </w:r>
    <w:r>
      <w:rPr>
        <w:rStyle w:val="a4"/>
        <w:rtl/>
      </w:rPr>
      <w:fldChar w:fldCharType="end"/>
    </w:r>
  </w:p>
  <w:p w:rsidR="00CF54A5" w:rsidRDefault="00CF54A5">
    <w:pPr>
      <w:pStyle w:val="a5"/>
      <w:rPr>
        <w:rtl/>
      </w:rPr>
    </w:pPr>
  </w:p>
  <w:p w:rsidR="00CF54A5" w:rsidRDefault="00CF54A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CF54A5" w:rsidTr="00EC23AC">
      <w:trPr>
        <w:trHeight w:val="342"/>
      </w:trPr>
      <w:tc>
        <w:tcPr>
          <w:tcW w:w="9828" w:type="dxa"/>
        </w:tcPr>
        <w:p w:rsidR="00CF54A5" w:rsidRPr="002F7BB6" w:rsidRDefault="00CF54A5"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CF54A5" w:rsidRDefault="00CF54A5"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5F9C772A">
      <w:start w:val="1"/>
      <w:numFmt w:val="decimal"/>
      <w:pStyle w:val="Ruller4"/>
      <w:lvlText w:val="%1."/>
      <w:lvlJc w:val="left"/>
      <w:pPr>
        <w:tabs>
          <w:tab w:val="num" w:pos="3458"/>
        </w:tabs>
        <w:ind w:left="2551"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67664EE"/>
    <w:multiLevelType w:val="hybridMultilevel"/>
    <w:tmpl w:val="F5845DE0"/>
    <w:lvl w:ilvl="0" w:tplc="C57CB7B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4FE70B62"/>
    <w:multiLevelType w:val="hybridMultilevel"/>
    <w:tmpl w:val="ADA8711E"/>
    <w:lvl w:ilvl="0" w:tplc="DBB0A036">
      <w:start w:val="1"/>
      <w:numFmt w:val="hebrew1"/>
      <w:pStyle w:val="Ruller40"/>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0930F2"/>
    <w:multiLevelType w:val="hybridMultilevel"/>
    <w:tmpl w:val="8758CE78"/>
    <w:lvl w:ilvl="0" w:tplc="C3BC9C6C">
      <w:start w:val="2"/>
      <w:numFmt w:val="bullet"/>
      <w:lvlText w:val="-"/>
      <w:lvlJc w:val="left"/>
      <w:pPr>
        <w:ind w:left="720" w:hanging="360"/>
      </w:pPr>
      <w:rPr>
        <w:rFonts w:ascii="FrankRuehl" w:eastAsia="Times New Roman" w:hAnsi="FrankRuehl" w:cs="FrankRueh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F3A32"/>
    <w:multiLevelType w:val="hybridMultilevel"/>
    <w:tmpl w:val="353C8EE8"/>
    <w:lvl w:ilvl="0" w:tplc="81262ACC">
      <w:numFmt w:val="bullet"/>
      <w:lvlText w:val="-"/>
      <w:lvlJc w:val="left"/>
      <w:pPr>
        <w:ind w:left="435" w:hanging="360"/>
      </w:pPr>
      <w:rPr>
        <w:rFonts w:ascii="FrankRuehl" w:eastAsia="Times New Roman" w:hAnsi="FrankRuehl" w:cs="FrankRueh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3"/>
  </w:num>
  <w:num w:numId="14">
    <w:abstractNumId w:val="14"/>
  </w:num>
  <w:num w:numId="15">
    <w:abstractNumId w:val="11"/>
  </w:num>
  <w:num w:numId="16">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A0164"/>
    <w:rsid w:val="00200D6B"/>
    <w:rsid w:val="00265F6E"/>
    <w:rsid w:val="00274EF2"/>
    <w:rsid w:val="002876BF"/>
    <w:rsid w:val="00291E93"/>
    <w:rsid w:val="002965EF"/>
    <w:rsid w:val="002A4A7A"/>
    <w:rsid w:val="002A4BF3"/>
    <w:rsid w:val="002F7BB6"/>
    <w:rsid w:val="003448B2"/>
    <w:rsid w:val="00361DB2"/>
    <w:rsid w:val="0037622E"/>
    <w:rsid w:val="003766EE"/>
    <w:rsid w:val="00377102"/>
    <w:rsid w:val="00393B81"/>
    <w:rsid w:val="0039709B"/>
    <w:rsid w:val="003D72DA"/>
    <w:rsid w:val="003E7F5D"/>
    <w:rsid w:val="003F18E9"/>
    <w:rsid w:val="003F1F97"/>
    <w:rsid w:val="0041048F"/>
    <w:rsid w:val="00437D59"/>
    <w:rsid w:val="004610A4"/>
    <w:rsid w:val="004A52AD"/>
    <w:rsid w:val="004A5482"/>
    <w:rsid w:val="004B29FF"/>
    <w:rsid w:val="004C7868"/>
    <w:rsid w:val="004F5E29"/>
    <w:rsid w:val="00503A3E"/>
    <w:rsid w:val="00506258"/>
    <w:rsid w:val="00527F02"/>
    <w:rsid w:val="00560EBD"/>
    <w:rsid w:val="00565269"/>
    <w:rsid w:val="00572431"/>
    <w:rsid w:val="005803E2"/>
    <w:rsid w:val="0058440A"/>
    <w:rsid w:val="00591983"/>
    <w:rsid w:val="006071E7"/>
    <w:rsid w:val="00624A42"/>
    <w:rsid w:val="0065522F"/>
    <w:rsid w:val="006706BB"/>
    <w:rsid w:val="006809B2"/>
    <w:rsid w:val="006A30F7"/>
    <w:rsid w:val="006C42AD"/>
    <w:rsid w:val="006D7623"/>
    <w:rsid w:val="00725345"/>
    <w:rsid w:val="00741CC0"/>
    <w:rsid w:val="007B512F"/>
    <w:rsid w:val="007B5B58"/>
    <w:rsid w:val="007E47B8"/>
    <w:rsid w:val="007F7512"/>
    <w:rsid w:val="00810894"/>
    <w:rsid w:val="00810D7B"/>
    <w:rsid w:val="008143AB"/>
    <w:rsid w:val="0083345F"/>
    <w:rsid w:val="00836667"/>
    <w:rsid w:val="00857EAA"/>
    <w:rsid w:val="00866D0F"/>
    <w:rsid w:val="008A5DC5"/>
    <w:rsid w:val="008B0D2A"/>
    <w:rsid w:val="008C2F11"/>
    <w:rsid w:val="008D3D1A"/>
    <w:rsid w:val="008D78B9"/>
    <w:rsid w:val="008E3A56"/>
    <w:rsid w:val="008E3F85"/>
    <w:rsid w:val="009051E8"/>
    <w:rsid w:val="00914156"/>
    <w:rsid w:val="00916FF8"/>
    <w:rsid w:val="00922093"/>
    <w:rsid w:val="009300D3"/>
    <w:rsid w:val="00930C85"/>
    <w:rsid w:val="009364C8"/>
    <w:rsid w:val="00936520"/>
    <w:rsid w:val="00943BC8"/>
    <w:rsid w:val="00996144"/>
    <w:rsid w:val="009A71A0"/>
    <w:rsid w:val="009B38DA"/>
    <w:rsid w:val="009D0F37"/>
    <w:rsid w:val="009D1AFB"/>
    <w:rsid w:val="009D22AE"/>
    <w:rsid w:val="009E082C"/>
    <w:rsid w:val="009F2F53"/>
    <w:rsid w:val="009F4187"/>
    <w:rsid w:val="00A1058F"/>
    <w:rsid w:val="00A12E0F"/>
    <w:rsid w:val="00A51FAE"/>
    <w:rsid w:val="00A80845"/>
    <w:rsid w:val="00A94AA1"/>
    <w:rsid w:val="00AB69F7"/>
    <w:rsid w:val="00AD097B"/>
    <w:rsid w:val="00AD64B9"/>
    <w:rsid w:val="00AE022B"/>
    <w:rsid w:val="00B009CC"/>
    <w:rsid w:val="00B0782A"/>
    <w:rsid w:val="00B3187D"/>
    <w:rsid w:val="00B3236B"/>
    <w:rsid w:val="00B55675"/>
    <w:rsid w:val="00B62B8C"/>
    <w:rsid w:val="00B63343"/>
    <w:rsid w:val="00B87FF7"/>
    <w:rsid w:val="00BA0B08"/>
    <w:rsid w:val="00BC0E82"/>
    <w:rsid w:val="00BD40F9"/>
    <w:rsid w:val="00BD73C7"/>
    <w:rsid w:val="00C41C86"/>
    <w:rsid w:val="00C42394"/>
    <w:rsid w:val="00C537C7"/>
    <w:rsid w:val="00C63A6C"/>
    <w:rsid w:val="00C76196"/>
    <w:rsid w:val="00CA13AF"/>
    <w:rsid w:val="00CA1444"/>
    <w:rsid w:val="00CB1590"/>
    <w:rsid w:val="00CB7600"/>
    <w:rsid w:val="00CC0E9D"/>
    <w:rsid w:val="00CC3639"/>
    <w:rsid w:val="00CF54A5"/>
    <w:rsid w:val="00D00B1D"/>
    <w:rsid w:val="00D00CB7"/>
    <w:rsid w:val="00D0164C"/>
    <w:rsid w:val="00D21A45"/>
    <w:rsid w:val="00D25F16"/>
    <w:rsid w:val="00D80410"/>
    <w:rsid w:val="00DB7014"/>
    <w:rsid w:val="00E21CA9"/>
    <w:rsid w:val="00E31063"/>
    <w:rsid w:val="00E36FE9"/>
    <w:rsid w:val="00E3709B"/>
    <w:rsid w:val="00E50374"/>
    <w:rsid w:val="00E73E98"/>
    <w:rsid w:val="00E75223"/>
    <w:rsid w:val="00E90D72"/>
    <w:rsid w:val="00EA0BE1"/>
    <w:rsid w:val="00EC23AC"/>
    <w:rsid w:val="00EC2992"/>
    <w:rsid w:val="00ED46A4"/>
    <w:rsid w:val="00ED6FD9"/>
    <w:rsid w:val="00EE3810"/>
    <w:rsid w:val="00EF3F77"/>
    <w:rsid w:val="00F63C3B"/>
    <w:rsid w:val="00F71790"/>
    <w:rsid w:val="00F959DB"/>
    <w:rsid w:val="00FC02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FF8E70-28A1-4D25-9209-894AEB363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paragraph" w:styleId="2">
    <w:name w:val="heading 2"/>
    <w:basedOn w:val="a"/>
    <w:link w:val="20"/>
    <w:uiPriority w:val="9"/>
    <w:qFormat/>
    <w:rsid w:val="00CF54A5"/>
    <w:pPr>
      <w:overflowPunct/>
      <w:autoSpaceDE/>
      <w:autoSpaceDN/>
      <w:bidi w:val="0"/>
      <w:adjustRightInd/>
      <w:spacing w:before="100" w:beforeAutospacing="1" w:after="100" w:afterAutospacing="1"/>
      <w:textAlignment w:val="auto"/>
      <w:outlineLvl w:val="1"/>
    </w:pPr>
    <w:rPr>
      <w:rFonts w:cs="Times New Roman"/>
      <w:b/>
      <w:bCs/>
      <w:sz w:val="36"/>
      <w:szCs w:val="36"/>
    </w:rPr>
  </w:style>
  <w:style w:type="paragraph" w:styleId="5">
    <w:name w:val="heading 5"/>
    <w:basedOn w:val="a"/>
    <w:next w:val="a"/>
    <w:link w:val="50"/>
    <w:semiHidden/>
    <w:unhideWhenUsed/>
    <w:qFormat/>
    <w:rsid w:val="00CF54A5"/>
    <w:pPr>
      <w:keepNext/>
      <w:keepLines/>
      <w:spacing w:before="40" w:line="360" w:lineRule="auto"/>
      <w:outlineLvl w:val="4"/>
    </w:pPr>
    <w:rPr>
      <w:rFonts w:asciiTheme="majorHAnsi" w:eastAsiaTheme="majorEastAsia" w:hAnsiTheme="majorHAnsi" w:cstheme="majorBidi"/>
      <w:color w:val="2E74B5" w:themeColor="accent1" w:themeShade="BF"/>
      <w:spacing w:val="10"/>
      <w:szCs w:val="28"/>
    </w:rPr>
  </w:style>
  <w:style w:type="paragraph" w:styleId="8">
    <w:name w:val="heading 8"/>
    <w:basedOn w:val="a"/>
    <w:next w:val="a"/>
    <w:link w:val="80"/>
    <w:semiHidden/>
    <w:unhideWhenUsed/>
    <w:qFormat/>
    <w:rsid w:val="00CF54A5"/>
    <w:pPr>
      <w:keepNext/>
      <w:keepLines/>
      <w:spacing w:before="40" w:line="360" w:lineRule="auto"/>
      <w:outlineLvl w:val="7"/>
    </w:pPr>
    <w:rPr>
      <w:rFonts w:asciiTheme="majorHAnsi" w:eastAsiaTheme="majorEastAsia" w:hAnsiTheme="majorHAnsi" w:cstheme="majorBidi"/>
      <w:color w:val="272727" w:themeColor="text1" w:themeTint="D8"/>
      <w:spacing w:val="1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1">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character" w:customStyle="1" w:styleId="20">
    <w:name w:val="כותרת 2 תו"/>
    <w:basedOn w:val="a0"/>
    <w:link w:val="2"/>
    <w:uiPriority w:val="9"/>
    <w:rsid w:val="00CF54A5"/>
    <w:rPr>
      <w:b/>
      <w:bCs/>
      <w:sz w:val="36"/>
      <w:szCs w:val="36"/>
    </w:rPr>
  </w:style>
  <w:style w:type="character" w:customStyle="1" w:styleId="50">
    <w:name w:val="כותרת 5 תו"/>
    <w:basedOn w:val="a0"/>
    <w:link w:val="5"/>
    <w:semiHidden/>
    <w:rsid w:val="00CF54A5"/>
    <w:rPr>
      <w:rFonts w:asciiTheme="majorHAnsi" w:eastAsiaTheme="majorEastAsia" w:hAnsiTheme="majorHAnsi" w:cstheme="majorBidi"/>
      <w:color w:val="2E74B5" w:themeColor="accent1" w:themeShade="BF"/>
      <w:spacing w:val="10"/>
      <w:szCs w:val="28"/>
    </w:rPr>
  </w:style>
  <w:style w:type="character" w:customStyle="1" w:styleId="80">
    <w:name w:val="כותרת 8 תו"/>
    <w:basedOn w:val="a0"/>
    <w:link w:val="8"/>
    <w:semiHidden/>
    <w:rsid w:val="00CF54A5"/>
    <w:rPr>
      <w:rFonts w:asciiTheme="majorHAnsi" w:eastAsiaTheme="majorEastAsia" w:hAnsiTheme="majorHAnsi" w:cstheme="majorBidi"/>
      <w:color w:val="272727" w:themeColor="text1" w:themeTint="D8"/>
      <w:spacing w:val="10"/>
      <w:sz w:val="21"/>
      <w:szCs w:val="21"/>
    </w:rPr>
  </w:style>
  <w:style w:type="paragraph" w:customStyle="1" w:styleId="Ruller4">
    <w:name w:val="Ruller 4 ממוספר"/>
    <w:basedOn w:val="Ruller41"/>
    <w:next w:val="Ruller41"/>
    <w:rsid w:val="00CF54A5"/>
    <w:pPr>
      <w:numPr>
        <w:numId w:val="11"/>
      </w:numPr>
      <w:tabs>
        <w:tab w:val="clear" w:pos="3458"/>
        <w:tab w:val="num" w:pos="907"/>
      </w:tabs>
      <w:ind w:left="0"/>
    </w:pPr>
    <w:rPr>
      <w:rFonts w:ascii="Garamond" w:hAnsi="Garamond"/>
      <w:sz w:val="24"/>
    </w:rPr>
  </w:style>
  <w:style w:type="paragraph" w:customStyle="1" w:styleId="Ruller40">
    <w:name w:val="Ruller4 אלפביתי"/>
    <w:basedOn w:val="Ruller41"/>
    <w:next w:val="Ruller41"/>
    <w:rsid w:val="00CF54A5"/>
    <w:pPr>
      <w:numPr>
        <w:numId w:val="12"/>
      </w:numPr>
    </w:pPr>
  </w:style>
  <w:style w:type="character" w:customStyle="1" w:styleId="Ruller42">
    <w:name w:val="Ruller4 תו"/>
    <w:link w:val="Ruller41"/>
    <w:locked/>
    <w:rsid w:val="00CF54A5"/>
    <w:rPr>
      <w:rFonts w:ascii="Arial TUR" w:hAnsi="Arial TUR" w:cs="FrankRuehl"/>
      <w:spacing w:val="10"/>
      <w:sz w:val="22"/>
      <w:szCs w:val="28"/>
    </w:rPr>
  </w:style>
  <w:style w:type="paragraph" w:customStyle="1" w:styleId="ruller400">
    <w:name w:val="ruller40"/>
    <w:basedOn w:val="a"/>
    <w:rsid w:val="00CF54A5"/>
    <w:pPr>
      <w:overflowPunct/>
      <w:autoSpaceDE/>
      <w:autoSpaceDN/>
      <w:bidi w:val="0"/>
      <w:adjustRightInd/>
      <w:spacing w:before="100" w:beforeAutospacing="1" w:after="100" w:afterAutospacing="1"/>
      <w:textAlignment w:val="auto"/>
    </w:pPr>
    <w:rPr>
      <w:rFonts w:cs="Times New Roman"/>
      <w:sz w:val="24"/>
    </w:rPr>
  </w:style>
  <w:style w:type="paragraph" w:customStyle="1" w:styleId="p00">
    <w:name w:val="p00"/>
    <w:basedOn w:val="a"/>
    <w:rsid w:val="00CF54A5"/>
    <w:pPr>
      <w:overflowPunct/>
      <w:autoSpaceDE/>
      <w:autoSpaceDN/>
      <w:bidi w:val="0"/>
      <w:adjustRightInd/>
      <w:spacing w:before="100" w:beforeAutospacing="1" w:after="100" w:afterAutospacing="1"/>
      <w:textAlignment w:val="auto"/>
    </w:pPr>
    <w:rPr>
      <w:rFonts w:cs="Times New Roman"/>
      <w:sz w:val="24"/>
    </w:rPr>
  </w:style>
  <w:style w:type="character" w:customStyle="1" w:styleId="default">
    <w:name w:val="default"/>
    <w:basedOn w:val="a0"/>
    <w:rsid w:val="00CF54A5"/>
  </w:style>
  <w:style w:type="paragraph" w:customStyle="1" w:styleId="ruller43">
    <w:name w:val="ruller4"/>
    <w:basedOn w:val="a"/>
    <w:rsid w:val="00CF54A5"/>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CF54A5"/>
  </w:style>
  <w:style w:type="paragraph" w:customStyle="1" w:styleId="ruller410">
    <w:name w:val="ruller41"/>
    <w:basedOn w:val="a"/>
    <w:rsid w:val="00CF54A5"/>
    <w:pPr>
      <w:overflowPunct/>
      <w:autoSpaceDE/>
      <w:autoSpaceDN/>
      <w:bidi w:val="0"/>
      <w:adjustRightInd/>
      <w:spacing w:before="100" w:beforeAutospacing="1" w:after="100" w:afterAutospacing="1"/>
      <w:textAlignment w:val="auto"/>
    </w:pPr>
    <w:rPr>
      <w:rFonts w:cs="Times New Roman"/>
      <w:sz w:val="24"/>
    </w:rPr>
  </w:style>
  <w:style w:type="paragraph" w:customStyle="1" w:styleId="ruller50">
    <w:name w:val="ruller5"/>
    <w:basedOn w:val="a"/>
    <w:rsid w:val="00CF54A5"/>
    <w:pPr>
      <w:adjustRightInd/>
      <w:ind w:left="1642" w:right="1282"/>
      <w:jc w:val="both"/>
      <w:textAlignment w:val="auto"/>
    </w:pPr>
    <w:rPr>
      <w:rFonts w:ascii="Arial TUR" w:hAnsi="Arial TUR" w:cs="Arial TUR"/>
      <w:spacing w:val="10"/>
      <w:sz w:val="22"/>
      <w:szCs w:val="22"/>
    </w:rPr>
  </w:style>
  <w:style w:type="paragraph" w:customStyle="1" w:styleId="p22">
    <w:name w:val="p22"/>
    <w:basedOn w:val="a"/>
    <w:rsid w:val="00CF54A5"/>
    <w:pPr>
      <w:overflowPunct/>
      <w:autoSpaceDE/>
      <w:autoSpaceDN/>
      <w:bidi w:val="0"/>
      <w:adjustRightInd/>
      <w:spacing w:before="100" w:beforeAutospacing="1" w:after="100" w:afterAutospacing="1"/>
      <w:textAlignment w:val="auto"/>
    </w:pPr>
    <w:rPr>
      <w:rFonts w:cs="Times New Roman"/>
      <w:sz w:val="24"/>
    </w:rPr>
  </w:style>
  <w:style w:type="paragraph" w:customStyle="1" w:styleId="ruller4100">
    <w:name w:val="ruller410"/>
    <w:basedOn w:val="a"/>
    <w:rsid w:val="00CF54A5"/>
    <w:pPr>
      <w:overflowPunct/>
      <w:autoSpaceDE/>
      <w:autoSpaceDN/>
      <w:bidi w:val="0"/>
      <w:adjustRightInd/>
      <w:spacing w:before="100" w:beforeAutospacing="1" w:after="100" w:afterAutospacing="1"/>
      <w:textAlignment w:val="auto"/>
    </w:pPr>
    <w:rPr>
      <w:rFonts w:cs="Times New Roman"/>
      <w:sz w:val="24"/>
    </w:rPr>
  </w:style>
  <w:style w:type="paragraph" w:customStyle="1" w:styleId="bodyverdict0">
    <w:name w:val="bodyverdict"/>
    <w:basedOn w:val="a"/>
    <w:rsid w:val="00CF54A5"/>
    <w:pPr>
      <w:adjustRightInd/>
      <w:textAlignment w:val="auto"/>
    </w:pPr>
    <w:rPr>
      <w:rFonts w:cs="Times New Roman"/>
      <w:spacing w:val="10"/>
      <w:sz w:val="22"/>
      <w:szCs w:val="22"/>
    </w:rPr>
  </w:style>
  <w:style w:type="paragraph" w:customStyle="1" w:styleId="ae">
    <w:name w:val="a"/>
    <w:basedOn w:val="a"/>
    <w:rsid w:val="00CF54A5"/>
    <w:pPr>
      <w:adjustRightInd/>
      <w:spacing w:after="250" w:line="290" w:lineRule="atLeast"/>
      <w:ind w:firstLine="284"/>
      <w:jc w:val="both"/>
      <w:textAlignment w:val="auto"/>
    </w:pPr>
    <w:rPr>
      <w:rFonts w:cs="Times New Roman"/>
      <w:szCs w:val="20"/>
    </w:rPr>
  </w:style>
  <w:style w:type="paragraph" w:customStyle="1" w:styleId="a40">
    <w:name w:val="a4"/>
    <w:basedOn w:val="a"/>
    <w:rsid w:val="00CF54A5"/>
    <w:pPr>
      <w:adjustRightInd/>
      <w:spacing w:after="250" w:line="290" w:lineRule="atLeast"/>
      <w:ind w:left="454" w:right="454"/>
      <w:jc w:val="both"/>
      <w:textAlignment w:val="auto"/>
    </w:pPr>
    <w:rPr>
      <w:rFonts w:cs="Times New Roman"/>
      <w:szCs w:val="20"/>
    </w:rPr>
  </w:style>
  <w:style w:type="paragraph" w:customStyle="1" w:styleId="ruller500">
    <w:name w:val="ruller50"/>
    <w:basedOn w:val="a"/>
    <w:rsid w:val="00CF54A5"/>
    <w:pPr>
      <w:adjustRightInd/>
      <w:ind w:left="1642" w:right="1282"/>
      <w:jc w:val="both"/>
      <w:textAlignment w:val="auto"/>
    </w:pPr>
    <w:rPr>
      <w:rFonts w:ascii="Arial TUR" w:hAnsi="Arial TUR" w:cs="Arial TUR"/>
      <w:spacing w:val="10"/>
      <w:sz w:val="22"/>
      <w:szCs w:val="22"/>
    </w:rPr>
  </w:style>
  <w:style w:type="paragraph" w:customStyle="1" w:styleId="af">
    <w:name w:val="כללי"/>
    <w:basedOn w:val="a"/>
    <w:rsid w:val="00CF54A5"/>
    <w:pPr>
      <w:spacing w:after="240" w:line="270" w:lineRule="exact"/>
      <w:ind w:firstLine="284"/>
      <w:jc w:val="both"/>
      <w:textAlignment w:val="auto"/>
    </w:pPr>
    <w:rPr>
      <w:rFonts w:cs="FrankRuehl"/>
      <w:lang w:eastAsia="he-IL"/>
    </w:rPr>
  </w:style>
  <w:style w:type="paragraph" w:customStyle="1" w:styleId="ruller420">
    <w:name w:val="ruller42"/>
    <w:basedOn w:val="a"/>
    <w:rsid w:val="00CF54A5"/>
    <w:pPr>
      <w:overflowPunct/>
      <w:autoSpaceDE/>
      <w:autoSpaceDN/>
      <w:bidi w:val="0"/>
      <w:adjustRightInd/>
      <w:spacing w:before="100" w:beforeAutospacing="1" w:after="100" w:afterAutospacing="1"/>
      <w:textAlignment w:val="auto"/>
    </w:pPr>
    <w:rPr>
      <w:rFonts w:cs="Times New Roman"/>
      <w:sz w:val="24"/>
    </w:rPr>
  </w:style>
  <w:style w:type="paragraph" w:customStyle="1" w:styleId="af0">
    <w:name w:val="דובר"/>
    <w:basedOn w:val="a"/>
    <w:next w:val="a"/>
    <w:rsid w:val="00CF54A5"/>
    <w:pPr>
      <w:overflowPunct/>
      <w:autoSpaceDE/>
      <w:autoSpaceDN/>
      <w:adjustRightInd/>
      <w:ind w:firstLine="720"/>
      <w:jc w:val="both"/>
      <w:textAlignment w:val="auto"/>
    </w:pPr>
    <w:rPr>
      <w:rFonts w:ascii="Arial" w:hAnsi="Arial" w:cs="Arial"/>
      <w:b/>
      <w:bCs/>
      <w:sz w:val="22"/>
      <w:szCs w:val="22"/>
      <w:u w:val="single"/>
      <w:lang w:eastAsia="he-IL"/>
    </w:rPr>
  </w:style>
  <w:style w:type="paragraph" w:customStyle="1" w:styleId="-">
    <w:name w:val="דובר-המשך"/>
    <w:basedOn w:val="af0"/>
    <w:rsid w:val="00CF54A5"/>
  </w:style>
  <w:style w:type="paragraph" w:customStyle="1" w:styleId="KeepWithNext">
    <w:name w:val="KeepWithNext"/>
    <w:basedOn w:val="a"/>
    <w:next w:val="a"/>
    <w:qFormat/>
    <w:rsid w:val="00CF54A5"/>
    <w:pPr>
      <w:keepNext/>
      <w:overflowPunct/>
      <w:autoSpaceDE/>
      <w:autoSpaceDN/>
      <w:adjustRightInd/>
      <w:spacing w:line="360" w:lineRule="auto"/>
      <w:ind w:firstLine="720"/>
      <w:jc w:val="both"/>
      <w:textAlignment w:val="auto"/>
    </w:pPr>
    <w:rPr>
      <w:rFonts w:ascii="Arial" w:hAnsi="Arial" w:cs="Arial"/>
      <w:sz w:val="22"/>
      <w:szCs w:val="22"/>
    </w:rPr>
  </w:style>
  <w:style w:type="paragraph" w:customStyle="1" w:styleId="af1">
    <w:name w:val="אורח"/>
    <w:basedOn w:val="a"/>
    <w:next w:val="a"/>
    <w:rsid w:val="00CF54A5"/>
    <w:pPr>
      <w:overflowPunct/>
      <w:autoSpaceDE/>
      <w:autoSpaceDN/>
      <w:adjustRightInd/>
      <w:spacing w:line="240" w:lineRule="exact"/>
      <w:jc w:val="both"/>
      <w:textAlignment w:val="auto"/>
    </w:pPr>
    <w:rPr>
      <w:rFonts w:ascii="David" w:hAnsi="David"/>
      <w:sz w:val="24"/>
      <w:u w:val="single"/>
    </w:rPr>
  </w:style>
  <w:style w:type="paragraph" w:customStyle="1" w:styleId="p02">
    <w:name w:val="p02"/>
    <w:basedOn w:val="a"/>
    <w:rsid w:val="00CF54A5"/>
    <w:pPr>
      <w:overflowPunct/>
      <w:adjustRightInd/>
      <w:spacing w:before="60"/>
      <w:ind w:left="2835" w:right="1021" w:hanging="1021"/>
      <w:jc w:val="both"/>
      <w:textAlignment w:val="auto"/>
    </w:pPr>
    <w:rPr>
      <w:rFonts w:cs="Times New Roman"/>
      <w:szCs w:val="20"/>
    </w:rPr>
  </w:style>
  <w:style w:type="paragraph" w:customStyle="1" w:styleId="p03">
    <w:name w:val="p03"/>
    <w:basedOn w:val="a"/>
    <w:rsid w:val="00CF54A5"/>
    <w:pPr>
      <w:overflowPunct/>
      <w:adjustRightInd/>
      <w:spacing w:before="60"/>
      <w:ind w:left="2835" w:right="1474" w:hanging="1474"/>
      <w:jc w:val="both"/>
      <w:textAlignment w:val="auto"/>
    </w:pPr>
    <w:rPr>
      <w:rFonts w:cs="Times New Roman"/>
      <w:szCs w:val="20"/>
    </w:rPr>
  </w:style>
  <w:style w:type="paragraph" w:customStyle="1" w:styleId="p33">
    <w:name w:val="p33"/>
    <w:basedOn w:val="a"/>
    <w:rsid w:val="00CF54A5"/>
    <w:pPr>
      <w:overflowPunct/>
      <w:adjustRightInd/>
      <w:spacing w:before="60"/>
      <w:ind w:left="2835" w:right="1474"/>
      <w:jc w:val="both"/>
      <w:textAlignment w:val="auto"/>
    </w:pPr>
    <w:rPr>
      <w:rFonts w:cs="Times New Roman"/>
      <w:szCs w:val="20"/>
    </w:rPr>
  </w:style>
  <w:style w:type="paragraph" w:styleId="af2">
    <w:name w:val="Quote"/>
    <w:basedOn w:val="af"/>
    <w:link w:val="af3"/>
    <w:uiPriority w:val="29"/>
    <w:qFormat/>
    <w:rsid w:val="00CF54A5"/>
    <w:pPr>
      <w:ind w:left="454" w:right="454" w:firstLine="0"/>
    </w:pPr>
  </w:style>
  <w:style w:type="character" w:customStyle="1" w:styleId="af3">
    <w:name w:val="ציטוט תו"/>
    <w:basedOn w:val="a0"/>
    <w:link w:val="af2"/>
    <w:uiPriority w:val="29"/>
    <w:rsid w:val="00CF54A5"/>
    <w:rPr>
      <w:rFonts w:cs="FrankRuehl"/>
      <w:szCs w:val="24"/>
      <w:lang w:eastAsia="he-IL"/>
    </w:rPr>
  </w:style>
  <w:style w:type="paragraph" w:customStyle="1" w:styleId="ad0">
    <w:name w:val="ad"/>
    <w:basedOn w:val="a"/>
    <w:rsid w:val="00CF54A5"/>
    <w:pPr>
      <w:adjustRightInd/>
      <w:spacing w:after="240" w:line="270" w:lineRule="atLeast"/>
      <w:ind w:firstLine="284"/>
      <w:jc w:val="both"/>
      <w:textAlignment w:val="auto"/>
    </w:pPr>
    <w:rPr>
      <w:rFonts w:cs="Times New Roman"/>
      <w:szCs w:val="20"/>
    </w:rPr>
  </w:style>
  <w:style w:type="paragraph" w:customStyle="1" w:styleId="a80">
    <w:name w:val="a8"/>
    <w:basedOn w:val="a"/>
    <w:rsid w:val="00CF54A5"/>
    <w:pPr>
      <w:adjustRightInd/>
      <w:spacing w:line="360" w:lineRule="auto"/>
      <w:ind w:firstLine="720"/>
      <w:jc w:val="both"/>
      <w:textAlignment w:val="auto"/>
    </w:pPr>
    <w:rPr>
      <w:rFonts w:ascii="Arial TUR" w:hAnsi="Arial TUR" w:cs="Arial TUR"/>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16620</Words>
  <Characters>79165</Characters>
  <Application>Microsoft Office Word</Application>
  <DocSecurity>0</DocSecurity>
  <Lines>659</Lines>
  <Paragraphs>191</Paragraphs>
  <ScaleCrop>false</ScaleCrop>
  <HeadingPairs>
    <vt:vector size="2" baseType="variant">
      <vt:variant>
        <vt:lpstr>שם</vt:lpstr>
      </vt:variant>
      <vt:variant>
        <vt:i4>1</vt:i4>
      </vt:variant>
    </vt:vector>
  </HeadingPairs>
  <TitlesOfParts>
    <vt:vector size="1" baseType="lpstr">
      <vt:lpstr>פסק-דין בתיק ע"א  3129/19</vt:lpstr>
    </vt:vector>
  </TitlesOfParts>
  <Company/>
  <LinksUpToDate>false</LinksUpToDate>
  <CharactersWithSpaces>95594</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2022-08-29T04:31:23Z</cp:lastPrinted>
  <dcterms:created xsi:type="dcterms:W3CDTF">2022-08-29T04:31:23Z</dcterms:created>
  <dcterms:modified xsi:type="dcterms:W3CDTF">2022-08-29T04:31:23Z</dcterms:modified>
</cp:coreProperties>
</file>