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363" w:type="dxa"/>
        <w:tblInd w:w="9" w:type="dxa"/>
        <w:tblLook w:val="0000" w:firstRow="0" w:lastRow="0" w:firstColumn="0" w:lastColumn="0" w:noHBand="0" w:noVBand="0"/>
      </w:tblPr>
      <w:tblGrid>
        <w:gridCol w:w="8363"/>
      </w:tblGrid>
      <w:tr w:rsidR="00036227" w:rsidTr="00090D71">
        <w:tc>
          <w:tcPr>
            <w:tcW w:w="8363" w:type="dxa"/>
          </w:tcPr>
          <w:p w:rsidR="00916FF8" w:rsidRPr="00624A42" w:rsidRDefault="008C78D9"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8C78D9">
            <w:pPr>
              <w:pStyle w:val="FileNumber"/>
              <w:rPr>
                <w:sz w:val="28"/>
                <w:szCs w:val="28"/>
              </w:rPr>
            </w:pPr>
            <w:bookmarkStart w:id="0" w:name="casename_body"/>
            <w:r>
              <w:rPr>
                <w:sz w:val="28"/>
                <w:szCs w:val="28"/>
                <w:rtl/>
              </w:rPr>
              <w:t>ע"א  3159/19</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8C78D9">
            <w:pPr>
              <w:pStyle w:val="BodyRuller"/>
            </w:pPr>
            <w:r>
              <w:rPr>
                <w:rtl/>
              </w:rPr>
              <w:t>כבוד השופט מ' מזוז</w:t>
            </w:r>
          </w:p>
        </w:tc>
      </w:tr>
      <w:tr w:rsidR="008C78D9" w:rsidTr="00EC23AC">
        <w:trPr>
          <w:trHeight w:val="287"/>
        </w:trPr>
        <w:tc>
          <w:tcPr>
            <w:tcW w:w="3261" w:type="dxa"/>
          </w:tcPr>
          <w:p w:rsidR="008C78D9" w:rsidRDefault="008C78D9">
            <w:pPr>
              <w:pStyle w:val="BodyRuller"/>
              <w:rPr>
                <w:rtl/>
              </w:rPr>
            </w:pPr>
          </w:p>
        </w:tc>
        <w:tc>
          <w:tcPr>
            <w:tcW w:w="5239" w:type="dxa"/>
          </w:tcPr>
          <w:p w:rsidR="008C78D9" w:rsidRDefault="008C78D9">
            <w:pPr>
              <w:pStyle w:val="BodyRuller"/>
              <w:rPr>
                <w:rtl/>
              </w:rPr>
            </w:pPr>
            <w:r>
              <w:rPr>
                <w:rtl/>
              </w:rPr>
              <w:t>כבוד השופט ג' קרא</w:t>
            </w:r>
          </w:p>
        </w:tc>
      </w:tr>
      <w:tr w:rsidR="008C78D9" w:rsidTr="00EC23AC">
        <w:trPr>
          <w:trHeight w:val="287"/>
        </w:trPr>
        <w:tc>
          <w:tcPr>
            <w:tcW w:w="3261" w:type="dxa"/>
          </w:tcPr>
          <w:p w:rsidR="008C78D9" w:rsidRDefault="008C78D9">
            <w:pPr>
              <w:pStyle w:val="BodyRuller"/>
              <w:rPr>
                <w:rtl/>
              </w:rPr>
            </w:pPr>
          </w:p>
        </w:tc>
        <w:tc>
          <w:tcPr>
            <w:tcW w:w="5239" w:type="dxa"/>
          </w:tcPr>
          <w:p w:rsidR="008C78D9" w:rsidRDefault="008C78D9">
            <w:pPr>
              <w:pStyle w:val="BodyRuller"/>
              <w:rPr>
                <w:rtl/>
              </w:rPr>
            </w:pPr>
            <w:r>
              <w:rPr>
                <w:rtl/>
              </w:rPr>
              <w:t>כבוד השופטת י' וילנר</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DD6306">
        <w:trPr>
          <w:trHeight w:val="287"/>
        </w:trPr>
        <w:tc>
          <w:tcPr>
            <w:tcW w:w="3261" w:type="dxa"/>
          </w:tcPr>
          <w:p w:rsidR="00D00CB7" w:rsidRPr="00E75223" w:rsidRDefault="008C78D9" w:rsidP="00DD6306">
            <w:pPr>
              <w:pStyle w:val="BodyRuller"/>
              <w:rPr>
                <w:rFonts w:ascii="David" w:hAnsi="David"/>
              </w:rPr>
            </w:pPr>
            <w:r>
              <w:rPr>
                <w:rFonts w:ascii="David" w:hAnsi="David"/>
                <w:rtl/>
              </w:rPr>
              <w:t>המערער:</w:t>
            </w:r>
          </w:p>
        </w:tc>
        <w:tc>
          <w:tcPr>
            <w:tcW w:w="5239" w:type="dxa"/>
          </w:tcPr>
          <w:p w:rsidR="00D00CB7" w:rsidRDefault="008C78D9" w:rsidP="00DD6306">
            <w:pPr>
              <w:pStyle w:val="BodyRuller"/>
            </w:pPr>
            <w:r>
              <w:rPr>
                <w:rtl/>
              </w:rPr>
              <w:t>הרב יקותיאל אבוחצירא</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DD6306">
        <w:trPr>
          <w:trHeight w:val="287"/>
        </w:trPr>
        <w:tc>
          <w:tcPr>
            <w:tcW w:w="3261" w:type="dxa"/>
          </w:tcPr>
          <w:p w:rsidR="0083345F" w:rsidRPr="00E75223" w:rsidRDefault="008C78D9" w:rsidP="00DD6306">
            <w:pPr>
              <w:pStyle w:val="BodyRuller"/>
              <w:rPr>
                <w:rFonts w:ascii="David" w:hAnsi="David"/>
              </w:rPr>
            </w:pPr>
            <w:r>
              <w:rPr>
                <w:rFonts w:ascii="David" w:hAnsi="David"/>
                <w:rtl/>
              </w:rPr>
              <w:t>המשיבים:</w:t>
            </w:r>
          </w:p>
        </w:tc>
        <w:tc>
          <w:tcPr>
            <w:tcW w:w="5239" w:type="dxa"/>
          </w:tcPr>
          <w:p w:rsidR="0083345F" w:rsidRDefault="008C78D9" w:rsidP="00DD6306">
            <w:pPr>
              <w:pStyle w:val="BodyRuller"/>
            </w:pPr>
            <w:r>
              <w:rPr>
                <w:rtl/>
              </w:rPr>
              <w:t>1. פקיד שומה - היחידה הארצית לשומה</w:t>
            </w:r>
          </w:p>
        </w:tc>
      </w:tr>
      <w:tr w:rsidR="008C78D9" w:rsidTr="00DD6306">
        <w:trPr>
          <w:trHeight w:val="287"/>
        </w:trPr>
        <w:tc>
          <w:tcPr>
            <w:tcW w:w="3261" w:type="dxa"/>
          </w:tcPr>
          <w:p w:rsidR="008C78D9" w:rsidRDefault="008C78D9" w:rsidP="00DD6306">
            <w:pPr>
              <w:pStyle w:val="BodyRuller"/>
              <w:rPr>
                <w:rFonts w:ascii="David" w:hAnsi="David"/>
                <w:rtl/>
              </w:rPr>
            </w:pPr>
          </w:p>
        </w:tc>
        <w:tc>
          <w:tcPr>
            <w:tcW w:w="5239" w:type="dxa"/>
          </w:tcPr>
          <w:p w:rsidR="008C78D9" w:rsidRDefault="008C78D9" w:rsidP="00DD6306">
            <w:pPr>
              <w:pStyle w:val="BodyRuller"/>
              <w:rPr>
                <w:rtl/>
              </w:rPr>
            </w:pPr>
            <w:r>
              <w:rPr>
                <w:rtl/>
              </w:rPr>
              <w:t>2. יעל פריחה אבוחצירא</w:t>
            </w:r>
          </w:p>
        </w:tc>
      </w:tr>
      <w:tr w:rsidR="008C78D9" w:rsidTr="00DD6306">
        <w:trPr>
          <w:trHeight w:val="287"/>
        </w:trPr>
        <w:tc>
          <w:tcPr>
            <w:tcW w:w="3261" w:type="dxa"/>
          </w:tcPr>
          <w:p w:rsidR="008C78D9" w:rsidRDefault="008C78D9" w:rsidP="00DD6306">
            <w:pPr>
              <w:pStyle w:val="BodyRuller"/>
              <w:rPr>
                <w:rFonts w:ascii="David" w:hAnsi="David"/>
                <w:rtl/>
              </w:rPr>
            </w:pPr>
          </w:p>
        </w:tc>
        <w:tc>
          <w:tcPr>
            <w:tcW w:w="5239" w:type="dxa"/>
          </w:tcPr>
          <w:p w:rsidR="008C78D9" w:rsidRDefault="008C78D9" w:rsidP="00DD6306">
            <w:pPr>
              <w:pStyle w:val="BodyRuller"/>
              <w:rPr>
                <w:rtl/>
              </w:rPr>
            </w:pPr>
            <w:r>
              <w:rPr>
                <w:rtl/>
              </w:rPr>
              <w:t>3. חיה ברכה דהן</w:t>
            </w:r>
          </w:p>
        </w:tc>
      </w:tr>
      <w:tr w:rsidR="008C78D9" w:rsidTr="00DD6306">
        <w:trPr>
          <w:trHeight w:val="287"/>
        </w:trPr>
        <w:tc>
          <w:tcPr>
            <w:tcW w:w="3261" w:type="dxa"/>
          </w:tcPr>
          <w:p w:rsidR="008C78D9" w:rsidRDefault="008C78D9" w:rsidP="00DD6306">
            <w:pPr>
              <w:pStyle w:val="BodyRuller"/>
              <w:rPr>
                <w:rFonts w:ascii="David" w:hAnsi="David"/>
                <w:rtl/>
              </w:rPr>
            </w:pPr>
          </w:p>
        </w:tc>
        <w:tc>
          <w:tcPr>
            <w:tcW w:w="5239" w:type="dxa"/>
          </w:tcPr>
          <w:p w:rsidR="008C78D9" w:rsidRDefault="008C78D9" w:rsidP="00DD6306">
            <w:pPr>
              <w:pStyle w:val="BodyRuller"/>
              <w:rPr>
                <w:rtl/>
              </w:rPr>
            </w:pPr>
            <w:r>
              <w:rPr>
                <w:rtl/>
              </w:rPr>
              <w:t>4. מאיר חיים אבוחצירא</w:t>
            </w:r>
          </w:p>
        </w:tc>
      </w:tr>
    </w:tbl>
    <w:p w:rsidR="0083345F" w:rsidRDefault="0083345F">
      <w:pPr>
        <w:pStyle w:val="Ruller3"/>
      </w:pPr>
    </w:p>
    <w:tbl>
      <w:tblPr>
        <w:bidiVisual/>
        <w:tblW w:w="0" w:type="auto"/>
        <w:tblInd w:w="3209" w:type="dxa"/>
        <w:tblLook w:val="0000" w:firstRow="0" w:lastRow="0" w:firstColumn="0" w:lastColumn="0" w:noHBand="0" w:noVBand="0"/>
      </w:tblPr>
      <w:tblGrid>
        <w:gridCol w:w="5097"/>
      </w:tblGrid>
      <w:tr w:rsidR="00036227" w:rsidTr="00CA1444">
        <w:tc>
          <w:tcPr>
            <w:tcW w:w="5103" w:type="dxa"/>
          </w:tcPr>
          <w:p w:rsidR="00916FF8" w:rsidRPr="00265F6E" w:rsidRDefault="008C78D9" w:rsidP="00090D71">
            <w:pPr>
              <w:pStyle w:val="BodyRuller"/>
              <w:jc w:val="both"/>
              <w:rPr>
                <w:sz w:val="24"/>
                <w:szCs w:val="24"/>
              </w:rPr>
            </w:pPr>
            <w:r>
              <w:rPr>
                <w:sz w:val="24"/>
                <w:szCs w:val="24"/>
                <w:rtl/>
              </w:rPr>
              <w:t xml:space="preserve">ערעור על פסק דינו של בית המשפט המחוזי </w:t>
            </w:r>
            <w:r w:rsidR="00A75A37">
              <w:rPr>
                <w:rFonts w:hint="cs"/>
                <w:sz w:val="24"/>
                <w:szCs w:val="24"/>
                <w:rtl/>
              </w:rPr>
              <w:t>ב</w:t>
            </w:r>
            <w:r>
              <w:rPr>
                <w:sz w:val="24"/>
                <w:szCs w:val="24"/>
                <w:rtl/>
              </w:rPr>
              <w:t xml:space="preserve">תל אביב-יפו </w:t>
            </w:r>
            <w:r w:rsidR="00090D71">
              <w:rPr>
                <w:rFonts w:hint="cs"/>
                <w:sz w:val="24"/>
                <w:szCs w:val="24"/>
                <w:rtl/>
              </w:rPr>
              <w:t xml:space="preserve">(השופט </w:t>
            </w:r>
            <w:r w:rsidR="00090D71" w:rsidRPr="00090D71">
              <w:rPr>
                <w:rFonts w:ascii="Century" w:hAnsi="Century" w:cs="Miriam" w:hint="cs"/>
                <w:b/>
                <w:szCs w:val="24"/>
                <w:rtl/>
              </w:rPr>
              <w:t>מ' אלטוביה</w:t>
            </w:r>
            <w:r w:rsidR="00090D71">
              <w:rPr>
                <w:rFonts w:hint="cs"/>
                <w:sz w:val="24"/>
                <w:szCs w:val="24"/>
                <w:rtl/>
              </w:rPr>
              <w:t xml:space="preserve">) </w:t>
            </w:r>
            <w:r>
              <w:rPr>
                <w:sz w:val="24"/>
                <w:szCs w:val="24"/>
                <w:rtl/>
              </w:rPr>
              <w:t>מיום 6.</w:t>
            </w:r>
            <w:r w:rsidR="00A75A37">
              <w:rPr>
                <w:rFonts w:hint="cs"/>
                <w:sz w:val="24"/>
                <w:szCs w:val="24"/>
                <w:rtl/>
              </w:rPr>
              <w:t>2</w:t>
            </w:r>
            <w:r>
              <w:rPr>
                <w:sz w:val="24"/>
                <w:szCs w:val="24"/>
                <w:rtl/>
              </w:rPr>
              <w:t>.2019 בע</w:t>
            </w:r>
            <w:r w:rsidR="00A75A37">
              <w:rPr>
                <w:rFonts w:hint="cs"/>
                <w:sz w:val="24"/>
                <w:szCs w:val="24"/>
                <w:rtl/>
              </w:rPr>
              <w:t>"</w:t>
            </w:r>
            <w:r>
              <w:rPr>
                <w:sz w:val="24"/>
                <w:szCs w:val="24"/>
                <w:rtl/>
              </w:rPr>
              <w:t>מ  9472-01-14</w:t>
            </w:r>
            <w:r w:rsidR="00A75A37">
              <w:rPr>
                <w:rFonts w:hint="cs"/>
                <w:sz w:val="24"/>
                <w:szCs w:val="24"/>
                <w:rtl/>
              </w:rPr>
              <w:t xml:space="preserve"> </w:t>
            </w:r>
          </w:p>
        </w:tc>
      </w:tr>
    </w:tbl>
    <w:p w:rsidR="00916FF8" w:rsidRPr="00A75A37" w:rsidRDefault="00916FF8">
      <w:pPr>
        <w:pStyle w:val="Ruller3"/>
        <w:rPr>
          <w:sz w:val="4"/>
          <w:szCs w:val="10"/>
          <w:rtl/>
        </w:rPr>
      </w:pPr>
    </w:p>
    <w:p w:rsidR="00A75A37" w:rsidRDefault="00A75A37">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gridCol w:w="2363"/>
        <w:gridCol w:w="2710"/>
      </w:tblGrid>
      <w:tr w:rsidR="008C2F11" w:rsidTr="00A75A37">
        <w:tc>
          <w:tcPr>
            <w:tcW w:w="3290" w:type="dxa"/>
            <w:tcBorders>
              <w:top w:val="nil"/>
              <w:left w:val="nil"/>
              <w:bottom w:val="nil"/>
              <w:right w:val="nil"/>
            </w:tcBorders>
          </w:tcPr>
          <w:p w:rsidR="008C2F11" w:rsidRPr="00265F6E" w:rsidRDefault="008C2F11">
            <w:pPr>
              <w:pStyle w:val="BodyRuller"/>
              <w:rPr>
                <w:sz w:val="24"/>
                <w:szCs w:val="24"/>
              </w:rPr>
            </w:pPr>
            <w:r w:rsidRPr="00265F6E">
              <w:rPr>
                <w:sz w:val="24"/>
                <w:szCs w:val="24"/>
                <w:rtl/>
              </w:rPr>
              <w:t>תאריך הישיבה:</w:t>
            </w:r>
          </w:p>
        </w:tc>
        <w:tc>
          <w:tcPr>
            <w:tcW w:w="2363" w:type="dxa"/>
            <w:tcBorders>
              <w:top w:val="nil"/>
              <w:left w:val="nil"/>
              <w:bottom w:val="nil"/>
              <w:right w:val="nil"/>
            </w:tcBorders>
          </w:tcPr>
          <w:p w:rsidR="008C2F11" w:rsidRDefault="00A75A37">
            <w:pPr>
              <w:pStyle w:val="BodyRuller"/>
              <w:rPr>
                <w:rtl/>
              </w:rPr>
            </w:pPr>
            <w:r>
              <w:rPr>
                <w:rFonts w:hint="cs"/>
                <w:sz w:val="24"/>
                <w:szCs w:val="24"/>
                <w:rtl/>
              </w:rPr>
              <w:t>כ"א בתמוז התש"ף</w:t>
            </w:r>
            <w:r w:rsidR="008C2F11">
              <w:t xml:space="preserve">       </w:t>
            </w:r>
          </w:p>
        </w:tc>
        <w:tc>
          <w:tcPr>
            <w:tcW w:w="2710" w:type="dxa"/>
            <w:tcBorders>
              <w:top w:val="nil"/>
              <w:left w:val="nil"/>
              <w:bottom w:val="nil"/>
              <w:right w:val="nil"/>
            </w:tcBorders>
          </w:tcPr>
          <w:p w:rsidR="008C2F11" w:rsidRDefault="00A75A37" w:rsidP="00A75A37">
            <w:pPr>
              <w:pStyle w:val="BodyRuller"/>
              <w:rPr>
                <w:sz w:val="24"/>
                <w:szCs w:val="24"/>
                <w:rtl/>
              </w:rPr>
            </w:pPr>
            <w:r>
              <w:t>(13/7/2020</w:t>
            </w:r>
            <w:r w:rsidR="008C78D9">
              <w:t>)</w:t>
            </w:r>
            <w:r w:rsidR="00200D6B">
              <w:t xml:space="preserve"> </w:t>
            </w:r>
          </w:p>
        </w:tc>
      </w:tr>
    </w:tbl>
    <w:p w:rsidR="00916FF8" w:rsidRDefault="00916FF8">
      <w:pPr>
        <w:pStyle w:val="Ruller3"/>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036227" w:rsidTr="00D00B1D">
        <w:tc>
          <w:tcPr>
            <w:tcW w:w="3257" w:type="dxa"/>
            <w:tcBorders>
              <w:top w:val="nil"/>
              <w:left w:val="nil"/>
              <w:bottom w:val="nil"/>
              <w:right w:val="nil"/>
            </w:tcBorders>
          </w:tcPr>
          <w:p w:rsidR="00036227" w:rsidRDefault="008C78D9">
            <w:pPr>
              <w:pStyle w:val="BodyRuller"/>
            </w:pPr>
            <w:r>
              <w:rPr>
                <w:rtl/>
              </w:rPr>
              <w:t>בשם המערער:</w:t>
            </w:r>
          </w:p>
        </w:tc>
        <w:tc>
          <w:tcPr>
            <w:tcW w:w="5238" w:type="dxa"/>
            <w:tcBorders>
              <w:top w:val="nil"/>
              <w:left w:val="nil"/>
              <w:bottom w:val="nil"/>
              <w:right w:val="nil"/>
            </w:tcBorders>
          </w:tcPr>
          <w:p w:rsidR="00A75A37" w:rsidRDefault="008C78D9" w:rsidP="00A75A37">
            <w:pPr>
              <w:pStyle w:val="BodyRuller"/>
              <w:rPr>
                <w:rtl/>
              </w:rPr>
            </w:pPr>
            <w:r>
              <w:rPr>
                <w:rtl/>
              </w:rPr>
              <w:t xml:space="preserve">עו"ד </w:t>
            </w:r>
            <w:r w:rsidR="00A75A37">
              <w:rPr>
                <w:rFonts w:hint="cs"/>
                <w:rtl/>
              </w:rPr>
              <w:t xml:space="preserve">רוברטו חייט; עו"ד אביעד הכהן; </w:t>
            </w:r>
          </w:p>
          <w:p w:rsidR="00036227" w:rsidRDefault="00A75A37" w:rsidP="00A75A37">
            <w:pPr>
              <w:pStyle w:val="BodyRuller"/>
              <w:rPr>
                <w:rtl/>
              </w:rPr>
            </w:pPr>
            <w:r>
              <w:rPr>
                <w:rFonts w:hint="cs"/>
                <w:rtl/>
              </w:rPr>
              <w:t>עו"ד דוד קמחין</w:t>
            </w:r>
          </w:p>
        </w:tc>
      </w:tr>
    </w:tbl>
    <w:p w:rsidR="00916FF8" w:rsidRPr="00521DDF" w:rsidRDefault="00916FF8">
      <w:pPr>
        <w:pStyle w:val="Ruller3"/>
        <w:rPr>
          <w:sz w:val="20"/>
          <w:szCs w:val="20"/>
        </w:rPr>
      </w:pPr>
    </w:p>
    <w:tbl>
      <w:tblPr>
        <w:bidiVisual/>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
        <w:gridCol w:w="3208"/>
        <w:gridCol w:w="5128"/>
        <w:gridCol w:w="27"/>
      </w:tblGrid>
      <w:tr w:rsidR="00036227" w:rsidTr="00A75A37">
        <w:trPr>
          <w:gridBefore w:val="1"/>
          <w:wBefore w:w="27" w:type="dxa"/>
        </w:trPr>
        <w:tc>
          <w:tcPr>
            <w:tcW w:w="3208" w:type="dxa"/>
            <w:tcBorders>
              <w:top w:val="nil"/>
              <w:left w:val="nil"/>
              <w:bottom w:val="nil"/>
              <w:right w:val="nil"/>
            </w:tcBorders>
          </w:tcPr>
          <w:p w:rsidR="00036227" w:rsidRDefault="008C78D9" w:rsidP="00A75A37">
            <w:pPr>
              <w:pStyle w:val="BodyRuller"/>
            </w:pPr>
            <w:r>
              <w:rPr>
                <w:rtl/>
              </w:rPr>
              <w:t>בשם המשיב</w:t>
            </w:r>
            <w:r w:rsidR="00A75A37">
              <w:rPr>
                <w:rFonts w:hint="cs"/>
                <w:rtl/>
              </w:rPr>
              <w:t xml:space="preserve"> 1</w:t>
            </w:r>
            <w:r>
              <w:rPr>
                <w:rtl/>
              </w:rPr>
              <w:t>:</w:t>
            </w:r>
          </w:p>
        </w:tc>
        <w:tc>
          <w:tcPr>
            <w:tcW w:w="5155" w:type="dxa"/>
            <w:gridSpan w:val="2"/>
            <w:tcBorders>
              <w:top w:val="nil"/>
              <w:left w:val="nil"/>
              <w:bottom w:val="nil"/>
              <w:right w:val="nil"/>
            </w:tcBorders>
          </w:tcPr>
          <w:p w:rsidR="00036227" w:rsidRDefault="00A75A37" w:rsidP="00521DDF">
            <w:pPr>
              <w:pStyle w:val="BodyRuller"/>
            </w:pPr>
            <w:r>
              <w:rPr>
                <w:rFonts w:hint="cs"/>
                <w:rtl/>
              </w:rPr>
              <w:t>עו"ד יורם הירשברג</w:t>
            </w:r>
            <w:r w:rsidR="00521DDF">
              <w:rPr>
                <w:rFonts w:hint="cs"/>
                <w:rtl/>
              </w:rPr>
              <w:t>;</w:t>
            </w:r>
            <w:r>
              <w:rPr>
                <w:rFonts w:hint="cs"/>
                <w:rtl/>
              </w:rPr>
              <w:t xml:space="preserve"> עו"ד מאיר פורת</w:t>
            </w:r>
          </w:p>
        </w:tc>
      </w:tr>
      <w:tr w:rsidR="00036227" w:rsidTr="00A75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 w:type="dxa"/>
        </w:trPr>
        <w:tc>
          <w:tcPr>
            <w:tcW w:w="8363" w:type="dxa"/>
            <w:gridSpan w:val="3"/>
          </w:tcPr>
          <w:p w:rsidR="00A75A37" w:rsidRPr="00A75A37" w:rsidRDefault="00A75A37">
            <w:pPr>
              <w:pStyle w:val="DocumentHead"/>
              <w:rPr>
                <w:sz w:val="2"/>
                <w:szCs w:val="4"/>
                <w:rtl/>
              </w:rPr>
            </w:pPr>
            <w:bookmarkStart w:id="1" w:name="secretary"/>
            <w:bookmarkStart w:id="2" w:name="BeginProtocol"/>
            <w:bookmarkEnd w:id="1"/>
            <w:bookmarkEnd w:id="2"/>
          </w:p>
          <w:p w:rsidR="00A75A37" w:rsidRDefault="00A75A37">
            <w:pPr>
              <w:pStyle w:val="DocumentHead"/>
              <w:rPr>
                <w:rtl/>
              </w:rPr>
            </w:pPr>
          </w:p>
          <w:p w:rsidR="00916FF8" w:rsidRDefault="008C78D9">
            <w:pPr>
              <w:pStyle w:val="DocumentHead"/>
            </w:pPr>
            <w:r>
              <w:rPr>
                <w:rtl/>
              </w:rPr>
              <w:t>פסק-דין</w:t>
            </w:r>
          </w:p>
        </w:tc>
      </w:tr>
    </w:tbl>
    <w:p w:rsidR="0065522F" w:rsidRDefault="0065522F">
      <w:pPr>
        <w:pStyle w:val="BODYVERDICT"/>
      </w:pPr>
    </w:p>
    <w:p w:rsidR="00916FF8" w:rsidRDefault="008C78D9">
      <w:pPr>
        <w:pStyle w:val="BODYVERDICT"/>
        <w:rPr>
          <w:rFonts w:cs="Miriam"/>
          <w:sz w:val="24"/>
          <w:szCs w:val="24"/>
          <w:u w:val="single"/>
          <w:rtl/>
        </w:rPr>
      </w:pPr>
      <w:bookmarkStart w:id="3" w:name="Writer_Name"/>
      <w:bookmarkEnd w:id="3"/>
      <w:r>
        <w:rPr>
          <w:rFonts w:cs="Miriam"/>
          <w:sz w:val="24"/>
          <w:szCs w:val="24"/>
          <w:u w:val="single"/>
          <w:rtl/>
        </w:rPr>
        <w:t>השופט מ' מזוז:</w:t>
      </w:r>
    </w:p>
    <w:p w:rsidR="00A75A37" w:rsidRPr="00503A3E" w:rsidRDefault="00A75A37">
      <w:pPr>
        <w:pStyle w:val="BODYVERDICT"/>
        <w:rPr>
          <w:rFonts w:cs="Miriam"/>
          <w:sz w:val="24"/>
          <w:szCs w:val="24"/>
          <w:u w:val="single"/>
          <w:rtl/>
        </w:rPr>
      </w:pPr>
    </w:p>
    <w:p w:rsidR="00A75A37" w:rsidRDefault="00A75A37" w:rsidP="00A75A37">
      <w:pPr>
        <w:pStyle w:val="Ruller4"/>
        <w:rPr>
          <w:rFonts w:ascii="Century" w:hAnsi="Century"/>
          <w:sz w:val="22"/>
          <w:rtl/>
        </w:rPr>
      </w:pPr>
      <w:bookmarkStart w:id="4" w:name="Start_Write"/>
      <w:bookmarkEnd w:id="4"/>
      <w:r>
        <w:rPr>
          <w:rFonts w:ascii="Century" w:hAnsi="Century" w:hint="cs"/>
          <w:sz w:val="22"/>
          <w:rtl/>
        </w:rPr>
        <w:t xml:space="preserve">ערעור על פסק דינו של בית המשפט המחוזי בתל אביב-יפו (השופט </w:t>
      </w:r>
      <w:r w:rsidRPr="007F4A35">
        <w:rPr>
          <w:rFonts w:ascii="Miriam" w:hAnsi="Miriam" w:cs="Miriam"/>
          <w:szCs w:val="24"/>
          <w:rtl/>
        </w:rPr>
        <w:t xml:space="preserve">מ' </w:t>
      </w:r>
      <w:r w:rsidRPr="004676D5">
        <w:rPr>
          <w:rFonts w:ascii="Miriam" w:hAnsi="Miriam" w:cs="Miriam"/>
          <w:spacing w:val="0"/>
          <w:szCs w:val="24"/>
          <w:rtl/>
        </w:rPr>
        <w:t>אלטוביה</w:t>
      </w:r>
      <w:r>
        <w:rPr>
          <w:rFonts w:ascii="Century" w:hAnsi="Century" w:hint="cs"/>
          <w:sz w:val="22"/>
          <w:rtl/>
        </w:rPr>
        <w:t>) מיום 6.2.2019 בע"מ (ת"א) 9472-01-14, אשר קיבל באופן חלקי את ערעורו של המערער ושל ילדיו על שומת מס שהוצאה להם.</w:t>
      </w:r>
    </w:p>
    <w:p w:rsidR="00A75A37" w:rsidRPr="009E022F" w:rsidRDefault="00A75A37" w:rsidP="00A75A37">
      <w:pPr>
        <w:pStyle w:val="Ruller41"/>
        <w:rPr>
          <w:rtl/>
        </w:rPr>
      </w:pPr>
    </w:p>
    <w:p w:rsidR="00A75A37" w:rsidRPr="009E022F" w:rsidRDefault="00A75A37" w:rsidP="00A75A37">
      <w:pPr>
        <w:pStyle w:val="Ruller41"/>
      </w:pPr>
      <w:r>
        <w:rPr>
          <w:rtl/>
        </w:rPr>
        <w:tab/>
      </w:r>
      <w:r>
        <w:rPr>
          <w:rFonts w:hint="cs"/>
          <w:rtl/>
        </w:rPr>
        <w:t>במרכזו של הערעור עומדת השאלה, האם יש לראות בכספים ונכסים אותם קיבל</w:t>
      </w:r>
      <w:r w:rsidRPr="004676D5">
        <w:rPr>
          <w:rFonts w:hint="cs"/>
          <w:rtl/>
        </w:rPr>
        <w:t xml:space="preserve"> </w:t>
      </w:r>
      <w:r>
        <w:rPr>
          <w:rFonts w:hint="cs"/>
          <w:rtl/>
        </w:rPr>
        <w:t xml:space="preserve">המערער, הרב יקותיאל אבוחצירא (להלן: </w:t>
      </w:r>
      <w:r>
        <w:rPr>
          <w:rFonts w:ascii="Miriam" w:hAnsi="Miriam" w:cs="Miriam" w:hint="cs"/>
          <w:spacing w:val="0"/>
          <w:szCs w:val="24"/>
          <w:rtl/>
        </w:rPr>
        <w:t>המערער</w:t>
      </w:r>
      <w:r w:rsidRPr="00997A0E">
        <w:rPr>
          <w:rFonts w:hint="cs"/>
          <w:rtl/>
        </w:rPr>
        <w:t>,</w:t>
      </w:r>
      <w:r>
        <w:rPr>
          <w:rFonts w:ascii="Miriam" w:hAnsi="Miriam" w:cs="Miriam" w:hint="cs"/>
          <w:spacing w:val="0"/>
          <w:szCs w:val="24"/>
          <w:rtl/>
        </w:rPr>
        <w:t xml:space="preserve"> </w:t>
      </w:r>
      <w:r w:rsidRPr="004676D5">
        <w:rPr>
          <w:rFonts w:ascii="Miriam" w:hAnsi="Miriam" w:cs="Miriam"/>
          <w:spacing w:val="0"/>
          <w:szCs w:val="24"/>
          <w:rtl/>
        </w:rPr>
        <w:t xml:space="preserve">הרב </w:t>
      </w:r>
      <w:r w:rsidRPr="00A609C0">
        <w:rPr>
          <w:rFonts w:ascii="FrankRuehl" w:hAnsi="FrankRuehl"/>
          <w:rtl/>
        </w:rPr>
        <w:t>או</w:t>
      </w:r>
      <w:r>
        <w:rPr>
          <w:rFonts w:ascii="Miriam" w:hAnsi="Miriam" w:cs="Miriam" w:hint="cs"/>
          <w:szCs w:val="24"/>
          <w:rtl/>
        </w:rPr>
        <w:t xml:space="preserve"> </w:t>
      </w:r>
      <w:r w:rsidRPr="004676D5">
        <w:rPr>
          <w:rFonts w:ascii="Miriam" w:hAnsi="Miriam" w:cs="Miriam" w:hint="cs"/>
          <w:spacing w:val="0"/>
          <w:szCs w:val="24"/>
          <w:rtl/>
        </w:rPr>
        <w:t>הרב</w:t>
      </w:r>
      <w:r w:rsidRPr="00997A0E">
        <w:rPr>
          <w:rFonts w:ascii="Miriam" w:hAnsi="Miriam" w:cs="Miriam"/>
          <w:spacing w:val="0"/>
          <w:szCs w:val="24"/>
          <w:rtl/>
        </w:rPr>
        <w:t xml:space="preserve"> </w:t>
      </w:r>
      <w:r w:rsidRPr="004676D5">
        <w:rPr>
          <w:rFonts w:ascii="Miriam" w:hAnsi="Miriam" w:cs="Miriam"/>
          <w:spacing w:val="0"/>
          <w:szCs w:val="24"/>
          <w:rtl/>
        </w:rPr>
        <w:t>אבוחצ</w:t>
      </w:r>
      <w:r w:rsidRPr="004676D5">
        <w:rPr>
          <w:rFonts w:ascii="Miriam" w:hAnsi="Miriam" w:cs="Miriam" w:hint="cs"/>
          <w:spacing w:val="0"/>
          <w:szCs w:val="24"/>
          <w:rtl/>
        </w:rPr>
        <w:t>י</w:t>
      </w:r>
      <w:r w:rsidRPr="004676D5">
        <w:rPr>
          <w:rFonts w:ascii="Miriam" w:hAnsi="Miriam" w:cs="Miriam"/>
          <w:spacing w:val="0"/>
          <w:szCs w:val="24"/>
          <w:rtl/>
        </w:rPr>
        <w:t>רא</w:t>
      </w:r>
      <w:r>
        <w:rPr>
          <w:rFonts w:hint="cs"/>
          <w:rtl/>
        </w:rPr>
        <w:t xml:space="preserve">), במישרין או על ידי מימון פעולות שונות, לאורך השנים (להלן: </w:t>
      </w:r>
      <w:r w:rsidRPr="00997A0E">
        <w:rPr>
          <w:rFonts w:ascii="Miriam" w:hAnsi="Miriam" w:cs="Miriam" w:hint="cs"/>
          <w:spacing w:val="0"/>
          <w:sz w:val="24"/>
          <w:szCs w:val="24"/>
          <w:rtl/>
        </w:rPr>
        <w:t>תקבולים</w:t>
      </w:r>
      <w:r>
        <w:rPr>
          <w:rFonts w:hint="cs"/>
          <w:rtl/>
        </w:rPr>
        <w:t>), כהכנסה חייבת במס?</w:t>
      </w:r>
    </w:p>
    <w:p w:rsidR="00A75A37" w:rsidRPr="009E022F" w:rsidRDefault="00A75A37" w:rsidP="00A75A37">
      <w:pPr>
        <w:pStyle w:val="Ruller41"/>
        <w:rPr>
          <w:rtl/>
        </w:rPr>
      </w:pPr>
    </w:p>
    <w:p w:rsidR="00A75A37" w:rsidRPr="004676D5" w:rsidRDefault="00A75A37" w:rsidP="00A75A37">
      <w:pPr>
        <w:pStyle w:val="Ruller41"/>
        <w:rPr>
          <w:rFonts w:ascii="Miriam" w:hAnsi="Miriam" w:cs="Miriam"/>
          <w:spacing w:val="0"/>
          <w:sz w:val="24"/>
          <w:szCs w:val="24"/>
          <w:rtl/>
        </w:rPr>
      </w:pPr>
      <w:r w:rsidRPr="004676D5">
        <w:rPr>
          <w:rFonts w:ascii="Miriam" w:hAnsi="Miriam" w:cs="Miriam" w:hint="cs"/>
          <w:spacing w:val="0"/>
          <w:sz w:val="24"/>
          <w:szCs w:val="24"/>
          <w:rtl/>
        </w:rPr>
        <w:lastRenderedPageBreak/>
        <w:t>רקע עובדתי והלי</w:t>
      </w:r>
      <w:r>
        <w:rPr>
          <w:rFonts w:ascii="Miriam" w:hAnsi="Miriam" w:cs="Miriam" w:hint="cs"/>
          <w:spacing w:val="0"/>
          <w:sz w:val="24"/>
          <w:szCs w:val="24"/>
          <w:rtl/>
        </w:rPr>
        <w:t>כים</w:t>
      </w:r>
      <w:r w:rsidRPr="004676D5">
        <w:rPr>
          <w:rFonts w:ascii="Miriam" w:hAnsi="Miriam" w:cs="Miriam" w:hint="cs"/>
          <w:spacing w:val="0"/>
          <w:sz w:val="24"/>
          <w:szCs w:val="24"/>
          <w:rtl/>
        </w:rPr>
        <w:t xml:space="preserve"> קוד</w:t>
      </w:r>
      <w:r>
        <w:rPr>
          <w:rFonts w:ascii="Miriam" w:hAnsi="Miriam" w:cs="Miriam" w:hint="cs"/>
          <w:spacing w:val="0"/>
          <w:sz w:val="24"/>
          <w:szCs w:val="24"/>
          <w:rtl/>
        </w:rPr>
        <w:t>מי</w:t>
      </w:r>
      <w:r w:rsidRPr="004676D5">
        <w:rPr>
          <w:rFonts w:ascii="Miriam" w:hAnsi="Miriam" w:cs="Miriam" w:hint="cs"/>
          <w:spacing w:val="0"/>
          <w:sz w:val="24"/>
          <w:szCs w:val="24"/>
          <w:rtl/>
        </w:rPr>
        <w:t>ם</w:t>
      </w:r>
    </w:p>
    <w:p w:rsidR="00A75A37" w:rsidRDefault="00A75A37" w:rsidP="00A75A37">
      <w:pPr>
        <w:pStyle w:val="Ruller41"/>
        <w:rPr>
          <w:rFonts w:ascii="Century" w:hAnsi="Century" w:cs="Miriam"/>
          <w:b/>
          <w:spacing w:val="0"/>
          <w:szCs w:val="24"/>
          <w:rtl/>
        </w:rPr>
      </w:pPr>
    </w:p>
    <w:p w:rsidR="00A75A37" w:rsidRDefault="00A75A37" w:rsidP="009E7983">
      <w:pPr>
        <w:pStyle w:val="Ruller4"/>
        <w:rPr>
          <w:rtl/>
        </w:rPr>
      </w:pPr>
      <w:r>
        <w:rPr>
          <w:rFonts w:hint="cs"/>
          <w:rtl/>
        </w:rPr>
        <w:t xml:space="preserve">המערער, הוא רב מקובל מוכר, נצר לשושלת הרבנים הידועה מבית אבוחצירא, ונכדו של הרב ישראל אבוחצירא ז"ל (אשר נודע בכינויו "הבאבא סאלי"). הרב אבוחצירא עומד בראש "חצר" בעיר אשדוד, ומקיים פעילות אל מול </w:t>
      </w:r>
      <w:r w:rsidR="009E7983">
        <w:rPr>
          <w:rFonts w:hint="cs"/>
          <w:rtl/>
        </w:rPr>
        <w:t>מאמיניו</w:t>
      </w:r>
      <w:r>
        <w:rPr>
          <w:rFonts w:hint="cs"/>
          <w:rtl/>
        </w:rPr>
        <w:t xml:space="preserve"> בארץ ובחו"ל. </w:t>
      </w:r>
    </w:p>
    <w:p w:rsidR="00A75A37" w:rsidRPr="00997A0E" w:rsidRDefault="00A75A37" w:rsidP="00A75A37">
      <w:pPr>
        <w:pStyle w:val="Ruller41"/>
        <w:rPr>
          <w:sz w:val="24"/>
          <w:szCs w:val="24"/>
        </w:rPr>
      </w:pPr>
    </w:p>
    <w:p w:rsidR="00A75A37" w:rsidRDefault="00A75A37" w:rsidP="00A75A37">
      <w:pPr>
        <w:pStyle w:val="Ruller4"/>
        <w:rPr>
          <w:rtl/>
        </w:rPr>
      </w:pPr>
      <w:r>
        <w:rPr>
          <w:rFonts w:hint="cs"/>
          <w:rtl/>
        </w:rPr>
        <w:t xml:space="preserve">בשנת 2013 הוציא המשיב (להלן: </w:t>
      </w:r>
      <w:r w:rsidRPr="00B36F52">
        <w:rPr>
          <w:rFonts w:ascii="Miriam" w:hAnsi="Miriam" w:cs="Miriam"/>
          <w:spacing w:val="0"/>
          <w:szCs w:val="24"/>
          <w:rtl/>
        </w:rPr>
        <w:t xml:space="preserve">פקיד </w:t>
      </w:r>
      <w:r w:rsidRPr="00B36F52">
        <w:rPr>
          <w:rFonts w:ascii="Miriam" w:hAnsi="Miriam" w:cs="Miriam" w:hint="cs"/>
          <w:spacing w:val="0"/>
          <w:szCs w:val="24"/>
          <w:rtl/>
        </w:rPr>
        <w:t>ה</w:t>
      </w:r>
      <w:r w:rsidRPr="00B36F52">
        <w:rPr>
          <w:rFonts w:ascii="Miriam" w:hAnsi="Miriam" w:cs="Miriam"/>
          <w:spacing w:val="0"/>
          <w:szCs w:val="24"/>
          <w:rtl/>
        </w:rPr>
        <w:t>שומה</w:t>
      </w:r>
      <w:r>
        <w:rPr>
          <w:rFonts w:hint="cs"/>
          <w:rtl/>
        </w:rPr>
        <w:t xml:space="preserve">) למערער שומה לפי מיטב שפיטה לשנות המס 2009-2003, על פי סעיף 145(ב) לפקודת מס הכנסה [נוסח חדש] (להלן: </w:t>
      </w:r>
      <w:r w:rsidRPr="00B36F52">
        <w:rPr>
          <w:rFonts w:ascii="Miriam" w:hAnsi="Miriam" w:cs="Miriam"/>
          <w:spacing w:val="0"/>
          <w:szCs w:val="24"/>
          <w:rtl/>
        </w:rPr>
        <w:t>הפקודה</w:t>
      </w:r>
      <w:r>
        <w:rPr>
          <w:rFonts w:hint="cs"/>
          <w:rtl/>
        </w:rPr>
        <w:t xml:space="preserve">), בה יוחסה למערער ולבני משפחתו תוספת הכנסה בסך של כ- 13.8 מיליון </w:t>
      </w:r>
      <w:r>
        <w:rPr>
          <w:rFonts w:hint="eastAsia"/>
          <w:rtl/>
        </w:rPr>
        <w:t>₪</w:t>
      </w:r>
      <w:r>
        <w:rPr>
          <w:rFonts w:hint="cs"/>
          <w:rtl/>
        </w:rPr>
        <w:t xml:space="preserve"> כדלהלן: </w:t>
      </w:r>
      <w:r w:rsidRPr="00167FE9">
        <w:rPr>
          <w:rFonts w:ascii="Miriam" w:hAnsi="Miriam" w:cs="Miriam" w:hint="cs"/>
          <w:spacing w:val="0"/>
          <w:szCs w:val="24"/>
          <w:rtl/>
        </w:rPr>
        <w:t>הפקדות כספים</w:t>
      </w:r>
      <w:r>
        <w:rPr>
          <w:rFonts w:hint="cs"/>
          <w:rtl/>
        </w:rPr>
        <w:t xml:space="preserve"> לחשבונות הבנק של המערער ואשתו בסך כולל של כ- 3.245 מיליון </w:t>
      </w:r>
      <w:r>
        <w:rPr>
          <w:rFonts w:hint="eastAsia"/>
          <w:rtl/>
        </w:rPr>
        <w:t>₪</w:t>
      </w:r>
      <w:r>
        <w:rPr>
          <w:rFonts w:hint="cs"/>
          <w:rtl/>
        </w:rPr>
        <w:t xml:space="preserve">; </w:t>
      </w:r>
      <w:r w:rsidRPr="00E65355">
        <w:rPr>
          <w:rFonts w:ascii="Miriam" w:hAnsi="Miriam" w:cs="Miriam" w:hint="cs"/>
          <w:spacing w:val="0"/>
          <w:szCs w:val="24"/>
          <w:rtl/>
        </w:rPr>
        <w:t>נכסי נדל"ן</w:t>
      </w:r>
      <w:r>
        <w:rPr>
          <w:rFonts w:hint="cs"/>
          <w:rtl/>
        </w:rPr>
        <w:t xml:space="preserve"> שנרכשו על שם המערער ועל שם בני משפחתו </w:t>
      </w:r>
      <w:r>
        <w:rPr>
          <w:rtl/>
        </w:rPr>
        <w:t>–</w:t>
      </w:r>
      <w:r>
        <w:rPr>
          <w:rFonts w:hint="cs"/>
          <w:rtl/>
        </w:rPr>
        <w:t xml:space="preserve"> סך הכל 14 נכסים בשווי כולל של כ- 9.2 מיליון </w:t>
      </w:r>
      <w:r>
        <w:rPr>
          <w:rFonts w:hint="eastAsia"/>
          <w:rtl/>
        </w:rPr>
        <w:t>₪</w:t>
      </w:r>
      <w:r>
        <w:rPr>
          <w:rFonts w:hint="cs"/>
          <w:rtl/>
        </w:rPr>
        <w:t xml:space="preserve">; </w:t>
      </w:r>
      <w:r w:rsidRPr="00E65355">
        <w:rPr>
          <w:rFonts w:ascii="Miriam" w:hAnsi="Miriam" w:cs="Miriam" w:hint="cs"/>
          <w:spacing w:val="0"/>
          <w:szCs w:val="24"/>
          <w:rtl/>
        </w:rPr>
        <w:t>נסיעות לחו"ל</w:t>
      </w:r>
      <w:r>
        <w:rPr>
          <w:rFonts w:hint="cs"/>
          <w:rtl/>
        </w:rPr>
        <w:t xml:space="preserve"> </w:t>
      </w:r>
      <w:r>
        <w:rPr>
          <w:rtl/>
        </w:rPr>
        <w:t>–</w:t>
      </w:r>
      <w:r>
        <w:rPr>
          <w:rFonts w:hint="cs"/>
          <w:rtl/>
        </w:rPr>
        <w:t xml:space="preserve"> 141 נסיעות לחו"ל של המערער ובני משפחתו שמומנו על ידי אחרים בעלות כוללת של כ- 1.25 מיליון </w:t>
      </w:r>
      <w:r>
        <w:rPr>
          <w:rFonts w:hint="eastAsia"/>
          <w:rtl/>
        </w:rPr>
        <w:t>₪</w:t>
      </w:r>
      <w:r>
        <w:rPr>
          <w:rFonts w:hint="cs"/>
          <w:rtl/>
        </w:rPr>
        <w:t xml:space="preserve">; </w:t>
      </w:r>
      <w:r w:rsidRPr="00E65355">
        <w:rPr>
          <w:rFonts w:ascii="Miriam" w:hAnsi="Miriam" w:cs="Miriam" w:hint="cs"/>
          <w:spacing w:val="0"/>
          <w:szCs w:val="24"/>
          <w:rtl/>
        </w:rPr>
        <w:t>וכלי רכב</w:t>
      </w:r>
      <w:r>
        <w:rPr>
          <w:rFonts w:hint="cs"/>
          <w:rtl/>
        </w:rPr>
        <w:t xml:space="preserve"> שנרכשו במימון אחרים עבור המערער ומשפחתו בשווי כולל של כ- 140 אלף </w:t>
      </w:r>
      <w:r>
        <w:rPr>
          <w:rFonts w:hint="eastAsia"/>
          <w:rtl/>
        </w:rPr>
        <w:t>₪</w:t>
      </w:r>
      <w:r>
        <w:rPr>
          <w:rFonts w:hint="cs"/>
          <w:rtl/>
        </w:rPr>
        <w:t>.</w:t>
      </w:r>
    </w:p>
    <w:p w:rsidR="00A75A37" w:rsidRDefault="00A75A37" w:rsidP="00A75A37">
      <w:pPr>
        <w:pStyle w:val="Ruller41"/>
        <w:rPr>
          <w:rtl/>
        </w:rPr>
      </w:pPr>
    </w:p>
    <w:p w:rsidR="00A75A37" w:rsidRDefault="00A75A37" w:rsidP="00A75A37">
      <w:pPr>
        <w:pStyle w:val="Ruller41"/>
        <w:rPr>
          <w:rtl/>
        </w:rPr>
      </w:pPr>
      <w:r>
        <w:rPr>
          <w:rtl/>
        </w:rPr>
        <w:tab/>
      </w:r>
      <w:r>
        <w:rPr>
          <w:rFonts w:hint="cs"/>
          <w:rtl/>
        </w:rPr>
        <w:t>כל זאת, כאשר בכל אותה תקופה המערער לא דיווח על הכנסה כלשהיא, לא הגיש דו"חות ולא ניהל ספרים כדין למעקב אחר הכנסותיו. רק בעקבות דרישה של פקיד השומה הגיש המערער דו"חות לשנים הנדונות (2009-2003), בהם הצהיר כי לא היו לו הכנסות חייבות במס.</w:t>
      </w:r>
    </w:p>
    <w:p w:rsidR="00A75A37" w:rsidRPr="00E65355" w:rsidRDefault="00A75A37" w:rsidP="00A75A37">
      <w:pPr>
        <w:pStyle w:val="Ruller41"/>
        <w:rPr>
          <w:rtl/>
        </w:rPr>
      </w:pPr>
    </w:p>
    <w:p w:rsidR="00A75A37" w:rsidRDefault="00A75A37" w:rsidP="009E7983">
      <w:pPr>
        <w:pStyle w:val="Ruller4"/>
      </w:pPr>
      <w:r>
        <w:rPr>
          <w:rFonts w:hint="cs"/>
          <w:rtl/>
        </w:rPr>
        <w:t xml:space="preserve">בנימוקי השומה נקבע, כי מדובר בכספים שהתקבלו אצל הרב אבוחצירא תוך שימוש במעמדו כמנהיג רוחני ובהשפעתו על קהל מאמיניו, לצורך הפקת הכנסות אישיות לו ולבני משפחתו; כי הרב פועל לשמר את מעמדו כמנהיג הרוחני של קהילתו באמצעות קבלת קהל ומתן ברכות ועצות לציבור </w:t>
      </w:r>
      <w:r w:rsidR="008525CB">
        <w:rPr>
          <w:rFonts w:hint="cs"/>
          <w:rtl/>
        </w:rPr>
        <w:t>חסידיו ו</w:t>
      </w:r>
      <w:r>
        <w:rPr>
          <w:rFonts w:hint="cs"/>
          <w:rtl/>
        </w:rPr>
        <w:t xml:space="preserve">מאמיניו בנושאים שונים, עריכת הילולות, השתתפות באירועים משפחתיים של </w:t>
      </w:r>
      <w:r w:rsidR="009E7983">
        <w:rPr>
          <w:rFonts w:hint="cs"/>
          <w:rtl/>
        </w:rPr>
        <w:t>מאמיניו</w:t>
      </w:r>
      <w:r>
        <w:rPr>
          <w:rFonts w:hint="cs"/>
          <w:rtl/>
        </w:rPr>
        <w:t>, לרבות בחו"ל; וכי הרב מבצע גם פעילויות אקטיביות לשם הפקת ההכנסות, לרבות פעולות בעלות אופי עסקי, כגון יצירת קשר בין קהל מאמיניו לבין אנשי עסקים.</w:t>
      </w:r>
    </w:p>
    <w:p w:rsidR="00A75A37" w:rsidRDefault="00A75A37" w:rsidP="00A75A37">
      <w:pPr>
        <w:pStyle w:val="Ruller4"/>
        <w:numPr>
          <w:ilvl w:val="0"/>
          <w:numId w:val="0"/>
        </w:numPr>
        <w:ind w:firstLine="720"/>
        <w:rPr>
          <w:rtl/>
        </w:rPr>
      </w:pPr>
    </w:p>
    <w:p w:rsidR="00A75A37" w:rsidRDefault="00A75A37" w:rsidP="00A75A37">
      <w:pPr>
        <w:pStyle w:val="Ruller4"/>
        <w:numPr>
          <w:ilvl w:val="0"/>
          <w:numId w:val="0"/>
        </w:numPr>
        <w:ind w:firstLine="720"/>
        <w:rPr>
          <w:rtl/>
        </w:rPr>
      </w:pPr>
      <w:r>
        <w:rPr>
          <w:rFonts w:hint="cs"/>
          <w:rtl/>
        </w:rPr>
        <w:t>כן נקבע כי הפקת התקבולים נעשתה</w:t>
      </w:r>
      <w:r w:rsidRPr="00324886">
        <w:rPr>
          <w:rFonts w:hint="cs"/>
          <w:rtl/>
        </w:rPr>
        <w:t xml:space="preserve"> </w:t>
      </w:r>
      <w:r>
        <w:rPr>
          <w:rFonts w:hint="cs"/>
          <w:rtl/>
        </w:rPr>
        <w:t xml:space="preserve">על ידי הרב באופן מחזורי ומתמשך, ולפיכך  יש לראות בתקבולים כהכנסה </w:t>
      </w:r>
      <w:r w:rsidRPr="00B36F52">
        <w:rPr>
          <w:rFonts w:ascii="Miriam" w:hAnsi="Miriam" w:cs="Miriam" w:hint="cs"/>
          <w:spacing w:val="0"/>
          <w:szCs w:val="24"/>
          <w:rtl/>
        </w:rPr>
        <w:t>ממשלח יד</w:t>
      </w:r>
      <w:r>
        <w:rPr>
          <w:rFonts w:hint="cs"/>
          <w:rtl/>
        </w:rPr>
        <w:t xml:space="preserve"> לפי סעיף 2(1) לפקודה; ולחלופין - כהכנסה "</w:t>
      </w:r>
      <w:r>
        <w:rPr>
          <w:rFonts w:ascii="Miriam" w:hAnsi="Miriam" w:cs="Miriam" w:hint="cs"/>
          <w:spacing w:val="0"/>
          <w:szCs w:val="24"/>
          <w:rtl/>
        </w:rPr>
        <w:t>מ</w:t>
      </w:r>
      <w:r w:rsidRPr="00B36F52">
        <w:rPr>
          <w:rFonts w:ascii="Miriam" w:hAnsi="Miriam" w:cs="Miriam" w:hint="cs"/>
          <w:spacing w:val="0"/>
          <w:szCs w:val="24"/>
          <w:rtl/>
        </w:rPr>
        <w:t>מקור אחר</w:t>
      </w:r>
      <w:r>
        <w:rPr>
          <w:rFonts w:hint="cs"/>
          <w:rtl/>
        </w:rPr>
        <w:t xml:space="preserve">", לפי סעיף 2(10) לפקודה. </w:t>
      </w:r>
    </w:p>
    <w:p w:rsidR="00A75A37" w:rsidRDefault="00A75A37" w:rsidP="00A75A37">
      <w:pPr>
        <w:pStyle w:val="Ruller4"/>
        <w:numPr>
          <w:ilvl w:val="0"/>
          <w:numId w:val="0"/>
        </w:numPr>
        <w:ind w:firstLine="720"/>
        <w:rPr>
          <w:rtl/>
        </w:rPr>
      </w:pPr>
    </w:p>
    <w:p w:rsidR="00A75A37" w:rsidRDefault="00A75A37" w:rsidP="00A75A37">
      <w:pPr>
        <w:pStyle w:val="Ruller4"/>
        <w:numPr>
          <w:ilvl w:val="0"/>
          <w:numId w:val="0"/>
        </w:numPr>
        <w:ind w:firstLine="720"/>
        <w:rPr>
          <w:rtl/>
        </w:rPr>
      </w:pPr>
      <w:r>
        <w:rPr>
          <w:rFonts w:hint="cs"/>
          <w:rtl/>
        </w:rPr>
        <w:lastRenderedPageBreak/>
        <w:t>בנוסף, חויב הרב בתוספת מס בשל אי ניהול פנקסים, בהתאם להוראות סעיף 191ב לפקודה.</w:t>
      </w:r>
    </w:p>
    <w:p w:rsidR="00A75A37" w:rsidRPr="00FF6167" w:rsidRDefault="00A75A37" w:rsidP="00A75A37">
      <w:pPr>
        <w:pStyle w:val="Ruller41"/>
        <w:rPr>
          <w:rtl/>
        </w:rPr>
      </w:pPr>
    </w:p>
    <w:p w:rsidR="00A75A37" w:rsidRDefault="00A75A37" w:rsidP="00A75A37">
      <w:pPr>
        <w:pStyle w:val="Ruller4"/>
      </w:pPr>
      <w:r>
        <w:rPr>
          <w:rFonts w:hint="cs"/>
          <w:rtl/>
        </w:rPr>
        <w:t>הרב אבוחצירא הגיש השגה על השומה לפי סעיף 150 לפקודה, אך השגתו נדחתה על ידי פקיד השומה, בתוקף סמכותו לפי סעיף 152(ב) לפקודה, תוך הותרת השומה על כנה.</w:t>
      </w:r>
    </w:p>
    <w:p w:rsidR="00A75A37" w:rsidRDefault="00A75A37" w:rsidP="00A75A37">
      <w:pPr>
        <w:pStyle w:val="Ruller4"/>
        <w:numPr>
          <w:ilvl w:val="0"/>
          <w:numId w:val="0"/>
        </w:numPr>
      </w:pPr>
      <w:r>
        <w:rPr>
          <w:rFonts w:hint="cs"/>
          <w:rtl/>
        </w:rPr>
        <w:t xml:space="preserve"> </w:t>
      </w:r>
    </w:p>
    <w:p w:rsidR="00A75A37" w:rsidRDefault="00A75A37" w:rsidP="00A75A37">
      <w:pPr>
        <w:pStyle w:val="Ruller4"/>
        <w:rPr>
          <w:rtl/>
        </w:rPr>
      </w:pPr>
      <w:r>
        <w:rPr>
          <w:rFonts w:hint="cs"/>
          <w:rtl/>
        </w:rPr>
        <w:t>על החלטה זו ערער הרב אבוחצירא לבית המשפט המחוזי. בערעורו טען כי התקבולים שיוחסו לו אינם בגדר הכנסה החייבת במס. בתמצית, נטען כי הרב אינו נותן שירותי דת ולא מפיק הכנסות מפעילותו כמנהיג רוחני; כי אין בביתו קבלת קהל, מנגנון לקביעת תעריפים או שעות ביקור; וכי נוכחותו באירועים שונים לא מהווה שירות. לטענתו, הגידול בהונו נובע מכספי ירושה שקיבל, ממתנות בסכומים ניכרים שהתקבלו לרגל חתונות ילדיו, אשר שימשו בין היתר לרכישת דירות עבורם, וכן מכספים שניתנו לו כמתנות, כמחווה רגשית על רקע חברי ואמוני, וללא כל תמורה מצדו, ועל כן אין לראות בהם כהכנסה ממשלח יד, ואין לחייבם במס. עוד נטען כי פקיד השומה סטה  ממדיניות רשות המסים לגבי מתנות ותרומות המוענקות לרבנים, תוך חריגה מ"תורת המקור", וכי בהיעדר הסדרה של הסוגיה, חיוב הרב במס מהווה הטלת מס רטרואקטיבית. בנוסף לכל האמור העלה הרב גם טענות קונקרטיות שונות לגבי אופן חישוב ההכנסות בשומה  שהוצאה לו.</w:t>
      </w:r>
    </w:p>
    <w:p w:rsidR="00A75A37" w:rsidRDefault="00A75A37" w:rsidP="00A75A37">
      <w:pPr>
        <w:pStyle w:val="Ruller41"/>
        <w:rPr>
          <w:rtl/>
        </w:rPr>
      </w:pPr>
    </w:p>
    <w:p w:rsidR="00A75A37" w:rsidRDefault="00A75A37" w:rsidP="00A75A37">
      <w:pPr>
        <w:pStyle w:val="Ruller4"/>
        <w:rPr>
          <w:rtl/>
        </w:rPr>
      </w:pPr>
      <w:r>
        <w:rPr>
          <w:rFonts w:hint="cs"/>
          <w:rtl/>
        </w:rPr>
        <w:t>בית המשפט המחוזי דחה את עמדתו של הרב אבוחצירא וקיבל את עמדתו העקרונית של פקיד השומה באשר להתייחסות לתקבולים שקיבל הרב לשימושו האישי ולשימוש משפחתו, כהכנסות החייבות במס. לעומת זאת, קיבל בית המשפט, חלקית, את ערעור הרב בנוגע לחישוב רכיבים שונים של ההכנסות שיוחסו לו והפחית משמעותית את סכום השומה.</w:t>
      </w:r>
    </w:p>
    <w:p w:rsidR="00A75A37" w:rsidRPr="009D646E" w:rsidRDefault="00A75A37" w:rsidP="00A75A37">
      <w:pPr>
        <w:pStyle w:val="Ruller41"/>
        <w:rPr>
          <w:sz w:val="24"/>
          <w:szCs w:val="24"/>
        </w:rPr>
      </w:pPr>
    </w:p>
    <w:p w:rsidR="00A75A37" w:rsidRPr="002D655E" w:rsidRDefault="00A75A37" w:rsidP="00A75A37">
      <w:pPr>
        <w:pStyle w:val="Ruller4"/>
        <w:numPr>
          <w:ilvl w:val="0"/>
          <w:numId w:val="0"/>
        </w:numPr>
        <w:ind w:firstLine="720"/>
        <w:rPr>
          <w:rtl/>
        </w:rPr>
      </w:pPr>
      <w:r>
        <w:rPr>
          <w:rFonts w:hint="cs"/>
          <w:rtl/>
        </w:rPr>
        <w:t xml:space="preserve">במישור העובדתי נקבע - על בסיס חוות דעתה ועדותה של פרופ' חביבה פדיה, חוקרת תרבות ויהדות מאוניברסיטת בן גוריון שהעידה מטעם המערער  (להלן: </w:t>
      </w:r>
      <w:r w:rsidRPr="002D655E">
        <w:rPr>
          <w:rFonts w:ascii="Century" w:hAnsi="Century" w:cs="Miriam" w:hint="cs"/>
          <w:b/>
          <w:spacing w:val="0"/>
          <w:sz w:val="22"/>
          <w:szCs w:val="24"/>
          <w:rtl/>
        </w:rPr>
        <w:t>פרופ' פדיה</w:t>
      </w:r>
      <w:r w:rsidRPr="002D655E">
        <w:rPr>
          <w:rFonts w:ascii="Century" w:hAnsi="Century" w:hint="cs"/>
          <w:sz w:val="22"/>
          <w:rtl/>
        </w:rPr>
        <w:t>)</w:t>
      </w:r>
      <w:r>
        <w:rPr>
          <w:rFonts w:ascii="Century" w:hAnsi="Century" w:hint="cs"/>
          <w:sz w:val="22"/>
          <w:rtl/>
        </w:rPr>
        <w:t xml:space="preserve">, </w:t>
      </w:r>
      <w:r w:rsidRPr="002D655E">
        <w:rPr>
          <w:rFonts w:ascii="Century" w:hAnsi="Century" w:hint="cs"/>
          <w:sz w:val="22"/>
          <w:rtl/>
        </w:rPr>
        <w:t>ו</w:t>
      </w:r>
      <w:r>
        <w:rPr>
          <w:rFonts w:ascii="Century" w:hAnsi="Century" w:hint="cs"/>
          <w:sz w:val="22"/>
          <w:rtl/>
        </w:rPr>
        <w:t>על יסוד התצהירים ו</w:t>
      </w:r>
      <w:r w:rsidRPr="002D655E">
        <w:rPr>
          <w:rFonts w:ascii="Century" w:hAnsi="Century" w:hint="cs"/>
          <w:sz w:val="22"/>
          <w:rtl/>
        </w:rPr>
        <w:t>עדויות העדים השונים</w:t>
      </w:r>
      <w:r>
        <w:rPr>
          <w:rFonts w:ascii="Century" w:hAnsi="Century" w:hint="cs"/>
          <w:sz w:val="22"/>
          <w:rtl/>
        </w:rPr>
        <w:t>, לרבות המערער ועוזרו אוריאל בן חמו -</w:t>
      </w:r>
      <w:r w:rsidRPr="002D655E">
        <w:rPr>
          <w:rFonts w:ascii="Century" w:hAnsi="Century" w:hint="cs"/>
          <w:sz w:val="22"/>
          <w:rtl/>
        </w:rPr>
        <w:t xml:space="preserve"> </w:t>
      </w:r>
      <w:r>
        <w:rPr>
          <w:rFonts w:hint="cs"/>
          <w:rtl/>
        </w:rPr>
        <w:t xml:space="preserve">כי הרב מקבל את מאמיניו לשם מתן ברכות ועצות, עורך אירועים והילולות לשימור המסורת והקשר עם בני הקהילה ומקפיד לכבד את מאמיניו בנוכחותו באירועיהם המשפחתיים, </w:t>
      </w:r>
      <w:r>
        <w:rPr>
          <w:rFonts w:ascii="Century" w:hAnsi="Century" w:hint="cs"/>
          <w:sz w:val="22"/>
          <w:rtl/>
        </w:rPr>
        <w:t>ו</w:t>
      </w:r>
      <w:r w:rsidRPr="002D655E">
        <w:rPr>
          <w:rFonts w:ascii="Century" w:hAnsi="Century" w:hint="cs"/>
          <w:sz w:val="22"/>
          <w:rtl/>
        </w:rPr>
        <w:t xml:space="preserve">כי </w:t>
      </w:r>
      <w:r>
        <w:rPr>
          <w:rFonts w:ascii="Century" w:hAnsi="Century" w:hint="cs"/>
          <w:sz w:val="22"/>
          <w:rtl/>
        </w:rPr>
        <w:t xml:space="preserve">הכספים </w:t>
      </w:r>
      <w:r w:rsidRPr="002D655E">
        <w:rPr>
          <w:rFonts w:ascii="Century" w:hAnsi="Century" w:hint="cs"/>
          <w:sz w:val="22"/>
          <w:rtl/>
        </w:rPr>
        <w:t>שנית</w:t>
      </w:r>
      <w:r>
        <w:rPr>
          <w:rFonts w:ascii="Century" w:hAnsi="Century" w:hint="cs"/>
          <w:sz w:val="22"/>
          <w:rtl/>
        </w:rPr>
        <w:t xml:space="preserve">נו לרב בדרכים שונות </w:t>
      </w:r>
      <w:r w:rsidRPr="002D655E">
        <w:rPr>
          <w:rFonts w:ascii="Century" w:hAnsi="Century" w:hint="cs"/>
          <w:sz w:val="22"/>
          <w:rtl/>
        </w:rPr>
        <w:t xml:space="preserve">ניתנו לו </w:t>
      </w:r>
      <w:r>
        <w:rPr>
          <w:rFonts w:ascii="Century" w:hAnsi="Century" w:hint="cs"/>
          <w:sz w:val="22"/>
          <w:rtl/>
        </w:rPr>
        <w:t xml:space="preserve">עבור השירותים האמורים </w:t>
      </w:r>
      <w:r>
        <w:rPr>
          <w:rFonts w:ascii="Century" w:hAnsi="Century" w:hint="cs"/>
          <w:sz w:val="22"/>
          <w:rtl/>
        </w:rPr>
        <w:lastRenderedPageBreak/>
        <w:t xml:space="preserve">ובתוקף מעמדו כמנהיג רוחני של הקהילה, </w:t>
      </w:r>
      <w:r w:rsidRPr="002D655E">
        <w:rPr>
          <w:rFonts w:ascii="Century" w:hAnsi="Century" w:hint="cs"/>
          <w:sz w:val="22"/>
          <w:rtl/>
        </w:rPr>
        <w:t xml:space="preserve">לשם שימור חצרו ומעמדו, מתוך מסורת שהשתרשה במרוצת השנים. </w:t>
      </w:r>
    </w:p>
    <w:p w:rsidR="00A75A37" w:rsidRDefault="00A75A37" w:rsidP="00A75A37">
      <w:pPr>
        <w:pStyle w:val="Ruller41"/>
        <w:rPr>
          <w:rFonts w:ascii="Century" w:hAnsi="Century"/>
          <w:rtl/>
        </w:rPr>
      </w:pPr>
    </w:p>
    <w:p w:rsidR="00A75A37" w:rsidRDefault="00A75A37" w:rsidP="00A75A37">
      <w:pPr>
        <w:pStyle w:val="Ruller41"/>
        <w:rPr>
          <w:rFonts w:ascii="Century" w:hAnsi="Century"/>
          <w:rtl/>
        </w:rPr>
      </w:pPr>
      <w:r>
        <w:rPr>
          <w:rFonts w:ascii="Century" w:hAnsi="Century"/>
          <w:rtl/>
        </w:rPr>
        <w:tab/>
      </w:r>
      <w:r>
        <w:rPr>
          <w:rFonts w:ascii="Century" w:hAnsi="Century" w:hint="cs"/>
          <w:rtl/>
        </w:rPr>
        <w:t>כן נקבע כי מהראיות עולה שהתקבולים השונים שמקבל הרב, במישרין ובעקיפין, הם בעלי מאפיינים פירותיים, בהיותם כאלה המתקבלים באופן שוטף ובהיקפים מצטברים גדולים. על כן מדובר בתקבולים הניתנים לרב בשל משלח ידו, הנובע ממעמדו, מתוארו, ממומחיותו, מתפקידו החיוני בקהילתו וממכלול עיסוקיו, וכי הכספים ניתנים לו בתמורה לפעילותו ובגין היותו מנהיגה הרוחני של הקהילה. לפיכך נקבע כי תקבולים  אלה מהווים הכנסה לפי סעיף 2(1) לפקודה. בהקשר זה הובהר כי אף שהכספים ניתנו לרב על פי שיקול דעתו של הנותן, הדבר נעשה מתוך ציווי עמוק הנובע מאמונה; כי לא מדובר בנדיבות ללא תמורה; וכי קיימת גם ציפייה מצדו של הרב, המעוגנת במסורת, לקבלת הכספים הניתנים לו לצורך שימוש לפרנסתו ולפרנסת בני משפחתו.</w:t>
      </w:r>
    </w:p>
    <w:p w:rsidR="00A75A37" w:rsidRDefault="00A75A37" w:rsidP="00A75A37">
      <w:pPr>
        <w:pStyle w:val="Ruller41"/>
        <w:rPr>
          <w:rFonts w:ascii="Century" w:hAnsi="Century"/>
          <w:rtl/>
        </w:rPr>
      </w:pPr>
    </w:p>
    <w:p w:rsidR="00A75A37" w:rsidRPr="0047160F" w:rsidRDefault="00A75A37" w:rsidP="00A75A37">
      <w:pPr>
        <w:pStyle w:val="Ruller41"/>
        <w:rPr>
          <w:rFonts w:ascii="Century" w:hAnsi="Century"/>
          <w:rtl/>
        </w:rPr>
      </w:pPr>
      <w:r>
        <w:rPr>
          <w:rFonts w:ascii="Century" w:hAnsi="Century"/>
          <w:rtl/>
        </w:rPr>
        <w:tab/>
      </w:r>
      <w:r>
        <w:rPr>
          <w:rFonts w:ascii="Century" w:hAnsi="Century" w:hint="cs"/>
          <w:rtl/>
        </w:rPr>
        <w:t xml:space="preserve"> עוד נקבע כי גם טענתו החלופית של פקיד השומה, לפיה ניתן לראות בכספים כהכנסה מ"מקור אחר"  לפי סעיף 2(10) לפקודה, מהווה פרשנות סבירה של הסעיף, על אף שהיא אינה נדרשת בענין הנדון.</w:t>
      </w:r>
    </w:p>
    <w:p w:rsidR="00A75A37" w:rsidRDefault="00A75A37" w:rsidP="00A75A37">
      <w:pPr>
        <w:pStyle w:val="Ruller41"/>
        <w:rPr>
          <w:rtl/>
        </w:rPr>
      </w:pPr>
    </w:p>
    <w:p w:rsidR="00A75A37" w:rsidRDefault="00A75A37" w:rsidP="00A75A37">
      <w:pPr>
        <w:pStyle w:val="Ruller41"/>
        <w:rPr>
          <w:rtl/>
        </w:rPr>
      </w:pPr>
      <w:r>
        <w:rPr>
          <w:rtl/>
        </w:rPr>
        <w:tab/>
      </w:r>
      <w:r>
        <w:rPr>
          <w:rFonts w:hint="cs"/>
          <w:rtl/>
        </w:rPr>
        <w:t xml:space="preserve">אשר לחישוב החיוב במס בגין הכספים השונים שהתקבלו, בית המשפט חילק את הכספים שקיבל המערער לשלוש קטגוריות: </w:t>
      </w:r>
      <w:r w:rsidRPr="00356839">
        <w:rPr>
          <w:rFonts w:ascii="Century" w:hAnsi="Century" w:cs="Miriam" w:hint="cs"/>
          <w:b/>
          <w:spacing w:val="0"/>
          <w:szCs w:val="24"/>
          <w:rtl/>
        </w:rPr>
        <w:t>כספי</w:t>
      </w:r>
      <w:r>
        <w:rPr>
          <w:rFonts w:ascii="Century" w:hAnsi="Century" w:cs="Miriam" w:hint="cs"/>
          <w:b/>
          <w:spacing w:val="0"/>
          <w:szCs w:val="24"/>
          <w:rtl/>
        </w:rPr>
        <w:t>ם</w:t>
      </w:r>
      <w:r w:rsidRPr="00356839">
        <w:rPr>
          <w:rFonts w:ascii="Century" w:hAnsi="Century" w:cs="Miriam" w:hint="cs"/>
          <w:b/>
          <w:spacing w:val="0"/>
          <w:szCs w:val="24"/>
          <w:rtl/>
        </w:rPr>
        <w:t xml:space="preserve"> שקיבל לטובת</w:t>
      </w:r>
      <w:r>
        <w:rPr>
          <w:rFonts w:ascii="Century" w:hAnsi="Century" w:cs="Miriam" w:hint="cs"/>
          <w:b/>
          <w:spacing w:val="0"/>
          <w:szCs w:val="24"/>
          <w:rtl/>
        </w:rPr>
        <w:t>ו ולטובת</w:t>
      </w:r>
      <w:r w:rsidRPr="00356839">
        <w:rPr>
          <w:rFonts w:ascii="Century" w:hAnsi="Century" w:cs="Miriam" w:hint="cs"/>
          <w:b/>
          <w:spacing w:val="0"/>
          <w:szCs w:val="24"/>
          <w:rtl/>
        </w:rPr>
        <w:t xml:space="preserve"> בני משפחתו</w:t>
      </w:r>
      <w:r>
        <w:rPr>
          <w:rFonts w:hint="cs"/>
          <w:rtl/>
        </w:rPr>
        <w:t xml:space="preserve"> -</w:t>
      </w:r>
      <w:r w:rsidRPr="00356839">
        <w:rPr>
          <w:rFonts w:hint="cs"/>
          <w:rtl/>
        </w:rPr>
        <w:t xml:space="preserve"> </w:t>
      </w:r>
      <w:r>
        <w:rPr>
          <w:rFonts w:hint="cs"/>
          <w:rtl/>
        </w:rPr>
        <w:t>לגביהם נקבע כי הם חייבים כאמור במס כהכנסה ממשלח יד, בין אם ניתנו בתמורה לשירות ישיר או בתמורה עקיפה לפעילותו של הרב;</w:t>
      </w:r>
      <w:r w:rsidRPr="00356839">
        <w:rPr>
          <w:rFonts w:ascii="Century" w:hAnsi="Century" w:cs="Miriam" w:hint="cs"/>
          <w:b/>
          <w:spacing w:val="0"/>
          <w:szCs w:val="24"/>
          <w:rtl/>
        </w:rPr>
        <w:t xml:space="preserve"> </w:t>
      </w:r>
      <w:r w:rsidRPr="00EC7B9B">
        <w:rPr>
          <w:rFonts w:ascii="Century" w:hAnsi="Century" w:cs="Miriam" w:hint="cs"/>
          <w:b/>
          <w:spacing w:val="0"/>
          <w:szCs w:val="24"/>
          <w:rtl/>
        </w:rPr>
        <w:t xml:space="preserve">כספי מתנות </w:t>
      </w:r>
      <w:r>
        <w:rPr>
          <w:rFonts w:ascii="Century" w:hAnsi="Century" w:cs="Miriam" w:hint="cs"/>
          <w:b/>
          <w:spacing w:val="0"/>
          <w:szCs w:val="24"/>
          <w:rtl/>
        </w:rPr>
        <w:t xml:space="preserve">שקיבל </w:t>
      </w:r>
      <w:r w:rsidRPr="00EC7B9B">
        <w:rPr>
          <w:rFonts w:ascii="Century" w:hAnsi="Century" w:cs="Miriam" w:hint="cs"/>
          <w:b/>
          <w:spacing w:val="0"/>
          <w:szCs w:val="24"/>
          <w:rtl/>
        </w:rPr>
        <w:t>באירועים משפחתיים</w:t>
      </w:r>
      <w:r>
        <w:rPr>
          <w:rFonts w:ascii="Century" w:hAnsi="Century" w:cs="Miriam" w:hint="cs"/>
          <w:b/>
          <w:spacing w:val="0"/>
          <w:szCs w:val="24"/>
          <w:rtl/>
        </w:rPr>
        <w:t xml:space="preserve"> של בני משפחתו</w:t>
      </w:r>
      <w:r w:rsidRPr="00EC7B9B">
        <w:rPr>
          <w:rFonts w:ascii="Century" w:hAnsi="Century" w:cs="Miriam" w:hint="cs"/>
          <w:b/>
          <w:spacing w:val="0"/>
          <w:szCs w:val="24"/>
          <w:rtl/>
        </w:rPr>
        <w:t xml:space="preserve"> </w:t>
      </w:r>
      <w:r>
        <w:rPr>
          <w:rFonts w:ascii="Century" w:hAnsi="Century" w:cs="Miriam" w:hint="cs"/>
          <w:b/>
          <w:spacing w:val="0"/>
          <w:szCs w:val="24"/>
          <w:rtl/>
        </w:rPr>
        <w:t xml:space="preserve">- </w:t>
      </w:r>
      <w:r>
        <w:rPr>
          <w:rFonts w:hint="cs"/>
          <w:rtl/>
        </w:rPr>
        <w:t>לגביהם נקבע כי יש לראות כהכנסה חייבת במס רק סכומים החורגים מסכומים שמקובל לתת כמתנות באירועים משפחתיים כאלה ושיש להניח שהיו ניתנות גם לולא מעמדו של הרב;</w:t>
      </w:r>
      <w:r w:rsidRPr="00356839">
        <w:rPr>
          <w:rFonts w:ascii="Century" w:hAnsi="Century" w:cs="Miriam" w:hint="cs"/>
          <w:b/>
          <w:spacing w:val="0"/>
          <w:szCs w:val="24"/>
          <w:rtl/>
        </w:rPr>
        <w:t xml:space="preserve"> </w:t>
      </w:r>
      <w:r>
        <w:rPr>
          <w:rFonts w:ascii="Century" w:hAnsi="Century" w:cs="Miriam" w:hint="cs"/>
          <w:b/>
          <w:spacing w:val="0"/>
          <w:szCs w:val="24"/>
          <w:rtl/>
        </w:rPr>
        <w:t>ו</w:t>
      </w:r>
      <w:r w:rsidRPr="00356839">
        <w:rPr>
          <w:rFonts w:ascii="Century" w:hAnsi="Century" w:cs="Miriam" w:hint="cs"/>
          <w:b/>
          <w:spacing w:val="0"/>
          <w:szCs w:val="24"/>
          <w:rtl/>
        </w:rPr>
        <w:t>כספי</w:t>
      </w:r>
      <w:r>
        <w:rPr>
          <w:rFonts w:ascii="Century" w:hAnsi="Century" w:cs="Miriam" w:hint="cs"/>
          <w:b/>
          <w:spacing w:val="0"/>
          <w:szCs w:val="24"/>
          <w:rtl/>
        </w:rPr>
        <w:t xml:space="preserve">ם למטרות הקהילה </w:t>
      </w:r>
      <w:r>
        <w:rPr>
          <w:rFonts w:ascii="Century" w:hAnsi="Century" w:cs="Miriam"/>
          <w:b/>
          <w:spacing w:val="0"/>
          <w:szCs w:val="24"/>
          <w:rtl/>
        </w:rPr>
        <w:t>–</w:t>
      </w:r>
      <w:r>
        <w:rPr>
          <w:rFonts w:hint="cs"/>
          <w:rtl/>
        </w:rPr>
        <w:t xml:space="preserve"> כספים שהוכח לגביהן כי שימשו למטרות ציבוריות של הקהילה, ו</w:t>
      </w:r>
      <w:r w:rsidRPr="00926EFE">
        <w:rPr>
          <w:rFonts w:hint="cs"/>
          <w:rtl/>
        </w:rPr>
        <w:t xml:space="preserve">ניתנו לרב </w:t>
      </w:r>
      <w:r>
        <w:rPr>
          <w:rFonts w:hint="cs"/>
          <w:rtl/>
        </w:rPr>
        <w:t xml:space="preserve">אך </w:t>
      </w:r>
      <w:r w:rsidRPr="00926EFE">
        <w:rPr>
          <w:rFonts w:hint="cs"/>
          <w:rtl/>
        </w:rPr>
        <w:t>כ"צינור" לצורך העברתם לקהילה</w:t>
      </w:r>
      <w:r>
        <w:rPr>
          <w:rFonts w:hint="cs"/>
          <w:rtl/>
        </w:rPr>
        <w:t xml:space="preserve">, לא יהיו חייבים במס, מכוח הפטור לפי סעיף 9 לפקודה, היות שניתן לומר כי הם התקבלו בידי הרב בנאמנות עבור הקהילה, ועל כן הם אינם מהווים עבורו הכנסה. לצד זאת צוין כי קיים קושי לאתר ולסווג כספים אלה בהיעדר תיעוד של הכספים שנועדו לקהילה, להבדיל מכספים שנועדו לשימושו האישי. לענין זה נקבע כי אין לקבל במדינה מתוקנת ניהול כספי של מיליוני שקלים ללא ניהול ספרים כחוק ורישום מסודר. </w:t>
      </w:r>
    </w:p>
    <w:p w:rsidR="00A75A37" w:rsidRDefault="00A75A37" w:rsidP="00A75A37">
      <w:pPr>
        <w:pStyle w:val="Ruller41"/>
        <w:rPr>
          <w:rtl/>
        </w:rPr>
      </w:pPr>
    </w:p>
    <w:p w:rsidR="00A75A37" w:rsidRDefault="00A75A37" w:rsidP="00A75A37">
      <w:pPr>
        <w:pStyle w:val="Ruller41"/>
        <w:rPr>
          <w:rtl/>
        </w:rPr>
      </w:pPr>
      <w:r>
        <w:rPr>
          <w:rtl/>
        </w:rPr>
        <w:lastRenderedPageBreak/>
        <w:tab/>
      </w:r>
      <w:r>
        <w:rPr>
          <w:rFonts w:hint="cs"/>
          <w:rtl/>
        </w:rPr>
        <w:t>בסיכומו של דבר, לאחר בחינת התקבולים השונים בהתאם לחלוקה לקטגוריות כמפורט לעיל, ולאחר בחינת טענות פרטניות שהעלה המערער לגבי תקבולים מסוימים, הפחית בית המשפט מהשומה המקורית בסך 13,844,806 ₪ תקבולים לגביהם הוכח כי נועדו לפירעון הלוואות שניתנו לעמותה ולבניית בית כנסת; כספים שהתקבלו באירועים משפחתיים בהיקף המשקף מתנות "רגילות"; כספים שהוכח לגביהם כי הועברו ממחותניו של הרב לצורך רכישת דירות עבור ילדי הרב; כספים לגביהם הוכח כי התקבלו כירושה מעיזבון אביו של הרב; וכספים שנכללו בשומה המקורית כתוצאה מטעות בחישוב הפקדות. סך הכל הופחת מהשומה סכום של כ- 9 מיליון ₪ (כשני שלישים מהשומה), והשומה הועמדה לאחר ההפחתות על סך של 4.66 מיליוני ₪.</w:t>
      </w:r>
    </w:p>
    <w:p w:rsidR="00A75A37" w:rsidRDefault="00A75A37" w:rsidP="00A75A37">
      <w:pPr>
        <w:pStyle w:val="Ruller41"/>
        <w:rPr>
          <w:rtl/>
        </w:rPr>
      </w:pPr>
    </w:p>
    <w:p w:rsidR="00A75A37" w:rsidRPr="00A20721" w:rsidRDefault="00A75A37" w:rsidP="00A75A37">
      <w:pPr>
        <w:pStyle w:val="Ruller41"/>
        <w:rPr>
          <w:rFonts w:ascii="Miriam" w:hAnsi="Miriam" w:cs="Miriam"/>
          <w:spacing w:val="0"/>
          <w:sz w:val="24"/>
          <w:szCs w:val="24"/>
          <w:rtl/>
        </w:rPr>
      </w:pPr>
      <w:r w:rsidRPr="00A20721">
        <w:rPr>
          <w:rFonts w:ascii="Miriam" w:hAnsi="Miriam" w:cs="Miriam" w:hint="cs"/>
          <w:spacing w:val="0"/>
          <w:sz w:val="24"/>
          <w:szCs w:val="24"/>
          <w:rtl/>
        </w:rPr>
        <w:t>הערעור ותמצית טענות הצדדים</w:t>
      </w:r>
    </w:p>
    <w:p w:rsidR="00A75A37" w:rsidRPr="0054344D" w:rsidRDefault="00A75A37" w:rsidP="00A75A37">
      <w:pPr>
        <w:pStyle w:val="Ruller41"/>
        <w:rPr>
          <w:rFonts w:ascii="Miriam" w:hAnsi="Miriam" w:cs="Miriam"/>
          <w:sz w:val="24"/>
          <w:szCs w:val="24"/>
        </w:rPr>
      </w:pPr>
    </w:p>
    <w:p w:rsidR="00A75A37" w:rsidRDefault="00A75A37" w:rsidP="00A75A37">
      <w:pPr>
        <w:pStyle w:val="Ruller4"/>
        <w:rPr>
          <w:rtl/>
        </w:rPr>
      </w:pPr>
      <w:r>
        <w:rPr>
          <w:rFonts w:hint="cs"/>
          <w:rtl/>
        </w:rPr>
        <w:t>על פסק דין זה הוגש הערעור שלפנינו, ובו טען המערער כי בית המשפט קמא שגה כשקבע כי מעמדו ותוארו הם משלח ידו, וכי מתנות ותרומות הניתנות לו מבלי שמתקיים קשר ישיר לשירות כלשהו מהוות הכנסה ממשלח יד החייבת במס. כן נטען כי "הקונסטרוקציה החדשנית" עליה הסתמך בית משפט קמא, לפיה תרומות ומתנות הניתנות למערער מהוות הכנסה ממשלח יד, סותרת את תורת המקור ואת ההלכה הפסוקה בדבר אי-מיסוי מתנות, ואף את חוזר רשות המסים לענין "מיסוי שירותי דת". כתוצאה מכך, נטען, מתקבלת תוצאה לפיה כל מתת שיקבלו הרב או ילדיו תהא חייבת במס, שעה שאותה מתת תהיה פטורה ממס עבור כל אדם אחר. עוד נטען כי שגה בית משפט קמא בכך שיישם באופן רטרואקטיבי את החידוש שבפסק דינו על שנות המס 2009-2003, תוך יצירת נזק ראייתי שלא ניתן לתקנו בגין היעדר תיעוד של הכספים, וכי בנסיבות אלו היה מקום להפחית את חבות המס על דרך האומדנה. כן העלה הרב טענות קונקרטיות הנוגעות לאופן חישובם של כספים שונים במסגרת הכנסתו החייבת.</w:t>
      </w:r>
    </w:p>
    <w:p w:rsidR="00A75A37" w:rsidRPr="003B0DB1" w:rsidRDefault="00A75A37" w:rsidP="00A75A37">
      <w:pPr>
        <w:pStyle w:val="Ruller41"/>
        <w:rPr>
          <w:rtl/>
        </w:rPr>
      </w:pPr>
    </w:p>
    <w:p w:rsidR="00A75A37" w:rsidRDefault="00A75A37" w:rsidP="00A75A37">
      <w:pPr>
        <w:pStyle w:val="Ruller4"/>
        <w:rPr>
          <w:rtl/>
        </w:rPr>
      </w:pPr>
      <w:r>
        <w:rPr>
          <w:rFonts w:hint="cs"/>
          <w:rtl/>
        </w:rPr>
        <w:t xml:space="preserve">בתגובתו טען פקיד השומה כי עיקר טענותיו של המערער הן טענות שבעובדה הנוגדות את הממצאים העובדתיים שנקבעו בפסק דינו של בית המשפט המחוזי, וכי המערער מייחס לבית המשפט קביעות שלא נקבעו על ידו. בית המשפט קבע כי התקבולים שהועברו למערער מהווים תמורה, במובן הרחב, עבור מכלול השירותים שהרב מספק לקהל מאמיניו, וכי תפקידו החיוני בקהילתו ומכלול עיסוקיו, וביניהם הנהגת הקהילה, ניהול החצר, לימוד תורה, פעילות צדקה, מתן ברכות ועצות והשתתפות באירועים, הם המקור להכנסתו. עוד נטען כי ההגדרה הרחבה של המונח "משלח יד", כפי שפורש בפסיקה ענפה לאורך השנים, כולל את מי שעוסק בתחום בו הוא מביא לידי </w:t>
      </w:r>
      <w:r>
        <w:rPr>
          <w:rFonts w:hint="cs"/>
          <w:rtl/>
        </w:rPr>
        <w:lastRenderedPageBreak/>
        <w:t>ביטוי את כישוריו המיוחדים, וכי בשים לב לעדויות שנשמעו בדבר מעמדו הרוחני בקרב קהל מאמיניו וכישוריו המיוחדים של הרב, ניכר כי פעילותו נכנסת להגדרה זו. הדברים מקבלים משנה תוקף שעה שחלק מהכנסותיו של הרב היו בעלות סממנים עסקיים מובהקים, ונוכח קיומם של סממנים נוספים הנלווים לתקבולים, כגון ציפייה לקבלת תשלום בגין השירות וקיום מנגנון ארגוני הכולל חצר, קבלת קהל ועוזרים המספקים את צרכי הרב ומנהלים את קשריו עם קהל המאמינים. כן נטען כי עמדתו המקצועית של פקיד השומה בקביעת שומת הרב תואמת את חוזר המס, ואינה מחדשת דבר לענין מיסוי שירותי דת, וכי בניגוד לטענותיו של הרב, חוזר המס מסדיר את עיקר הסוגיות הרלבנטיות לענין. הודגש כי מקום בו שירותי הדת ניתנים באופן מסודר וממוסד, במסגרת מוסד ציבורי המשמש למטרה ציבורית, עם ניהול ספרים כדין, כמפורט בחוזר המס, ממילא לא יתעוררו השאלות שעולות בתיק הנדון.</w:t>
      </w:r>
    </w:p>
    <w:p w:rsidR="00A75A37" w:rsidRDefault="00A75A37" w:rsidP="00A75A37">
      <w:pPr>
        <w:pStyle w:val="Ruller41"/>
        <w:rPr>
          <w:rtl/>
        </w:rPr>
      </w:pPr>
    </w:p>
    <w:p w:rsidR="00A75A37" w:rsidRPr="00090D71" w:rsidRDefault="00A75A37" w:rsidP="00A75A37">
      <w:pPr>
        <w:pStyle w:val="Ruller41"/>
        <w:rPr>
          <w:rFonts w:ascii="Miriam" w:hAnsi="Miriam" w:cs="Miriam"/>
          <w:sz w:val="24"/>
          <w:szCs w:val="24"/>
          <w:rtl/>
        </w:rPr>
      </w:pPr>
      <w:r w:rsidRPr="00090D71">
        <w:rPr>
          <w:rFonts w:ascii="Miriam" w:hAnsi="Miriam" w:cs="Miriam" w:hint="cs"/>
          <w:sz w:val="24"/>
          <w:szCs w:val="24"/>
          <w:rtl/>
        </w:rPr>
        <w:t>דיון והכרעה</w:t>
      </w:r>
    </w:p>
    <w:p w:rsidR="00A75A37" w:rsidRPr="005B4116" w:rsidRDefault="00A75A37" w:rsidP="00A75A37">
      <w:pPr>
        <w:pStyle w:val="Ruller41"/>
        <w:rPr>
          <w:rFonts w:ascii="Miriam" w:hAnsi="Miriam" w:cs="Miriam"/>
          <w:b/>
          <w:bCs/>
          <w:sz w:val="24"/>
          <w:szCs w:val="24"/>
          <w:rtl/>
        </w:rPr>
      </w:pPr>
    </w:p>
    <w:p w:rsidR="00A75A37" w:rsidRDefault="00A75A37" w:rsidP="00A75A37">
      <w:pPr>
        <w:pStyle w:val="Ruller4"/>
        <w:rPr>
          <w:rtl/>
        </w:rPr>
      </w:pPr>
      <w:r>
        <w:rPr>
          <w:rFonts w:hint="cs"/>
          <w:rtl/>
        </w:rPr>
        <w:t>השאלה העומדת להכרעתנו היא אפוא, האם התקבולים שקיבל הרב אבוחצירא כאמור לעיל, ואשר שימשו אותו ואת בני משפחתו, להבדיל מכספים שנתרמו ושימשו לצרכי הקהילה,  מהווים הכנסה חייבת במס על פי סעיף 2 לפקודה, כטענת פקיד השומה, או שמא מדובר בתקבולים המהווים מתנות ותרומות פטורות ממס, כטענת הרב?</w:t>
      </w:r>
    </w:p>
    <w:p w:rsidR="00A75A37" w:rsidRDefault="00A75A37" w:rsidP="00A75A37">
      <w:pPr>
        <w:pStyle w:val="Ruller41"/>
        <w:jc w:val="left"/>
        <w:rPr>
          <w:rtl/>
        </w:rPr>
      </w:pPr>
    </w:p>
    <w:p w:rsidR="00A75A37" w:rsidRDefault="00A75A37" w:rsidP="00A75A37">
      <w:pPr>
        <w:pStyle w:val="Ruller4"/>
        <w:rPr>
          <w:rtl/>
        </w:rPr>
      </w:pPr>
      <w:r>
        <w:rPr>
          <w:rFonts w:hint="cs"/>
          <w:rtl/>
        </w:rPr>
        <w:t xml:space="preserve">אקדים אחרית לראשית ואומר, כי אני סבור כי בנסיבות המקרה הנדון יש לראות בתקבולים שקיבל הרב אבוחצירא, ואשר שימשו לכלכלת הרב ובני ביתו ולשימושם האישי - להבדיל מתקבולים לצרכי הקהילה - כהכנסה חייבת במס. </w:t>
      </w:r>
      <w:r w:rsidRPr="00AF5812">
        <w:rPr>
          <w:rFonts w:hint="cs"/>
          <w:rtl/>
        </w:rPr>
        <w:t>המדובר בזרם תקבולים קבוע ומתמשך</w:t>
      </w:r>
      <w:r>
        <w:rPr>
          <w:rFonts w:hint="cs"/>
          <w:rtl/>
        </w:rPr>
        <w:t xml:space="preserve">, בהיקף משמעותי, ממקור קבוע ויציב, המתקבלים נוכח תפקידו, מעמדו ופעילותו של המערער בקרב קהל מאמיניו. ולפיכך צדק בית המשפט המחוזי במסקנתו לפיה יש לראות בתקבולים אלה כהכנסה חייבת במס לפי הוראות סעיף 2 לפקודה. מסקנה זו מתחייבת לדעתי ממהות פעילותו של הרב אבוחצירא וממאפייניה, כמו גם מהוראות הפקודה ותכליתן, כפי שפורשו בפסיקה ענפה של בית משפט זה - הכל כמפורט להלן. </w:t>
      </w:r>
    </w:p>
    <w:p w:rsidR="00A75A37" w:rsidRDefault="00A75A37" w:rsidP="00A75A37">
      <w:pPr>
        <w:pStyle w:val="Ruller41"/>
        <w:rPr>
          <w:rtl/>
        </w:rPr>
      </w:pPr>
    </w:p>
    <w:p w:rsidR="00A75A37" w:rsidRPr="00B353E0" w:rsidRDefault="00A75A37" w:rsidP="00A75A37">
      <w:pPr>
        <w:pStyle w:val="Ruller41"/>
        <w:numPr>
          <w:ilvl w:val="0"/>
          <w:numId w:val="21"/>
        </w:numPr>
        <w:tabs>
          <w:tab w:val="clear" w:pos="1080"/>
        </w:tabs>
        <w:overflowPunct/>
        <w:autoSpaceDE/>
        <w:autoSpaceDN/>
        <w:adjustRightInd/>
        <w:ind w:left="799" w:hanging="284"/>
        <w:textAlignment w:val="auto"/>
        <w:rPr>
          <w:rFonts w:ascii="Miriam" w:hAnsi="Miriam" w:cs="Miriam"/>
          <w:spacing w:val="0"/>
          <w:sz w:val="24"/>
          <w:szCs w:val="24"/>
        </w:rPr>
      </w:pPr>
      <w:r w:rsidRPr="00B353E0">
        <w:rPr>
          <w:rFonts w:ascii="Miriam" w:hAnsi="Miriam" w:cs="Miriam" w:hint="cs"/>
          <w:spacing w:val="0"/>
          <w:sz w:val="24"/>
          <w:szCs w:val="24"/>
          <w:rtl/>
        </w:rPr>
        <w:t xml:space="preserve">המסגרת הנורמטיבית </w:t>
      </w:r>
    </w:p>
    <w:p w:rsidR="00A75A37" w:rsidRDefault="00A75A37" w:rsidP="00A75A37">
      <w:pPr>
        <w:pStyle w:val="Ruller41"/>
        <w:rPr>
          <w:rFonts w:ascii="Miriam" w:hAnsi="Miriam" w:cs="Miriam"/>
          <w:spacing w:val="0"/>
          <w:sz w:val="24"/>
          <w:szCs w:val="24"/>
          <w:rtl/>
        </w:rPr>
      </w:pPr>
    </w:p>
    <w:p w:rsidR="00A75A37" w:rsidRDefault="00A75A37" w:rsidP="00A75A37">
      <w:pPr>
        <w:pStyle w:val="Ruller4"/>
      </w:pPr>
      <w:r>
        <w:rPr>
          <w:rFonts w:hint="cs"/>
          <w:rtl/>
        </w:rPr>
        <w:t xml:space="preserve">בעבר שלטה בכיפה התפישה הפרשנית לפיה בדיני מיסים יש להחיל פרשנות מצמצמת המקלה עם הנישום, כאשר לשון החוק מותירה מקום לספק. ואולם עם התפתחות ההכרה החברתית כי הטלת המס נועדה לשרת את טובת כלל בני החברה, וכי </w:t>
      </w:r>
      <w:r>
        <w:rPr>
          <w:rFonts w:hint="cs"/>
          <w:rtl/>
        </w:rPr>
        <w:lastRenderedPageBreak/>
        <w:t>פרשנות המיטיבה עם נישום אחד עלולה לפגוע בעיקרון שוויון הנטל בין הנישומים, וכן עם גיבוש תורת פרשנות כללית של חקיקה, נקבע כי הכללים "</w:t>
      </w:r>
      <w:r w:rsidRPr="003A4005">
        <w:rPr>
          <w:spacing w:val="6"/>
          <w:rtl/>
        </w:rPr>
        <w:t>המשמשים לפירוש חוקים בדרך כלל, משמשים גם</w:t>
      </w:r>
      <w:r w:rsidRPr="003A4005">
        <w:rPr>
          <w:spacing w:val="6"/>
        </w:rPr>
        <w:t xml:space="preserve"> </w:t>
      </w:r>
      <w:r w:rsidRPr="003A4005">
        <w:rPr>
          <w:spacing w:val="6"/>
          <w:rtl/>
        </w:rPr>
        <w:t>לפירושם של חוקי מ</w:t>
      </w:r>
      <w:r w:rsidRPr="003A4005">
        <w:rPr>
          <w:rFonts w:hint="cs"/>
          <w:spacing w:val="6"/>
          <w:rtl/>
        </w:rPr>
        <w:t>י</w:t>
      </w:r>
      <w:r w:rsidRPr="003A4005">
        <w:rPr>
          <w:spacing w:val="6"/>
          <w:rtl/>
        </w:rPr>
        <w:t>סים. אין להם לחוקי המ</w:t>
      </w:r>
      <w:r w:rsidRPr="003A4005">
        <w:rPr>
          <w:rFonts w:hint="cs"/>
          <w:spacing w:val="6"/>
          <w:rtl/>
        </w:rPr>
        <w:t>י</w:t>
      </w:r>
      <w:r w:rsidRPr="003A4005">
        <w:rPr>
          <w:spacing w:val="6"/>
          <w:rtl/>
        </w:rPr>
        <w:t>סים כללי פרשנות משלהם</w:t>
      </w:r>
      <w:r>
        <w:rPr>
          <w:rFonts w:hint="cs"/>
          <w:rtl/>
        </w:rPr>
        <w:t xml:space="preserve">", היינו </w:t>
      </w:r>
      <w:r>
        <w:rPr>
          <w:rtl/>
        </w:rPr>
        <w:t>–</w:t>
      </w:r>
      <w:r w:rsidRPr="003A4005">
        <w:rPr>
          <w:rFonts w:hint="cs"/>
          <w:rtl/>
        </w:rPr>
        <w:t xml:space="preserve"> </w:t>
      </w:r>
      <w:r>
        <w:rPr>
          <w:rFonts w:hint="cs"/>
          <w:rtl/>
        </w:rPr>
        <w:t xml:space="preserve">פרשנות תכליתית לפיה יש לפרש את החוק, מבין האפשרויות המעוגנות בלשון החוק, בהתאם לפרשנות המביאה להגשמת תכלית החקיקה (ע"א 165/82 </w:t>
      </w:r>
      <w:r w:rsidRPr="00554B70">
        <w:rPr>
          <w:rFonts w:ascii="Century" w:hAnsi="Century" w:cs="Miriam" w:hint="cs"/>
          <w:b/>
          <w:spacing w:val="0"/>
          <w:sz w:val="22"/>
          <w:szCs w:val="24"/>
          <w:rtl/>
        </w:rPr>
        <w:t>קיבוץ חצור נ' פקיד שומה רחובות</w:t>
      </w:r>
      <w:r>
        <w:rPr>
          <w:rFonts w:hint="cs"/>
          <w:rtl/>
        </w:rPr>
        <w:t xml:space="preserve">, פ"ד לט(2) 70, 75, 77 (1985); וראו גם: </w:t>
      </w:r>
      <w:r w:rsidRPr="009617DB">
        <w:rPr>
          <w:rFonts w:ascii="Century" w:hAnsi="Century" w:hint="eastAsia"/>
          <w:sz w:val="22"/>
          <w:rtl/>
        </w:rPr>
        <w:t>דנ</w:t>
      </w:r>
      <w:r w:rsidRPr="009617DB">
        <w:rPr>
          <w:rFonts w:ascii="Century" w:hAnsi="Century"/>
          <w:sz w:val="22"/>
          <w:rtl/>
        </w:rPr>
        <w:t xml:space="preserve">"א 3962/93 </w:t>
      </w:r>
      <w:r w:rsidRPr="009617DB">
        <w:rPr>
          <w:rFonts w:ascii="Century" w:hAnsi="Century" w:cs="Miriam"/>
          <w:b/>
          <w:spacing w:val="0"/>
          <w:sz w:val="22"/>
          <w:szCs w:val="24"/>
          <w:rtl/>
        </w:rPr>
        <w:t>מינץ נ' פקיד השומה למפעלים גדולים</w:t>
      </w:r>
      <w:r w:rsidRPr="009617DB">
        <w:rPr>
          <w:rFonts w:ascii="Century" w:hAnsi="Century"/>
          <w:sz w:val="22"/>
          <w:rtl/>
        </w:rPr>
        <w:t>, פ"ד נ</w:t>
      </w:r>
      <w:r w:rsidRPr="009617DB">
        <w:rPr>
          <w:rFonts w:ascii="Century" w:hAnsi="Century" w:hint="cs"/>
          <w:sz w:val="22"/>
          <w:rtl/>
        </w:rPr>
        <w:t>(</w:t>
      </w:r>
      <w:r>
        <w:rPr>
          <w:rFonts w:hint="cs"/>
          <w:rtl/>
        </w:rPr>
        <w:t xml:space="preserve">4) 831, 817 (1996), להלן: ענין </w:t>
      </w:r>
      <w:r>
        <w:rPr>
          <w:rFonts w:ascii="Century" w:hAnsi="Century" w:cs="Miriam" w:hint="cs"/>
          <w:b/>
          <w:spacing w:val="0"/>
          <w:sz w:val="22"/>
          <w:szCs w:val="24"/>
          <w:rtl/>
        </w:rPr>
        <w:t>מינץ</w:t>
      </w:r>
      <w:r>
        <w:rPr>
          <w:rFonts w:hint="cs"/>
          <w:rtl/>
        </w:rPr>
        <w:t xml:space="preserve">; ע"א 4271/00 </w:t>
      </w:r>
      <w:r w:rsidRPr="00554B70">
        <w:rPr>
          <w:rFonts w:ascii="Century" w:hAnsi="Century" w:cs="Miriam" w:hint="cs"/>
          <w:b/>
          <w:spacing w:val="0"/>
          <w:sz w:val="22"/>
          <w:szCs w:val="24"/>
          <w:rtl/>
        </w:rPr>
        <w:t>מ.ל. השקעות ופיתוח בע"מ נ' מנהל מס שבח מקרקעין</w:t>
      </w:r>
      <w:r>
        <w:rPr>
          <w:rFonts w:hint="cs"/>
          <w:rtl/>
        </w:rPr>
        <w:t>, פ"ד נז(2) 953, 958 (2003);</w:t>
      </w:r>
      <w:r w:rsidRPr="009617DB">
        <w:rPr>
          <w:rFonts w:hint="cs"/>
          <w:rtl/>
        </w:rPr>
        <w:t xml:space="preserve"> </w:t>
      </w:r>
      <w:r>
        <w:rPr>
          <w:rFonts w:hint="cs"/>
          <w:rtl/>
        </w:rPr>
        <w:t xml:space="preserve">ע"א 900/01 </w:t>
      </w:r>
      <w:r w:rsidRPr="00554B70">
        <w:rPr>
          <w:rFonts w:ascii="Century" w:hAnsi="Century" w:cs="Miriam" w:hint="cs"/>
          <w:b/>
          <w:spacing w:val="0"/>
          <w:sz w:val="22"/>
          <w:szCs w:val="24"/>
          <w:rtl/>
        </w:rPr>
        <w:t>קלס נ' פקיד שומה תל-אביב 4</w:t>
      </w:r>
      <w:r>
        <w:rPr>
          <w:rFonts w:hint="cs"/>
          <w:rtl/>
        </w:rPr>
        <w:t xml:space="preserve">, פ"ד נז(3) 750, 759 (2003); ע"א 8570/06 </w:t>
      </w:r>
      <w:r>
        <w:rPr>
          <w:rFonts w:ascii="Century" w:hAnsi="Century" w:cs="Miriam" w:hint="cs"/>
          <w:b/>
          <w:spacing w:val="0"/>
          <w:sz w:val="22"/>
          <w:szCs w:val="24"/>
          <w:rtl/>
        </w:rPr>
        <w:t>פקיד שומה תל אביב נ' בז'ה</w:t>
      </w:r>
      <w:r>
        <w:rPr>
          <w:rFonts w:ascii="Century" w:hAnsi="Century" w:hint="cs"/>
          <w:sz w:val="22"/>
          <w:rtl/>
        </w:rPr>
        <w:t xml:space="preserve">, פסקאות כט-ל (12.3.2009); </w:t>
      </w:r>
      <w:r>
        <w:rPr>
          <w:rFonts w:hint="cs"/>
          <w:rtl/>
        </w:rPr>
        <w:t xml:space="preserve">וע"א 2308/08 </w:t>
      </w:r>
      <w:r>
        <w:rPr>
          <w:rFonts w:ascii="Century" w:hAnsi="Century" w:cs="Miriam" w:hint="cs"/>
          <w:b/>
          <w:spacing w:val="0"/>
          <w:sz w:val="22"/>
          <w:szCs w:val="24"/>
          <w:rtl/>
        </w:rPr>
        <w:t>פקיד שומה ירושלים נ' שלו</w:t>
      </w:r>
      <w:r>
        <w:rPr>
          <w:rFonts w:ascii="Century" w:hAnsi="Century" w:hint="cs"/>
          <w:sz w:val="22"/>
          <w:rtl/>
        </w:rPr>
        <w:t xml:space="preserve">, פסקה 26 (18.11.2010), להלן: </w:t>
      </w:r>
      <w:r>
        <w:rPr>
          <w:rFonts w:ascii="Century" w:hAnsi="Century" w:cs="Miriam" w:hint="cs"/>
          <w:b/>
          <w:spacing w:val="0"/>
          <w:sz w:val="22"/>
          <w:szCs w:val="24"/>
          <w:rtl/>
        </w:rPr>
        <w:t>ענין שלו</w:t>
      </w:r>
      <w:r>
        <w:rPr>
          <w:rFonts w:ascii="Century" w:hAnsi="Century" w:hint="cs"/>
          <w:sz w:val="22"/>
          <w:rtl/>
        </w:rPr>
        <w:t>;</w:t>
      </w:r>
      <w:r w:rsidRPr="000A10E6">
        <w:rPr>
          <w:rFonts w:hint="cs"/>
          <w:rtl/>
        </w:rPr>
        <w:t xml:space="preserve"> </w:t>
      </w:r>
      <w:r>
        <w:rPr>
          <w:rFonts w:hint="cs"/>
          <w:rtl/>
        </w:rPr>
        <w:t xml:space="preserve">ולהרחבה ראו אהרן ברק "פרשנות דיני המסים" </w:t>
      </w:r>
      <w:r>
        <w:rPr>
          <w:rFonts w:ascii="Century" w:hAnsi="Century" w:cs="Miriam" w:hint="cs"/>
          <w:b/>
          <w:spacing w:val="0"/>
          <w:sz w:val="22"/>
          <w:szCs w:val="24"/>
          <w:rtl/>
        </w:rPr>
        <w:t xml:space="preserve">משפטים </w:t>
      </w:r>
      <w:r w:rsidRPr="00054F16">
        <w:rPr>
          <w:rFonts w:ascii="Century" w:hAnsi="Century" w:hint="cs"/>
          <w:sz w:val="22"/>
          <w:rtl/>
        </w:rPr>
        <w:t>כח</w:t>
      </w:r>
      <w:r>
        <w:rPr>
          <w:rFonts w:ascii="Century" w:hAnsi="Century" w:cs="Miriam" w:hint="cs"/>
          <w:b/>
          <w:spacing w:val="0"/>
          <w:sz w:val="22"/>
          <w:szCs w:val="24"/>
          <w:rtl/>
        </w:rPr>
        <w:t xml:space="preserve"> </w:t>
      </w:r>
      <w:r>
        <w:rPr>
          <w:rFonts w:ascii="Century" w:hAnsi="Century" w:hint="cs"/>
          <w:sz w:val="22"/>
          <w:rtl/>
        </w:rPr>
        <w:t xml:space="preserve">425 (התשנ"ז); </w:t>
      </w:r>
      <w:r>
        <w:rPr>
          <w:rFonts w:hint="cs"/>
          <w:rtl/>
        </w:rPr>
        <w:t xml:space="preserve">אהרן נמדר </w:t>
      </w:r>
      <w:r>
        <w:rPr>
          <w:rFonts w:ascii="Century" w:hAnsi="Century" w:cs="Miriam" w:hint="cs"/>
          <w:b/>
          <w:spacing w:val="0"/>
          <w:sz w:val="22"/>
          <w:szCs w:val="24"/>
          <w:rtl/>
        </w:rPr>
        <w:t xml:space="preserve">מס הכנסה [יסודות ועיקרים] </w:t>
      </w:r>
      <w:r>
        <w:rPr>
          <w:rFonts w:ascii="Century" w:hAnsi="Century" w:hint="cs"/>
          <w:sz w:val="22"/>
          <w:rtl/>
        </w:rPr>
        <w:t>48-42 (מהדורה רביעית 2013)</w:t>
      </w:r>
      <w:r>
        <w:rPr>
          <w:rFonts w:hint="cs"/>
          <w:rtl/>
        </w:rPr>
        <w:t xml:space="preserve">, להלן: </w:t>
      </w:r>
      <w:r>
        <w:rPr>
          <w:rFonts w:ascii="Century" w:hAnsi="Century" w:cs="Miriam" w:hint="cs"/>
          <w:b/>
          <w:spacing w:val="0"/>
          <w:sz w:val="22"/>
          <w:szCs w:val="24"/>
          <w:rtl/>
        </w:rPr>
        <w:t>נמדר - מס הכנסה</w:t>
      </w:r>
      <w:r>
        <w:rPr>
          <w:rFonts w:ascii="Century" w:hAnsi="Century" w:hint="cs"/>
          <w:sz w:val="22"/>
          <w:rtl/>
        </w:rPr>
        <w:t>)</w:t>
      </w:r>
      <w:r>
        <w:rPr>
          <w:rFonts w:hint="cs"/>
          <w:rtl/>
        </w:rPr>
        <w:t>.</w:t>
      </w:r>
    </w:p>
    <w:p w:rsidR="00A75A37" w:rsidRDefault="00A75A37" w:rsidP="00A75A37">
      <w:pPr>
        <w:pStyle w:val="Ruller4"/>
        <w:numPr>
          <w:ilvl w:val="0"/>
          <w:numId w:val="0"/>
        </w:numPr>
        <w:rPr>
          <w:rtl/>
        </w:rPr>
      </w:pPr>
    </w:p>
    <w:p w:rsidR="00A75A37" w:rsidRDefault="00A75A37" w:rsidP="00A75A37">
      <w:pPr>
        <w:pStyle w:val="Ruller4"/>
        <w:numPr>
          <w:ilvl w:val="0"/>
          <w:numId w:val="0"/>
        </w:numPr>
        <w:ind w:firstLine="720"/>
        <w:rPr>
          <w:rtl/>
        </w:rPr>
      </w:pPr>
      <w:r>
        <w:rPr>
          <w:rFonts w:hint="cs"/>
          <w:rtl/>
        </w:rPr>
        <w:t>ראוי להזכיר לענין זה גם את הוראת סעיף 245(א) לפקודה, האוסרת בין היתר הענקת  פטור או הקלה ממס "</w:t>
      </w:r>
      <w:r w:rsidRPr="00951381">
        <w:rPr>
          <w:rFonts w:ascii="Century" w:hAnsi="Century" w:cs="Miriam" w:hint="cs"/>
          <w:b/>
          <w:spacing w:val="0"/>
          <w:sz w:val="22"/>
          <w:szCs w:val="24"/>
          <w:rtl/>
        </w:rPr>
        <w:t>אלא אם נקבעו במפורש בחוק או מכוח סמכות מוגדרת בחוק</w:t>
      </w:r>
      <w:r>
        <w:rPr>
          <w:rFonts w:hint="cs"/>
          <w:rtl/>
        </w:rPr>
        <w:t>"</w:t>
      </w:r>
      <w:r w:rsidRPr="00951381">
        <w:rPr>
          <w:rFonts w:hint="cs"/>
          <w:rtl/>
        </w:rPr>
        <w:t>.</w:t>
      </w:r>
      <w:r>
        <w:rPr>
          <w:rFonts w:hint="cs"/>
          <w:rtl/>
        </w:rPr>
        <w:t xml:space="preserve"> ולענין זה נפסק כי הענקת פטור ממס נדרשת להוראת חוק ברורה ולבחינה קפדנית, וכי "</w:t>
      </w:r>
      <w:r w:rsidRPr="00BE4037">
        <w:rPr>
          <w:spacing w:val="6"/>
          <w:rtl/>
        </w:rPr>
        <w:t>מן התובע פטור או הקלה נתבע כי יצביע על הוראת</w:t>
      </w:r>
      <w:r w:rsidRPr="00BE4037">
        <w:rPr>
          <w:spacing w:val="6"/>
          <w:position w:val="4"/>
          <w:sz w:val="18"/>
          <w:rtl/>
        </w:rPr>
        <w:t>-</w:t>
      </w:r>
      <w:r w:rsidRPr="00BE4037">
        <w:rPr>
          <w:spacing w:val="6"/>
          <w:rtl/>
        </w:rPr>
        <w:t>חוק המדברת בלשון צחה וברורה על פטור או הקלה</w:t>
      </w:r>
      <w:r>
        <w:rPr>
          <w:rFonts w:hint="cs"/>
          <w:rtl/>
        </w:rPr>
        <w:t>" (</w:t>
      </w:r>
      <w:r w:rsidRPr="00BE4037">
        <w:rPr>
          <w:rtl/>
        </w:rPr>
        <w:t>בג</w:t>
      </w:r>
      <w:r>
        <w:rPr>
          <w:rFonts w:hint="cs"/>
          <w:rtl/>
        </w:rPr>
        <w:t>"</w:t>
      </w:r>
      <w:r w:rsidRPr="00BE4037">
        <w:rPr>
          <w:rtl/>
        </w:rPr>
        <w:t>ץ 4140/95 </w:t>
      </w:r>
      <w:r w:rsidRPr="00BE4037">
        <w:rPr>
          <w:rFonts w:ascii="Century" w:hAnsi="Century" w:cs="Miriam"/>
          <w:b/>
          <w:spacing w:val="0"/>
          <w:sz w:val="22"/>
          <w:szCs w:val="24"/>
          <w:rtl/>
        </w:rPr>
        <w:t>סופרפארם (ישראל) בע"מ נ</w:t>
      </w:r>
      <w:r>
        <w:rPr>
          <w:rFonts w:ascii="Century" w:hAnsi="Century" w:cs="Miriam" w:hint="cs"/>
          <w:b/>
          <w:spacing w:val="0"/>
          <w:sz w:val="22"/>
          <w:szCs w:val="24"/>
          <w:rtl/>
        </w:rPr>
        <w:t xml:space="preserve">' </w:t>
      </w:r>
      <w:r w:rsidRPr="00BE4037">
        <w:rPr>
          <w:rFonts w:ascii="Century" w:hAnsi="Century" w:cs="Miriam"/>
          <w:b/>
          <w:spacing w:val="0"/>
          <w:sz w:val="22"/>
          <w:szCs w:val="24"/>
          <w:rtl/>
        </w:rPr>
        <w:t>מנהל המכס ומע"מ</w:t>
      </w:r>
      <w:r w:rsidRPr="00BE4037">
        <w:rPr>
          <w:rFonts w:hint="cs"/>
          <w:rtl/>
        </w:rPr>
        <w:t>,</w:t>
      </w:r>
      <w:r>
        <w:rPr>
          <w:rFonts w:hint="cs"/>
          <w:rtl/>
        </w:rPr>
        <w:t xml:space="preserve"> פ"ד </w:t>
      </w:r>
      <w:r w:rsidRPr="00BE4037">
        <w:rPr>
          <w:rtl/>
        </w:rPr>
        <w:t>נד(1) 49</w:t>
      </w:r>
      <w:r>
        <w:rPr>
          <w:rFonts w:hint="cs"/>
          <w:rtl/>
        </w:rPr>
        <w:t xml:space="preserve">, 82 (1999), להלן: ענין </w:t>
      </w:r>
      <w:r w:rsidRPr="00BE4037">
        <w:rPr>
          <w:rFonts w:ascii="Century" w:hAnsi="Century" w:cs="Miriam" w:hint="cs"/>
          <w:b/>
          <w:spacing w:val="0"/>
          <w:sz w:val="22"/>
          <w:szCs w:val="24"/>
          <w:rtl/>
        </w:rPr>
        <w:t>סופרפארם</w:t>
      </w:r>
      <w:r>
        <w:rPr>
          <w:rFonts w:hint="cs"/>
          <w:rtl/>
        </w:rPr>
        <w:t xml:space="preserve">). זאת, שכן פטור או הקלה במס לנישום פלוני, או לקבוצת נישומים, פירושם הכבדה במיסוי על שאר הנישומים, או קיצוץ בשירותים הציבוריים הממומנים על ידי אותו מס </w:t>
      </w:r>
      <w:r>
        <w:rPr>
          <w:rFonts w:hint="cs"/>
          <w:spacing w:val="6"/>
          <w:rtl/>
        </w:rPr>
        <w:t>(</w:t>
      </w:r>
      <w:r w:rsidRPr="00D160B5">
        <w:rPr>
          <w:spacing w:val="6"/>
          <w:rtl/>
        </w:rPr>
        <w:t>בג</w:t>
      </w:r>
      <w:r>
        <w:rPr>
          <w:rFonts w:hint="cs"/>
          <w:spacing w:val="6"/>
          <w:rtl/>
        </w:rPr>
        <w:t>"</w:t>
      </w:r>
      <w:r w:rsidRPr="00D160B5">
        <w:rPr>
          <w:spacing w:val="6"/>
          <w:rtl/>
        </w:rPr>
        <w:t>ץ 6741/99 </w:t>
      </w:r>
      <w:r w:rsidRPr="00D160B5">
        <w:rPr>
          <w:rFonts w:ascii="Miriam" w:hAnsi="Miriam" w:cs="Miriam"/>
          <w:spacing w:val="0"/>
          <w:szCs w:val="24"/>
          <w:rtl/>
        </w:rPr>
        <w:t>יקותיאלי</w:t>
      </w:r>
      <w:r w:rsidRPr="00D160B5">
        <w:rPr>
          <w:rFonts w:ascii="Miriam" w:hAnsi="Miriam" w:cs="Miriam" w:hint="cs"/>
          <w:spacing w:val="0"/>
          <w:szCs w:val="24"/>
          <w:rtl/>
        </w:rPr>
        <w:t xml:space="preserve"> נ'</w:t>
      </w:r>
      <w:r w:rsidRPr="00D160B5">
        <w:rPr>
          <w:rFonts w:ascii="Miriam" w:hAnsi="Miriam" w:cs="Miriam"/>
          <w:spacing w:val="0"/>
          <w:szCs w:val="24"/>
          <w:rtl/>
        </w:rPr>
        <w:t> </w:t>
      </w:r>
      <w:r w:rsidRPr="00D160B5">
        <w:rPr>
          <w:rFonts w:ascii="Miriam" w:hAnsi="Miriam" w:cs="Miriam" w:hint="cs"/>
          <w:spacing w:val="0"/>
          <w:szCs w:val="24"/>
          <w:rtl/>
        </w:rPr>
        <w:t>ש</w:t>
      </w:r>
      <w:r w:rsidRPr="00D160B5">
        <w:rPr>
          <w:rFonts w:ascii="Miriam" w:hAnsi="Miriam" w:cs="Miriam"/>
          <w:spacing w:val="0"/>
          <w:szCs w:val="24"/>
          <w:rtl/>
        </w:rPr>
        <w:t>ר הפנים</w:t>
      </w:r>
      <w:r>
        <w:rPr>
          <w:rFonts w:hint="cs"/>
          <w:spacing w:val="6"/>
          <w:rtl/>
        </w:rPr>
        <w:t>, פ"ד</w:t>
      </w:r>
      <w:r w:rsidRPr="00D160B5">
        <w:rPr>
          <w:spacing w:val="6"/>
        </w:rPr>
        <w:t xml:space="preserve"> </w:t>
      </w:r>
      <w:r w:rsidRPr="00D160B5">
        <w:rPr>
          <w:spacing w:val="6"/>
          <w:rtl/>
        </w:rPr>
        <w:t>נה(3) 673</w:t>
      </w:r>
      <w:r>
        <w:rPr>
          <w:rFonts w:hint="cs"/>
          <w:spacing w:val="6"/>
          <w:rtl/>
        </w:rPr>
        <w:t>, 688-685 (2001) והאסמכתאות הנוספות הנזכרות שם).</w:t>
      </w:r>
    </w:p>
    <w:p w:rsidR="00A75A37" w:rsidRPr="000812CB" w:rsidRDefault="00A75A37" w:rsidP="00A75A37">
      <w:pPr>
        <w:pStyle w:val="Ruller41"/>
        <w:rPr>
          <w:rtl/>
        </w:rPr>
      </w:pPr>
    </w:p>
    <w:p w:rsidR="00A75A37" w:rsidRDefault="00A75A37" w:rsidP="00A75A37">
      <w:pPr>
        <w:pStyle w:val="Ruller4"/>
      </w:pPr>
      <w:r>
        <w:rPr>
          <w:rFonts w:hint="cs"/>
          <w:rtl/>
        </w:rPr>
        <w:t xml:space="preserve">כמצוין לעיל, עיקר טענת המערער היא כי הכרעת בית המשפט קמא סותרת את "תורת המקור", שכן יש לראות בכספים שהוענקו לו כמתנות שאינן בגדר מקור ואינן חייבות במס. </w:t>
      </w:r>
    </w:p>
    <w:p w:rsidR="00A75A37" w:rsidRDefault="00A75A37" w:rsidP="00A75A37">
      <w:pPr>
        <w:pStyle w:val="Ruller4"/>
        <w:numPr>
          <w:ilvl w:val="0"/>
          <w:numId w:val="0"/>
        </w:numPr>
      </w:pPr>
      <w:r>
        <w:rPr>
          <w:rFonts w:hint="cs"/>
          <w:rtl/>
        </w:rPr>
        <w:t xml:space="preserve"> </w:t>
      </w:r>
    </w:p>
    <w:p w:rsidR="00A75A37" w:rsidRDefault="00A75A37" w:rsidP="00A75A37">
      <w:pPr>
        <w:pStyle w:val="Ruller4"/>
        <w:rPr>
          <w:rtl/>
        </w:rPr>
      </w:pPr>
      <w:r>
        <w:rPr>
          <w:rFonts w:hint="cs"/>
          <w:rtl/>
        </w:rPr>
        <w:t xml:space="preserve">על תורת המקור, מקורותיה, משמעויותיה והביקורת עליה, נכתב רבות בפסיקתו של בית משפט זה ובספרות המשפטית, ואין צורך לחזור ולהאריך בכך כאן מעבר לנדרש לענייננו (ראו לאחרונה סקירה מפורטת בע"א 9488/16 </w:t>
      </w:r>
      <w:r w:rsidRPr="000A5B8A">
        <w:rPr>
          <w:rFonts w:ascii="Century" w:hAnsi="Century" w:cs="Miriam" w:hint="cs"/>
          <w:b/>
          <w:spacing w:val="0"/>
          <w:sz w:val="22"/>
          <w:szCs w:val="24"/>
          <w:rtl/>
        </w:rPr>
        <w:t>קרצ'מר נ' פקיד שומה ירושלים</w:t>
      </w:r>
      <w:r w:rsidRPr="00A2715A">
        <w:rPr>
          <w:rFonts w:hint="cs"/>
          <w:rtl/>
        </w:rPr>
        <w:t>,</w:t>
      </w:r>
      <w:r>
        <w:rPr>
          <w:rFonts w:ascii="Century" w:hAnsi="Century" w:cs="Miriam" w:hint="cs"/>
          <w:b/>
          <w:spacing w:val="0"/>
          <w:sz w:val="22"/>
          <w:szCs w:val="24"/>
          <w:rtl/>
        </w:rPr>
        <w:t xml:space="preserve"> </w:t>
      </w:r>
      <w:r>
        <w:rPr>
          <w:rFonts w:hint="cs"/>
          <w:rtl/>
        </w:rPr>
        <w:t>(9.10.2018), ב</w:t>
      </w:r>
      <w:r w:rsidRPr="00A2715A">
        <w:rPr>
          <w:rFonts w:hint="cs"/>
          <w:rtl/>
        </w:rPr>
        <w:t>פסקאות 24-13</w:t>
      </w:r>
      <w:r>
        <w:rPr>
          <w:rFonts w:hint="cs"/>
          <w:rtl/>
        </w:rPr>
        <w:t xml:space="preserve"> </w:t>
      </w:r>
      <w:r>
        <w:rPr>
          <w:rFonts w:ascii="Century" w:hAnsi="Century" w:hint="cs"/>
          <w:sz w:val="22"/>
          <w:rtl/>
        </w:rPr>
        <w:t xml:space="preserve">לחוות דעתו של השופט הנדל, להלן: ענין </w:t>
      </w:r>
      <w:r>
        <w:rPr>
          <w:rFonts w:ascii="Century" w:hAnsi="Century" w:cs="Miriam" w:hint="cs"/>
          <w:b/>
          <w:spacing w:val="0"/>
          <w:sz w:val="22"/>
          <w:szCs w:val="24"/>
          <w:rtl/>
        </w:rPr>
        <w:t>קרצ'מר</w:t>
      </w:r>
      <w:r>
        <w:rPr>
          <w:rFonts w:hint="cs"/>
          <w:rtl/>
        </w:rPr>
        <w:t xml:space="preserve">. וכן ראו: ענין </w:t>
      </w:r>
      <w:r>
        <w:rPr>
          <w:rFonts w:ascii="Century" w:hAnsi="Century" w:cs="Miriam" w:hint="cs"/>
          <w:b/>
          <w:spacing w:val="0"/>
          <w:sz w:val="22"/>
          <w:szCs w:val="24"/>
          <w:rtl/>
        </w:rPr>
        <w:t>מינץ</w:t>
      </w:r>
      <w:r>
        <w:rPr>
          <w:rFonts w:hint="cs"/>
          <w:rtl/>
        </w:rPr>
        <w:t>, 827-825</w:t>
      </w:r>
      <w:r>
        <w:rPr>
          <w:rFonts w:ascii="Century" w:hAnsi="Century" w:hint="cs"/>
          <w:sz w:val="22"/>
          <w:rtl/>
        </w:rPr>
        <w:t xml:space="preserve">; בג"ץ 2105/06 </w:t>
      </w:r>
      <w:r w:rsidRPr="00432ED6">
        <w:rPr>
          <w:rFonts w:ascii="Century" w:hAnsi="Century" w:cs="Miriam" w:hint="cs"/>
          <w:b/>
          <w:spacing w:val="0"/>
          <w:sz w:val="22"/>
          <w:szCs w:val="24"/>
          <w:rtl/>
        </w:rPr>
        <w:t>כהן נ' המוסד לביטוח לאומי</w:t>
      </w:r>
      <w:r>
        <w:rPr>
          <w:rFonts w:ascii="Century" w:hAnsi="Century" w:hint="cs"/>
          <w:sz w:val="22"/>
          <w:rtl/>
        </w:rPr>
        <w:t xml:space="preserve">, </w:t>
      </w:r>
      <w:r>
        <w:rPr>
          <w:rFonts w:ascii="Century" w:hAnsi="Century" w:hint="cs"/>
          <w:sz w:val="22"/>
          <w:rtl/>
        </w:rPr>
        <w:lastRenderedPageBreak/>
        <w:t xml:space="preserve">פסקאות 27-24 (26.7.2010), להלן: ענין </w:t>
      </w:r>
      <w:r w:rsidRPr="008F1E0E">
        <w:rPr>
          <w:rFonts w:ascii="Century" w:hAnsi="Century" w:cs="Miriam" w:hint="cs"/>
          <w:b/>
          <w:spacing w:val="0"/>
          <w:sz w:val="22"/>
          <w:szCs w:val="24"/>
          <w:rtl/>
        </w:rPr>
        <w:t>כהן</w:t>
      </w:r>
      <w:r>
        <w:rPr>
          <w:rFonts w:ascii="Century" w:hAnsi="Century" w:hint="cs"/>
          <w:sz w:val="22"/>
          <w:rtl/>
        </w:rPr>
        <w:t>;</w:t>
      </w:r>
      <w:r w:rsidRPr="00A2715A">
        <w:rPr>
          <w:rFonts w:ascii="Century" w:hAnsi="Century" w:hint="cs"/>
          <w:sz w:val="22"/>
          <w:rtl/>
        </w:rPr>
        <w:t xml:space="preserve"> </w:t>
      </w:r>
      <w:r w:rsidRPr="00874425">
        <w:rPr>
          <w:rFonts w:ascii="Century" w:hAnsi="Century" w:hint="cs"/>
          <w:sz w:val="22"/>
          <w:rtl/>
        </w:rPr>
        <w:t xml:space="preserve">ע"א 9187/06 </w:t>
      </w:r>
      <w:r w:rsidRPr="00874425">
        <w:rPr>
          <w:rFonts w:ascii="Century" w:hAnsi="Century" w:cs="Miriam" w:hint="cs"/>
          <w:b/>
          <w:spacing w:val="0"/>
          <w:sz w:val="22"/>
          <w:szCs w:val="24"/>
          <w:rtl/>
        </w:rPr>
        <w:t>מגיד נ' פקיד שומה פתח תקוה</w:t>
      </w:r>
      <w:r w:rsidRPr="00874425">
        <w:rPr>
          <w:rFonts w:ascii="Century" w:hAnsi="Century" w:hint="cs"/>
          <w:sz w:val="22"/>
          <w:rtl/>
        </w:rPr>
        <w:t xml:space="preserve">, פסקאות 18-17 (16.3.2009), להלן: ענין </w:t>
      </w:r>
      <w:r w:rsidRPr="00874425">
        <w:rPr>
          <w:rFonts w:ascii="Century" w:hAnsi="Century" w:cs="Miriam" w:hint="cs"/>
          <w:b/>
          <w:spacing w:val="0"/>
          <w:sz w:val="22"/>
          <w:szCs w:val="24"/>
          <w:rtl/>
        </w:rPr>
        <w:t>מגיד</w:t>
      </w:r>
      <w:r w:rsidRPr="00874425">
        <w:rPr>
          <w:rFonts w:ascii="Century" w:hAnsi="Century" w:hint="cs"/>
          <w:sz w:val="22"/>
          <w:rtl/>
        </w:rPr>
        <w:t xml:space="preserve">; ע"א 1834/07 </w:t>
      </w:r>
      <w:r w:rsidRPr="00874425">
        <w:rPr>
          <w:rFonts w:ascii="Century" w:hAnsi="Century" w:cs="Miriam" w:hint="cs"/>
          <w:b/>
          <w:spacing w:val="0"/>
          <w:sz w:val="22"/>
          <w:szCs w:val="24"/>
          <w:rtl/>
        </w:rPr>
        <w:t>קרן נ' פקיד שומה גוש דן</w:t>
      </w:r>
      <w:r w:rsidRPr="00874425">
        <w:rPr>
          <w:rFonts w:ascii="Century" w:hAnsi="Century" w:hint="cs"/>
          <w:sz w:val="22"/>
          <w:rtl/>
        </w:rPr>
        <w:t>,</w:t>
      </w:r>
      <w:r w:rsidRPr="00874425">
        <w:rPr>
          <w:rFonts w:ascii="Century" w:hAnsi="Century" w:cs="Miriam" w:hint="cs"/>
          <w:b/>
          <w:spacing w:val="0"/>
          <w:sz w:val="22"/>
          <w:szCs w:val="24"/>
          <w:rtl/>
        </w:rPr>
        <w:t xml:space="preserve"> </w:t>
      </w:r>
      <w:r w:rsidRPr="00874425">
        <w:rPr>
          <w:rFonts w:ascii="Century" w:hAnsi="Century" w:hint="cs"/>
          <w:sz w:val="22"/>
          <w:rtl/>
        </w:rPr>
        <w:t xml:space="preserve">פ"ד סה(3) 636, 664 (2012), להלן: ענין </w:t>
      </w:r>
      <w:r w:rsidRPr="00874425">
        <w:rPr>
          <w:rFonts w:ascii="Century" w:hAnsi="Century" w:cs="Miriam" w:hint="cs"/>
          <w:b/>
          <w:spacing w:val="0"/>
          <w:sz w:val="22"/>
          <w:szCs w:val="24"/>
          <w:rtl/>
        </w:rPr>
        <w:t>קרן</w:t>
      </w:r>
      <w:r w:rsidRPr="00874425">
        <w:rPr>
          <w:rFonts w:hint="cs"/>
          <w:rtl/>
        </w:rPr>
        <w:t>);</w:t>
      </w:r>
      <w:r>
        <w:rPr>
          <w:rFonts w:hint="cs"/>
          <w:rtl/>
        </w:rPr>
        <w:t xml:space="preserve"> </w:t>
      </w:r>
      <w:r>
        <w:rPr>
          <w:rtl/>
        </w:rPr>
        <w:t>י</w:t>
      </w:r>
      <w:r>
        <w:rPr>
          <w:rFonts w:hint="cs"/>
          <w:rtl/>
        </w:rPr>
        <w:t>וסף מ</w:t>
      </w:r>
      <w:r>
        <w:rPr>
          <w:rtl/>
        </w:rPr>
        <w:t>' אדרעי, "דוקטרינת המקור</w:t>
      </w:r>
      <w:r>
        <w:rPr>
          <w:rFonts w:hint="cs"/>
          <w:rtl/>
        </w:rPr>
        <w:t xml:space="preserve"> -</w:t>
      </w:r>
      <w:r>
        <w:rPr>
          <w:rtl/>
        </w:rPr>
        <w:t xml:space="preserve"> </w:t>
      </w:r>
      <w:r>
        <w:rPr>
          <w:rtl/>
        </w:rPr>
        <w:softHyphen/>
        <w:t xml:space="preserve">סוף הדרך; על הגדרת המונח </w:t>
      </w:r>
      <w:r>
        <w:rPr>
          <w:rFonts w:hint="cs"/>
          <w:rtl/>
        </w:rPr>
        <w:t>'</w:t>
      </w:r>
      <w:r>
        <w:rPr>
          <w:rtl/>
        </w:rPr>
        <w:t>הכנסה</w:t>
      </w:r>
      <w:r>
        <w:rPr>
          <w:rFonts w:hint="cs"/>
          <w:rtl/>
        </w:rPr>
        <w:t>'</w:t>
      </w:r>
      <w:r>
        <w:rPr>
          <w:rtl/>
        </w:rPr>
        <w:t xml:space="preserve"> בדין הישראלי הנוהג" </w:t>
      </w:r>
      <w:r w:rsidRPr="000A5B8A">
        <w:rPr>
          <w:rFonts w:ascii="Century" w:hAnsi="Century" w:cs="Miriam"/>
          <w:b/>
          <w:spacing w:val="0"/>
          <w:sz w:val="22"/>
          <w:szCs w:val="24"/>
          <w:rtl/>
        </w:rPr>
        <w:t>משפטים</w:t>
      </w:r>
      <w:r>
        <w:rPr>
          <w:rtl/>
        </w:rPr>
        <w:t xml:space="preserve"> יז (תשמ"ז-מ"ח)</w:t>
      </w:r>
      <w:r>
        <w:rPr>
          <w:rFonts w:hint="cs"/>
          <w:rtl/>
        </w:rPr>
        <w:t xml:space="preserve"> 25, להלן: </w:t>
      </w:r>
      <w:r w:rsidRPr="006253C2">
        <w:rPr>
          <w:rFonts w:ascii="Century" w:hAnsi="Century" w:cs="Miriam" w:hint="cs"/>
          <w:b/>
          <w:spacing w:val="0"/>
          <w:sz w:val="22"/>
          <w:szCs w:val="24"/>
          <w:rtl/>
        </w:rPr>
        <w:t>אדרעי -</w:t>
      </w:r>
      <w:r>
        <w:rPr>
          <w:rFonts w:ascii="Century" w:hAnsi="Century" w:cs="Miriam" w:hint="cs"/>
          <w:b/>
          <w:spacing w:val="0"/>
          <w:sz w:val="22"/>
          <w:szCs w:val="24"/>
          <w:rtl/>
        </w:rPr>
        <w:t xml:space="preserve"> </w:t>
      </w:r>
      <w:r w:rsidRPr="006253C2">
        <w:rPr>
          <w:rFonts w:ascii="Century" w:hAnsi="Century" w:cs="Miriam" w:hint="cs"/>
          <w:b/>
          <w:spacing w:val="0"/>
          <w:sz w:val="22"/>
          <w:szCs w:val="24"/>
          <w:rtl/>
        </w:rPr>
        <w:t>דוקטרינת המקור</w:t>
      </w:r>
      <w:r>
        <w:rPr>
          <w:rFonts w:hint="cs"/>
          <w:rtl/>
        </w:rPr>
        <w:t xml:space="preserve">; </w:t>
      </w:r>
      <w:r>
        <w:rPr>
          <w:rFonts w:ascii="Century" w:hAnsi="Century" w:hint="cs"/>
          <w:sz w:val="22"/>
          <w:rtl/>
        </w:rPr>
        <w:t xml:space="preserve">יוסף גרוס </w:t>
      </w:r>
      <w:r w:rsidRPr="007B2628">
        <w:rPr>
          <w:rFonts w:ascii="Century" w:hAnsi="Century" w:cs="Miriam" w:hint="cs"/>
          <w:b/>
          <w:spacing w:val="0"/>
          <w:sz w:val="22"/>
          <w:szCs w:val="24"/>
          <w:rtl/>
        </w:rPr>
        <w:t>דיני המס החדשים</w:t>
      </w:r>
      <w:r>
        <w:rPr>
          <w:rFonts w:ascii="Century" w:hAnsi="Century" w:hint="cs"/>
          <w:sz w:val="22"/>
          <w:rtl/>
        </w:rPr>
        <w:t xml:space="preserve"> 45 (2003), להלן: </w:t>
      </w:r>
      <w:r w:rsidRPr="00B353E0">
        <w:rPr>
          <w:rFonts w:ascii="Miriam" w:hAnsi="Miriam" w:cs="Miriam" w:hint="cs"/>
          <w:spacing w:val="0"/>
          <w:szCs w:val="24"/>
          <w:rtl/>
        </w:rPr>
        <w:t>גרוס - דיני המס החדשים</w:t>
      </w:r>
      <w:r>
        <w:rPr>
          <w:rFonts w:ascii="Century" w:hAnsi="Century" w:hint="cs"/>
          <w:sz w:val="22"/>
          <w:rtl/>
        </w:rPr>
        <w:t>)</w:t>
      </w:r>
      <w:r>
        <w:rPr>
          <w:rFonts w:hint="cs"/>
          <w:rtl/>
        </w:rPr>
        <w:t xml:space="preserve">; </w:t>
      </w:r>
      <w:r>
        <w:rPr>
          <w:rtl/>
        </w:rPr>
        <w:t>ד"ר ד</w:t>
      </w:r>
      <w:r w:rsidRPr="000A5B8A">
        <w:rPr>
          <w:rFonts w:hint="cs"/>
          <w:rtl/>
        </w:rPr>
        <w:t xml:space="preserve">' </w:t>
      </w:r>
      <w:r w:rsidRPr="000A5B8A">
        <w:rPr>
          <w:rtl/>
        </w:rPr>
        <w:t>גליקסברג, "דוקטרינת המקור והמיסוי לאחר</w:t>
      </w:r>
      <w:r w:rsidRPr="000A5B8A">
        <w:rPr>
          <w:color w:val="0000FF"/>
          <w:rtl/>
        </w:rPr>
        <w:t xml:space="preserve"> </w:t>
      </w:r>
      <w:r>
        <w:rPr>
          <w:rtl/>
        </w:rPr>
        <w:t xml:space="preserve"> 'הפסקת המקור' - פתרון חלקי לבעיה מדומה" </w:t>
      </w:r>
      <w:r w:rsidRPr="000A5B8A">
        <w:rPr>
          <w:rFonts w:ascii="Century" w:hAnsi="Century" w:cs="Miriam"/>
          <w:b/>
          <w:spacing w:val="0"/>
          <w:sz w:val="22"/>
          <w:szCs w:val="24"/>
          <w:rtl/>
        </w:rPr>
        <w:t>משפטים</w:t>
      </w:r>
      <w:r>
        <w:rPr>
          <w:rtl/>
        </w:rPr>
        <w:t xml:space="preserve"> יח (תשמ"ח-מ"ט)</w:t>
      </w:r>
      <w:r>
        <w:rPr>
          <w:rFonts w:hint="cs"/>
          <w:rtl/>
        </w:rPr>
        <w:t xml:space="preserve"> 367).</w:t>
      </w:r>
    </w:p>
    <w:p w:rsidR="00A75A37" w:rsidRDefault="00A75A37" w:rsidP="00A75A37">
      <w:pPr>
        <w:pStyle w:val="Ruller41"/>
        <w:rPr>
          <w:rtl/>
        </w:rPr>
      </w:pPr>
    </w:p>
    <w:p w:rsidR="00A75A37" w:rsidRDefault="00A75A37" w:rsidP="00A75A37">
      <w:pPr>
        <w:pStyle w:val="Ruller4"/>
        <w:rPr>
          <w:rtl/>
        </w:rPr>
      </w:pPr>
      <w:r>
        <w:rPr>
          <w:rFonts w:hint="cs"/>
          <w:rtl/>
        </w:rPr>
        <w:t>"תורת המקור", ששורשיה במשפט האנגלי, ואשר על פיה מוטל מס הכנסה רק על תקבולים אותם ניתן לייחס לאחד מהמקורות המנויים בפקודה, עודנה עמנו, אף כי זוהרה הועם.</w:t>
      </w:r>
    </w:p>
    <w:p w:rsidR="00A75A37" w:rsidRDefault="00A75A37" w:rsidP="00A75A37">
      <w:pPr>
        <w:pStyle w:val="Ruller41"/>
        <w:rPr>
          <w:rtl/>
        </w:rPr>
      </w:pPr>
    </w:p>
    <w:p w:rsidR="00A75A37" w:rsidRDefault="00A75A37" w:rsidP="00A75A37">
      <w:pPr>
        <w:pStyle w:val="Ruller4"/>
        <w:numPr>
          <w:ilvl w:val="0"/>
          <w:numId w:val="0"/>
        </w:numPr>
        <w:ind w:firstLine="720"/>
        <w:rPr>
          <w:rStyle w:val="default"/>
          <w:rFonts w:ascii="FrankRuehl" w:hAnsi="FrankRuehl"/>
          <w:spacing w:val="6"/>
          <w:sz w:val="28"/>
          <w:rtl/>
        </w:rPr>
      </w:pPr>
      <w:r>
        <w:rPr>
          <w:rFonts w:hint="cs"/>
          <w:rtl/>
        </w:rPr>
        <w:t xml:space="preserve">נהוג להסביר את המושג "מקור" באמצעות המטאפורה של עץ ופירות. מקורה של ההכנסה (הפירות) הוא בעץ, שיש לו פוטנציאל להניב פירות באופן חוזר ונשנה. הפירות שמניב העץ (המקור) הם ההכנסה שנובעת ממנו. על כן הכנסה שנובעת ממכירת ה"פירות" מכונה "הכנסה פירותית", בעוד שהכנסה הנובעת ממכירת המקור שמפיק את ההכנסה, קרי העץ עצמו, מכונה "הכנסה הונית" (ראו למשל, ע"א 9412/03 </w:t>
      </w:r>
      <w:r>
        <w:rPr>
          <w:rFonts w:ascii="Century" w:hAnsi="Century" w:cs="Miriam" w:hint="cs"/>
          <w:b/>
          <w:spacing w:val="0"/>
          <w:sz w:val="22"/>
          <w:szCs w:val="24"/>
          <w:rtl/>
        </w:rPr>
        <w:t>חזן נ' פקיד שומה, נתניה</w:t>
      </w:r>
      <w:r>
        <w:rPr>
          <w:rFonts w:ascii="Century" w:hAnsi="Century" w:hint="cs"/>
          <w:sz w:val="22"/>
          <w:rtl/>
        </w:rPr>
        <w:t>, פ"ד נט(5) 538, 550-549 (2005)</w:t>
      </w:r>
      <w:r>
        <w:rPr>
          <w:rFonts w:hint="cs"/>
          <w:rtl/>
        </w:rPr>
        <w:t xml:space="preserve">, להלן: ענין </w:t>
      </w:r>
      <w:r>
        <w:rPr>
          <w:rFonts w:ascii="Century" w:hAnsi="Century" w:cs="Miriam" w:hint="cs"/>
          <w:b/>
          <w:spacing w:val="0"/>
          <w:sz w:val="22"/>
          <w:szCs w:val="24"/>
          <w:rtl/>
        </w:rPr>
        <w:t>חזן</w:t>
      </w:r>
      <w:r>
        <w:rPr>
          <w:rFonts w:hint="cs"/>
          <w:rtl/>
        </w:rPr>
        <w:t xml:space="preserve">; ענין </w:t>
      </w:r>
      <w:r w:rsidRPr="00AA53A1">
        <w:rPr>
          <w:rFonts w:ascii="Century" w:hAnsi="Century" w:cs="Miriam" w:hint="cs"/>
          <w:b/>
          <w:spacing w:val="0"/>
          <w:sz w:val="22"/>
          <w:szCs w:val="24"/>
          <w:rtl/>
        </w:rPr>
        <w:t>מגיד</w:t>
      </w:r>
      <w:r>
        <w:rPr>
          <w:rFonts w:hint="cs"/>
          <w:rtl/>
        </w:rPr>
        <w:t>, פסקה 18;</w:t>
      </w:r>
      <w:r w:rsidRPr="006D2C7D">
        <w:rPr>
          <w:rFonts w:hint="cs"/>
          <w:rtl/>
        </w:rPr>
        <w:t xml:space="preserve"> </w:t>
      </w:r>
      <w:r>
        <w:rPr>
          <w:rFonts w:hint="cs"/>
          <w:rtl/>
        </w:rPr>
        <w:t xml:space="preserve">ענין </w:t>
      </w:r>
      <w:r w:rsidRPr="004A67FB">
        <w:rPr>
          <w:rFonts w:ascii="Century" w:hAnsi="Century" w:cs="Miriam" w:hint="cs"/>
          <w:b/>
          <w:spacing w:val="0"/>
          <w:sz w:val="22"/>
          <w:szCs w:val="24"/>
          <w:rtl/>
        </w:rPr>
        <w:t>קרן</w:t>
      </w:r>
      <w:r>
        <w:rPr>
          <w:rFonts w:ascii="Century" w:hAnsi="Century" w:hint="cs"/>
          <w:sz w:val="22"/>
          <w:rtl/>
        </w:rPr>
        <w:t>, 665;</w:t>
      </w:r>
      <w:r>
        <w:rPr>
          <w:rFonts w:hint="cs"/>
          <w:rtl/>
        </w:rPr>
        <w:t xml:space="preserve"> ע"א 7204/15 </w:t>
      </w:r>
      <w:r w:rsidRPr="00C32055">
        <w:rPr>
          <w:rFonts w:ascii="Century" w:hAnsi="Century" w:cs="Miriam" w:hint="cs"/>
          <w:b/>
          <w:spacing w:val="0"/>
          <w:sz w:val="22"/>
          <w:szCs w:val="24"/>
          <w:rtl/>
        </w:rPr>
        <w:t>פקיד שומה תל אביב 4 נ' עיזבון המנוחה לשם</w:t>
      </w:r>
      <w:r>
        <w:rPr>
          <w:rFonts w:hint="cs"/>
          <w:rtl/>
        </w:rPr>
        <w:t>,</w:t>
      </w:r>
      <w:r w:rsidRPr="00C32055">
        <w:rPr>
          <w:rFonts w:hint="cs"/>
          <w:rtl/>
        </w:rPr>
        <w:t xml:space="preserve"> </w:t>
      </w:r>
      <w:r>
        <w:rPr>
          <w:rFonts w:hint="cs"/>
          <w:rtl/>
        </w:rPr>
        <w:t xml:space="preserve">פסקה 27 לחוות דעתו של השופט מינץ (2.1.2018)). לענין הגדרת הכנסה כפירותית, יודגש כי אין הכרח שההכנסה תחזור על עצמה בפועל, אלא די בפוטנציאל לחזרה, ועל כן גם הכנסה חד-פעמית עשויה להיחשב בנסיבות מסוימות כהכנסה חייבת במס (ענין </w:t>
      </w:r>
      <w:r>
        <w:rPr>
          <w:rFonts w:ascii="Century" w:hAnsi="Century" w:cs="Miriam" w:hint="cs"/>
          <w:b/>
          <w:spacing w:val="0"/>
          <w:sz w:val="22"/>
          <w:szCs w:val="24"/>
          <w:rtl/>
        </w:rPr>
        <w:t>קרן</w:t>
      </w:r>
      <w:r>
        <w:rPr>
          <w:rFonts w:hint="cs"/>
          <w:rtl/>
        </w:rPr>
        <w:t>, 665), כפי העולה גם מסעיף 2(1) סיפא לגבי הכנסה "</w:t>
      </w:r>
      <w:r w:rsidRPr="00042156">
        <w:rPr>
          <w:rStyle w:val="default"/>
          <w:rFonts w:ascii="FrankRuehl" w:hAnsi="FrankRuehl" w:hint="cs"/>
          <w:spacing w:val="6"/>
          <w:sz w:val="28"/>
          <w:rtl/>
        </w:rPr>
        <w:t>מ</w:t>
      </w:r>
      <w:r w:rsidRPr="00042156">
        <w:rPr>
          <w:rStyle w:val="default"/>
          <w:rFonts w:ascii="FrankRuehl" w:hAnsi="FrankRuehl"/>
          <w:spacing w:val="6"/>
          <w:sz w:val="28"/>
          <w:rtl/>
        </w:rPr>
        <w:t>ע</w:t>
      </w:r>
      <w:r w:rsidRPr="00042156">
        <w:rPr>
          <w:rStyle w:val="default"/>
          <w:rFonts w:ascii="FrankRuehl" w:hAnsi="FrankRuehl" w:hint="cs"/>
          <w:spacing w:val="6"/>
          <w:sz w:val="28"/>
          <w:rtl/>
        </w:rPr>
        <w:t>ס</w:t>
      </w:r>
      <w:r w:rsidRPr="00042156">
        <w:rPr>
          <w:rStyle w:val="default"/>
          <w:rFonts w:ascii="FrankRuehl" w:hAnsi="FrankRuehl"/>
          <w:spacing w:val="6"/>
          <w:sz w:val="28"/>
          <w:rtl/>
        </w:rPr>
        <w:t>ק</w:t>
      </w:r>
      <w:r w:rsidRPr="00042156">
        <w:rPr>
          <w:rStyle w:val="default"/>
          <w:rFonts w:ascii="FrankRuehl" w:hAnsi="FrankRuehl" w:hint="cs"/>
          <w:spacing w:val="6"/>
          <w:sz w:val="28"/>
          <w:rtl/>
        </w:rPr>
        <w:t>ה או מעסק אקראי בעלי אופ</w:t>
      </w:r>
      <w:r w:rsidRPr="00042156">
        <w:rPr>
          <w:rStyle w:val="default"/>
          <w:rFonts w:ascii="FrankRuehl" w:hAnsi="FrankRuehl"/>
          <w:spacing w:val="6"/>
          <w:sz w:val="28"/>
          <w:rtl/>
        </w:rPr>
        <w:t>י</w:t>
      </w:r>
      <w:r w:rsidRPr="00042156">
        <w:rPr>
          <w:rStyle w:val="default"/>
          <w:rFonts w:ascii="FrankRuehl" w:hAnsi="FrankRuehl" w:hint="cs"/>
          <w:spacing w:val="6"/>
          <w:sz w:val="28"/>
          <w:rtl/>
        </w:rPr>
        <w:t xml:space="preserve"> מס</w:t>
      </w:r>
      <w:r w:rsidRPr="00042156">
        <w:rPr>
          <w:rStyle w:val="default"/>
          <w:rFonts w:ascii="FrankRuehl" w:hAnsi="FrankRuehl"/>
          <w:spacing w:val="6"/>
          <w:sz w:val="28"/>
          <w:rtl/>
        </w:rPr>
        <w:t>ח</w:t>
      </w:r>
      <w:r w:rsidRPr="00042156">
        <w:rPr>
          <w:rStyle w:val="default"/>
          <w:rFonts w:ascii="FrankRuehl" w:hAnsi="FrankRuehl" w:hint="cs"/>
          <w:spacing w:val="6"/>
          <w:sz w:val="28"/>
          <w:rtl/>
        </w:rPr>
        <w:t>רי</w:t>
      </w:r>
      <w:r>
        <w:rPr>
          <w:rStyle w:val="default"/>
          <w:rFonts w:ascii="FrankRuehl" w:hAnsi="FrankRuehl" w:hint="cs"/>
          <w:spacing w:val="6"/>
          <w:sz w:val="28"/>
          <w:rtl/>
        </w:rPr>
        <w:t>".</w:t>
      </w:r>
    </w:p>
    <w:p w:rsidR="00A75A37" w:rsidRPr="008002F1" w:rsidRDefault="00A75A37" w:rsidP="00A75A37">
      <w:pPr>
        <w:pStyle w:val="Ruller41"/>
        <w:rPr>
          <w:rtl/>
        </w:rPr>
      </w:pPr>
    </w:p>
    <w:p w:rsidR="00A75A37" w:rsidRDefault="00A75A37" w:rsidP="00A75A37">
      <w:pPr>
        <w:pStyle w:val="Ruller4"/>
        <w:rPr>
          <w:rtl/>
        </w:rPr>
      </w:pPr>
      <w:r>
        <w:rPr>
          <w:rFonts w:hint="cs"/>
          <w:rtl/>
        </w:rPr>
        <w:t>סעיף 2 לפקודה, שכותרתו "מקורות הכנסה", מונה בפסקאות (1) עד (9) את רשימת המקורות הספציפיים שהכנסה מהם חייבת במס הכנסה; ובפסקה (10) - גם הכנסה "</w:t>
      </w:r>
      <w:r w:rsidRPr="00042156">
        <w:rPr>
          <w:rStyle w:val="default"/>
          <w:rFonts w:ascii="FrankRuehl" w:hAnsi="FrankRuehl" w:hint="cs"/>
          <w:spacing w:val="6"/>
          <w:sz w:val="28"/>
          <w:rtl/>
        </w:rPr>
        <w:t>מכל מקור אחר</w:t>
      </w:r>
      <w:r>
        <w:rPr>
          <w:rStyle w:val="default"/>
          <w:rFonts w:ascii="FrankRuehl" w:hAnsi="FrankRuehl" w:hint="cs"/>
          <w:spacing w:val="6"/>
          <w:sz w:val="28"/>
          <w:rtl/>
        </w:rPr>
        <w:t xml:space="preserve">". </w:t>
      </w:r>
      <w:r w:rsidRPr="00042156">
        <w:rPr>
          <w:rStyle w:val="default"/>
          <w:rFonts w:ascii="FrankRuehl" w:hAnsi="FrankRuehl" w:hint="cs"/>
          <w:spacing w:val="6"/>
          <w:sz w:val="28"/>
          <w:rtl/>
        </w:rPr>
        <w:t xml:space="preserve"> </w:t>
      </w:r>
      <w:r>
        <w:rPr>
          <w:rFonts w:hint="cs"/>
          <w:rtl/>
        </w:rPr>
        <w:t xml:space="preserve">הרשימה של המקורות הספציפיים כוללת בין היתר הכנסה מעסק או ממשלח יד; מעבודה; מדיבידנד, ריבית והפרשי הצמדה; מגמלה; מדמי שכירות; מחקלאות; ומזכויות יוצרים. מקובל לחלק את מקורות ההכנסה שסעיף 2 מונה למקורות מהם מופקת הכנסה באופן אקטיבי מיגיעה אישית, ולמקורות מהם מופקת הכנסה באופן פסיבי, כתשואה על הון מושקע </w:t>
      </w:r>
      <w:r w:rsidRPr="003D6EC4">
        <w:rPr>
          <w:rFonts w:hint="cs"/>
          <w:rtl/>
        </w:rPr>
        <w:t>(</w:t>
      </w:r>
      <w:r>
        <w:rPr>
          <w:rFonts w:hint="cs"/>
          <w:rtl/>
        </w:rPr>
        <w:t xml:space="preserve">ענין </w:t>
      </w:r>
      <w:r w:rsidRPr="0038168D">
        <w:rPr>
          <w:rFonts w:ascii="Century" w:hAnsi="Century" w:cs="Miriam" w:hint="cs"/>
          <w:b/>
          <w:spacing w:val="0"/>
          <w:sz w:val="22"/>
          <w:szCs w:val="24"/>
          <w:rtl/>
        </w:rPr>
        <w:t>מגיד</w:t>
      </w:r>
      <w:r>
        <w:rPr>
          <w:rFonts w:hint="cs"/>
          <w:rtl/>
        </w:rPr>
        <w:t>, פסקה</w:t>
      </w:r>
      <w:r w:rsidRPr="003D6EC4">
        <w:rPr>
          <w:rFonts w:hint="cs"/>
          <w:rtl/>
        </w:rPr>
        <w:t xml:space="preserve"> 19</w:t>
      </w:r>
      <w:r>
        <w:rPr>
          <w:rFonts w:hint="cs"/>
          <w:rtl/>
        </w:rPr>
        <w:t xml:space="preserve">; ע"א 10251/05 </w:t>
      </w:r>
      <w:r w:rsidRPr="006A457B">
        <w:rPr>
          <w:rFonts w:ascii="Century" w:hAnsi="Century" w:cs="Miriam" w:hint="cs"/>
          <w:b/>
          <w:spacing w:val="0"/>
          <w:sz w:val="22"/>
          <w:szCs w:val="24"/>
          <w:rtl/>
        </w:rPr>
        <w:t>ברשף אילת בע"מ נ' פקיד שומה אילת</w:t>
      </w:r>
      <w:r>
        <w:rPr>
          <w:rFonts w:hint="cs"/>
          <w:rtl/>
        </w:rPr>
        <w:t xml:space="preserve">, פסקה 9 (19.12.2007); ענין </w:t>
      </w:r>
      <w:r>
        <w:rPr>
          <w:rFonts w:ascii="Century" w:hAnsi="Century" w:cs="Miriam" w:hint="cs"/>
          <w:b/>
          <w:spacing w:val="0"/>
          <w:sz w:val="22"/>
          <w:szCs w:val="24"/>
          <w:rtl/>
        </w:rPr>
        <w:t>קרצ'מר</w:t>
      </w:r>
      <w:r>
        <w:rPr>
          <w:rFonts w:hint="cs"/>
          <w:rtl/>
        </w:rPr>
        <w:t xml:space="preserve"> פסקה 17 לחוות דעת השופט הנדל).</w:t>
      </w:r>
    </w:p>
    <w:p w:rsidR="00A75A37" w:rsidRPr="00FE5D13" w:rsidRDefault="00A75A37" w:rsidP="00A75A37">
      <w:pPr>
        <w:pStyle w:val="Ruller41"/>
        <w:rPr>
          <w:rtl/>
        </w:rPr>
      </w:pPr>
    </w:p>
    <w:p w:rsidR="00A75A37" w:rsidRDefault="00A75A37" w:rsidP="00A75A37">
      <w:pPr>
        <w:pStyle w:val="Ruller4"/>
        <w:rPr>
          <w:rtl/>
        </w:rPr>
      </w:pPr>
      <w:r>
        <w:rPr>
          <w:rFonts w:hint="cs"/>
          <w:rtl/>
        </w:rPr>
        <w:t xml:space="preserve">כאמור, לצד המקורות הספציפיים המנויים  בפסקאות (1) עד (9), קובע סעיף 2(10) לפקודה מקור נוסף, והוא: </w:t>
      </w:r>
    </w:p>
    <w:p w:rsidR="00A75A37" w:rsidRDefault="00A75A37" w:rsidP="00A75A37">
      <w:pPr>
        <w:pStyle w:val="Ruller41"/>
        <w:rPr>
          <w:rtl/>
        </w:rPr>
      </w:pPr>
    </w:p>
    <w:p w:rsidR="00A75A37" w:rsidRPr="00521DDF" w:rsidRDefault="00A75A37" w:rsidP="00090D71">
      <w:pPr>
        <w:pStyle w:val="Ruller5"/>
        <w:spacing w:line="276" w:lineRule="auto"/>
        <w:rPr>
          <w:rStyle w:val="default"/>
          <w:rFonts w:ascii="FrankRuehl" w:hAnsi="FrankRuehl" w:cs="FrankRuehl"/>
          <w:spacing w:val="6"/>
          <w:sz w:val="28"/>
          <w:szCs w:val="28"/>
          <w:rtl/>
        </w:rPr>
      </w:pPr>
      <w:r w:rsidRPr="00521DDF">
        <w:rPr>
          <w:rStyle w:val="default"/>
          <w:rFonts w:ascii="FrankRuehl" w:hAnsi="FrankRuehl" w:cs="FrankRuehl" w:hint="cs"/>
          <w:spacing w:val="6"/>
          <w:sz w:val="28"/>
          <w:szCs w:val="28"/>
          <w:rtl/>
        </w:rPr>
        <w:t>"השתכרות או ריוו</w:t>
      </w:r>
      <w:r w:rsidRPr="00521DDF">
        <w:rPr>
          <w:rStyle w:val="default"/>
          <w:rFonts w:ascii="FrankRuehl" w:hAnsi="FrankRuehl" w:cs="FrankRuehl"/>
          <w:spacing w:val="6"/>
          <w:sz w:val="28"/>
          <w:szCs w:val="28"/>
          <w:rtl/>
        </w:rPr>
        <w:t>ח</w:t>
      </w:r>
      <w:r w:rsidRPr="00521DDF">
        <w:rPr>
          <w:rStyle w:val="default"/>
          <w:rFonts w:ascii="FrankRuehl" w:hAnsi="FrankRuehl" w:cs="FrankRuehl" w:hint="cs"/>
          <w:spacing w:val="6"/>
          <w:sz w:val="28"/>
          <w:szCs w:val="28"/>
          <w:rtl/>
        </w:rPr>
        <w:t xml:space="preserve"> מכל מקור אחר שאינו כלול</w:t>
      </w:r>
      <w:r w:rsidRPr="00521DDF">
        <w:rPr>
          <w:rStyle w:val="default"/>
          <w:rFonts w:ascii="FrankRuehl" w:hAnsi="FrankRuehl" w:cs="FrankRuehl"/>
          <w:spacing w:val="6"/>
          <w:sz w:val="28"/>
          <w:szCs w:val="28"/>
          <w:rtl/>
        </w:rPr>
        <w:t xml:space="preserve"> ב</w:t>
      </w:r>
      <w:r w:rsidRPr="00521DDF">
        <w:rPr>
          <w:rStyle w:val="default"/>
          <w:rFonts w:ascii="FrankRuehl" w:hAnsi="FrankRuehl" w:cs="FrankRuehl" w:hint="cs"/>
          <w:spacing w:val="6"/>
          <w:sz w:val="28"/>
          <w:szCs w:val="28"/>
          <w:rtl/>
        </w:rPr>
        <w:t>פס</w:t>
      </w:r>
      <w:r w:rsidRPr="00521DDF">
        <w:rPr>
          <w:rStyle w:val="default"/>
          <w:rFonts w:ascii="FrankRuehl" w:hAnsi="FrankRuehl" w:cs="FrankRuehl"/>
          <w:spacing w:val="6"/>
          <w:sz w:val="28"/>
          <w:szCs w:val="28"/>
          <w:rtl/>
        </w:rPr>
        <w:t>קא</w:t>
      </w:r>
      <w:r w:rsidRPr="00521DDF">
        <w:rPr>
          <w:rStyle w:val="default"/>
          <w:rFonts w:ascii="FrankRuehl" w:hAnsi="FrankRuehl" w:cs="FrankRuehl" w:hint="cs"/>
          <w:spacing w:val="6"/>
          <w:sz w:val="28"/>
          <w:szCs w:val="28"/>
          <w:rtl/>
        </w:rPr>
        <w:t>ות (1) עד (9), אך לא הוצ</w:t>
      </w:r>
      <w:r w:rsidRPr="00521DDF">
        <w:rPr>
          <w:rStyle w:val="default"/>
          <w:rFonts w:ascii="FrankRuehl" w:hAnsi="FrankRuehl" w:cs="FrankRuehl"/>
          <w:spacing w:val="6"/>
          <w:sz w:val="28"/>
          <w:szCs w:val="28"/>
          <w:rtl/>
        </w:rPr>
        <w:t>א</w:t>
      </w:r>
      <w:r w:rsidRPr="00521DDF">
        <w:rPr>
          <w:rStyle w:val="default"/>
          <w:rFonts w:ascii="FrankRuehl" w:hAnsi="FrankRuehl" w:cs="FrankRuehl" w:hint="cs"/>
          <w:spacing w:val="6"/>
          <w:sz w:val="28"/>
          <w:szCs w:val="28"/>
          <w:rtl/>
        </w:rPr>
        <w:t xml:space="preserve"> מה</w:t>
      </w:r>
      <w:r w:rsidRPr="00521DDF">
        <w:rPr>
          <w:rStyle w:val="default"/>
          <w:rFonts w:ascii="FrankRuehl" w:hAnsi="FrankRuehl" w:cs="FrankRuehl"/>
          <w:spacing w:val="6"/>
          <w:sz w:val="28"/>
          <w:szCs w:val="28"/>
          <w:rtl/>
        </w:rPr>
        <w:t>ם</w:t>
      </w:r>
      <w:r w:rsidRPr="00521DDF">
        <w:rPr>
          <w:rStyle w:val="default"/>
          <w:rFonts w:ascii="FrankRuehl" w:hAnsi="FrankRuehl" w:cs="FrankRuehl" w:hint="cs"/>
          <w:spacing w:val="6"/>
          <w:sz w:val="28"/>
          <w:szCs w:val="28"/>
          <w:rtl/>
        </w:rPr>
        <w:t xml:space="preserve"> בפ</w:t>
      </w:r>
      <w:r w:rsidRPr="00521DDF">
        <w:rPr>
          <w:rStyle w:val="default"/>
          <w:rFonts w:ascii="FrankRuehl" w:hAnsi="FrankRuehl" w:cs="FrankRuehl"/>
          <w:spacing w:val="6"/>
          <w:sz w:val="28"/>
          <w:szCs w:val="28"/>
          <w:rtl/>
        </w:rPr>
        <w:t>י</w:t>
      </w:r>
      <w:r w:rsidRPr="00521DDF">
        <w:rPr>
          <w:rStyle w:val="default"/>
          <w:rFonts w:ascii="FrankRuehl" w:hAnsi="FrankRuehl" w:cs="FrankRuehl" w:hint="cs"/>
          <w:spacing w:val="6"/>
          <w:sz w:val="28"/>
          <w:szCs w:val="28"/>
          <w:rtl/>
        </w:rPr>
        <w:t xml:space="preserve">רוש </w:t>
      </w:r>
      <w:r w:rsidRPr="00521DDF">
        <w:rPr>
          <w:rStyle w:val="default"/>
          <w:rFonts w:ascii="FrankRuehl" w:hAnsi="FrankRuehl" w:cs="FrankRuehl"/>
          <w:spacing w:val="6"/>
          <w:sz w:val="28"/>
          <w:szCs w:val="28"/>
          <w:rtl/>
        </w:rPr>
        <w:t>ולא</w:t>
      </w:r>
      <w:r w:rsidRPr="00521DDF">
        <w:rPr>
          <w:rStyle w:val="default"/>
          <w:rFonts w:ascii="FrankRuehl" w:hAnsi="FrankRuehl" w:cs="FrankRuehl" w:hint="cs"/>
          <w:spacing w:val="6"/>
          <w:sz w:val="28"/>
          <w:szCs w:val="28"/>
          <w:rtl/>
        </w:rPr>
        <w:t xml:space="preserve"> </w:t>
      </w:r>
      <w:r w:rsidRPr="00521DDF">
        <w:rPr>
          <w:rStyle w:val="default"/>
          <w:rFonts w:ascii="FrankRuehl" w:hAnsi="FrankRuehl" w:cs="FrankRuehl"/>
          <w:spacing w:val="6"/>
          <w:sz w:val="28"/>
          <w:szCs w:val="28"/>
          <w:rtl/>
        </w:rPr>
        <w:t>ניתן על</w:t>
      </w:r>
      <w:r w:rsidRPr="00521DDF">
        <w:rPr>
          <w:rStyle w:val="default"/>
          <w:rFonts w:ascii="FrankRuehl" w:hAnsi="FrankRuehl" w:cs="FrankRuehl" w:hint="cs"/>
          <w:spacing w:val="6"/>
          <w:sz w:val="28"/>
          <w:szCs w:val="28"/>
          <w:rtl/>
        </w:rPr>
        <w:t>י</w:t>
      </w:r>
      <w:r w:rsidRPr="00521DDF">
        <w:rPr>
          <w:rStyle w:val="default"/>
          <w:rFonts w:ascii="FrankRuehl" w:hAnsi="FrankRuehl" w:cs="FrankRuehl"/>
          <w:spacing w:val="6"/>
          <w:sz w:val="28"/>
          <w:szCs w:val="28"/>
          <w:rtl/>
        </w:rPr>
        <w:t>ו</w:t>
      </w:r>
      <w:r w:rsidRPr="00521DDF">
        <w:rPr>
          <w:rStyle w:val="default"/>
          <w:rFonts w:ascii="FrankRuehl" w:hAnsi="FrankRuehl" w:cs="FrankRuehl" w:hint="cs"/>
          <w:spacing w:val="6"/>
          <w:sz w:val="28"/>
          <w:szCs w:val="28"/>
          <w:rtl/>
        </w:rPr>
        <w:t xml:space="preserve"> </w:t>
      </w:r>
      <w:r w:rsidRPr="00521DDF">
        <w:rPr>
          <w:rStyle w:val="default"/>
          <w:rFonts w:ascii="FrankRuehl" w:hAnsi="FrankRuehl" w:cs="FrankRuehl"/>
          <w:spacing w:val="6"/>
          <w:sz w:val="28"/>
          <w:szCs w:val="28"/>
          <w:rtl/>
        </w:rPr>
        <w:t>פ</w:t>
      </w:r>
      <w:r w:rsidRPr="00521DDF">
        <w:rPr>
          <w:rStyle w:val="default"/>
          <w:rFonts w:ascii="FrankRuehl" w:hAnsi="FrankRuehl" w:cs="FrankRuehl" w:hint="cs"/>
          <w:spacing w:val="6"/>
          <w:sz w:val="28"/>
          <w:szCs w:val="28"/>
          <w:rtl/>
        </w:rPr>
        <w:t>טור בפ</w:t>
      </w:r>
      <w:r w:rsidRPr="00521DDF">
        <w:rPr>
          <w:rStyle w:val="default"/>
          <w:rFonts w:ascii="FrankRuehl" w:hAnsi="FrankRuehl" w:cs="FrankRuehl"/>
          <w:spacing w:val="6"/>
          <w:sz w:val="28"/>
          <w:szCs w:val="28"/>
          <w:rtl/>
        </w:rPr>
        <w:t>ק</w:t>
      </w:r>
      <w:r w:rsidRPr="00521DDF">
        <w:rPr>
          <w:rStyle w:val="default"/>
          <w:rFonts w:ascii="FrankRuehl" w:hAnsi="FrankRuehl" w:cs="FrankRuehl" w:hint="cs"/>
          <w:spacing w:val="6"/>
          <w:sz w:val="28"/>
          <w:szCs w:val="28"/>
          <w:rtl/>
        </w:rPr>
        <w:t>ודה זו או בכל דין אחר."</w:t>
      </w:r>
    </w:p>
    <w:p w:rsidR="00A75A37" w:rsidRPr="000B6A52" w:rsidRDefault="00A75A37" w:rsidP="00A75A37">
      <w:pPr>
        <w:pStyle w:val="Ruller41"/>
      </w:pPr>
    </w:p>
    <w:p w:rsidR="00A75A37" w:rsidRDefault="00A75A37" w:rsidP="00A75A37">
      <w:pPr>
        <w:pStyle w:val="Ruller4"/>
        <w:numPr>
          <w:ilvl w:val="0"/>
          <w:numId w:val="0"/>
        </w:numPr>
        <w:ind w:firstLine="720"/>
      </w:pPr>
      <w:r>
        <w:rPr>
          <w:rFonts w:hint="cs"/>
          <w:rtl/>
        </w:rPr>
        <w:t>סעיף 2(10), המכונה "</w:t>
      </w:r>
      <w:r w:rsidRPr="006253C2">
        <w:rPr>
          <w:rFonts w:ascii="Century" w:hAnsi="Century" w:cs="Miriam" w:hint="cs"/>
          <w:b/>
          <w:spacing w:val="0"/>
          <w:sz w:val="22"/>
          <w:szCs w:val="24"/>
          <w:rtl/>
        </w:rPr>
        <w:t>סעיף העוללות</w:t>
      </w:r>
      <w:r>
        <w:rPr>
          <w:rFonts w:hint="cs"/>
          <w:rtl/>
        </w:rPr>
        <w:t xml:space="preserve">", לא נכלל בנוסחה המקורי של הפקודה המנדטורית, והוא הוסף בתיקון משנת 1952. עם תיקון זה ירדה במידה רבה קרנה של תורת המקור, שכן מכוח סעיף העוללות אף הכנסה </w:t>
      </w:r>
      <w:r>
        <w:rPr>
          <w:rFonts w:ascii="Century" w:hAnsi="Century" w:cs="Miriam" w:hint="cs"/>
          <w:b/>
          <w:spacing w:val="0"/>
          <w:sz w:val="22"/>
          <w:szCs w:val="24"/>
          <w:rtl/>
        </w:rPr>
        <w:t>"</w:t>
      </w:r>
      <w:r w:rsidRPr="00747480">
        <w:rPr>
          <w:rFonts w:ascii="Century" w:hAnsi="Century" w:cs="Miriam" w:hint="cs"/>
          <w:b/>
          <w:spacing w:val="0"/>
          <w:sz w:val="22"/>
          <w:szCs w:val="24"/>
          <w:rtl/>
        </w:rPr>
        <w:t>מכל מקור אחר</w:t>
      </w:r>
      <w:r>
        <w:rPr>
          <w:rFonts w:ascii="Century" w:hAnsi="Century" w:cs="Miriam" w:hint="cs"/>
          <w:b/>
          <w:spacing w:val="0"/>
          <w:sz w:val="22"/>
          <w:szCs w:val="24"/>
          <w:rtl/>
        </w:rPr>
        <w:t>"</w:t>
      </w:r>
      <w:r>
        <w:rPr>
          <w:rFonts w:hint="cs"/>
          <w:rtl/>
        </w:rPr>
        <w:t xml:space="preserve">, אף שלא נכלל ברשימת המקורות הספציפיים שמנתה הפקודה, יחויב במס הכנסה (לסקירה על תכליתו, משמעותו והיקף תחולתו של סעיף העוללות </w:t>
      </w:r>
      <w:r>
        <w:rPr>
          <w:rtl/>
        </w:rPr>
        <w:t>–</w:t>
      </w:r>
      <w:r>
        <w:rPr>
          <w:rFonts w:hint="cs"/>
          <w:rtl/>
        </w:rPr>
        <w:t xml:space="preserve"> ראו בענין </w:t>
      </w:r>
      <w:r w:rsidRPr="006253C2">
        <w:rPr>
          <w:rFonts w:ascii="Century" w:hAnsi="Century" w:cs="Miriam" w:hint="cs"/>
          <w:b/>
          <w:spacing w:val="0"/>
          <w:sz w:val="22"/>
          <w:szCs w:val="24"/>
          <w:rtl/>
        </w:rPr>
        <w:t>קרצ'מר</w:t>
      </w:r>
      <w:r>
        <w:rPr>
          <w:rFonts w:hint="cs"/>
          <w:rtl/>
        </w:rPr>
        <w:t xml:space="preserve">, בפסקאות 21-19 לחוות דעת השופט הנדל, וכן בע"א 2640/11 </w:t>
      </w:r>
      <w:r w:rsidRPr="006253C2">
        <w:rPr>
          <w:rFonts w:ascii="Century" w:hAnsi="Century" w:cs="Miriam" w:hint="cs"/>
          <w:b/>
          <w:spacing w:val="0"/>
          <w:sz w:val="22"/>
          <w:szCs w:val="24"/>
          <w:rtl/>
        </w:rPr>
        <w:t xml:space="preserve">פקיד שומה חיפה נ' ניסים </w:t>
      </w:r>
      <w:r w:rsidRPr="006253C2">
        <w:rPr>
          <w:rFonts w:ascii="Century" w:hAnsi="Century" w:hint="cs"/>
          <w:sz w:val="22"/>
          <w:rtl/>
        </w:rPr>
        <w:t xml:space="preserve">(2.2.2014), בפסקאות 12-11 לחוות דעת המשנה לנשיא </w:t>
      </w:r>
      <w:r>
        <w:rPr>
          <w:rFonts w:ascii="Century" w:hAnsi="Century" w:hint="cs"/>
          <w:sz w:val="22"/>
          <w:rtl/>
        </w:rPr>
        <w:t xml:space="preserve">מ' </w:t>
      </w:r>
      <w:r w:rsidRPr="006253C2">
        <w:rPr>
          <w:rFonts w:ascii="Century" w:hAnsi="Century" w:hint="cs"/>
          <w:sz w:val="22"/>
          <w:rtl/>
        </w:rPr>
        <w:t>נאור</w:t>
      </w:r>
      <w:r>
        <w:rPr>
          <w:rFonts w:ascii="Century" w:hAnsi="Century" w:hint="cs"/>
          <w:sz w:val="22"/>
          <w:rtl/>
        </w:rPr>
        <w:t xml:space="preserve">, </w:t>
      </w:r>
      <w:r>
        <w:rPr>
          <w:rFonts w:hint="cs"/>
          <w:rtl/>
        </w:rPr>
        <w:t xml:space="preserve">והאסמכתאות הנזכרות שם). </w:t>
      </w:r>
    </w:p>
    <w:p w:rsidR="00A75A37" w:rsidRDefault="00A75A37" w:rsidP="00A75A37">
      <w:pPr>
        <w:pStyle w:val="Ruller4"/>
        <w:numPr>
          <w:ilvl w:val="0"/>
          <w:numId w:val="0"/>
        </w:numPr>
        <w:rPr>
          <w:rtl/>
        </w:rPr>
      </w:pPr>
    </w:p>
    <w:p w:rsidR="00A75A37" w:rsidRDefault="00A75A37" w:rsidP="00A75A37">
      <w:pPr>
        <w:pStyle w:val="Ruller4"/>
        <w:numPr>
          <w:ilvl w:val="0"/>
          <w:numId w:val="0"/>
        </w:numPr>
        <w:ind w:firstLine="720"/>
        <w:rPr>
          <w:rtl/>
        </w:rPr>
      </w:pPr>
      <w:r>
        <w:rPr>
          <w:rFonts w:hint="cs"/>
          <w:rtl/>
        </w:rPr>
        <w:t xml:space="preserve">חקיקת סעיף העוללות - לצד תיקונים נוספים לפקודה, כגון הוספת סעיף 2א המטיל מס על הגרלות, הימורים ופרסים, וסעיף 3 המחייב במס "הכנסות אחרות" </w:t>
      </w:r>
      <w:r>
        <w:rPr>
          <w:rtl/>
        </w:rPr>
        <w:t>–</w:t>
      </w:r>
      <w:r>
        <w:rPr>
          <w:rFonts w:hint="cs"/>
          <w:rtl/>
        </w:rPr>
        <w:t xml:space="preserve"> אכן שומטים מרכיב מרכזי מתורת המקור ומקרבים את שיטת המיסוי בישראל לשיטה של מס כולל הנהוגה בארצות הברית, לפיה כל "התעשרות" נחשבת להכנסה החייבת במס, אלא אם זכתה לפטור. עם זאת, אין בחקיקת סעיף 2(10) כדי לבטל את תורת המקור, ועדיין נותרה הדרישה לקיומו של "מקור", כלשהוא, היינו קיומו של עץ, המניב או העשוי להניב פירות באופן קבוע, שכן לפי סעיף 1 לפקודה, "הכנסה" מוגדרת כ- "</w:t>
      </w:r>
      <w:r w:rsidRPr="00CF04DA">
        <w:rPr>
          <w:rFonts w:hint="cs"/>
          <w:spacing w:val="6"/>
          <w:rtl/>
        </w:rPr>
        <w:t>סך כל הכנ</w:t>
      </w:r>
      <w:r w:rsidRPr="00CF04DA">
        <w:rPr>
          <w:spacing w:val="6"/>
          <w:rtl/>
        </w:rPr>
        <w:t>ס</w:t>
      </w:r>
      <w:r w:rsidRPr="00CF04DA">
        <w:rPr>
          <w:rFonts w:hint="cs"/>
          <w:spacing w:val="6"/>
          <w:rtl/>
        </w:rPr>
        <w:t>תו של אדם מן המקו</w:t>
      </w:r>
      <w:r w:rsidRPr="00CF04DA">
        <w:rPr>
          <w:spacing w:val="6"/>
          <w:rtl/>
        </w:rPr>
        <w:t>ר</w:t>
      </w:r>
      <w:r w:rsidRPr="00CF04DA">
        <w:rPr>
          <w:rFonts w:hint="cs"/>
          <w:spacing w:val="6"/>
          <w:rtl/>
        </w:rPr>
        <w:t>ו</w:t>
      </w:r>
      <w:r w:rsidRPr="00CF04DA">
        <w:rPr>
          <w:spacing w:val="6"/>
          <w:rtl/>
        </w:rPr>
        <w:t>ת</w:t>
      </w:r>
      <w:r w:rsidRPr="00CF04DA">
        <w:rPr>
          <w:rFonts w:hint="cs"/>
          <w:spacing w:val="6"/>
          <w:rtl/>
        </w:rPr>
        <w:t xml:space="preserve"> המפו</w:t>
      </w:r>
      <w:r w:rsidRPr="00CF04DA">
        <w:rPr>
          <w:spacing w:val="6"/>
          <w:rtl/>
        </w:rPr>
        <w:t>ר</w:t>
      </w:r>
      <w:r w:rsidRPr="00CF04DA">
        <w:rPr>
          <w:rFonts w:hint="cs"/>
          <w:spacing w:val="6"/>
          <w:rtl/>
        </w:rPr>
        <w:t>ש</w:t>
      </w:r>
      <w:r w:rsidRPr="00CF04DA">
        <w:rPr>
          <w:spacing w:val="6"/>
          <w:rtl/>
        </w:rPr>
        <w:t>י</w:t>
      </w:r>
      <w:r w:rsidRPr="00CF04DA">
        <w:rPr>
          <w:rFonts w:hint="cs"/>
          <w:spacing w:val="6"/>
          <w:rtl/>
        </w:rPr>
        <w:t>ם בסעיפים 2 ו-3, בצירוף סכומים שנקבע לגביהם בכל דין שדינם כהכנסה</w:t>
      </w:r>
      <w:r w:rsidRPr="00CF04DA">
        <w:rPr>
          <w:spacing w:val="6"/>
          <w:rtl/>
        </w:rPr>
        <w:t xml:space="preserve"> </w:t>
      </w:r>
      <w:r w:rsidRPr="00CF04DA">
        <w:rPr>
          <w:rFonts w:hint="cs"/>
          <w:spacing w:val="6"/>
          <w:rtl/>
        </w:rPr>
        <w:t>לענין פקודה זו"</w:t>
      </w:r>
      <w:r>
        <w:rPr>
          <w:rFonts w:hint="cs"/>
          <w:rtl/>
        </w:rPr>
        <w:t xml:space="preserve">, והגדרה זו היא חלק מהגדרת "הכנסה חייבת". מכאן, שאף כי פחתה החשיבות של הצבעה על מקור ספציפי, עדיין נותרה הדרישה לעצם קיומו של "מקור" להכנסה, שיכול להניב הכנסות דומות באופן חוזר ונשנה (ע"א 597/75 </w:t>
      </w:r>
      <w:r>
        <w:rPr>
          <w:rFonts w:ascii="Century" w:hAnsi="Century" w:cs="Miriam" w:hint="cs"/>
          <w:b/>
          <w:spacing w:val="0"/>
          <w:sz w:val="22"/>
          <w:szCs w:val="24"/>
          <w:rtl/>
        </w:rPr>
        <w:t>ברנשטיין נ' פקיד השומה, פתח-תקוה</w:t>
      </w:r>
      <w:r>
        <w:rPr>
          <w:rFonts w:ascii="Century" w:hAnsi="Century" w:hint="cs"/>
          <w:sz w:val="22"/>
          <w:rtl/>
        </w:rPr>
        <w:t xml:space="preserve">, פ"ד לא(3) 472, 475 (1977); </w:t>
      </w:r>
      <w:r>
        <w:rPr>
          <w:rFonts w:hint="cs"/>
          <w:rtl/>
        </w:rPr>
        <w:t xml:space="preserve">אהרן יורן "ארבעים שנה לדיני המסים" </w:t>
      </w:r>
      <w:r>
        <w:rPr>
          <w:rFonts w:ascii="Century" w:hAnsi="Century" w:cs="Miriam" w:hint="cs"/>
          <w:b/>
          <w:spacing w:val="0"/>
          <w:sz w:val="22"/>
          <w:szCs w:val="24"/>
          <w:rtl/>
        </w:rPr>
        <w:t>משפטים</w:t>
      </w:r>
      <w:r>
        <w:rPr>
          <w:rFonts w:ascii="Century" w:hAnsi="Century" w:hint="cs"/>
          <w:sz w:val="22"/>
          <w:rtl/>
        </w:rPr>
        <w:t xml:space="preserve"> יט 747, 763 (תש"ן), להלן: </w:t>
      </w:r>
      <w:r>
        <w:rPr>
          <w:rFonts w:ascii="Century" w:hAnsi="Century" w:cs="Miriam" w:hint="cs"/>
          <w:b/>
          <w:spacing w:val="0"/>
          <w:sz w:val="22"/>
          <w:szCs w:val="24"/>
          <w:rtl/>
        </w:rPr>
        <w:t>יורן - ארבעים שנה</w:t>
      </w:r>
      <w:r>
        <w:rPr>
          <w:rFonts w:ascii="Century" w:hAnsi="Century" w:hint="cs"/>
          <w:sz w:val="22"/>
          <w:rtl/>
        </w:rPr>
        <w:t>;</w:t>
      </w:r>
      <w:r>
        <w:rPr>
          <w:rFonts w:ascii="Century" w:hAnsi="Century" w:cs="Miriam" w:hint="cs"/>
          <w:b/>
          <w:spacing w:val="0"/>
          <w:sz w:val="22"/>
          <w:szCs w:val="24"/>
          <w:rtl/>
        </w:rPr>
        <w:t xml:space="preserve"> גרוס -</w:t>
      </w:r>
      <w:r>
        <w:rPr>
          <w:rFonts w:hint="cs"/>
          <w:rtl/>
        </w:rPr>
        <w:t xml:space="preserve"> </w:t>
      </w:r>
      <w:r>
        <w:rPr>
          <w:rFonts w:ascii="Century" w:hAnsi="Century" w:cs="Miriam" w:hint="cs"/>
          <w:b/>
          <w:spacing w:val="0"/>
          <w:sz w:val="22"/>
          <w:szCs w:val="24"/>
          <w:rtl/>
        </w:rPr>
        <w:t>דיני המס החדשים</w:t>
      </w:r>
      <w:r>
        <w:rPr>
          <w:rFonts w:hint="cs"/>
          <w:rtl/>
        </w:rPr>
        <w:t>, 232).</w:t>
      </w:r>
    </w:p>
    <w:p w:rsidR="00A75A37" w:rsidRDefault="00A75A37" w:rsidP="00A75A37">
      <w:pPr>
        <w:pStyle w:val="Ruller41"/>
        <w:rPr>
          <w:rtl/>
        </w:rPr>
      </w:pPr>
    </w:p>
    <w:p w:rsidR="00A75A37" w:rsidRPr="009E3BBB" w:rsidRDefault="00A75A37" w:rsidP="00A75A37">
      <w:pPr>
        <w:pStyle w:val="Ruller4"/>
        <w:rPr>
          <w:rtl/>
        </w:rPr>
      </w:pPr>
      <w:r>
        <w:rPr>
          <w:rFonts w:hint="cs"/>
          <w:rtl/>
        </w:rPr>
        <w:t xml:space="preserve">עוד יש לציין, כי לצד הוספת סעיף העוללות, וחיוב של מקורות הכנסה ספציפיים נוספים על ידי המחוקק, המקורות הספציפיים שנימנו בסעיף 2 לפקודה פורשו בפסיקה באופן רחב, ככוללים כמעט כל הכנסה של נישום אותה ניתן לייחס למקור </w:t>
      </w:r>
      <w:r>
        <w:rPr>
          <w:rFonts w:hint="cs"/>
          <w:rtl/>
        </w:rPr>
        <w:lastRenderedPageBreak/>
        <w:t>כלשהוא, להבדיל מתקבול מקרי וחד פעמי, כגון מציאה אקראית (</w:t>
      </w:r>
      <w:r w:rsidRPr="007A1D35">
        <w:rPr>
          <w:rFonts w:asciiTheme="minorHAnsi" w:hAnsiTheme="minorHAnsi" w:cstheme="minorHAnsi"/>
          <w:spacing w:val="0"/>
        </w:rPr>
        <w:t>windfall</w:t>
      </w:r>
      <w:r>
        <w:rPr>
          <w:rFonts w:hint="cs"/>
          <w:rtl/>
        </w:rPr>
        <w:t xml:space="preserve">) או מתנות אישיות בתום-לב, שלא בתמורה, בין קרובים (ענין </w:t>
      </w:r>
      <w:r w:rsidRPr="000B1045">
        <w:rPr>
          <w:rFonts w:ascii="Century" w:hAnsi="Century" w:cs="Miriam" w:hint="cs"/>
          <w:b/>
          <w:spacing w:val="0"/>
          <w:sz w:val="22"/>
          <w:szCs w:val="24"/>
          <w:rtl/>
        </w:rPr>
        <w:t>קרצ'מר</w:t>
      </w:r>
      <w:r>
        <w:rPr>
          <w:rFonts w:hint="cs"/>
          <w:rtl/>
        </w:rPr>
        <w:t xml:space="preserve">, פסקה 22 לחוות דעת השופט הנדל, פסקה 8 לחוות דעת השופט אלרון). במסגרת זו נקבע בפסיקה בין היתר כי סיווגם של תקבולים יעשה על פי בחינה כלכלית מהותית, ולא על פי שמם או צורתם הפורמלית במגמה להגשים את תכלית החקיקה ולמנוע "חורים" ברשת המיסוי  </w:t>
      </w:r>
      <w:r w:rsidRPr="009E3BBB">
        <w:rPr>
          <w:rFonts w:hint="cs"/>
          <w:rtl/>
        </w:rPr>
        <w:t xml:space="preserve">(ע"א 254/87 </w:t>
      </w:r>
      <w:r w:rsidRPr="009E3BBB">
        <w:rPr>
          <w:rFonts w:ascii="Century" w:hAnsi="Century" w:cs="Miriam" w:hint="cs"/>
          <w:b/>
          <w:spacing w:val="0"/>
          <w:sz w:val="22"/>
          <w:szCs w:val="24"/>
          <w:rtl/>
        </w:rPr>
        <w:t>סלפותי נ' פקיד השומה נצרת</w:t>
      </w:r>
      <w:r w:rsidRPr="009E3BBB">
        <w:rPr>
          <w:rFonts w:ascii="Century" w:hAnsi="Century" w:hint="cs"/>
          <w:sz w:val="22"/>
          <w:rtl/>
        </w:rPr>
        <w:t xml:space="preserve">, פ"ד מד(1) 714, 718 (1990), להלן: ענין </w:t>
      </w:r>
      <w:r w:rsidRPr="009E3BBB">
        <w:rPr>
          <w:rFonts w:ascii="Century" w:hAnsi="Century" w:cs="Miriam" w:hint="cs"/>
          <w:b/>
          <w:spacing w:val="0"/>
          <w:sz w:val="22"/>
          <w:szCs w:val="24"/>
          <w:rtl/>
        </w:rPr>
        <w:t>סלפותי</w:t>
      </w:r>
      <w:r w:rsidRPr="009E3BBB">
        <w:rPr>
          <w:rFonts w:hint="cs"/>
          <w:rtl/>
        </w:rPr>
        <w:t xml:space="preserve">; ע"א 533/89 </w:t>
      </w:r>
      <w:r w:rsidRPr="009E3BBB">
        <w:rPr>
          <w:rFonts w:ascii="Century" w:hAnsi="Century" w:cs="Miriam" w:hint="cs"/>
          <w:b/>
          <w:spacing w:val="0"/>
          <w:sz w:val="22"/>
          <w:szCs w:val="24"/>
          <w:rtl/>
        </w:rPr>
        <w:t>פקיד שומה למפעלים גדולים נ' זילברשטיין</w:t>
      </w:r>
      <w:r w:rsidRPr="009E3BBB">
        <w:rPr>
          <w:rFonts w:ascii="Century" w:hAnsi="Century" w:hint="cs"/>
          <w:sz w:val="22"/>
          <w:rtl/>
        </w:rPr>
        <w:t>, פ"ד מז(3) 376, 383-382 (1993);</w:t>
      </w:r>
      <w:r w:rsidRPr="009E3BBB">
        <w:rPr>
          <w:rFonts w:hint="cs"/>
          <w:rtl/>
        </w:rPr>
        <w:t xml:space="preserve"> ענין </w:t>
      </w:r>
      <w:r w:rsidRPr="009E3BBB">
        <w:rPr>
          <w:rFonts w:ascii="Century" w:hAnsi="Century" w:cs="Miriam" w:hint="cs"/>
          <w:b/>
          <w:spacing w:val="0"/>
          <w:sz w:val="22"/>
          <w:szCs w:val="24"/>
          <w:rtl/>
        </w:rPr>
        <w:t>מינץ</w:t>
      </w:r>
      <w:r w:rsidRPr="009E3BBB">
        <w:rPr>
          <w:rFonts w:ascii="Century" w:hAnsi="Century" w:hint="cs"/>
          <w:sz w:val="22"/>
          <w:rtl/>
        </w:rPr>
        <w:t>, 827</w:t>
      </w:r>
      <w:r w:rsidRPr="009E3BBB">
        <w:rPr>
          <w:rFonts w:hint="cs"/>
          <w:rtl/>
        </w:rPr>
        <w:t xml:space="preserve">; ענין </w:t>
      </w:r>
      <w:r w:rsidRPr="009E3BBB">
        <w:rPr>
          <w:rFonts w:ascii="Century" w:hAnsi="Century" w:cs="Miriam" w:hint="cs"/>
          <w:b/>
          <w:spacing w:val="0"/>
          <w:sz w:val="22"/>
          <w:szCs w:val="24"/>
          <w:rtl/>
        </w:rPr>
        <w:t>קרן</w:t>
      </w:r>
      <w:r w:rsidRPr="009E3BBB">
        <w:rPr>
          <w:rFonts w:ascii="Century" w:hAnsi="Century" w:hint="cs"/>
          <w:sz w:val="22"/>
          <w:rtl/>
        </w:rPr>
        <w:t>, 665)</w:t>
      </w:r>
      <w:r w:rsidRPr="009E3BBB">
        <w:rPr>
          <w:rtl/>
        </w:rPr>
        <w:tab/>
      </w:r>
    </w:p>
    <w:p w:rsidR="00A75A37" w:rsidRDefault="00A75A37" w:rsidP="00A75A37">
      <w:pPr>
        <w:pStyle w:val="Ruller41"/>
        <w:rPr>
          <w:rtl/>
        </w:rPr>
      </w:pPr>
    </w:p>
    <w:p w:rsidR="00A75A37" w:rsidRPr="000005A5" w:rsidRDefault="00A75A37" w:rsidP="00A75A37">
      <w:pPr>
        <w:pStyle w:val="Ruller41"/>
        <w:numPr>
          <w:ilvl w:val="0"/>
          <w:numId w:val="21"/>
        </w:numPr>
        <w:tabs>
          <w:tab w:val="clear" w:pos="1080"/>
        </w:tabs>
        <w:overflowPunct/>
        <w:autoSpaceDE/>
        <w:autoSpaceDN/>
        <w:adjustRightInd/>
        <w:ind w:left="799" w:hanging="284"/>
        <w:textAlignment w:val="auto"/>
        <w:rPr>
          <w:rFonts w:ascii="Miriam" w:hAnsi="Miriam" w:cs="Miriam"/>
          <w:sz w:val="24"/>
          <w:szCs w:val="24"/>
        </w:rPr>
      </w:pPr>
      <w:r>
        <w:rPr>
          <w:rFonts w:ascii="Century" w:hAnsi="Century" w:cs="Miriam" w:hint="cs"/>
          <w:b/>
          <w:spacing w:val="0"/>
          <w:szCs w:val="24"/>
          <w:rtl/>
        </w:rPr>
        <w:t>תשתית עובדתית</w:t>
      </w:r>
    </w:p>
    <w:p w:rsidR="00A75A37" w:rsidRDefault="00A75A37" w:rsidP="00A75A37">
      <w:pPr>
        <w:pStyle w:val="Ruller41"/>
        <w:rPr>
          <w:rFonts w:ascii="Century" w:hAnsi="Century" w:cs="Miriam"/>
          <w:b/>
          <w:spacing w:val="0"/>
          <w:szCs w:val="24"/>
          <w:rtl/>
        </w:rPr>
      </w:pPr>
    </w:p>
    <w:p w:rsidR="00A75A37" w:rsidRPr="00451123" w:rsidRDefault="00A75A37" w:rsidP="00A75A37">
      <w:pPr>
        <w:pStyle w:val="Ruller4"/>
      </w:pPr>
      <w:r>
        <w:rPr>
          <w:rFonts w:ascii="Century" w:hAnsi="Century" w:hint="cs"/>
          <w:sz w:val="22"/>
          <w:rtl/>
        </w:rPr>
        <w:t xml:space="preserve">מסקנתו של בית המשפט קמא כי התקבולים שהתקבלו אצל המערער בשנות המס הנדונות הם בגדר הכנסה חייבת במס, נסמכת על הממצאים העובדתיים שקבע על בסיס מסכת ראייתית נרחבת. בית המשפט קיים 15 דיונים בהם העידו ונחקרו עדים רבים, ובהם המערער עצמו, </w:t>
      </w:r>
      <w:r w:rsidRPr="006F54D5">
        <w:rPr>
          <w:rFonts w:ascii="Century" w:hAnsi="Century" w:hint="cs"/>
          <w:sz w:val="22"/>
          <w:rtl/>
        </w:rPr>
        <w:t xml:space="preserve">עוזרו, אוריאל בן חמו, </w:t>
      </w:r>
      <w:r>
        <w:rPr>
          <w:rFonts w:ascii="Century" w:hAnsi="Century" w:hint="cs"/>
          <w:sz w:val="22"/>
          <w:rtl/>
        </w:rPr>
        <w:t>ו</w:t>
      </w:r>
      <w:r w:rsidRPr="006F54D5">
        <w:rPr>
          <w:rFonts w:ascii="Century" w:hAnsi="Century" w:hint="cs"/>
          <w:sz w:val="22"/>
          <w:rtl/>
        </w:rPr>
        <w:t>פרופ' פדיה (</w:t>
      </w:r>
      <w:r>
        <w:rPr>
          <w:rFonts w:ascii="Century" w:hAnsi="Century" w:hint="cs"/>
          <w:sz w:val="22"/>
          <w:rtl/>
        </w:rPr>
        <w:t>ש</w:t>
      </w:r>
      <w:r w:rsidRPr="006F54D5">
        <w:rPr>
          <w:rFonts w:ascii="Century" w:hAnsi="Century" w:hint="cs"/>
          <w:sz w:val="22"/>
          <w:rtl/>
        </w:rPr>
        <w:t xml:space="preserve">חוות דעתה </w:t>
      </w:r>
      <w:r>
        <w:rPr>
          <w:rFonts w:ascii="Century" w:hAnsi="Century" w:hint="cs"/>
          <w:sz w:val="22"/>
          <w:rtl/>
        </w:rPr>
        <w:t>הוגשה</w:t>
      </w:r>
      <w:r w:rsidRPr="006F54D5">
        <w:rPr>
          <w:rFonts w:ascii="Century" w:hAnsi="Century" w:hint="cs"/>
          <w:sz w:val="22"/>
          <w:rtl/>
        </w:rPr>
        <w:t xml:space="preserve"> </w:t>
      </w:r>
      <w:r w:rsidRPr="00451123">
        <w:rPr>
          <w:rFonts w:ascii="Century" w:hAnsi="Century" w:hint="cs"/>
          <w:sz w:val="22"/>
          <w:rtl/>
        </w:rPr>
        <w:t xml:space="preserve">מטעמו של </w:t>
      </w:r>
      <w:r>
        <w:rPr>
          <w:rFonts w:ascii="Century" w:hAnsi="Century" w:hint="cs"/>
          <w:sz w:val="22"/>
          <w:rtl/>
        </w:rPr>
        <w:t>המערער</w:t>
      </w:r>
      <w:r w:rsidRPr="006F54D5">
        <w:rPr>
          <w:rFonts w:ascii="Century" w:hAnsi="Century" w:hint="cs"/>
          <w:sz w:val="22"/>
          <w:rtl/>
        </w:rPr>
        <w:t>)</w:t>
      </w:r>
      <w:r>
        <w:rPr>
          <w:rFonts w:ascii="Century" w:hAnsi="Century" w:hint="cs"/>
          <w:sz w:val="22"/>
          <w:rtl/>
        </w:rPr>
        <w:t>. פסק הדין כולל סקירה מפורטת של הראיות והעדויות, ודיון ראייתי מקיף (ראו בעיקר עמ' 47-12 לפסק הדין).</w:t>
      </w:r>
    </w:p>
    <w:p w:rsidR="00A75A37" w:rsidRDefault="00A75A37" w:rsidP="00A75A37">
      <w:pPr>
        <w:pStyle w:val="Ruller4"/>
        <w:numPr>
          <w:ilvl w:val="0"/>
          <w:numId w:val="0"/>
        </w:numPr>
        <w:rPr>
          <w:rtl/>
        </w:rPr>
      </w:pPr>
    </w:p>
    <w:p w:rsidR="00A75A37" w:rsidRPr="002D655E" w:rsidRDefault="00A75A37" w:rsidP="009E7983">
      <w:pPr>
        <w:pStyle w:val="Ruller4"/>
        <w:rPr>
          <w:rtl/>
        </w:rPr>
      </w:pPr>
      <w:r w:rsidRPr="006F54D5">
        <w:rPr>
          <w:rFonts w:ascii="Century" w:hAnsi="Century" w:hint="cs"/>
          <w:sz w:val="22"/>
          <w:rtl/>
        </w:rPr>
        <w:t xml:space="preserve">בית משפט קמא קבע </w:t>
      </w:r>
      <w:r w:rsidRPr="006E4639">
        <w:rPr>
          <w:rFonts w:ascii="Century" w:hAnsi="Century" w:hint="cs"/>
          <w:sz w:val="22"/>
          <w:rtl/>
        </w:rPr>
        <w:t xml:space="preserve">כממצא עובדתי, </w:t>
      </w:r>
      <w:r w:rsidRPr="006F54D5">
        <w:rPr>
          <w:rFonts w:ascii="Century" w:hAnsi="Century" w:hint="cs"/>
          <w:sz w:val="22"/>
          <w:rtl/>
        </w:rPr>
        <w:t xml:space="preserve">כי </w:t>
      </w:r>
      <w:r w:rsidR="009E7983">
        <w:rPr>
          <w:rFonts w:ascii="Century" w:hAnsi="Century" w:hint="cs"/>
          <w:sz w:val="22"/>
          <w:rtl/>
        </w:rPr>
        <w:t>מאמיניו</w:t>
      </w:r>
      <w:r w:rsidRPr="006F54D5">
        <w:rPr>
          <w:rFonts w:ascii="Century" w:hAnsi="Century" w:hint="cs"/>
          <w:sz w:val="22"/>
          <w:rtl/>
        </w:rPr>
        <w:t xml:space="preserve"> של הרב</w:t>
      </w:r>
      <w:r>
        <w:rPr>
          <w:rFonts w:ascii="Century" w:hAnsi="Century" w:hint="cs"/>
          <w:sz w:val="22"/>
          <w:rtl/>
        </w:rPr>
        <w:t xml:space="preserve"> אבוחצירא</w:t>
      </w:r>
      <w:r w:rsidRPr="006F54D5">
        <w:rPr>
          <w:rFonts w:ascii="Century" w:hAnsi="Century" w:hint="cs"/>
          <w:sz w:val="22"/>
          <w:rtl/>
        </w:rPr>
        <w:t>, בדומה למאמיני</w:t>
      </w:r>
      <w:r>
        <w:rPr>
          <w:rFonts w:ascii="Century" w:hAnsi="Century" w:hint="cs"/>
          <w:sz w:val="22"/>
          <w:rtl/>
        </w:rPr>
        <w:t>ם</w:t>
      </w:r>
      <w:r w:rsidRPr="006F54D5">
        <w:rPr>
          <w:rFonts w:ascii="Century" w:hAnsi="Century" w:hint="cs"/>
          <w:sz w:val="22"/>
          <w:rtl/>
        </w:rPr>
        <w:t xml:space="preserve"> </w:t>
      </w:r>
      <w:r>
        <w:rPr>
          <w:rFonts w:ascii="Century" w:hAnsi="Century" w:hint="cs"/>
          <w:sz w:val="22"/>
          <w:rtl/>
        </w:rPr>
        <w:t xml:space="preserve">וחסידים של </w:t>
      </w:r>
      <w:r w:rsidRPr="006F54D5">
        <w:rPr>
          <w:rFonts w:ascii="Century" w:hAnsi="Century" w:hint="cs"/>
          <w:sz w:val="22"/>
          <w:rtl/>
        </w:rPr>
        <w:t>חצרות אחרות</w:t>
      </w:r>
      <w:r>
        <w:rPr>
          <w:rFonts w:ascii="Century" w:hAnsi="Century" w:hint="cs"/>
          <w:sz w:val="22"/>
          <w:rtl/>
        </w:rPr>
        <w:t xml:space="preserve"> של רבנים ואדמו"רים</w:t>
      </w:r>
      <w:r w:rsidRPr="006F54D5">
        <w:rPr>
          <w:rFonts w:ascii="Century" w:hAnsi="Century" w:hint="cs"/>
          <w:sz w:val="22"/>
          <w:rtl/>
        </w:rPr>
        <w:t xml:space="preserve">, מעבירים לרב </w:t>
      </w:r>
      <w:r>
        <w:rPr>
          <w:rFonts w:ascii="Century" w:hAnsi="Century" w:hint="cs"/>
          <w:sz w:val="22"/>
          <w:rtl/>
        </w:rPr>
        <w:t>כספים</w:t>
      </w:r>
      <w:r w:rsidRPr="006F54D5">
        <w:rPr>
          <w:rFonts w:ascii="Century" w:hAnsi="Century" w:hint="cs"/>
          <w:sz w:val="22"/>
          <w:rtl/>
        </w:rPr>
        <w:t xml:space="preserve"> </w:t>
      </w:r>
      <w:r>
        <w:rPr>
          <w:rFonts w:ascii="Century" w:hAnsi="Century" w:hint="cs"/>
          <w:sz w:val="22"/>
          <w:rtl/>
        </w:rPr>
        <w:t xml:space="preserve">המשמשים אותו ואת בני משפחתו, וכי </w:t>
      </w:r>
      <w:r>
        <w:rPr>
          <w:rFonts w:hint="cs"/>
          <w:rtl/>
        </w:rPr>
        <w:t xml:space="preserve">הרב מקבל את מאמיניו לשם מתן ברכות ועצות, עורך אירועים והילולות לשימור הקשר עם </w:t>
      </w:r>
      <w:r w:rsidR="009E7983">
        <w:rPr>
          <w:rFonts w:hint="cs"/>
          <w:rtl/>
        </w:rPr>
        <w:t>מאמיניו</w:t>
      </w:r>
      <w:r>
        <w:rPr>
          <w:rFonts w:hint="cs"/>
          <w:rtl/>
        </w:rPr>
        <w:t xml:space="preserve"> ומקפיד לכבדם בנוכחותו באירועיהם המשפחתיים, בארץ ובחו"ל.  </w:t>
      </w:r>
      <w:r>
        <w:rPr>
          <w:rFonts w:ascii="Century" w:hAnsi="Century" w:hint="cs"/>
          <w:sz w:val="22"/>
          <w:rtl/>
        </w:rPr>
        <w:t xml:space="preserve">נקבע כי הכספים </w:t>
      </w:r>
      <w:r w:rsidRPr="002D655E">
        <w:rPr>
          <w:rFonts w:ascii="Century" w:hAnsi="Century" w:hint="cs"/>
          <w:sz w:val="22"/>
          <w:rtl/>
        </w:rPr>
        <w:t>שנית</w:t>
      </w:r>
      <w:r>
        <w:rPr>
          <w:rFonts w:ascii="Century" w:hAnsi="Century" w:hint="cs"/>
          <w:sz w:val="22"/>
          <w:rtl/>
        </w:rPr>
        <w:t xml:space="preserve">נו למערער </w:t>
      </w:r>
      <w:r w:rsidRPr="002D655E">
        <w:rPr>
          <w:rFonts w:ascii="Century" w:hAnsi="Century" w:hint="cs"/>
          <w:sz w:val="22"/>
          <w:rtl/>
        </w:rPr>
        <w:t xml:space="preserve">ניתנו לו </w:t>
      </w:r>
      <w:r>
        <w:rPr>
          <w:rFonts w:ascii="Century" w:hAnsi="Century" w:hint="cs"/>
          <w:sz w:val="22"/>
          <w:rtl/>
        </w:rPr>
        <w:t>עבור "שירותים" קונקרטיים, כגון ברכות, עצות והשתתפות באירועים משפחתיים של נותני הכספים, כמו גם תרומות כלליות לרב, בעיקר בחגים ובהילולות, בתוקף מעמדו כמנהיג הרוחני של הקהילה, ו</w:t>
      </w:r>
      <w:r w:rsidRPr="002D655E">
        <w:rPr>
          <w:rFonts w:ascii="Century" w:hAnsi="Century" w:hint="cs"/>
          <w:sz w:val="22"/>
          <w:rtl/>
        </w:rPr>
        <w:t>לשם שימור חצרו ומעמדו</w:t>
      </w:r>
      <w:r>
        <w:rPr>
          <w:rFonts w:ascii="Century" w:hAnsi="Century" w:hint="cs"/>
          <w:sz w:val="22"/>
          <w:rtl/>
        </w:rPr>
        <w:t xml:space="preserve"> ולפרנסת ביתו</w:t>
      </w:r>
      <w:r w:rsidRPr="002D655E">
        <w:rPr>
          <w:rFonts w:ascii="Century" w:hAnsi="Century" w:hint="cs"/>
          <w:sz w:val="22"/>
          <w:rtl/>
        </w:rPr>
        <w:t xml:space="preserve">, מתוך מסורת שהשתרשה </w:t>
      </w:r>
      <w:r>
        <w:rPr>
          <w:rFonts w:ascii="Century" w:hAnsi="Century" w:hint="cs"/>
          <w:sz w:val="22"/>
          <w:rtl/>
        </w:rPr>
        <w:t xml:space="preserve">בקהילות ישראל במזרח אירופה ובצפון אפריקה </w:t>
      </w:r>
      <w:r w:rsidRPr="002D655E">
        <w:rPr>
          <w:rFonts w:ascii="Century" w:hAnsi="Century" w:hint="cs"/>
          <w:sz w:val="22"/>
          <w:rtl/>
        </w:rPr>
        <w:t>במרוצת השנים</w:t>
      </w:r>
      <w:r>
        <w:rPr>
          <w:rFonts w:ascii="Century" w:hAnsi="Century" w:hint="cs"/>
          <w:sz w:val="22"/>
          <w:rtl/>
        </w:rPr>
        <w:t>, ו</w:t>
      </w:r>
      <w:r w:rsidRPr="006F54D5">
        <w:rPr>
          <w:rFonts w:ascii="Century" w:hAnsi="Century" w:hint="cs"/>
          <w:sz w:val="22"/>
          <w:rtl/>
        </w:rPr>
        <w:t xml:space="preserve">בחצרות רבנים </w:t>
      </w:r>
      <w:r>
        <w:rPr>
          <w:rFonts w:ascii="Century" w:hAnsi="Century" w:hint="cs"/>
          <w:sz w:val="22"/>
          <w:rtl/>
        </w:rPr>
        <w:t>ואדמו"רים גם בישראל</w:t>
      </w:r>
      <w:r>
        <w:rPr>
          <w:rFonts w:hint="cs"/>
          <w:rtl/>
        </w:rPr>
        <w:t>.</w:t>
      </w:r>
    </w:p>
    <w:p w:rsidR="00A75A37" w:rsidRPr="006E4639" w:rsidRDefault="00A75A37" w:rsidP="00A75A37">
      <w:pPr>
        <w:pStyle w:val="Ruller4"/>
        <w:numPr>
          <w:ilvl w:val="0"/>
          <w:numId w:val="0"/>
        </w:numPr>
        <w:spacing w:line="276" w:lineRule="auto"/>
      </w:pPr>
    </w:p>
    <w:p w:rsidR="00A75A37" w:rsidRDefault="00A75A37" w:rsidP="00A75A37">
      <w:pPr>
        <w:pStyle w:val="Ruller4"/>
        <w:numPr>
          <w:ilvl w:val="0"/>
          <w:numId w:val="0"/>
        </w:numPr>
        <w:ind w:firstLine="720"/>
        <w:rPr>
          <w:rtl/>
        </w:rPr>
      </w:pPr>
      <w:r>
        <w:rPr>
          <w:rFonts w:hint="cs"/>
          <w:rtl/>
        </w:rPr>
        <w:t xml:space="preserve">כן נקבע, כי התקבולים השונים שמקבל המערער, במישרין ובעקיפין, הם בעלי מאפיינים פירותיים, בהיותם כאלה המתקבלים באופן חוזר ונשנה ובהיקפים מצטברים גדולים. על כן יש לראות בתקבולים אלה כהכנסות של המערער הנובעות ממשלח ידו, היינו </w:t>
      </w:r>
      <w:r>
        <w:rPr>
          <w:rtl/>
        </w:rPr>
        <w:t>–</w:t>
      </w:r>
      <w:r>
        <w:rPr>
          <w:rFonts w:hint="cs"/>
          <w:rtl/>
        </w:rPr>
        <w:t xml:space="preserve"> מפעילותו אל מול קהל מאמיניו כאמור וממעמדו ותפקידו כמנהיגה הרוחני של </w:t>
      </w:r>
      <w:r>
        <w:rPr>
          <w:rFonts w:hint="cs"/>
          <w:rtl/>
        </w:rPr>
        <w:lastRenderedPageBreak/>
        <w:t>הקהילה. לפיכך נקבע כי תקבולים אלה מהווים הכנסה חייבת במס לפי סעיף 2(1) לפקודה. בהקשר זה הובהר כי אף שהכספים ניתנו לרב לכאורה על פי שיקול דעתו של הנותן, הדבר נעשה מתוך ציווי עמוק הנובע מאמונה, וכי לא מדובר בנדיבות ללא תמורה.</w:t>
      </w:r>
    </w:p>
    <w:p w:rsidR="00A75A37" w:rsidRPr="00C66682" w:rsidRDefault="00A75A37" w:rsidP="00A75A37">
      <w:pPr>
        <w:pStyle w:val="Ruller41"/>
        <w:rPr>
          <w:rtl/>
        </w:rPr>
      </w:pPr>
    </w:p>
    <w:p w:rsidR="00A75A37" w:rsidRPr="00D20419" w:rsidRDefault="00A75A37" w:rsidP="00A75A37">
      <w:pPr>
        <w:pStyle w:val="Ruller4"/>
        <w:numPr>
          <w:ilvl w:val="0"/>
          <w:numId w:val="0"/>
        </w:numPr>
        <w:ind w:firstLine="720"/>
        <w:rPr>
          <w:rtl/>
        </w:rPr>
      </w:pPr>
      <w:r>
        <w:rPr>
          <w:rFonts w:ascii="Century" w:hAnsi="Century" w:hint="cs"/>
          <w:sz w:val="22"/>
          <w:rtl/>
        </w:rPr>
        <w:t xml:space="preserve">עוד נקבע כי אמנם לא הוכח כי המערער </w:t>
      </w:r>
      <w:r w:rsidRPr="006F54D5">
        <w:rPr>
          <w:rFonts w:ascii="Century" w:hAnsi="Century" w:hint="cs"/>
          <w:sz w:val="22"/>
          <w:rtl/>
        </w:rPr>
        <w:t xml:space="preserve">דורש תשלום </w:t>
      </w:r>
      <w:r>
        <w:rPr>
          <w:rFonts w:ascii="Century" w:hAnsi="Century" w:hint="cs"/>
          <w:sz w:val="22"/>
          <w:rtl/>
        </w:rPr>
        <w:t>בגין פעילותו כאמור</w:t>
      </w:r>
      <w:r w:rsidRPr="006F54D5">
        <w:rPr>
          <w:rFonts w:ascii="Century" w:hAnsi="Century" w:hint="cs"/>
          <w:sz w:val="22"/>
          <w:rtl/>
        </w:rPr>
        <w:t>, אך קיימת מצדו ציפייה</w:t>
      </w:r>
      <w:r>
        <w:rPr>
          <w:rFonts w:hint="cs"/>
          <w:rtl/>
        </w:rPr>
        <w:t xml:space="preserve">, המעוגנת במסורת, </w:t>
      </w:r>
      <w:r>
        <w:rPr>
          <w:rFonts w:ascii="Century" w:hAnsi="Century" w:hint="cs"/>
          <w:sz w:val="22"/>
          <w:rtl/>
        </w:rPr>
        <w:t xml:space="preserve">לקבלת הכספים (ה"מתנות") אשר </w:t>
      </w:r>
      <w:r w:rsidRPr="006F54D5">
        <w:rPr>
          <w:rFonts w:ascii="Century" w:hAnsi="Century" w:hint="cs"/>
          <w:sz w:val="22"/>
          <w:rtl/>
        </w:rPr>
        <w:t xml:space="preserve"> יהוו מקור פרנסה לו ולמשפחתו, </w:t>
      </w:r>
      <w:r>
        <w:rPr>
          <w:rFonts w:ascii="Century" w:hAnsi="Century" w:hint="cs"/>
          <w:sz w:val="22"/>
          <w:rtl/>
        </w:rPr>
        <w:t>וזאת</w:t>
      </w:r>
      <w:r w:rsidRPr="006F54D5">
        <w:rPr>
          <w:rFonts w:ascii="Century" w:hAnsi="Century" w:hint="cs"/>
          <w:sz w:val="22"/>
          <w:rtl/>
        </w:rPr>
        <w:t xml:space="preserve"> </w:t>
      </w:r>
      <w:r>
        <w:rPr>
          <w:rFonts w:ascii="Century" w:hAnsi="Century" w:hint="cs"/>
          <w:sz w:val="22"/>
          <w:rtl/>
        </w:rPr>
        <w:t>לצד</w:t>
      </w:r>
      <w:r w:rsidRPr="006F54D5">
        <w:rPr>
          <w:rFonts w:ascii="Century" w:hAnsi="Century" w:hint="cs"/>
          <w:sz w:val="22"/>
          <w:rtl/>
        </w:rPr>
        <w:t xml:space="preserve"> תרומות </w:t>
      </w:r>
      <w:r>
        <w:rPr>
          <w:rFonts w:ascii="Century" w:hAnsi="Century" w:hint="cs"/>
          <w:sz w:val="22"/>
          <w:rtl/>
        </w:rPr>
        <w:t>המיועדות לקהילה ול</w:t>
      </w:r>
      <w:r w:rsidRPr="006F54D5">
        <w:rPr>
          <w:rFonts w:ascii="Century" w:hAnsi="Century" w:hint="cs"/>
          <w:sz w:val="22"/>
          <w:rtl/>
        </w:rPr>
        <w:t xml:space="preserve">מוסדות </w:t>
      </w:r>
      <w:r>
        <w:rPr>
          <w:rFonts w:ascii="Century" w:hAnsi="Century" w:hint="cs"/>
          <w:sz w:val="22"/>
          <w:rtl/>
        </w:rPr>
        <w:t xml:space="preserve">שהמערער וחצרו </w:t>
      </w:r>
      <w:r w:rsidRPr="006F54D5">
        <w:rPr>
          <w:rFonts w:ascii="Century" w:hAnsi="Century" w:hint="cs"/>
          <w:sz w:val="22"/>
          <w:rtl/>
        </w:rPr>
        <w:t xml:space="preserve">קשורים בהם. </w:t>
      </w:r>
      <w:r>
        <w:rPr>
          <w:rFonts w:hint="cs"/>
          <w:rtl/>
        </w:rPr>
        <w:t xml:space="preserve">בהקשר זה נקבע כי </w:t>
      </w:r>
      <w:r w:rsidRPr="006F54D5">
        <w:rPr>
          <w:rFonts w:ascii="Century" w:hAnsi="Century" w:hint="cs"/>
          <w:sz w:val="22"/>
          <w:rtl/>
        </w:rPr>
        <w:t>שיקול הדעת בחלוקת הכספים</w:t>
      </w:r>
      <w:r>
        <w:rPr>
          <w:rFonts w:ascii="Century" w:hAnsi="Century" w:hint="cs"/>
          <w:sz w:val="22"/>
          <w:rtl/>
        </w:rPr>
        <w:t xml:space="preserve"> המתקבלים</w:t>
      </w:r>
      <w:r w:rsidRPr="006F54D5">
        <w:rPr>
          <w:rFonts w:ascii="Century" w:hAnsi="Century" w:hint="cs"/>
          <w:sz w:val="22"/>
          <w:rtl/>
        </w:rPr>
        <w:t xml:space="preserve"> בין שימוש אישי מצד הרב ובני ביתו לבין מתן צדקה לנזקקים ותמיכה במוסדות תורני</w:t>
      </w:r>
      <w:r>
        <w:rPr>
          <w:rFonts w:ascii="Century" w:hAnsi="Century" w:hint="cs"/>
          <w:sz w:val="22"/>
          <w:rtl/>
        </w:rPr>
        <w:t xml:space="preserve">ים, מסור לרב ולאשתו באופן בלעדי. </w:t>
      </w:r>
      <w:r w:rsidRPr="006F54D5">
        <w:rPr>
          <w:rFonts w:ascii="Century" w:hAnsi="Century" w:hint="cs"/>
          <w:sz w:val="22"/>
          <w:rtl/>
        </w:rPr>
        <w:t xml:space="preserve">כן נקבע כי כל צרכי הרב ובני ביתו מסופקים מתוך </w:t>
      </w:r>
      <w:r>
        <w:rPr>
          <w:rFonts w:ascii="Century" w:hAnsi="Century" w:hint="cs"/>
          <w:sz w:val="22"/>
          <w:rtl/>
        </w:rPr>
        <w:t>הכספים</w:t>
      </w:r>
      <w:r w:rsidRPr="006F54D5">
        <w:rPr>
          <w:rFonts w:ascii="Century" w:hAnsi="Century" w:hint="cs"/>
          <w:sz w:val="22"/>
          <w:rtl/>
        </w:rPr>
        <w:t xml:space="preserve"> המועברים אליו</w:t>
      </w:r>
      <w:r>
        <w:rPr>
          <w:rFonts w:ascii="Century" w:hAnsi="Century" w:hint="cs"/>
          <w:sz w:val="22"/>
          <w:rtl/>
        </w:rPr>
        <w:t>,</w:t>
      </w:r>
      <w:r w:rsidRPr="006F54D5">
        <w:rPr>
          <w:rFonts w:ascii="Century" w:hAnsi="Century" w:hint="cs"/>
          <w:sz w:val="22"/>
          <w:rtl/>
        </w:rPr>
        <w:t xml:space="preserve"> </w:t>
      </w:r>
      <w:r>
        <w:rPr>
          <w:rFonts w:ascii="Century" w:hAnsi="Century" w:hint="cs"/>
          <w:sz w:val="22"/>
          <w:rtl/>
        </w:rPr>
        <w:t>ו</w:t>
      </w:r>
      <w:r w:rsidRPr="006F54D5">
        <w:rPr>
          <w:rFonts w:ascii="Century" w:hAnsi="Century" w:hint="cs"/>
          <w:sz w:val="22"/>
          <w:rtl/>
        </w:rPr>
        <w:t>כי הרב לא מנהל רישום מסודר ובר</w:t>
      </w:r>
      <w:r>
        <w:rPr>
          <w:rFonts w:ascii="Century" w:hAnsi="Century" w:hint="cs"/>
          <w:sz w:val="22"/>
          <w:rtl/>
        </w:rPr>
        <w:t>-</w:t>
      </w:r>
      <w:r w:rsidRPr="006F54D5">
        <w:rPr>
          <w:rFonts w:ascii="Century" w:hAnsi="Century" w:hint="cs"/>
          <w:sz w:val="22"/>
          <w:rtl/>
        </w:rPr>
        <w:t>מעקב לגבי כל אותם כספים שמגיעים לידיו א</w:t>
      </w:r>
      <w:r>
        <w:rPr>
          <w:rFonts w:ascii="Century" w:hAnsi="Century" w:hint="cs"/>
          <w:sz w:val="22"/>
          <w:rtl/>
        </w:rPr>
        <w:t>ו לגבי הסכומים שהוא מעביר לצרכי הקהילה</w:t>
      </w:r>
      <w:r w:rsidRPr="006F54D5">
        <w:rPr>
          <w:rFonts w:ascii="Century" w:hAnsi="Century" w:hint="cs"/>
          <w:sz w:val="22"/>
          <w:rtl/>
        </w:rPr>
        <w:t xml:space="preserve">. </w:t>
      </w:r>
    </w:p>
    <w:p w:rsidR="00A75A37" w:rsidRPr="006F54D5" w:rsidRDefault="00A75A37" w:rsidP="00A75A37">
      <w:pPr>
        <w:pStyle w:val="Ruller41"/>
        <w:rPr>
          <w:rtl/>
        </w:rPr>
      </w:pPr>
    </w:p>
    <w:p w:rsidR="00A75A37" w:rsidRDefault="00A75A37" w:rsidP="00A75A37">
      <w:pPr>
        <w:pStyle w:val="Ruller4"/>
        <w:rPr>
          <w:rtl/>
        </w:rPr>
      </w:pPr>
      <w:r>
        <w:rPr>
          <w:rFonts w:hint="cs"/>
          <w:b/>
          <w:bCs/>
          <w:i/>
          <w:iCs/>
          <w:rtl/>
        </w:rPr>
        <w:t xml:space="preserve"> </w:t>
      </w:r>
      <w:r>
        <w:rPr>
          <w:rFonts w:hint="cs"/>
          <w:rtl/>
        </w:rPr>
        <w:t>כידוע, ערכאת הערעור לא תיטה להתערב בממצאים עובדתיים שנקבעו על ידי הערכאה הדיונית, אלא במקרים חריגים וקיצוניים המצדיקים התערבות כזו (</w:t>
      </w:r>
      <w:r>
        <w:rPr>
          <w:rFonts w:ascii="Century" w:hAnsi="Century" w:hint="cs"/>
          <w:sz w:val="22"/>
          <w:rtl/>
        </w:rPr>
        <w:t xml:space="preserve">ע"א 501/84 </w:t>
      </w:r>
      <w:r>
        <w:rPr>
          <w:rFonts w:ascii="Century" w:hAnsi="Century" w:cs="Miriam" w:hint="cs"/>
          <w:b/>
          <w:spacing w:val="0"/>
          <w:sz w:val="22"/>
          <w:szCs w:val="24"/>
          <w:rtl/>
        </w:rPr>
        <w:t>מגדל חברה לביטוח בע"מ נ' מירון</w:t>
      </w:r>
      <w:r>
        <w:rPr>
          <w:rFonts w:ascii="Century" w:hAnsi="Century" w:hint="cs"/>
          <w:sz w:val="22"/>
          <w:rtl/>
        </w:rPr>
        <w:t>, פ"ד מב(2) 89, 99 (1988);</w:t>
      </w:r>
      <w:r w:rsidRPr="004A3233">
        <w:rPr>
          <w:rFonts w:ascii="Times New Roman" w:hAnsi="Times New Roman" w:hint="cs"/>
          <w:spacing w:val="0"/>
          <w:sz w:val="28"/>
          <w:szCs w:val="20"/>
          <w:rtl/>
        </w:rPr>
        <w:t xml:space="preserve"> </w:t>
      </w:r>
      <w:r w:rsidRPr="004A3233">
        <w:rPr>
          <w:rFonts w:ascii="Century" w:hAnsi="Century" w:hint="cs"/>
          <w:sz w:val="22"/>
          <w:rtl/>
        </w:rPr>
        <w:t xml:space="preserve">ע"א 640/85 </w:t>
      </w:r>
      <w:r w:rsidRPr="00A87501">
        <w:rPr>
          <w:rFonts w:ascii="Century" w:hAnsi="Century" w:cs="Miriam" w:hint="cs"/>
          <w:b/>
          <w:spacing w:val="0"/>
          <w:sz w:val="22"/>
          <w:szCs w:val="24"/>
          <w:rtl/>
        </w:rPr>
        <w:t>קופר נ' איגוד המוסכים בישראל</w:t>
      </w:r>
      <w:r w:rsidRPr="004A3233">
        <w:rPr>
          <w:rFonts w:ascii="Century" w:hAnsi="Century" w:hint="cs"/>
          <w:sz w:val="22"/>
          <w:rtl/>
        </w:rPr>
        <w:t xml:space="preserve">, פ"ד מד(1) 594, 599 (1990); ע"א 8419/13 </w:t>
      </w:r>
      <w:r w:rsidRPr="00A87501">
        <w:rPr>
          <w:rFonts w:ascii="Century" w:hAnsi="Century" w:cs="Miriam" w:hint="cs"/>
          <w:b/>
          <w:spacing w:val="0"/>
          <w:sz w:val="22"/>
          <w:szCs w:val="24"/>
          <w:rtl/>
        </w:rPr>
        <w:t>פלוני נ' עיריית ירושלים</w:t>
      </w:r>
      <w:r w:rsidRPr="004A3233">
        <w:rPr>
          <w:rFonts w:ascii="Century" w:hAnsi="Century" w:hint="cs"/>
          <w:sz w:val="22"/>
          <w:rtl/>
        </w:rPr>
        <w:t>, פסקה 13 (9.3.2015);</w:t>
      </w:r>
      <w:r>
        <w:rPr>
          <w:rFonts w:ascii="Century" w:hAnsi="Century" w:hint="cs"/>
          <w:sz w:val="22"/>
          <w:rtl/>
        </w:rPr>
        <w:t xml:space="preserve"> </w:t>
      </w:r>
      <w:r>
        <w:rPr>
          <w:rFonts w:hint="cs"/>
          <w:rtl/>
        </w:rPr>
        <w:t xml:space="preserve">ע"א 3773/16 </w:t>
      </w:r>
      <w:r>
        <w:rPr>
          <w:rFonts w:ascii="Century" w:hAnsi="Century" w:cs="Miriam" w:hint="cs"/>
          <w:b/>
          <w:spacing w:val="0"/>
          <w:sz w:val="22"/>
          <w:szCs w:val="24"/>
          <w:rtl/>
        </w:rPr>
        <w:t>עו"ד ארז בתפקידו כנאמן לנכסי החייבת סופר נ' סופר</w:t>
      </w:r>
      <w:r>
        <w:rPr>
          <w:rFonts w:ascii="Century" w:hAnsi="Century" w:hint="cs"/>
          <w:sz w:val="22"/>
          <w:rtl/>
        </w:rPr>
        <w:t>, פסקה 56 (3.10.2018);</w:t>
      </w:r>
      <w:r>
        <w:rPr>
          <w:rFonts w:hint="cs"/>
          <w:rtl/>
        </w:rPr>
        <w:t xml:space="preserve"> </w:t>
      </w:r>
      <w:r w:rsidRPr="00283E27">
        <w:rPr>
          <w:rFonts w:hint="cs"/>
          <w:rtl/>
        </w:rPr>
        <w:t xml:space="preserve">ע"א 7863/16 </w:t>
      </w:r>
      <w:r w:rsidRPr="00283E27">
        <w:rPr>
          <w:rFonts w:cs="Miriam" w:hint="cs"/>
          <w:b/>
          <w:spacing w:val="0"/>
          <w:szCs w:val="24"/>
          <w:rtl/>
        </w:rPr>
        <w:t>גורדו נ' ימין</w:t>
      </w:r>
      <w:r>
        <w:rPr>
          <w:rFonts w:hint="cs"/>
          <w:rtl/>
        </w:rPr>
        <w:t>, פסקה 16</w:t>
      </w:r>
      <w:r w:rsidRPr="00283E27">
        <w:rPr>
          <w:rFonts w:hint="cs"/>
          <w:rtl/>
        </w:rPr>
        <w:t xml:space="preserve"> </w:t>
      </w:r>
      <w:r>
        <w:rPr>
          <w:rFonts w:hint="cs"/>
          <w:rtl/>
        </w:rPr>
        <w:t>(19.7.2018</w:t>
      </w:r>
      <w:r w:rsidRPr="00283E27">
        <w:rPr>
          <w:rFonts w:hint="cs"/>
          <w:rtl/>
        </w:rPr>
        <w:t xml:space="preserve">); </w:t>
      </w:r>
      <w:r w:rsidRPr="00283E27">
        <w:rPr>
          <w:rtl/>
        </w:rPr>
        <w:t>ע</w:t>
      </w:r>
      <w:r w:rsidRPr="00283E27">
        <w:rPr>
          <w:rFonts w:hint="cs"/>
          <w:rtl/>
        </w:rPr>
        <w:t>"</w:t>
      </w:r>
      <w:r w:rsidRPr="00283E27">
        <w:rPr>
          <w:rtl/>
        </w:rPr>
        <w:t xml:space="preserve">א 1394/18 </w:t>
      </w:r>
      <w:r w:rsidRPr="00283E27">
        <w:rPr>
          <w:rFonts w:cs="Miriam"/>
          <w:b/>
          <w:spacing w:val="0"/>
          <w:szCs w:val="24"/>
          <w:rtl/>
        </w:rPr>
        <w:t>זרובבלי נ' עלומים</w:t>
      </w:r>
      <w:r w:rsidRPr="00283E27">
        <w:rPr>
          <w:rFonts w:hint="cs"/>
          <w:rtl/>
        </w:rPr>
        <w:t>, פסקה 8 (27.11.2018)</w:t>
      </w:r>
      <w:r>
        <w:rPr>
          <w:rFonts w:hint="cs"/>
          <w:rtl/>
        </w:rPr>
        <w:t xml:space="preserve"> ורבים זולתם). </w:t>
      </w:r>
    </w:p>
    <w:p w:rsidR="00A75A37" w:rsidRDefault="00A75A37" w:rsidP="00090D71">
      <w:pPr>
        <w:pStyle w:val="Ruller4"/>
        <w:numPr>
          <w:ilvl w:val="0"/>
          <w:numId w:val="0"/>
        </w:numPr>
        <w:spacing w:line="240" w:lineRule="auto"/>
        <w:rPr>
          <w:rtl/>
        </w:rPr>
      </w:pPr>
    </w:p>
    <w:p w:rsidR="00A75A37" w:rsidRPr="00CF0CC3" w:rsidRDefault="00A75A37" w:rsidP="00A75A37">
      <w:pPr>
        <w:pStyle w:val="Ruller4"/>
        <w:numPr>
          <w:ilvl w:val="0"/>
          <w:numId w:val="0"/>
        </w:numPr>
        <w:ind w:firstLine="720"/>
      </w:pPr>
      <w:r>
        <w:rPr>
          <w:rFonts w:hint="cs"/>
          <w:rtl/>
        </w:rPr>
        <w:t xml:space="preserve">המערער </w:t>
      </w:r>
      <w:r w:rsidRPr="00CF0CC3">
        <w:rPr>
          <w:rFonts w:hint="cs"/>
          <w:rtl/>
        </w:rPr>
        <w:t>לא ביסס כל עילה להתערבות בממצאי</w:t>
      </w:r>
      <w:r>
        <w:rPr>
          <w:rFonts w:hint="cs"/>
          <w:rtl/>
        </w:rPr>
        <w:t>ם</w:t>
      </w:r>
      <w:r w:rsidRPr="00CF0CC3">
        <w:rPr>
          <w:rFonts w:hint="cs"/>
          <w:rtl/>
        </w:rPr>
        <w:t xml:space="preserve"> </w:t>
      </w:r>
      <w:r>
        <w:rPr>
          <w:rFonts w:hint="cs"/>
          <w:rtl/>
        </w:rPr>
        <w:t>ה</w:t>
      </w:r>
      <w:r w:rsidRPr="00CF0CC3">
        <w:rPr>
          <w:rFonts w:hint="cs"/>
          <w:rtl/>
        </w:rPr>
        <w:t>עובד</w:t>
      </w:r>
      <w:r>
        <w:rPr>
          <w:rFonts w:hint="cs"/>
          <w:rtl/>
        </w:rPr>
        <w:t>תיים</w:t>
      </w:r>
      <w:r w:rsidRPr="00CF0CC3">
        <w:rPr>
          <w:rFonts w:hint="cs"/>
          <w:rtl/>
        </w:rPr>
        <w:t xml:space="preserve"> שנקבעו </w:t>
      </w:r>
      <w:r>
        <w:rPr>
          <w:rFonts w:hint="cs"/>
          <w:rtl/>
        </w:rPr>
        <w:t xml:space="preserve">כאמור </w:t>
      </w:r>
      <w:r w:rsidRPr="00CF0CC3">
        <w:rPr>
          <w:rFonts w:hint="cs"/>
          <w:rtl/>
        </w:rPr>
        <w:t>על ידי בית המשפט המחוזי בפסק דינו</w:t>
      </w:r>
      <w:r>
        <w:rPr>
          <w:rFonts w:hint="cs"/>
          <w:rtl/>
        </w:rPr>
        <w:t xml:space="preserve">. לפיכך, </w:t>
      </w:r>
      <w:r w:rsidRPr="00CF0CC3">
        <w:rPr>
          <w:rFonts w:hint="cs"/>
          <w:rtl/>
        </w:rPr>
        <w:t xml:space="preserve">התשתית העובדתית שתשמש אותנו </w:t>
      </w:r>
      <w:r>
        <w:rPr>
          <w:rFonts w:hint="cs"/>
          <w:rtl/>
        </w:rPr>
        <w:t>בערעור זה</w:t>
      </w:r>
      <w:r w:rsidRPr="00CF0CC3">
        <w:rPr>
          <w:rFonts w:hint="cs"/>
          <w:rtl/>
        </w:rPr>
        <w:t xml:space="preserve"> היא זו שנקבעה על ידי בית המשפט </w:t>
      </w:r>
      <w:r>
        <w:rPr>
          <w:rFonts w:hint="cs"/>
          <w:rtl/>
        </w:rPr>
        <w:t>כמפורט לעיל, לרבות לענין ההפחתה המאוד משמעותית (כשני שלישים) מסכום השומה שנקבעה על ידי בית המשפט המחוזי</w:t>
      </w:r>
      <w:r w:rsidRPr="00CF0CC3">
        <w:rPr>
          <w:rFonts w:hint="cs"/>
          <w:rtl/>
        </w:rPr>
        <w:t>.</w:t>
      </w:r>
    </w:p>
    <w:p w:rsidR="00A75A37" w:rsidRDefault="00A75A37" w:rsidP="00090D71">
      <w:pPr>
        <w:pStyle w:val="Ruller41"/>
        <w:spacing w:line="240" w:lineRule="auto"/>
        <w:rPr>
          <w:rtl/>
        </w:rPr>
      </w:pPr>
    </w:p>
    <w:p w:rsidR="00A75A37" w:rsidRDefault="00A75A37" w:rsidP="00A75A37">
      <w:pPr>
        <w:pStyle w:val="Ruller4"/>
        <w:rPr>
          <w:rtl/>
        </w:rPr>
      </w:pPr>
      <w:r>
        <w:rPr>
          <w:rFonts w:hint="cs"/>
          <w:rtl/>
        </w:rPr>
        <w:t>עוד יש להזכיר לענין זה, כי בהתאם להוראת סעיף 155 לפקודה, בהעדר ניהול פנקסים כדין, נטל הראיה בהליך ערעור על שומה הוא על המערער התוקף את השומה שנקבעה לו ("</w:t>
      </w:r>
      <w:r w:rsidRPr="000D4C60">
        <w:rPr>
          <w:rFonts w:hint="cs"/>
          <w:spacing w:val="6"/>
          <w:rtl/>
        </w:rPr>
        <w:t>חובת הראיה כי השומה היא מופרזת תהיה על המערער</w:t>
      </w:r>
      <w:r>
        <w:rPr>
          <w:rFonts w:hint="cs"/>
          <w:rtl/>
        </w:rPr>
        <w:t>").</w:t>
      </w:r>
    </w:p>
    <w:p w:rsidR="00A75A37" w:rsidRPr="00EC2271" w:rsidRDefault="00A75A37" w:rsidP="00090D71">
      <w:pPr>
        <w:pStyle w:val="Ruller41"/>
        <w:spacing w:line="240" w:lineRule="auto"/>
      </w:pPr>
    </w:p>
    <w:p w:rsidR="00A75A37" w:rsidRDefault="00A75A37" w:rsidP="00A75A37">
      <w:pPr>
        <w:pStyle w:val="Ruller41"/>
        <w:numPr>
          <w:ilvl w:val="0"/>
          <w:numId w:val="21"/>
        </w:numPr>
        <w:tabs>
          <w:tab w:val="clear" w:pos="1080"/>
        </w:tabs>
        <w:overflowPunct/>
        <w:autoSpaceDE/>
        <w:autoSpaceDN/>
        <w:adjustRightInd/>
        <w:ind w:left="799" w:hanging="284"/>
        <w:textAlignment w:val="auto"/>
        <w:rPr>
          <w:rFonts w:ascii="Miriam" w:hAnsi="Miriam" w:cs="Miriam"/>
          <w:spacing w:val="0"/>
          <w:sz w:val="24"/>
          <w:szCs w:val="24"/>
        </w:rPr>
      </w:pPr>
      <w:r w:rsidRPr="000B1045">
        <w:rPr>
          <w:rFonts w:ascii="Miriam" w:hAnsi="Miriam" w:cs="Miriam"/>
          <w:spacing w:val="0"/>
          <w:sz w:val="24"/>
          <w:szCs w:val="24"/>
          <w:rtl/>
        </w:rPr>
        <w:t>הכנסה ממשלח יד</w:t>
      </w:r>
    </w:p>
    <w:p w:rsidR="00A75A37" w:rsidRPr="00547CCB" w:rsidRDefault="00A75A37" w:rsidP="00090D71">
      <w:pPr>
        <w:pStyle w:val="Ruller41"/>
        <w:spacing w:line="240" w:lineRule="auto"/>
        <w:ind w:left="510"/>
        <w:rPr>
          <w:rFonts w:ascii="Miriam" w:hAnsi="Miriam" w:cs="Miriam"/>
          <w:spacing w:val="0"/>
          <w:sz w:val="24"/>
          <w:szCs w:val="24"/>
          <w:rtl/>
        </w:rPr>
      </w:pPr>
    </w:p>
    <w:p w:rsidR="00A75A37" w:rsidRDefault="00A75A37" w:rsidP="00A75A37">
      <w:pPr>
        <w:pStyle w:val="Ruller4"/>
        <w:rPr>
          <w:rtl/>
        </w:rPr>
      </w:pPr>
      <w:r>
        <w:rPr>
          <w:rFonts w:hint="cs"/>
          <w:rtl/>
        </w:rPr>
        <w:t>בענייננו קבע כאמור בית המשפט המחוזי כי התקבולים שקיבל המערער לשימושו האישי ולשימוש בני משפחתו יש לראותם כהכנסה שמקורה ב"</w:t>
      </w:r>
      <w:r w:rsidRPr="0020662E">
        <w:rPr>
          <w:rFonts w:ascii="Miriam" w:hAnsi="Miriam" w:cs="Miriam" w:hint="cs"/>
          <w:spacing w:val="0"/>
          <w:szCs w:val="24"/>
          <w:rtl/>
        </w:rPr>
        <w:t>משלח יד</w:t>
      </w:r>
      <w:r>
        <w:rPr>
          <w:rFonts w:hint="cs"/>
          <w:rtl/>
        </w:rPr>
        <w:t xml:space="preserve">", לפי סעיף 2(1) לפקודה, החייבת במס. </w:t>
      </w:r>
    </w:p>
    <w:p w:rsidR="00A75A37" w:rsidRPr="0022754E" w:rsidRDefault="00A75A37" w:rsidP="00A75A37">
      <w:pPr>
        <w:pStyle w:val="Ruller41"/>
        <w:rPr>
          <w:rtl/>
        </w:rPr>
      </w:pPr>
    </w:p>
    <w:p w:rsidR="00A75A37" w:rsidRDefault="00A75A37" w:rsidP="00A75A37">
      <w:pPr>
        <w:pStyle w:val="Ruller4"/>
        <w:spacing w:line="240" w:lineRule="auto"/>
        <w:rPr>
          <w:rtl/>
        </w:rPr>
      </w:pPr>
      <w:r>
        <w:rPr>
          <w:rFonts w:hint="cs"/>
          <w:rtl/>
        </w:rPr>
        <w:t xml:space="preserve">סעיף 2 לפקודה קובע לענייננו: </w:t>
      </w:r>
    </w:p>
    <w:p w:rsidR="00A75A37" w:rsidRPr="00042156" w:rsidRDefault="00A75A37" w:rsidP="00A75A37">
      <w:pPr>
        <w:pStyle w:val="Ruller41"/>
        <w:spacing w:line="240" w:lineRule="auto"/>
        <w:rPr>
          <w:rtl/>
        </w:rPr>
      </w:pPr>
    </w:p>
    <w:p w:rsidR="00A75A37" w:rsidRPr="00521DDF" w:rsidRDefault="00A75A37" w:rsidP="00090D71">
      <w:pPr>
        <w:pStyle w:val="Ruller5"/>
        <w:spacing w:line="276" w:lineRule="auto"/>
        <w:rPr>
          <w:rStyle w:val="default"/>
          <w:rFonts w:ascii="FrankRuehl" w:hAnsi="FrankRuehl" w:cs="FrankRuehl"/>
          <w:spacing w:val="6"/>
          <w:sz w:val="28"/>
          <w:szCs w:val="28"/>
          <w:rtl/>
        </w:rPr>
      </w:pPr>
      <w:bookmarkStart w:id="5" w:name="Seif2"/>
      <w:bookmarkEnd w:id="5"/>
      <w:r w:rsidRPr="00521DDF">
        <w:rPr>
          <w:rStyle w:val="big-number"/>
          <w:rFonts w:ascii="FrankRuehl" w:hAnsi="FrankRuehl" w:cs="FrankRuehl" w:hint="cs"/>
          <w:spacing w:val="6"/>
          <w:sz w:val="28"/>
          <w:szCs w:val="28"/>
          <w:rtl/>
        </w:rPr>
        <w:t>"2</w:t>
      </w:r>
      <w:r w:rsidRPr="00521DDF">
        <w:rPr>
          <w:rStyle w:val="big-number"/>
          <w:rFonts w:ascii="FrankRuehl" w:hAnsi="FrankRuehl" w:cs="FrankRuehl"/>
          <w:spacing w:val="6"/>
          <w:sz w:val="28"/>
          <w:szCs w:val="28"/>
          <w:rtl/>
        </w:rPr>
        <w:t>.</w:t>
      </w:r>
      <w:r w:rsidRPr="00521DDF">
        <w:rPr>
          <w:rStyle w:val="big-number"/>
          <w:rFonts w:ascii="FrankRuehl" w:hAnsi="FrankRuehl" w:cs="FrankRuehl"/>
          <w:spacing w:val="6"/>
          <w:sz w:val="28"/>
          <w:szCs w:val="28"/>
          <w:rtl/>
        </w:rPr>
        <w:tab/>
      </w:r>
      <w:r w:rsidRPr="00521DDF">
        <w:rPr>
          <w:rStyle w:val="default"/>
          <w:rFonts w:ascii="FrankRuehl" w:hAnsi="FrankRuehl" w:cs="FrankRuehl" w:hint="cs"/>
          <w:spacing w:val="6"/>
          <w:sz w:val="28"/>
          <w:szCs w:val="28"/>
          <w:rtl/>
        </w:rPr>
        <w:t xml:space="preserve">   </w:t>
      </w:r>
      <w:r w:rsidRPr="00521DDF">
        <w:rPr>
          <w:rStyle w:val="default"/>
          <w:rFonts w:ascii="FrankRuehl" w:hAnsi="FrankRuehl" w:cs="FrankRuehl"/>
          <w:spacing w:val="6"/>
          <w:sz w:val="28"/>
          <w:szCs w:val="28"/>
          <w:rtl/>
        </w:rPr>
        <w:t>מס הכנסה יהא משתלם, בכפוף להוראות פקודה זו, לכל שנת מס, בשיעורים המפורטים להלן, על הכנסתו של אדם תושב ישראל שהופקה או שנצמחה בישראל או מחוץ לישראל ועל הכנסתו של אדם תושב חוץ שהופקה או שנצמחה בישראל, ממקורות אלה:</w:t>
      </w:r>
    </w:p>
    <w:p w:rsidR="00A75A37" w:rsidRPr="00521DDF" w:rsidRDefault="00A75A37" w:rsidP="00090D71">
      <w:pPr>
        <w:pStyle w:val="Ruller5"/>
        <w:spacing w:line="276" w:lineRule="auto"/>
        <w:rPr>
          <w:rStyle w:val="default"/>
          <w:rFonts w:ascii="FrankRuehl" w:hAnsi="FrankRuehl" w:cs="FrankRuehl"/>
          <w:spacing w:val="6"/>
          <w:sz w:val="28"/>
          <w:szCs w:val="28"/>
          <w:rtl/>
        </w:rPr>
      </w:pPr>
      <w:r w:rsidRPr="00521DDF">
        <w:rPr>
          <w:rStyle w:val="default"/>
          <w:rFonts w:ascii="FrankRuehl" w:hAnsi="FrankRuehl" w:cs="FrankRuehl"/>
          <w:spacing w:val="6"/>
          <w:sz w:val="28"/>
          <w:szCs w:val="28"/>
          <w:rtl/>
        </w:rPr>
        <w:t>(1)</w:t>
      </w:r>
      <w:r w:rsidRPr="00521DDF">
        <w:rPr>
          <w:rStyle w:val="default"/>
          <w:rFonts w:ascii="FrankRuehl" w:hAnsi="FrankRuehl" w:cs="FrankRuehl"/>
          <w:spacing w:val="6"/>
          <w:sz w:val="28"/>
          <w:szCs w:val="28"/>
          <w:rtl/>
        </w:rPr>
        <w:tab/>
      </w:r>
      <w:r w:rsidRPr="00521DDF">
        <w:rPr>
          <w:rStyle w:val="default"/>
          <w:rFonts w:ascii="FrankRuehl" w:hAnsi="FrankRuehl" w:cs="FrankRuehl" w:hint="cs"/>
          <w:spacing w:val="6"/>
          <w:sz w:val="28"/>
          <w:szCs w:val="28"/>
          <w:rtl/>
        </w:rPr>
        <w:t>השתכרות או ריוו</w:t>
      </w:r>
      <w:r w:rsidRPr="00521DDF">
        <w:rPr>
          <w:rStyle w:val="default"/>
          <w:rFonts w:ascii="FrankRuehl" w:hAnsi="FrankRuehl" w:cs="FrankRuehl"/>
          <w:spacing w:val="6"/>
          <w:sz w:val="28"/>
          <w:szCs w:val="28"/>
          <w:rtl/>
        </w:rPr>
        <w:t>ח</w:t>
      </w:r>
      <w:r w:rsidRPr="00521DDF">
        <w:rPr>
          <w:rStyle w:val="default"/>
          <w:rFonts w:ascii="FrankRuehl" w:hAnsi="FrankRuehl" w:cs="FrankRuehl" w:hint="cs"/>
          <w:spacing w:val="6"/>
          <w:sz w:val="28"/>
          <w:szCs w:val="28"/>
          <w:rtl/>
        </w:rPr>
        <w:t xml:space="preserve"> מכל עסק או משלח-יד שעסקו בו תקופת זמן כלשהי, </w:t>
      </w:r>
      <w:r w:rsidRPr="00521DDF">
        <w:rPr>
          <w:rStyle w:val="default"/>
          <w:rFonts w:ascii="FrankRuehl" w:hAnsi="FrankRuehl" w:cs="FrankRuehl"/>
          <w:spacing w:val="6"/>
          <w:sz w:val="28"/>
          <w:szCs w:val="28"/>
          <w:rtl/>
        </w:rPr>
        <w:t>א</w:t>
      </w:r>
      <w:r w:rsidRPr="00521DDF">
        <w:rPr>
          <w:rStyle w:val="default"/>
          <w:rFonts w:ascii="FrankRuehl" w:hAnsi="FrankRuehl" w:cs="FrankRuehl" w:hint="cs"/>
          <w:spacing w:val="6"/>
          <w:sz w:val="28"/>
          <w:szCs w:val="28"/>
          <w:rtl/>
        </w:rPr>
        <w:t>ו</w:t>
      </w:r>
      <w:r w:rsidRPr="00521DDF">
        <w:rPr>
          <w:rStyle w:val="default"/>
          <w:rFonts w:ascii="FrankRuehl" w:hAnsi="FrankRuehl" w:cs="FrankRuehl"/>
          <w:spacing w:val="6"/>
          <w:sz w:val="28"/>
          <w:szCs w:val="28"/>
          <w:rtl/>
        </w:rPr>
        <w:t xml:space="preserve"> </w:t>
      </w:r>
      <w:r w:rsidRPr="00521DDF">
        <w:rPr>
          <w:rStyle w:val="default"/>
          <w:rFonts w:ascii="FrankRuehl" w:hAnsi="FrankRuehl" w:cs="FrankRuehl" w:hint="cs"/>
          <w:spacing w:val="6"/>
          <w:sz w:val="28"/>
          <w:szCs w:val="28"/>
          <w:rtl/>
        </w:rPr>
        <w:t>מ</w:t>
      </w:r>
      <w:r w:rsidRPr="00521DDF">
        <w:rPr>
          <w:rStyle w:val="default"/>
          <w:rFonts w:ascii="FrankRuehl" w:hAnsi="FrankRuehl" w:cs="FrankRuehl"/>
          <w:spacing w:val="6"/>
          <w:sz w:val="28"/>
          <w:szCs w:val="28"/>
          <w:rtl/>
        </w:rPr>
        <w:t>ע</w:t>
      </w:r>
      <w:r w:rsidRPr="00521DDF">
        <w:rPr>
          <w:rStyle w:val="default"/>
          <w:rFonts w:ascii="FrankRuehl" w:hAnsi="FrankRuehl" w:cs="FrankRuehl" w:hint="cs"/>
          <w:spacing w:val="6"/>
          <w:sz w:val="28"/>
          <w:szCs w:val="28"/>
          <w:rtl/>
        </w:rPr>
        <w:t>ס</w:t>
      </w:r>
      <w:r w:rsidRPr="00521DDF">
        <w:rPr>
          <w:rStyle w:val="default"/>
          <w:rFonts w:ascii="FrankRuehl" w:hAnsi="FrankRuehl" w:cs="FrankRuehl"/>
          <w:spacing w:val="6"/>
          <w:sz w:val="28"/>
          <w:szCs w:val="28"/>
          <w:rtl/>
        </w:rPr>
        <w:t>ק</w:t>
      </w:r>
      <w:r w:rsidRPr="00521DDF">
        <w:rPr>
          <w:rStyle w:val="default"/>
          <w:rFonts w:ascii="FrankRuehl" w:hAnsi="FrankRuehl" w:cs="FrankRuehl" w:hint="cs"/>
          <w:spacing w:val="6"/>
          <w:sz w:val="28"/>
          <w:szCs w:val="28"/>
          <w:rtl/>
        </w:rPr>
        <w:t>ה או מעסק אקראי בעלי אופ</w:t>
      </w:r>
      <w:r w:rsidRPr="00521DDF">
        <w:rPr>
          <w:rStyle w:val="default"/>
          <w:rFonts w:ascii="FrankRuehl" w:hAnsi="FrankRuehl" w:cs="FrankRuehl"/>
          <w:spacing w:val="6"/>
          <w:sz w:val="28"/>
          <w:szCs w:val="28"/>
          <w:rtl/>
        </w:rPr>
        <w:t>י</w:t>
      </w:r>
      <w:r w:rsidRPr="00521DDF">
        <w:rPr>
          <w:rStyle w:val="default"/>
          <w:rFonts w:ascii="FrankRuehl" w:hAnsi="FrankRuehl" w:cs="FrankRuehl" w:hint="cs"/>
          <w:spacing w:val="6"/>
          <w:sz w:val="28"/>
          <w:szCs w:val="28"/>
          <w:rtl/>
        </w:rPr>
        <w:t xml:space="preserve"> מס</w:t>
      </w:r>
      <w:r w:rsidRPr="00521DDF">
        <w:rPr>
          <w:rStyle w:val="default"/>
          <w:rFonts w:ascii="FrankRuehl" w:hAnsi="FrankRuehl" w:cs="FrankRuehl"/>
          <w:spacing w:val="6"/>
          <w:sz w:val="28"/>
          <w:szCs w:val="28"/>
          <w:rtl/>
        </w:rPr>
        <w:t>ח</w:t>
      </w:r>
      <w:r w:rsidRPr="00521DDF">
        <w:rPr>
          <w:rStyle w:val="default"/>
          <w:rFonts w:ascii="FrankRuehl" w:hAnsi="FrankRuehl" w:cs="FrankRuehl" w:hint="cs"/>
          <w:spacing w:val="6"/>
          <w:sz w:val="28"/>
          <w:szCs w:val="28"/>
          <w:rtl/>
        </w:rPr>
        <w:t>רי;</w:t>
      </w:r>
    </w:p>
    <w:p w:rsidR="00A75A37" w:rsidRPr="00521DDF" w:rsidRDefault="00A75A37" w:rsidP="00521DDF">
      <w:pPr>
        <w:pStyle w:val="Ruller5"/>
        <w:rPr>
          <w:rStyle w:val="default"/>
          <w:rFonts w:ascii="FrankRuehl" w:hAnsi="FrankRuehl" w:cs="FrankRuehl"/>
          <w:spacing w:val="6"/>
          <w:sz w:val="28"/>
          <w:szCs w:val="28"/>
          <w:rtl/>
        </w:rPr>
      </w:pPr>
      <w:r w:rsidRPr="00521DDF">
        <w:rPr>
          <w:rStyle w:val="default"/>
          <w:rFonts w:ascii="FrankRuehl" w:hAnsi="FrankRuehl" w:cs="FrankRuehl" w:hint="cs"/>
          <w:spacing w:val="6"/>
          <w:sz w:val="28"/>
          <w:szCs w:val="28"/>
          <w:rtl/>
        </w:rPr>
        <w:t>..."</w:t>
      </w:r>
    </w:p>
    <w:p w:rsidR="00A75A37" w:rsidRDefault="00A75A37" w:rsidP="00A75A37">
      <w:pPr>
        <w:pStyle w:val="Ruller4"/>
        <w:numPr>
          <w:ilvl w:val="0"/>
          <w:numId w:val="0"/>
        </w:numPr>
        <w:spacing w:line="240" w:lineRule="auto"/>
      </w:pPr>
    </w:p>
    <w:p w:rsidR="00A75A37" w:rsidRDefault="00A75A37" w:rsidP="00A75A37">
      <w:pPr>
        <w:pStyle w:val="Ruller4"/>
        <w:numPr>
          <w:ilvl w:val="0"/>
          <w:numId w:val="0"/>
        </w:numPr>
        <w:spacing w:line="276" w:lineRule="auto"/>
        <w:ind w:firstLine="720"/>
        <w:rPr>
          <w:rtl/>
        </w:rPr>
      </w:pPr>
      <w:r>
        <w:rPr>
          <w:rFonts w:hint="cs"/>
          <w:rtl/>
        </w:rPr>
        <w:t xml:space="preserve">סעיף 1 לפקודה מגדיר את המונח </w:t>
      </w:r>
      <w:r w:rsidRPr="009E51E5">
        <w:rPr>
          <w:rFonts w:ascii="Century" w:hAnsi="Century" w:hint="cs"/>
          <w:sz w:val="22"/>
          <w:rtl/>
        </w:rPr>
        <w:t>"משלח-יד"</w:t>
      </w:r>
      <w:r w:rsidRPr="009E51E5">
        <w:rPr>
          <w:rFonts w:hint="cs"/>
          <w:rtl/>
        </w:rPr>
        <w:t xml:space="preserve"> </w:t>
      </w:r>
      <w:r>
        <w:rPr>
          <w:rFonts w:hint="cs"/>
          <w:rtl/>
        </w:rPr>
        <w:t xml:space="preserve">כ-"מקצוע וכל משלח יד שאיננו עסק". </w:t>
      </w:r>
    </w:p>
    <w:p w:rsidR="00A75A37" w:rsidRPr="00195572" w:rsidRDefault="00A75A37" w:rsidP="00A75A37">
      <w:pPr>
        <w:pStyle w:val="Ruller41"/>
        <w:rPr>
          <w:sz w:val="32"/>
          <w:szCs w:val="32"/>
          <w:rtl/>
        </w:rPr>
      </w:pPr>
    </w:p>
    <w:p w:rsidR="00A75A37" w:rsidRDefault="00A75A37" w:rsidP="00A75A37">
      <w:pPr>
        <w:pStyle w:val="Ruller4"/>
        <w:rPr>
          <w:rtl/>
        </w:rPr>
      </w:pPr>
      <w:r>
        <w:rPr>
          <w:rFonts w:hint="cs"/>
          <w:rtl/>
        </w:rPr>
        <w:t>אומנם אין בהוראות הנ"ל של הפקודה כדי להגדיר בבהירות מהי הכנסה ממשלח יד החייבת במס. ואולם צירוף ההגדרה של "משלח-יד" כ"</w:t>
      </w:r>
      <w:r w:rsidRPr="008F146B">
        <w:rPr>
          <w:rFonts w:ascii="Miriam" w:hAnsi="Miriam" w:cs="Miriam" w:hint="cs"/>
          <w:spacing w:val="0"/>
          <w:szCs w:val="24"/>
          <w:rtl/>
        </w:rPr>
        <w:t>מקצ</w:t>
      </w:r>
      <w:r w:rsidRPr="008F146B">
        <w:rPr>
          <w:rFonts w:ascii="Miriam" w:hAnsi="Miriam" w:cs="Miriam"/>
          <w:spacing w:val="0"/>
          <w:szCs w:val="24"/>
          <w:rtl/>
        </w:rPr>
        <w:t>ו</w:t>
      </w:r>
      <w:r w:rsidRPr="008F146B">
        <w:rPr>
          <w:rFonts w:ascii="Miriam" w:hAnsi="Miriam" w:cs="Miriam" w:hint="cs"/>
          <w:spacing w:val="0"/>
          <w:szCs w:val="24"/>
          <w:rtl/>
        </w:rPr>
        <w:t>ע וכל משלח</w:t>
      </w:r>
      <w:r w:rsidRPr="008F146B">
        <w:rPr>
          <w:rFonts w:ascii="Miriam" w:hAnsi="Miriam" w:cs="Miriam"/>
          <w:spacing w:val="0"/>
          <w:szCs w:val="24"/>
          <w:rtl/>
        </w:rPr>
        <w:t>-</w:t>
      </w:r>
      <w:r w:rsidRPr="008F146B">
        <w:rPr>
          <w:rFonts w:ascii="Miriam" w:hAnsi="Miriam" w:cs="Miriam" w:hint="cs"/>
          <w:spacing w:val="0"/>
          <w:szCs w:val="24"/>
          <w:rtl/>
        </w:rPr>
        <w:t xml:space="preserve">יד </w:t>
      </w:r>
      <w:r w:rsidRPr="008F146B">
        <w:rPr>
          <w:rFonts w:ascii="Miriam" w:hAnsi="Miriam" w:cs="Miriam"/>
          <w:spacing w:val="0"/>
          <w:szCs w:val="24"/>
          <w:rtl/>
        </w:rPr>
        <w:t>ש</w:t>
      </w:r>
      <w:r w:rsidRPr="008F146B">
        <w:rPr>
          <w:rFonts w:ascii="Miriam" w:hAnsi="Miriam" w:cs="Miriam" w:hint="cs"/>
          <w:spacing w:val="0"/>
          <w:szCs w:val="24"/>
          <w:rtl/>
        </w:rPr>
        <w:t>א</w:t>
      </w:r>
      <w:r w:rsidRPr="008F146B">
        <w:rPr>
          <w:rFonts w:ascii="Miriam" w:hAnsi="Miriam" w:cs="Miriam"/>
          <w:spacing w:val="0"/>
          <w:szCs w:val="24"/>
          <w:rtl/>
        </w:rPr>
        <w:t>י</w:t>
      </w:r>
      <w:r w:rsidRPr="008F146B">
        <w:rPr>
          <w:rFonts w:ascii="Miriam" w:hAnsi="Miriam" w:cs="Miriam" w:hint="cs"/>
          <w:spacing w:val="0"/>
          <w:szCs w:val="24"/>
          <w:rtl/>
        </w:rPr>
        <w:t>נ</w:t>
      </w:r>
      <w:r w:rsidRPr="008F146B">
        <w:rPr>
          <w:rFonts w:ascii="Miriam" w:hAnsi="Miriam" w:cs="Miriam"/>
          <w:spacing w:val="0"/>
          <w:szCs w:val="24"/>
          <w:rtl/>
        </w:rPr>
        <w:t>נ</w:t>
      </w:r>
      <w:r w:rsidRPr="008F146B">
        <w:rPr>
          <w:rFonts w:ascii="Miriam" w:hAnsi="Miriam" w:cs="Miriam" w:hint="cs"/>
          <w:spacing w:val="0"/>
          <w:szCs w:val="24"/>
          <w:rtl/>
        </w:rPr>
        <w:t>ו</w:t>
      </w:r>
      <w:r w:rsidRPr="008F146B">
        <w:rPr>
          <w:rFonts w:ascii="Miriam" w:hAnsi="Miriam" w:cs="Miriam"/>
          <w:spacing w:val="0"/>
          <w:szCs w:val="24"/>
          <w:rtl/>
        </w:rPr>
        <w:t xml:space="preserve"> </w:t>
      </w:r>
      <w:r w:rsidRPr="008F146B">
        <w:rPr>
          <w:rFonts w:ascii="Miriam" w:hAnsi="Miriam" w:cs="Miriam" w:hint="cs"/>
          <w:spacing w:val="0"/>
          <w:szCs w:val="24"/>
          <w:rtl/>
        </w:rPr>
        <w:t>עסק</w:t>
      </w:r>
      <w:r>
        <w:rPr>
          <w:rFonts w:hint="cs"/>
          <w:rtl/>
        </w:rPr>
        <w:t>", עם הוראת סעיף 2(1) המחייבת במס "</w:t>
      </w:r>
      <w:r w:rsidRPr="0020662E">
        <w:rPr>
          <w:rFonts w:ascii="Miriam" w:hAnsi="Miriam" w:cs="Miriam" w:hint="cs"/>
          <w:spacing w:val="0"/>
          <w:szCs w:val="24"/>
          <w:rtl/>
        </w:rPr>
        <w:t xml:space="preserve">השתכרות או רווח מכל עסק או משלח </w:t>
      </w:r>
      <w:r w:rsidRPr="005D6FD1">
        <w:rPr>
          <w:rFonts w:ascii="Miriam" w:hAnsi="Miriam" w:cs="Miriam" w:hint="cs"/>
          <w:spacing w:val="0"/>
          <w:szCs w:val="24"/>
          <w:rtl/>
        </w:rPr>
        <w:t>יד שעסקו בו תקופת זמן כלשהיא</w:t>
      </w:r>
      <w:r w:rsidRPr="005D6FD1">
        <w:rPr>
          <w:rFonts w:hint="cs"/>
          <w:rtl/>
        </w:rPr>
        <w:t>"</w:t>
      </w:r>
      <w:r>
        <w:rPr>
          <w:rFonts w:hint="cs"/>
          <w:rtl/>
        </w:rPr>
        <w:t>, מצביעים על כך שמדובר בתקבול שמקורו בעיסוק כלשהו לאורך תקופת זמן, אשר יכול שיהא "מקצוע", אך יכול גם שיהא עיסוק שאינו בגדר "מקצוע" במובנו הרגיל של מונח זה.</w:t>
      </w:r>
    </w:p>
    <w:p w:rsidR="00A75A37" w:rsidRPr="009E51E5" w:rsidRDefault="00A75A37" w:rsidP="00A75A37">
      <w:pPr>
        <w:pStyle w:val="Ruller41"/>
        <w:rPr>
          <w:sz w:val="24"/>
          <w:szCs w:val="24"/>
        </w:rPr>
      </w:pPr>
    </w:p>
    <w:p w:rsidR="00A75A37" w:rsidRDefault="00A75A37" w:rsidP="00A75A37">
      <w:pPr>
        <w:pStyle w:val="Ruller4"/>
      </w:pPr>
      <w:r>
        <w:rPr>
          <w:rFonts w:hint="cs"/>
          <w:rtl/>
        </w:rPr>
        <w:t xml:space="preserve">בפסיקה לא מעטה לאורך השנים עמד בית משפט זה על המאפיינים השונים ואמות המידה לזיהוי "משלח יד" לענין הוראת סעיף 2(1) לפקודה. </w:t>
      </w:r>
    </w:p>
    <w:p w:rsidR="00A75A37" w:rsidRDefault="00A75A37" w:rsidP="00A75A37">
      <w:pPr>
        <w:pStyle w:val="Ruller4"/>
        <w:numPr>
          <w:ilvl w:val="0"/>
          <w:numId w:val="0"/>
        </w:numPr>
        <w:ind w:firstLine="720"/>
        <w:rPr>
          <w:rtl/>
        </w:rPr>
      </w:pPr>
    </w:p>
    <w:p w:rsidR="00A75A37" w:rsidRDefault="00A75A37" w:rsidP="00A75A37">
      <w:pPr>
        <w:pStyle w:val="Ruller4"/>
        <w:numPr>
          <w:ilvl w:val="0"/>
          <w:numId w:val="0"/>
        </w:numPr>
        <w:ind w:firstLine="720"/>
        <w:rPr>
          <w:rtl/>
        </w:rPr>
      </w:pPr>
      <w:r>
        <w:rPr>
          <w:rtl/>
        </w:rPr>
        <w:tab/>
      </w:r>
      <w:r w:rsidRPr="009C15D4">
        <w:rPr>
          <w:rFonts w:ascii="Century" w:hAnsi="Century" w:cs="Miriam" w:hint="cs"/>
          <w:b/>
          <w:spacing w:val="0"/>
          <w:sz w:val="22"/>
          <w:szCs w:val="24"/>
          <w:rtl/>
        </w:rPr>
        <w:t>ראשית</w:t>
      </w:r>
      <w:r>
        <w:rPr>
          <w:rFonts w:ascii="Century" w:hAnsi="Century" w:cs="Miriam" w:hint="cs"/>
          <w:b/>
          <w:spacing w:val="0"/>
          <w:sz w:val="22"/>
          <w:szCs w:val="24"/>
          <w:rtl/>
        </w:rPr>
        <w:t>,</w:t>
      </w:r>
      <w:r w:rsidRPr="009C15D4">
        <w:rPr>
          <w:rFonts w:ascii="Century" w:hAnsi="Century" w:cs="Miriam" w:hint="cs"/>
          <w:b/>
          <w:spacing w:val="0"/>
          <w:sz w:val="22"/>
          <w:szCs w:val="24"/>
          <w:rtl/>
        </w:rPr>
        <w:t xml:space="preserve"> </w:t>
      </w:r>
      <w:r>
        <w:rPr>
          <w:rFonts w:hint="cs"/>
          <w:rtl/>
        </w:rPr>
        <w:t xml:space="preserve">הובהר כי למשלח יד נלווה אלמנט של עצמאות, כלומר של עיסוק כעצמאי, להבדיל משכיר, </w:t>
      </w:r>
      <w:r w:rsidRPr="005D6FD1">
        <w:rPr>
          <w:rFonts w:hint="cs"/>
          <w:rtl/>
        </w:rPr>
        <w:t>וכי משלח יד הוא עיסוק המביא לידי ביטוי "</w:t>
      </w:r>
      <w:r w:rsidRPr="005D6FD1">
        <w:rPr>
          <w:rFonts w:ascii="Arial TUR" w:hAnsi="Arial TUR" w:hint="cs"/>
          <w:spacing w:val="6"/>
          <w:sz w:val="28"/>
          <w:rtl/>
        </w:rPr>
        <w:t xml:space="preserve"> כישורים ייחודיים או אורח חיים"</w:t>
      </w:r>
      <w:r w:rsidRPr="005D6FD1">
        <w:rPr>
          <w:rFonts w:hint="cs"/>
          <w:rtl/>
        </w:rPr>
        <w:t xml:space="preserve"> -</w:t>
      </w:r>
      <w:r>
        <w:rPr>
          <w:rFonts w:hint="cs"/>
          <w:rtl/>
        </w:rPr>
        <w:t xml:space="preserve"> </w:t>
      </w:r>
    </w:p>
    <w:p w:rsidR="00A75A37" w:rsidRDefault="00A75A37" w:rsidP="00A75A37">
      <w:pPr>
        <w:pStyle w:val="Ruller41"/>
        <w:spacing w:line="240" w:lineRule="auto"/>
        <w:rPr>
          <w:rtl/>
        </w:rPr>
      </w:pPr>
    </w:p>
    <w:p w:rsidR="00A75A37" w:rsidRDefault="00A75A37" w:rsidP="00090D71">
      <w:pPr>
        <w:pStyle w:val="Ruller5"/>
        <w:spacing w:line="276" w:lineRule="auto"/>
        <w:rPr>
          <w:rtl/>
        </w:rPr>
      </w:pPr>
      <w:r>
        <w:rPr>
          <w:rFonts w:hint="cs"/>
          <w:rtl/>
        </w:rPr>
        <w:t>"...</w:t>
      </w:r>
      <w:r w:rsidRPr="00661150">
        <w:rPr>
          <w:rFonts w:hint="cs"/>
          <w:rtl/>
        </w:rPr>
        <w:t xml:space="preserve">ככלל, כאשר מדובר בבעלי מקצועות חופשיים או </w:t>
      </w:r>
      <w:r w:rsidRPr="00C22D3B">
        <w:rPr>
          <w:rFonts w:hint="cs"/>
          <w:rtl/>
        </w:rPr>
        <w:t>במי שבעבודתם מביאים הם לידי ביטוי כישורים ייחודיים או אורח חיים, והם אינם עובדים כשכירים, הנטייה היא</w:t>
      </w:r>
      <w:r w:rsidRPr="008F1E0E">
        <w:rPr>
          <w:rFonts w:hint="cs"/>
          <w:rtl/>
        </w:rPr>
        <w:t xml:space="preserve"> לראותם כעוסקים במשלח יד</w:t>
      </w:r>
      <w:r>
        <w:rPr>
          <w:rFonts w:hint="cs"/>
          <w:rtl/>
        </w:rPr>
        <w:t>... היסוד המבחין בין הכנסת עבודה לבין הכנסה ממשלח יד הוא 'יסוד העצמאות'... גם כאשר מדובר בעבודה</w:t>
      </w:r>
      <w:r w:rsidRPr="00067FC4">
        <w:rPr>
          <w:rFonts w:ascii="Times New Roman" w:hAnsi="Times New Roman" w:hint="cs"/>
          <w:rtl/>
        </w:rPr>
        <w:t xml:space="preserve"> </w:t>
      </w:r>
      <w:r w:rsidRPr="0055019F">
        <w:rPr>
          <w:rFonts w:ascii="Times New Roman" w:hAnsi="Times New Roman" w:hint="cs"/>
          <w:rtl/>
        </w:rPr>
        <w:t>שמבחינת א</w:t>
      </w:r>
      <w:r>
        <w:rPr>
          <w:rFonts w:ascii="Times New Roman" w:hAnsi="Times New Roman" w:hint="cs"/>
          <w:rtl/>
        </w:rPr>
        <w:t>ו</w:t>
      </w:r>
      <w:r w:rsidRPr="0055019F">
        <w:rPr>
          <w:rFonts w:ascii="Times New Roman" w:hAnsi="Times New Roman" w:hint="cs"/>
          <w:rtl/>
        </w:rPr>
        <w:t>פי</w:t>
      </w:r>
      <w:r>
        <w:rPr>
          <w:rFonts w:ascii="Times New Roman" w:hAnsi="Times New Roman" w:hint="cs"/>
          <w:rtl/>
        </w:rPr>
        <w:t>י</w:t>
      </w:r>
      <w:r w:rsidRPr="0055019F">
        <w:rPr>
          <w:rFonts w:ascii="Times New Roman" w:hAnsi="Times New Roman" w:hint="cs"/>
          <w:rtl/>
        </w:rPr>
        <w:t xml:space="preserve">ה היא צבועה בצבעים של </w:t>
      </w:r>
      <w:r>
        <w:rPr>
          <w:rFonts w:ascii="Times New Roman" w:hAnsi="Times New Roman" w:hint="cs"/>
          <w:rtl/>
        </w:rPr>
        <w:t>'</w:t>
      </w:r>
      <w:r w:rsidRPr="0055019F">
        <w:rPr>
          <w:rFonts w:ascii="Times New Roman" w:hAnsi="Times New Roman" w:hint="cs"/>
          <w:rtl/>
        </w:rPr>
        <w:t>משלח יד</w:t>
      </w:r>
      <w:r>
        <w:rPr>
          <w:rFonts w:ascii="Times New Roman" w:hAnsi="Times New Roman" w:hint="cs"/>
          <w:rtl/>
        </w:rPr>
        <w:t>'</w:t>
      </w:r>
      <w:r w:rsidRPr="0055019F">
        <w:rPr>
          <w:rFonts w:ascii="Times New Roman" w:hAnsi="Times New Roman" w:hint="cs"/>
          <w:rtl/>
        </w:rPr>
        <w:t>, ייתכן שהיא נעשתה על ידי בעל משלח יד המועסק כעובד, ובמקרה כזה ההכנסה הנובעת ממנה תיחשב הכנסת עבודה</w:t>
      </w:r>
      <w:r>
        <w:rPr>
          <w:rFonts w:hint="cs"/>
          <w:rtl/>
        </w:rPr>
        <w:t xml:space="preserve">..." (ענין </w:t>
      </w:r>
      <w:r>
        <w:rPr>
          <w:rFonts w:ascii="Century" w:hAnsi="Century" w:cs="Miriam" w:hint="cs"/>
          <w:b/>
          <w:spacing w:val="0"/>
          <w:szCs w:val="24"/>
          <w:rtl/>
        </w:rPr>
        <w:t>כהן</w:t>
      </w:r>
      <w:r>
        <w:rPr>
          <w:rFonts w:ascii="Century" w:hAnsi="Century" w:hint="cs"/>
          <w:rtl/>
        </w:rPr>
        <w:t>, פסקאות 31-</w:t>
      </w:r>
      <w:r>
        <w:rPr>
          <w:rFonts w:ascii="Century" w:hAnsi="Century" w:hint="cs"/>
          <w:rtl/>
        </w:rPr>
        <w:lastRenderedPageBreak/>
        <w:t xml:space="preserve">29. כן ראו: </w:t>
      </w:r>
      <w:r>
        <w:rPr>
          <w:rFonts w:hint="cs"/>
          <w:rtl/>
        </w:rPr>
        <w:t xml:space="preserve">ע"א 5378/90 </w:t>
      </w:r>
      <w:r>
        <w:rPr>
          <w:rFonts w:ascii="Century" w:hAnsi="Century" w:cs="Miriam" w:hint="cs"/>
          <w:b/>
          <w:spacing w:val="0"/>
          <w:szCs w:val="24"/>
          <w:rtl/>
        </w:rPr>
        <w:t>התאגדות לתרבות גופנית, הפועל טבריה נ' פקיד השומה טבריה</w:t>
      </w:r>
      <w:r>
        <w:rPr>
          <w:rFonts w:ascii="Century" w:hAnsi="Century" w:hint="cs"/>
          <w:rtl/>
        </w:rPr>
        <w:t>, פ"ד מח(2) 416, 440 (1994)</w:t>
      </w:r>
      <w:r>
        <w:rPr>
          <w:rFonts w:hint="cs"/>
          <w:rtl/>
        </w:rPr>
        <w:t xml:space="preserve">). </w:t>
      </w:r>
    </w:p>
    <w:p w:rsidR="00A75A37" w:rsidRDefault="00A75A37" w:rsidP="00A75A37">
      <w:pPr>
        <w:pStyle w:val="Ruller4"/>
        <w:numPr>
          <w:ilvl w:val="0"/>
          <w:numId w:val="0"/>
        </w:numPr>
        <w:rPr>
          <w:rtl/>
        </w:rPr>
      </w:pPr>
      <w:r>
        <w:rPr>
          <w:rFonts w:hint="cs"/>
          <w:rtl/>
        </w:rPr>
        <w:t xml:space="preserve"> </w:t>
      </w:r>
    </w:p>
    <w:p w:rsidR="00A75A37" w:rsidRDefault="00A75A37" w:rsidP="00090D71">
      <w:pPr>
        <w:pStyle w:val="Ruller5"/>
        <w:spacing w:line="360" w:lineRule="auto"/>
        <w:ind w:left="0" w:right="0" w:firstLine="799"/>
        <w:rPr>
          <w:rtl/>
        </w:rPr>
      </w:pPr>
      <w:r>
        <w:rPr>
          <w:rtl/>
        </w:rPr>
        <w:tab/>
      </w:r>
      <w:r w:rsidRPr="009C15D4">
        <w:rPr>
          <w:rFonts w:ascii="Century" w:hAnsi="Century" w:cs="Miriam" w:hint="cs"/>
          <w:b/>
          <w:spacing w:val="0"/>
          <w:szCs w:val="24"/>
          <w:rtl/>
        </w:rPr>
        <w:t>שנית</w:t>
      </w:r>
      <w:r>
        <w:rPr>
          <w:rFonts w:hint="cs"/>
          <w:rtl/>
        </w:rPr>
        <w:t xml:space="preserve">, הודגש כי המונח "משלח יד" רחב מהמונח "מקצוע", וכולל מגוון רחב יותר של פעילויות, כעולה גם מהגדרת המונח "משלח יד" בפקודה, כמפורט לעיל. וכן  כי גם מי שהוא בעל מקצוע ספציפי יכול שיעסוק בעיסוקים נוספים, שגם הם ייחשבו בגדר משלח ידו </w:t>
      </w:r>
      <w:r>
        <w:rPr>
          <w:rtl/>
        </w:rPr>
        <w:t>–</w:t>
      </w:r>
    </w:p>
    <w:p w:rsidR="00A75A37" w:rsidRDefault="00A75A37" w:rsidP="00A75A37">
      <w:pPr>
        <w:pStyle w:val="Ruller41"/>
        <w:rPr>
          <w:rtl/>
        </w:rPr>
      </w:pPr>
    </w:p>
    <w:p w:rsidR="00A75A37" w:rsidRDefault="00A75A37" w:rsidP="00A75A37">
      <w:pPr>
        <w:pStyle w:val="Ruller41"/>
        <w:spacing w:line="276" w:lineRule="auto"/>
        <w:ind w:left="1649" w:right="1276"/>
        <w:rPr>
          <w:rtl/>
        </w:rPr>
      </w:pPr>
      <w:r>
        <w:rPr>
          <w:rFonts w:hint="cs"/>
          <w:rtl/>
        </w:rPr>
        <w:t>"עניין נוסף שהוזכר בפסיקה ובספרות כאמצעי לזיהוי 'משלח יד' לעומת עבודה כ'עובד' הוא אופי העיסוק. על פי סעיף ההגדרות ב</w:t>
      </w:r>
      <w:r w:rsidRPr="005972EF">
        <w:rPr>
          <w:rtl/>
        </w:rPr>
        <w:t>פקודת מס הכנסה</w:t>
      </w:r>
      <w:r>
        <w:rPr>
          <w:rFonts w:hint="cs"/>
          <w:rtl/>
        </w:rPr>
        <w:t xml:space="preserve">, קיימות שתי חלופות הממלאות אחר ההגדרה 'משלח יד': 'מקצוע' ו'משלח-יד שאינו עסק'. בהתייחסו להגדרה זו קבע בית המשפט המחוזי לפני שנים, כי </w:t>
      </w:r>
      <w:r>
        <w:rPr>
          <w:rFonts w:ascii="Times New Roman" w:hAnsi="Times New Roman" w:hint="cs"/>
          <w:rtl/>
        </w:rPr>
        <w:t>'...מקצוע הוגדר כדבר שטמון בו רעיון של עיסוק הדורש מומחיות שכלית או מומחיות של היד", ואילו משלח-יד הוא מושג רחב יותר והוא הדרך, האורח, בו אדם עושה חייו, כגון שחקן, ספורטאי'..." (</w:t>
      </w:r>
      <w:r>
        <w:rPr>
          <w:rFonts w:hint="cs"/>
          <w:rtl/>
        </w:rPr>
        <w:t>ענין כהן, בפסקה 31).</w:t>
      </w:r>
    </w:p>
    <w:p w:rsidR="00A75A37" w:rsidRDefault="00A75A37" w:rsidP="00A75A37">
      <w:pPr>
        <w:pStyle w:val="Ruller41"/>
        <w:spacing w:line="276" w:lineRule="auto"/>
        <w:ind w:left="1649" w:right="1276"/>
        <w:rPr>
          <w:rtl/>
        </w:rPr>
      </w:pPr>
    </w:p>
    <w:p w:rsidR="00A75A37" w:rsidRDefault="00A75A37" w:rsidP="00A75A37">
      <w:pPr>
        <w:pStyle w:val="Ruller41"/>
        <w:spacing w:line="276" w:lineRule="auto"/>
        <w:ind w:left="799" w:right="1276"/>
        <w:rPr>
          <w:rtl/>
        </w:rPr>
      </w:pPr>
      <w:r>
        <w:rPr>
          <w:rFonts w:hint="cs"/>
          <w:rtl/>
        </w:rPr>
        <w:t>וכן כי -</w:t>
      </w:r>
    </w:p>
    <w:p w:rsidR="00A75A37" w:rsidRDefault="00A75A37" w:rsidP="00A75A37">
      <w:pPr>
        <w:pStyle w:val="Ruller41"/>
        <w:rPr>
          <w:rtl/>
        </w:rPr>
      </w:pPr>
    </w:p>
    <w:p w:rsidR="00A75A37" w:rsidRDefault="00A75A37" w:rsidP="00090D71">
      <w:pPr>
        <w:pStyle w:val="Ruller5"/>
        <w:spacing w:line="276" w:lineRule="auto"/>
        <w:rPr>
          <w:rtl/>
        </w:rPr>
      </w:pPr>
      <w:r>
        <w:rPr>
          <w:rFonts w:hint="cs"/>
          <w:rtl/>
        </w:rPr>
        <w:t>"...</w:t>
      </w:r>
      <w:r w:rsidRPr="00D70346">
        <w:rPr>
          <w:rFonts w:hint="cs"/>
          <w:rtl/>
        </w:rPr>
        <w:t xml:space="preserve"> בעוד נישום עשוי להיות בעל מקצוע מסוים (כגון רופא), יכול הוא לפעול מתוקף מומחיותו במגוון עיסוקים</w:t>
      </w:r>
      <w:r>
        <w:rPr>
          <w:rFonts w:hint="cs"/>
          <w:rtl/>
        </w:rPr>
        <w:t xml:space="preserve"> במקביל... </w:t>
      </w:r>
      <w:r w:rsidRPr="00D70346">
        <w:rPr>
          <w:rFonts w:hint="cs"/>
          <w:rtl/>
        </w:rPr>
        <w:t>אשר ניתן לראות בכולם, בנסיבות המתאימות, כחלק ממשלח ידו</w:t>
      </w:r>
      <w:r>
        <w:rPr>
          <w:rFonts w:hint="cs"/>
          <w:rtl/>
        </w:rPr>
        <w:t xml:space="preserve">. </w:t>
      </w:r>
      <w:r w:rsidRPr="008F1E0E">
        <w:rPr>
          <w:rFonts w:hint="cs"/>
          <w:rtl/>
        </w:rPr>
        <w:t xml:space="preserve">מכאן שהמונח </w:t>
      </w:r>
      <w:r>
        <w:rPr>
          <w:rFonts w:hint="cs"/>
          <w:rtl/>
        </w:rPr>
        <w:t>'</w:t>
      </w:r>
      <w:r w:rsidRPr="008F1E0E">
        <w:rPr>
          <w:rFonts w:hint="cs"/>
          <w:rtl/>
        </w:rPr>
        <w:t>משלח יד</w:t>
      </w:r>
      <w:r>
        <w:rPr>
          <w:rFonts w:hint="cs"/>
          <w:rtl/>
        </w:rPr>
        <w:t>'</w:t>
      </w:r>
      <w:r w:rsidRPr="008F1E0E">
        <w:rPr>
          <w:rFonts w:hint="cs"/>
          <w:rtl/>
        </w:rPr>
        <w:t xml:space="preserve"> לא מגביל עצמו במהותו לפעילות קונקרטית אחת, ויכול שיחסו תחתיו מספר עיסוקים</w:t>
      </w:r>
      <w:r>
        <w:rPr>
          <w:rFonts w:hint="cs"/>
          <w:rtl/>
        </w:rPr>
        <w:t>..."</w:t>
      </w:r>
      <w:r w:rsidRPr="008F1E0E">
        <w:rPr>
          <w:rFonts w:hint="cs"/>
          <w:rtl/>
        </w:rPr>
        <w:t xml:space="preserve"> </w:t>
      </w:r>
      <w:r>
        <w:rPr>
          <w:rFonts w:hint="cs"/>
          <w:rtl/>
        </w:rPr>
        <w:t xml:space="preserve">(ענין </w:t>
      </w:r>
      <w:r w:rsidRPr="0020073A">
        <w:rPr>
          <w:rFonts w:ascii="Century" w:hAnsi="Century" w:cs="Miriam" w:hint="cs"/>
          <w:b/>
          <w:spacing w:val="0"/>
          <w:szCs w:val="24"/>
          <w:rtl/>
        </w:rPr>
        <w:t>שלו</w:t>
      </w:r>
      <w:r>
        <w:rPr>
          <w:rFonts w:hint="cs"/>
          <w:rtl/>
        </w:rPr>
        <w:t>, פסקה 17).</w:t>
      </w:r>
    </w:p>
    <w:p w:rsidR="00A75A37" w:rsidRPr="00E8666C" w:rsidRDefault="00A75A37" w:rsidP="00A75A37">
      <w:pPr>
        <w:pStyle w:val="Ruller5"/>
        <w:spacing w:line="360" w:lineRule="auto"/>
      </w:pPr>
    </w:p>
    <w:p w:rsidR="00A75A37" w:rsidRDefault="00A75A37" w:rsidP="00A75A37">
      <w:pPr>
        <w:pStyle w:val="Ruller4"/>
        <w:numPr>
          <w:ilvl w:val="0"/>
          <w:numId w:val="0"/>
        </w:numPr>
        <w:ind w:firstLine="720"/>
        <w:rPr>
          <w:rtl/>
        </w:rPr>
      </w:pPr>
      <w:r>
        <w:rPr>
          <w:rFonts w:hint="cs"/>
          <w:rtl/>
        </w:rPr>
        <w:t xml:space="preserve">בהמשך לכך נקבע בפסיקה כי נדרשים שני תנאים בסיסיים להכרה בהכנסה ככזו הנובעת ממשלח יד </w:t>
      </w:r>
      <w:r>
        <w:rPr>
          <w:rtl/>
        </w:rPr>
        <w:t>–</w:t>
      </w:r>
      <w:r>
        <w:rPr>
          <w:rFonts w:hint="cs"/>
          <w:rtl/>
        </w:rPr>
        <w:t xml:space="preserve"> </w:t>
      </w:r>
    </w:p>
    <w:p w:rsidR="00A75A37" w:rsidRDefault="00A75A37" w:rsidP="00A75A37">
      <w:pPr>
        <w:pStyle w:val="Ruller41"/>
        <w:rPr>
          <w:rtl/>
        </w:rPr>
      </w:pPr>
    </w:p>
    <w:p w:rsidR="00A75A37" w:rsidRDefault="00A75A37" w:rsidP="00090D71">
      <w:pPr>
        <w:pStyle w:val="Ruller5"/>
        <w:spacing w:line="276" w:lineRule="auto"/>
        <w:rPr>
          <w:rtl/>
        </w:rPr>
      </w:pPr>
      <w:r w:rsidRPr="00BE000D">
        <w:rPr>
          <w:rFonts w:hint="cs"/>
          <w:rtl/>
        </w:rPr>
        <w:t>"ישנם שני תנאים בסיסיים להיותה של הכנסה כזו הנובעת ממשלח יד: התנאי הראשון הוא כישורים, יכולת, ומומחיות של הנישום בתחום מסוים; התנאי השני הוא שהנישום עושה שימוש באותם כישורים, יכולת, ומומחיות לצורך הפקת ההכנסה</w:t>
      </w:r>
      <w:r>
        <w:rPr>
          <w:rFonts w:hint="cs"/>
          <w:rtl/>
        </w:rPr>
        <w:t xml:space="preserve">" (ענין </w:t>
      </w:r>
      <w:r>
        <w:rPr>
          <w:rFonts w:ascii="Century" w:hAnsi="Century" w:cs="Miriam" w:hint="cs"/>
          <w:b/>
          <w:spacing w:val="0"/>
          <w:szCs w:val="24"/>
          <w:rtl/>
        </w:rPr>
        <w:t>קרצמר</w:t>
      </w:r>
      <w:r>
        <w:rPr>
          <w:rFonts w:hint="cs"/>
          <w:rtl/>
        </w:rPr>
        <w:t xml:space="preserve">, פסקה 27 לחוות דעתו של השופט הנדל. וראו גם: ע"א 6952/15 </w:t>
      </w:r>
      <w:r w:rsidRPr="00FF7ABB">
        <w:rPr>
          <w:rFonts w:ascii="Century" w:hAnsi="Century" w:cs="Miriam" w:hint="cs"/>
          <w:b/>
          <w:spacing w:val="0"/>
          <w:szCs w:val="24"/>
          <w:rtl/>
        </w:rPr>
        <w:t>פקיד שומה גוש דן נ' קרן</w:t>
      </w:r>
      <w:r>
        <w:rPr>
          <w:rFonts w:ascii="Century" w:hAnsi="Century" w:hint="cs"/>
          <w:rtl/>
        </w:rPr>
        <w:t>, פסקה לט (19.1.2017)</w:t>
      </w:r>
      <w:r>
        <w:rPr>
          <w:rFonts w:hint="cs"/>
          <w:rtl/>
        </w:rPr>
        <w:t xml:space="preserve"> (להלן: </w:t>
      </w:r>
      <w:r>
        <w:rPr>
          <w:rFonts w:hint="cs"/>
          <w:rtl/>
        </w:rPr>
        <w:lastRenderedPageBreak/>
        <w:t xml:space="preserve">ענין </w:t>
      </w:r>
      <w:r>
        <w:rPr>
          <w:rFonts w:ascii="Century" w:hAnsi="Century" w:cs="Miriam" w:hint="cs"/>
          <w:b/>
          <w:spacing w:val="0"/>
          <w:szCs w:val="24"/>
          <w:rtl/>
        </w:rPr>
        <w:t>פקיד שומה נ' קרן</w:t>
      </w:r>
      <w:r>
        <w:rPr>
          <w:rFonts w:ascii="Century" w:hAnsi="Century" w:hint="cs"/>
          <w:rtl/>
        </w:rPr>
        <w:t>)</w:t>
      </w:r>
      <w:r>
        <w:rPr>
          <w:rFonts w:hint="cs"/>
          <w:rtl/>
        </w:rPr>
        <w:t xml:space="preserve">, וכן </w:t>
      </w:r>
      <w:r w:rsidRPr="00114FCA">
        <w:rPr>
          <w:rFonts w:ascii="Century" w:hAnsi="Century" w:cs="Miriam" w:hint="cs"/>
          <w:b/>
          <w:spacing w:val="0"/>
          <w:szCs w:val="24"/>
          <w:rtl/>
        </w:rPr>
        <w:t>נמדר</w:t>
      </w:r>
      <w:r>
        <w:rPr>
          <w:rFonts w:ascii="Century" w:hAnsi="Century" w:cs="Miriam" w:hint="cs"/>
          <w:b/>
          <w:spacing w:val="0"/>
          <w:szCs w:val="24"/>
          <w:rtl/>
        </w:rPr>
        <w:t xml:space="preserve"> </w:t>
      </w:r>
      <w:r>
        <w:rPr>
          <w:rFonts w:ascii="Century" w:hAnsi="Century" w:cs="Miriam"/>
          <w:b/>
          <w:spacing w:val="0"/>
          <w:szCs w:val="24"/>
          <w:rtl/>
        </w:rPr>
        <w:t>–</w:t>
      </w:r>
      <w:r>
        <w:rPr>
          <w:rFonts w:ascii="Century" w:hAnsi="Century" w:cs="Miriam" w:hint="cs"/>
          <w:b/>
          <w:spacing w:val="0"/>
          <w:szCs w:val="24"/>
          <w:rtl/>
        </w:rPr>
        <w:t xml:space="preserve"> מס הכנסה</w:t>
      </w:r>
      <w:r>
        <w:rPr>
          <w:rFonts w:ascii="Century" w:hAnsi="Century" w:hint="cs"/>
          <w:rtl/>
        </w:rPr>
        <w:t>, 157</w:t>
      </w:r>
      <w:r>
        <w:rPr>
          <w:rFonts w:hint="cs"/>
          <w:rtl/>
        </w:rPr>
        <w:t>; ו</w:t>
      </w:r>
      <w:r w:rsidRPr="00114FCA">
        <w:rPr>
          <w:rFonts w:ascii="Century" w:hAnsi="Century" w:cs="Miriam" w:hint="cs"/>
          <w:b/>
          <w:spacing w:val="0"/>
          <w:szCs w:val="24"/>
          <w:rtl/>
        </w:rPr>
        <w:t>גרוס</w:t>
      </w:r>
      <w:r>
        <w:rPr>
          <w:rFonts w:ascii="Century" w:hAnsi="Century" w:cs="Miriam" w:hint="cs"/>
          <w:b/>
          <w:spacing w:val="0"/>
          <w:szCs w:val="24"/>
          <w:rtl/>
        </w:rPr>
        <w:t xml:space="preserve"> </w:t>
      </w:r>
      <w:r>
        <w:rPr>
          <w:rFonts w:ascii="Century" w:hAnsi="Century" w:cs="Miriam"/>
          <w:b/>
          <w:spacing w:val="0"/>
          <w:szCs w:val="24"/>
          <w:rtl/>
        </w:rPr>
        <w:t>–</w:t>
      </w:r>
      <w:r>
        <w:rPr>
          <w:rFonts w:ascii="Century" w:hAnsi="Century" w:cs="Miriam" w:hint="cs"/>
          <w:b/>
          <w:spacing w:val="0"/>
          <w:szCs w:val="24"/>
          <w:rtl/>
        </w:rPr>
        <w:t xml:space="preserve"> דיני המס החדשים</w:t>
      </w:r>
      <w:r>
        <w:rPr>
          <w:rFonts w:ascii="Century" w:hAnsi="Century" w:hint="cs"/>
          <w:rtl/>
        </w:rPr>
        <w:t>,</w:t>
      </w:r>
      <w:r>
        <w:rPr>
          <w:rFonts w:hint="cs"/>
          <w:rtl/>
        </w:rPr>
        <w:t xml:space="preserve"> 95).</w:t>
      </w:r>
    </w:p>
    <w:p w:rsidR="00A75A37" w:rsidRDefault="00A75A37" w:rsidP="00A75A37">
      <w:pPr>
        <w:pStyle w:val="Ruller5"/>
        <w:spacing w:line="360" w:lineRule="auto"/>
        <w:rPr>
          <w:rtl/>
        </w:rPr>
      </w:pPr>
    </w:p>
    <w:p w:rsidR="00A75A37" w:rsidRPr="00FA04BE" w:rsidRDefault="00A75A37" w:rsidP="00A75A37">
      <w:pPr>
        <w:pStyle w:val="Ruller4"/>
      </w:pPr>
      <w:r>
        <w:rPr>
          <w:rFonts w:hint="cs"/>
          <w:rtl/>
        </w:rPr>
        <w:t xml:space="preserve">אשר לשאלת </w:t>
      </w:r>
      <w:r w:rsidRPr="007C2FB6">
        <w:rPr>
          <w:rFonts w:ascii="Century" w:hAnsi="Century" w:cs="Miriam" w:hint="cs"/>
          <w:b/>
          <w:spacing w:val="0"/>
          <w:sz w:val="22"/>
          <w:szCs w:val="24"/>
          <w:rtl/>
        </w:rPr>
        <w:t>התמורה</w:t>
      </w:r>
      <w:r>
        <w:rPr>
          <w:rFonts w:hint="cs"/>
          <w:rtl/>
        </w:rPr>
        <w:t xml:space="preserve">, נקבע כי אף ששאלת </w:t>
      </w:r>
      <w:r w:rsidRPr="007C2FB6">
        <w:rPr>
          <w:rFonts w:hint="cs"/>
          <w:rtl/>
        </w:rPr>
        <w:t>התמורה</w:t>
      </w:r>
      <w:r>
        <w:rPr>
          <w:rFonts w:hint="cs"/>
          <w:rtl/>
        </w:rPr>
        <w:t xml:space="preserve"> היא שאלת עזר חשובה, שבכוחה לסייע לסיווג תקבולים ממשלח יד כהכנסה חייבת במס, </w:t>
      </w:r>
      <w:r w:rsidRPr="005D6FD1">
        <w:rPr>
          <w:rFonts w:hint="cs"/>
          <w:rtl/>
        </w:rPr>
        <w:t>אין הכרח להוכיח כי תקבול מסוים התקבל עבור שירות ספציפי מוגדר,</w:t>
      </w:r>
      <w:r>
        <w:rPr>
          <w:rFonts w:hint="cs"/>
          <w:rtl/>
        </w:rPr>
        <w:t xml:space="preserve"> ככל שעולה כי ההכנסה הופקה במסגרת משלח ידו של הנישום - </w:t>
      </w:r>
    </w:p>
    <w:p w:rsidR="00A75A37" w:rsidRDefault="00A75A37" w:rsidP="00A75A37">
      <w:pPr>
        <w:pStyle w:val="Ruller5"/>
        <w:ind w:left="720"/>
        <w:rPr>
          <w:rtl/>
        </w:rPr>
      </w:pPr>
    </w:p>
    <w:p w:rsidR="00A75A37" w:rsidRDefault="00A75A37" w:rsidP="00090D71">
      <w:pPr>
        <w:pStyle w:val="Ruller5"/>
        <w:spacing w:line="276" w:lineRule="auto"/>
        <w:rPr>
          <w:rtl/>
        </w:rPr>
      </w:pPr>
      <w:r>
        <w:rPr>
          <w:rFonts w:hint="cs"/>
          <w:rtl/>
        </w:rPr>
        <w:t>"...</w:t>
      </w:r>
      <w:r w:rsidRPr="00FA04BE">
        <w:rPr>
          <w:rFonts w:hint="cs"/>
          <w:rtl/>
        </w:rPr>
        <w:t>הוכחת מתן שירות ספציפי עבור הכנסה מסוימת – אינה הכרחית אם ברי כי ההכנסה הופקה במסגרת משלח ידו של אדם. כמובן שמשלח היד מטבע הדברים כולל מתן תמורה כלשהי כגון שירות, עבור ההכנסה, אלא שלא נדרש להוכיח מהם בדיוק גבולות התמורה שניתנה עבור הכנסה קונקרטית.</w:t>
      </w:r>
      <w:r>
        <w:rPr>
          <w:rFonts w:hint="cs"/>
          <w:rtl/>
        </w:rPr>
        <w:t xml:space="preserve">.. </w:t>
      </w:r>
      <w:r w:rsidRPr="00643C84">
        <w:rPr>
          <w:rFonts w:hint="cs"/>
          <w:rtl/>
        </w:rPr>
        <w:t>דוגמה אחרת יכולה להיות בתשלום למשרד עורכי דין, או שירותי ייעוץ כלשהם, שלא לפי שעה אלא בחוזה ריטיינר (</w:t>
      </w:r>
      <w:r w:rsidRPr="00C0206F">
        <w:rPr>
          <w:rFonts w:asciiTheme="minorHAnsi" w:hAnsiTheme="minorHAnsi" w:cstheme="minorHAnsi"/>
          <w:spacing w:val="0"/>
          <w:sz w:val="24"/>
          <w:szCs w:val="24"/>
        </w:rPr>
        <w:t>Retainer</w:t>
      </w:r>
      <w:r w:rsidRPr="00643C84">
        <w:rPr>
          <w:rFonts w:hint="cs"/>
          <w:rtl/>
        </w:rPr>
        <w:t>), כאשר לא ברור האם ניתנה תמורה בפועל בחודש מסוים ומהו היקף תמורה זו</w:t>
      </w:r>
      <w:r>
        <w:rPr>
          <w:rFonts w:hint="cs"/>
          <w:rtl/>
        </w:rPr>
        <w:t xml:space="preserve">..." (ענין </w:t>
      </w:r>
      <w:r>
        <w:rPr>
          <w:rFonts w:ascii="Century" w:hAnsi="Century" w:cs="Miriam" w:hint="cs"/>
          <w:b/>
          <w:spacing w:val="0"/>
          <w:szCs w:val="24"/>
          <w:rtl/>
        </w:rPr>
        <w:t>קרצמר</w:t>
      </w:r>
      <w:r>
        <w:rPr>
          <w:rFonts w:hint="cs"/>
          <w:rtl/>
        </w:rPr>
        <w:t>, פסקה 32 לחוות דעת השופט הנדל).</w:t>
      </w:r>
    </w:p>
    <w:p w:rsidR="00A75A37" w:rsidRPr="002B172B" w:rsidRDefault="00A75A37" w:rsidP="00A75A37">
      <w:pPr>
        <w:pStyle w:val="Ruller5"/>
        <w:spacing w:line="360" w:lineRule="auto"/>
        <w:rPr>
          <w:sz w:val="30"/>
          <w:szCs w:val="32"/>
          <w:rtl/>
        </w:rPr>
      </w:pPr>
    </w:p>
    <w:p w:rsidR="00A75A37" w:rsidRDefault="00A75A37" w:rsidP="00A75A37">
      <w:pPr>
        <w:pStyle w:val="Ruller4"/>
        <w:numPr>
          <w:ilvl w:val="0"/>
          <w:numId w:val="0"/>
        </w:numPr>
        <w:rPr>
          <w:rtl/>
        </w:rPr>
      </w:pPr>
      <w:r>
        <w:rPr>
          <w:rtl/>
        </w:rPr>
        <w:tab/>
      </w:r>
      <w:r>
        <w:rPr>
          <w:rFonts w:hint="cs"/>
          <w:rtl/>
        </w:rPr>
        <w:t xml:space="preserve">עוד הודגש לענין זה </w:t>
      </w:r>
      <w:r w:rsidRPr="005D6FD1">
        <w:rPr>
          <w:rFonts w:hint="cs"/>
          <w:rtl/>
        </w:rPr>
        <w:t>כי אין הכרח כי התמורה תוסדר בצורה פורמלית של דרישה לתמורה</w:t>
      </w:r>
      <w:r>
        <w:rPr>
          <w:rFonts w:hint="cs"/>
          <w:rtl/>
        </w:rPr>
        <w:t>,</w:t>
      </w:r>
      <w:r w:rsidRPr="005D6FD1">
        <w:rPr>
          <w:rFonts w:hint="cs"/>
          <w:rtl/>
        </w:rPr>
        <w:t xml:space="preserve"> או מחויבות משפטית לתמורה,</w:t>
      </w:r>
      <w:r>
        <w:rPr>
          <w:rFonts w:hint="cs"/>
          <w:rtl/>
        </w:rPr>
        <w:t xml:space="preserve"> ודי בקיומו של "קוד אתי-ערכי" המבסס ציפייה לתמורה (ענין </w:t>
      </w:r>
      <w:r>
        <w:rPr>
          <w:rFonts w:ascii="Century" w:hAnsi="Century" w:cs="Miriam" w:hint="cs"/>
          <w:b/>
          <w:spacing w:val="0"/>
          <w:sz w:val="22"/>
          <w:szCs w:val="24"/>
          <w:rtl/>
        </w:rPr>
        <w:t>קרצמר</w:t>
      </w:r>
      <w:r>
        <w:rPr>
          <w:rFonts w:hint="cs"/>
          <w:rtl/>
        </w:rPr>
        <w:t xml:space="preserve"> - פסקה 32 לחוות דעת השופט הנדל ופסקה 5 לחוות דעת השופט קרא. כן ראו ע"א 136/67 </w:t>
      </w:r>
      <w:r>
        <w:rPr>
          <w:rFonts w:ascii="Century" w:hAnsi="Century" w:cs="Miriam" w:hint="cs"/>
          <w:b/>
          <w:spacing w:val="0"/>
          <w:sz w:val="22"/>
          <w:szCs w:val="24"/>
          <w:rtl/>
        </w:rPr>
        <w:t>ברזל נ' פקיד השומה, פתח תקוה</w:t>
      </w:r>
      <w:r>
        <w:rPr>
          <w:rFonts w:ascii="Century" w:hAnsi="Century" w:hint="cs"/>
          <w:sz w:val="22"/>
          <w:rtl/>
        </w:rPr>
        <w:t xml:space="preserve">, פ"ד כא(2) 69 (1967), להלן: ענין </w:t>
      </w:r>
      <w:r>
        <w:rPr>
          <w:rFonts w:ascii="Century" w:hAnsi="Century" w:cs="Miriam" w:hint="cs"/>
          <w:b/>
          <w:spacing w:val="0"/>
          <w:sz w:val="22"/>
          <w:szCs w:val="24"/>
          <w:rtl/>
        </w:rPr>
        <w:t>ברזל</w:t>
      </w:r>
      <w:r>
        <w:rPr>
          <w:rFonts w:hint="cs"/>
          <w:rtl/>
        </w:rPr>
        <w:t>).</w:t>
      </w:r>
    </w:p>
    <w:p w:rsidR="00A75A37" w:rsidRPr="00821EB0" w:rsidRDefault="00A75A37" w:rsidP="00A75A37">
      <w:pPr>
        <w:pStyle w:val="Ruller5"/>
        <w:spacing w:line="360" w:lineRule="auto"/>
        <w:ind w:left="0"/>
        <w:rPr>
          <w:rtl/>
        </w:rPr>
      </w:pPr>
    </w:p>
    <w:p w:rsidR="00A75A37" w:rsidRDefault="00A75A37" w:rsidP="00A75A37">
      <w:pPr>
        <w:pStyle w:val="Ruller4"/>
        <w:rPr>
          <w:rtl/>
        </w:rPr>
      </w:pPr>
      <w:r w:rsidRPr="005D6FD1">
        <w:rPr>
          <w:rFonts w:ascii="Century" w:hAnsi="Century" w:cs="Miriam" w:hint="cs"/>
          <w:b/>
          <w:spacing w:val="0"/>
          <w:sz w:val="22"/>
          <w:szCs w:val="24"/>
          <w:rtl/>
        </w:rPr>
        <w:t>סיכום ביניים</w:t>
      </w:r>
      <w:r>
        <w:rPr>
          <w:rFonts w:hint="cs"/>
          <w:rtl/>
        </w:rPr>
        <w:t>: העולה מהוראות הפקודה והפסיקה שנסקרה בתמצית לעיל הוא כי "משלח יד" הוא עיסוק עצמאי, להבדיל משכיר, בו עוסק אדם לאורך "תקופת זמן כלשהיא", מכוח הכשרתו המקצועית, או כישוריו האישיים אף שאינם בגדר "מקצוע", ואשר מניב לבעל משלח היד תקבולים שמקורם באותו עיסוק. כמו כן, גם בעל מקצוע פורמלי מוכר יכול שיעסוק בעיסוקים נוספים הקשורים להכשרתו או לכישוריו האישיים, וגם אלה ייחשבו כחלק ממשלח ידו. וכן נקבע כי על אף ששאלת התמורה היא שאלת עזר חשובה שעשויה לסייע בסיווג תקבולים כהכנסה ממשלח יד, אין הכרח להוכיח כי מקורה של הכנסה מסוימת הוא במתן שירות ספציפי מוגדר, או כי התמורה נקבעה מראש והוסדרה בצורה פורמלית מחייבת.</w:t>
      </w:r>
    </w:p>
    <w:p w:rsidR="00A75A37" w:rsidRDefault="00A75A37" w:rsidP="00A75A37">
      <w:pPr>
        <w:pStyle w:val="Ruller41"/>
        <w:rPr>
          <w:rtl/>
        </w:rPr>
      </w:pPr>
    </w:p>
    <w:p w:rsidR="00A75A37" w:rsidRDefault="00A75A37" w:rsidP="00A75A37">
      <w:pPr>
        <w:pStyle w:val="Ruller41"/>
        <w:rPr>
          <w:rtl/>
        </w:rPr>
      </w:pPr>
      <w:r>
        <w:rPr>
          <w:rtl/>
        </w:rPr>
        <w:lastRenderedPageBreak/>
        <w:tab/>
      </w:r>
      <w:r>
        <w:rPr>
          <w:rFonts w:hint="cs"/>
          <w:rtl/>
        </w:rPr>
        <w:t xml:space="preserve">יש לזכור כי לצד מקצועות פורמליים המוסדרים בדין, והמחייבים הכשרה מקצועית מוגדרת והסמכה לעסוק באותו עיסוק (כגון: רופא, מהנדס, עו"ד, מורה, ועוד), קיימים תחומי עיסוק רבים ומגוונים שאינם מוסדרים בדין ואינם כפופים לדרישת הסמכה פורמלית, אשר מתפתחים כל העת, לפי צרכי השעה וכללי היצע וביקוש. קיים גם תהליך בו המחוקק מוצא לנכון להסדיר תחומי עיסוק שלא היו מוסדרים קודם לכן כדי להגן על הציבור (כגון יועצי השקעות ועוד). גם עיסוקים שאינם מוסדרים בדין, ואף כאלה שאינם בגדר מקצוע מוכר, עשויים להיחשב כ"משלח יד", שהכנסות הנובעות ממנו יהיו חייבות במס, ככל שמדובר כאמור בפעילות שבבסיסה כישורים, יכולת, ומומחיות של הנישום, והוא "עושה שימוש באותם כישורים, יכולת, ומומחיות לצורך הפקת ההכנסה". </w:t>
      </w:r>
    </w:p>
    <w:p w:rsidR="00A75A37" w:rsidRDefault="00A75A37" w:rsidP="00A75A37">
      <w:pPr>
        <w:pStyle w:val="Ruller41"/>
        <w:rPr>
          <w:rtl/>
        </w:rPr>
      </w:pPr>
    </w:p>
    <w:p w:rsidR="00A75A37" w:rsidRDefault="00A75A37" w:rsidP="00A75A37">
      <w:pPr>
        <w:pStyle w:val="Ruller4"/>
        <w:rPr>
          <w:rFonts w:ascii="Arial TUR" w:hAnsi="Arial TUR"/>
          <w:sz w:val="28"/>
          <w:rtl/>
        </w:rPr>
      </w:pPr>
      <w:r>
        <w:rPr>
          <w:rFonts w:ascii="Miriam" w:hAnsi="Miriam" w:cs="Miriam" w:hint="cs"/>
          <w:spacing w:val="0"/>
          <w:szCs w:val="24"/>
          <w:rtl/>
        </w:rPr>
        <w:t xml:space="preserve">חוזר רשות המיסים </w:t>
      </w:r>
      <w:r>
        <w:rPr>
          <w:rFonts w:ascii="Arial TUR" w:hAnsi="Arial TUR"/>
          <w:sz w:val="28"/>
          <w:rtl/>
        </w:rPr>
        <w:t>–</w:t>
      </w:r>
    </w:p>
    <w:p w:rsidR="00A75A37" w:rsidRPr="003F2E62" w:rsidRDefault="00A75A37" w:rsidP="00A75A37">
      <w:pPr>
        <w:pStyle w:val="Ruller4"/>
        <w:numPr>
          <w:ilvl w:val="0"/>
          <w:numId w:val="0"/>
        </w:numPr>
        <w:spacing w:line="240" w:lineRule="auto"/>
        <w:rPr>
          <w:rFonts w:ascii="Miriam" w:hAnsi="Miriam" w:cs="Miriam"/>
          <w:szCs w:val="24"/>
          <w:rtl/>
        </w:rPr>
      </w:pPr>
    </w:p>
    <w:p w:rsidR="00A75A37" w:rsidRDefault="00A75A37" w:rsidP="00A75A37">
      <w:pPr>
        <w:pStyle w:val="Ruller4"/>
        <w:numPr>
          <w:ilvl w:val="0"/>
          <w:numId w:val="0"/>
        </w:numPr>
        <w:ind w:firstLine="720"/>
        <w:rPr>
          <w:rFonts w:ascii="Arial TUR" w:hAnsi="Arial TUR"/>
          <w:sz w:val="28"/>
          <w:rtl/>
        </w:rPr>
      </w:pPr>
      <w:r w:rsidRPr="006E1D1D">
        <w:rPr>
          <w:rFonts w:ascii="Arial TUR" w:hAnsi="Arial TUR" w:hint="cs"/>
          <w:sz w:val="28"/>
          <w:rtl/>
        </w:rPr>
        <w:t xml:space="preserve">להשלמת </w:t>
      </w:r>
      <w:r>
        <w:rPr>
          <w:rFonts w:ascii="Arial TUR" w:hAnsi="Arial TUR" w:hint="cs"/>
          <w:sz w:val="28"/>
          <w:rtl/>
        </w:rPr>
        <w:t>הרקע ה</w:t>
      </w:r>
      <w:r w:rsidRPr="006E1D1D">
        <w:rPr>
          <w:rFonts w:ascii="Arial TUR" w:hAnsi="Arial TUR" w:hint="cs"/>
          <w:sz w:val="28"/>
          <w:rtl/>
        </w:rPr>
        <w:t xml:space="preserve">משפטי </w:t>
      </w:r>
      <w:r>
        <w:rPr>
          <w:rFonts w:ascii="Arial TUR" w:hAnsi="Arial TUR" w:hint="cs"/>
          <w:sz w:val="28"/>
          <w:rtl/>
        </w:rPr>
        <w:t>אתייחס בקצרה גם</w:t>
      </w:r>
      <w:r w:rsidRPr="006E1D1D">
        <w:rPr>
          <w:rFonts w:ascii="Arial TUR" w:hAnsi="Arial TUR" w:hint="cs"/>
          <w:sz w:val="28"/>
          <w:rtl/>
        </w:rPr>
        <w:t xml:space="preserve"> </w:t>
      </w:r>
      <w:r w:rsidRPr="005D6FD1">
        <w:rPr>
          <w:rFonts w:ascii="Arial TUR" w:hAnsi="Arial TUR" w:hint="cs"/>
          <w:sz w:val="28"/>
          <w:rtl/>
        </w:rPr>
        <w:t>אל</w:t>
      </w:r>
      <w:r>
        <w:rPr>
          <w:rFonts w:ascii="Miriam" w:hAnsi="Miriam" w:cs="Miriam" w:hint="cs"/>
          <w:spacing w:val="0"/>
          <w:szCs w:val="24"/>
          <w:rtl/>
        </w:rPr>
        <w:t xml:space="preserve"> </w:t>
      </w:r>
      <w:bookmarkStart w:id="6" w:name="_Hlk52976048"/>
      <w:r>
        <w:rPr>
          <w:rFonts w:ascii="Miriam" w:hAnsi="Miriam" w:cs="Miriam" w:hint="cs"/>
          <w:spacing w:val="0"/>
          <w:szCs w:val="24"/>
          <w:rtl/>
        </w:rPr>
        <w:t>חוזר מקצועי מס' 1/2016 של רשות המיסים בנושא מיסוי שירותי דת</w:t>
      </w:r>
      <w:r w:rsidRPr="005D6FD1">
        <w:rPr>
          <w:rFonts w:ascii="Miriam" w:hAnsi="Miriam" w:cs="Miriam" w:hint="cs"/>
          <w:spacing w:val="0"/>
          <w:szCs w:val="24"/>
          <w:rtl/>
        </w:rPr>
        <w:t xml:space="preserve"> (19.1.2016)</w:t>
      </w:r>
      <w:bookmarkEnd w:id="6"/>
      <w:r>
        <w:rPr>
          <w:rFonts w:hint="cs"/>
          <w:rtl/>
        </w:rPr>
        <w:t xml:space="preserve"> (להלן: </w:t>
      </w:r>
      <w:r>
        <w:rPr>
          <w:rFonts w:ascii="Century" w:hAnsi="Century" w:cs="Miriam" w:hint="cs"/>
          <w:b/>
          <w:spacing w:val="0"/>
          <w:sz w:val="22"/>
          <w:szCs w:val="24"/>
          <w:rtl/>
        </w:rPr>
        <w:t xml:space="preserve">החוזר </w:t>
      </w:r>
      <w:r w:rsidRPr="007C2FB6">
        <w:rPr>
          <w:rFonts w:ascii="Arial TUR" w:hAnsi="Arial TUR" w:hint="cs"/>
          <w:sz w:val="28"/>
          <w:rtl/>
        </w:rPr>
        <w:t>או</w:t>
      </w:r>
      <w:r>
        <w:rPr>
          <w:rFonts w:ascii="Century" w:hAnsi="Century" w:cs="Miriam" w:hint="cs"/>
          <w:b/>
          <w:spacing w:val="0"/>
          <w:sz w:val="22"/>
          <w:szCs w:val="24"/>
          <w:rtl/>
        </w:rPr>
        <w:t xml:space="preserve"> חוזר המס</w:t>
      </w:r>
      <w:r>
        <w:rPr>
          <w:rFonts w:ascii="Century" w:hAnsi="Century" w:hint="cs"/>
          <w:sz w:val="22"/>
          <w:rtl/>
        </w:rPr>
        <w:t>),</w:t>
      </w:r>
      <w:r>
        <w:rPr>
          <w:rFonts w:ascii="Arial TUR" w:hAnsi="Arial TUR" w:hint="cs"/>
          <w:sz w:val="28"/>
          <w:rtl/>
        </w:rPr>
        <w:t xml:space="preserve"> אליו נדרשו גם הצדדים בטיעוניהם לפנינו. החוזר קובע תחילה כי בפעילות מתן שירותי דת באמצעות "מוסד ציבורי", ההכנסות של המוסד הציבורי פטורות ממס, בהתאם להוראות סעיף 9(2) לפקודה, ככל שהכנסות אלה משמשות להשגת המטרה הציבורית. לעומת זאת, נקבע כי  </w:t>
      </w:r>
      <w:r w:rsidRPr="002F5778">
        <w:rPr>
          <w:rFonts w:ascii="FrankRuehl" w:hAnsi="FrankRuehl"/>
          <w:spacing w:val="6"/>
          <w:sz w:val="28"/>
          <w:rtl/>
        </w:rPr>
        <w:t>"מקום בו פעילותם של המקובלים ונותני שירותי דת אחרים נעשית שלא באמצעות מוסד ציבורי, והתקבולים מועברים ישירות לידי נותני שירותי הדת, או לידי גוף אחר שאינו מוסד ציבורי, לא יחול הפטור הקבוע בסעיף 9(2) לפקודה, והחבות במס תיבחן כאמור להלן"</w:t>
      </w:r>
      <w:r>
        <w:rPr>
          <w:rFonts w:ascii="Arial TUR" w:hAnsi="Arial TUR" w:hint="cs"/>
          <w:sz w:val="28"/>
          <w:rtl/>
        </w:rPr>
        <w:t xml:space="preserve"> (סעיף 2 לחוזר). </w:t>
      </w:r>
    </w:p>
    <w:p w:rsidR="00A75A37" w:rsidRPr="003E3D10" w:rsidRDefault="00A75A37" w:rsidP="00A75A37">
      <w:pPr>
        <w:pStyle w:val="Ruller41"/>
        <w:rPr>
          <w:rtl/>
        </w:rPr>
      </w:pPr>
    </w:p>
    <w:p w:rsidR="00A75A37" w:rsidRDefault="00A75A37" w:rsidP="00A75A37">
      <w:pPr>
        <w:pStyle w:val="Ruller4"/>
        <w:numPr>
          <w:ilvl w:val="0"/>
          <w:numId w:val="0"/>
        </w:numPr>
        <w:ind w:firstLine="720"/>
        <w:rPr>
          <w:rtl/>
        </w:rPr>
      </w:pPr>
      <w:r>
        <w:rPr>
          <w:rFonts w:hint="cs"/>
          <w:rtl/>
        </w:rPr>
        <w:t>בהמשך לכך נקבע כי "</w:t>
      </w:r>
      <w:r w:rsidRPr="002F5778">
        <w:rPr>
          <w:spacing w:val="6"/>
          <w:rtl/>
        </w:rPr>
        <w:t xml:space="preserve">מקום בו ניתן שירות דת על ידי נותן שירותי דת, תיחשב התמורה בשל השירות כהכנסה מעסק או ממשלח יד החייבת במס בהתאם לסעיף </w:t>
      </w:r>
      <w:r w:rsidRPr="002F5778">
        <w:rPr>
          <w:rFonts w:hint="cs"/>
          <w:spacing w:val="6"/>
          <w:rtl/>
        </w:rPr>
        <w:t xml:space="preserve">2(1) </w:t>
      </w:r>
      <w:r w:rsidRPr="002F5778">
        <w:rPr>
          <w:spacing w:val="6"/>
          <w:rtl/>
        </w:rPr>
        <w:t>לפקודה</w:t>
      </w:r>
      <w:r>
        <w:rPr>
          <w:rFonts w:hint="cs"/>
          <w:spacing w:val="6"/>
          <w:rtl/>
        </w:rPr>
        <w:t>, תוך</w:t>
      </w:r>
      <w:r w:rsidRPr="002F5778">
        <w:rPr>
          <w:rFonts w:hint="cs"/>
          <w:spacing w:val="6"/>
          <w:rtl/>
        </w:rPr>
        <w:t xml:space="preserve"> </w:t>
      </w:r>
      <w:r>
        <w:rPr>
          <w:rFonts w:hint="cs"/>
          <w:spacing w:val="6"/>
          <w:rtl/>
        </w:rPr>
        <w:t xml:space="preserve">שהובהר כי </w:t>
      </w:r>
      <w:r w:rsidRPr="002F5778">
        <w:rPr>
          <w:spacing w:val="6"/>
          <w:rtl/>
        </w:rPr>
        <w:t>התמורה יכול שתינתן גם בשווה כסף או במימון הוצאות של נותן שירותי הדת והמקורבים אליו</w:t>
      </w:r>
      <w:r>
        <w:rPr>
          <w:rFonts w:hint="cs"/>
          <w:spacing w:val="6"/>
          <w:rtl/>
        </w:rPr>
        <w:t>"</w:t>
      </w:r>
      <w:r>
        <w:rPr>
          <w:rFonts w:hint="cs"/>
          <w:rtl/>
        </w:rPr>
        <w:t xml:space="preserve"> (סעיף 3.1.1); ולחלופין "</w:t>
      </w:r>
      <w:r w:rsidRPr="002F5778">
        <w:rPr>
          <w:rtl/>
        </w:rPr>
        <w:t>במקרים המתאימים ניתן לראות בתקבולים שקיבל נותן שירות הדת כהכנסה לפי סעיף</w:t>
      </w:r>
      <w:r w:rsidRPr="002F5778">
        <w:rPr>
          <w:rFonts w:hint="cs"/>
          <w:rtl/>
        </w:rPr>
        <w:t xml:space="preserve"> 2(10)</w:t>
      </w:r>
      <w:r w:rsidRPr="002F5778">
        <w:rPr>
          <w:rtl/>
        </w:rPr>
        <w:t xml:space="preserve"> לפקודה</w:t>
      </w:r>
      <w:r w:rsidRPr="002F5778">
        <w:rPr>
          <w:rFonts w:hint="cs"/>
          <w:rtl/>
        </w:rPr>
        <w:t>"</w:t>
      </w:r>
      <w:r>
        <w:rPr>
          <w:rFonts w:hint="cs"/>
          <w:rtl/>
        </w:rPr>
        <w:t xml:space="preserve"> (סעיף 3.1.3 לחוזר).</w:t>
      </w:r>
    </w:p>
    <w:p w:rsidR="00A75A37" w:rsidRDefault="00A75A37" w:rsidP="00A75A37">
      <w:pPr>
        <w:pStyle w:val="Ruller41"/>
        <w:rPr>
          <w:rtl/>
        </w:rPr>
      </w:pPr>
    </w:p>
    <w:p w:rsidR="00A75A37" w:rsidRDefault="00A75A37" w:rsidP="00A75A37">
      <w:pPr>
        <w:pStyle w:val="Ruller41"/>
        <w:rPr>
          <w:rtl/>
        </w:rPr>
      </w:pPr>
      <w:r>
        <w:rPr>
          <w:rtl/>
        </w:rPr>
        <w:tab/>
      </w:r>
      <w:r>
        <w:rPr>
          <w:rFonts w:hint="cs"/>
          <w:rtl/>
        </w:rPr>
        <w:t xml:space="preserve">החוזר קובע גם אמות-מידה לסיווג הכנסה משירותי דת כהכנסה מעסק או ממשלח יד, המבוססות על הפסיקה בנדון (סעיף 3.1), ובין היתר צוינו המאפיינים הבאים: קיומו של </w:t>
      </w:r>
      <w:r w:rsidRPr="003F2E62">
        <w:rPr>
          <w:rFonts w:ascii="Miriam" w:hAnsi="Miriam" w:cs="Miriam"/>
          <w:spacing w:val="0"/>
          <w:sz w:val="24"/>
          <w:szCs w:val="24"/>
          <w:rtl/>
        </w:rPr>
        <w:t>מקור קבוע</w:t>
      </w:r>
      <w:r w:rsidRPr="005D6FD1">
        <w:rPr>
          <w:rtl/>
        </w:rPr>
        <w:t xml:space="preserve"> </w:t>
      </w:r>
      <w:r w:rsidRPr="007D2103">
        <w:rPr>
          <w:rtl/>
        </w:rPr>
        <w:t>אשר יש לו פוטנציאל להמשיך ולהניב הכנסות</w:t>
      </w:r>
      <w:r>
        <w:rPr>
          <w:rFonts w:hint="cs"/>
          <w:rtl/>
        </w:rPr>
        <w:t xml:space="preserve">; </w:t>
      </w:r>
      <w:r w:rsidRPr="003F2E62">
        <w:rPr>
          <w:rFonts w:ascii="Miriam" w:hAnsi="Miriam" w:cs="Miriam"/>
          <w:spacing w:val="0"/>
          <w:sz w:val="24"/>
          <w:szCs w:val="24"/>
          <w:rtl/>
        </w:rPr>
        <w:t xml:space="preserve">מחזוריות </w:t>
      </w:r>
      <w:r w:rsidRPr="003F2E62">
        <w:rPr>
          <w:rFonts w:ascii="Miriam" w:hAnsi="Miriam" w:cs="Miriam" w:hint="cs"/>
          <w:spacing w:val="0"/>
          <w:sz w:val="24"/>
          <w:szCs w:val="24"/>
          <w:rtl/>
        </w:rPr>
        <w:t>ו</w:t>
      </w:r>
      <w:r w:rsidRPr="003F2E62">
        <w:rPr>
          <w:rFonts w:ascii="Miriam" w:hAnsi="Miriam" w:cs="Miriam"/>
          <w:spacing w:val="0"/>
          <w:sz w:val="24"/>
          <w:szCs w:val="24"/>
          <w:rtl/>
        </w:rPr>
        <w:t>תדירות</w:t>
      </w:r>
      <w:r w:rsidRPr="007D2103">
        <w:rPr>
          <w:rtl/>
        </w:rPr>
        <w:t xml:space="preserve"> </w:t>
      </w:r>
      <w:r>
        <w:rPr>
          <w:rFonts w:hint="cs"/>
          <w:rtl/>
        </w:rPr>
        <w:t>השירותים -</w:t>
      </w:r>
      <w:r w:rsidRPr="007D2103">
        <w:rPr>
          <w:rtl/>
        </w:rPr>
        <w:t xml:space="preserve"> האם </w:t>
      </w:r>
      <w:r>
        <w:rPr>
          <w:rFonts w:hint="cs"/>
          <w:rtl/>
        </w:rPr>
        <w:t>מדובר ב</w:t>
      </w:r>
      <w:r w:rsidRPr="007D2103">
        <w:rPr>
          <w:rtl/>
        </w:rPr>
        <w:t xml:space="preserve">פעילות </w:t>
      </w:r>
      <w:r>
        <w:rPr>
          <w:rFonts w:hint="cs"/>
          <w:rtl/>
        </w:rPr>
        <w:t>ה</w:t>
      </w:r>
      <w:r w:rsidRPr="007D2103">
        <w:rPr>
          <w:rtl/>
        </w:rPr>
        <w:t>נמשכת לאורך זמן</w:t>
      </w:r>
      <w:r>
        <w:rPr>
          <w:rFonts w:hint="cs"/>
          <w:rtl/>
        </w:rPr>
        <w:t>;</w:t>
      </w:r>
      <w:r w:rsidRPr="003F2E62">
        <w:rPr>
          <w:rtl/>
        </w:rPr>
        <w:t xml:space="preserve"> </w:t>
      </w:r>
      <w:r w:rsidRPr="003F2E62">
        <w:rPr>
          <w:rFonts w:ascii="Miriam" w:hAnsi="Miriam" w:cs="Miriam"/>
          <w:spacing w:val="0"/>
          <w:sz w:val="24"/>
          <w:szCs w:val="24"/>
          <w:rtl/>
        </w:rPr>
        <w:t>ההיקף הכספי</w:t>
      </w:r>
      <w:r>
        <w:rPr>
          <w:rFonts w:hint="cs"/>
          <w:rtl/>
        </w:rPr>
        <w:t xml:space="preserve"> של </w:t>
      </w:r>
      <w:r>
        <w:rPr>
          <w:rFonts w:hint="cs"/>
          <w:rtl/>
        </w:rPr>
        <w:lastRenderedPageBreak/>
        <w:t>התקבולים;</w:t>
      </w:r>
      <w:r w:rsidRPr="003F2E62">
        <w:rPr>
          <w:rFonts w:ascii="Miriam" w:hAnsi="Miriam" w:cs="Miriam"/>
          <w:spacing w:val="0"/>
          <w:sz w:val="24"/>
          <w:szCs w:val="24"/>
          <w:rtl/>
        </w:rPr>
        <w:t xml:space="preserve"> מוניטין</w:t>
      </w:r>
      <w:r w:rsidRPr="007D2103">
        <w:rPr>
          <w:rtl/>
        </w:rPr>
        <w:t xml:space="preserve"> של מומחיות </w:t>
      </w:r>
      <w:r>
        <w:rPr>
          <w:rFonts w:hint="cs"/>
          <w:rtl/>
        </w:rPr>
        <w:t>ו</w:t>
      </w:r>
      <w:r w:rsidRPr="007D2103">
        <w:rPr>
          <w:rtl/>
        </w:rPr>
        <w:t xml:space="preserve">סגולות המיוחסות </w:t>
      </w:r>
      <w:r>
        <w:rPr>
          <w:rFonts w:hint="cs"/>
          <w:rtl/>
        </w:rPr>
        <w:t xml:space="preserve">לנותן שירותי הדת </w:t>
      </w:r>
      <w:r w:rsidRPr="007D2103">
        <w:rPr>
          <w:rtl/>
        </w:rPr>
        <w:t>בתחום השירותים הניתנים על יד</w:t>
      </w:r>
      <w:r>
        <w:rPr>
          <w:rFonts w:hint="cs"/>
          <w:rtl/>
        </w:rPr>
        <w:t>ו</w:t>
      </w:r>
      <w:r w:rsidRPr="003F2E62">
        <w:rPr>
          <w:rFonts w:hint="cs"/>
          <w:rtl/>
        </w:rPr>
        <w:t>;</w:t>
      </w:r>
      <w:r w:rsidRPr="003F2E62">
        <w:rPr>
          <w:rFonts w:ascii="Miriam" w:hAnsi="Miriam" w:cs="Miriam" w:hint="cs"/>
          <w:spacing w:val="0"/>
          <w:sz w:val="24"/>
          <w:szCs w:val="24"/>
          <w:rtl/>
        </w:rPr>
        <w:t xml:space="preserve"> ו</w:t>
      </w:r>
      <w:r w:rsidRPr="003F2E62">
        <w:rPr>
          <w:rFonts w:ascii="Miriam" w:hAnsi="Miriam" w:cs="Miriam"/>
          <w:spacing w:val="0"/>
          <w:sz w:val="24"/>
          <w:szCs w:val="24"/>
          <w:rtl/>
        </w:rPr>
        <w:t>ארגון וניהול</w:t>
      </w:r>
      <w:r w:rsidRPr="007D2103">
        <w:rPr>
          <w:rtl/>
        </w:rPr>
        <w:t xml:space="preserve"> </w:t>
      </w:r>
      <w:r>
        <w:rPr>
          <w:rFonts w:hint="cs"/>
          <w:rtl/>
        </w:rPr>
        <w:t xml:space="preserve">מתן שירותי הדת באמצעות </w:t>
      </w:r>
      <w:r w:rsidRPr="007D2103">
        <w:rPr>
          <w:rtl/>
        </w:rPr>
        <w:t>צוות עוזרים</w:t>
      </w:r>
      <w:r>
        <w:rPr>
          <w:rFonts w:hint="cs"/>
          <w:rtl/>
        </w:rPr>
        <w:t>.</w:t>
      </w:r>
      <w:r w:rsidRPr="00B27AB9">
        <w:rPr>
          <w:rFonts w:hint="cs"/>
          <w:rtl/>
        </w:rPr>
        <w:t xml:space="preserve"> </w:t>
      </w:r>
      <w:r>
        <w:rPr>
          <w:rFonts w:hint="cs"/>
          <w:rtl/>
        </w:rPr>
        <w:t xml:space="preserve">נקבע כי </w:t>
      </w:r>
      <w:r w:rsidRPr="007D2103">
        <w:rPr>
          <w:rtl/>
        </w:rPr>
        <w:t xml:space="preserve">התקיימותם של </w:t>
      </w:r>
      <w:r>
        <w:rPr>
          <w:rFonts w:hint="cs"/>
          <w:rtl/>
        </w:rPr>
        <w:t xml:space="preserve">המאפיינים </w:t>
      </w:r>
      <w:r w:rsidRPr="007D2103">
        <w:rPr>
          <w:rtl/>
        </w:rPr>
        <w:t xml:space="preserve">האמורים תתמוך בכך שהפעילות נושאת אופי עסקי ועל כן </w:t>
      </w:r>
      <w:r>
        <w:rPr>
          <w:rFonts w:hint="cs"/>
          <w:rtl/>
        </w:rPr>
        <w:t>יש</w:t>
      </w:r>
      <w:r w:rsidRPr="007D2103">
        <w:rPr>
          <w:rtl/>
        </w:rPr>
        <w:t xml:space="preserve"> למסותה כהכנסה מעסק או משלח יד לפי סעיף 2</w:t>
      </w:r>
      <w:r>
        <w:rPr>
          <w:rFonts w:hint="cs"/>
          <w:rtl/>
        </w:rPr>
        <w:t xml:space="preserve">(1) </w:t>
      </w:r>
      <w:r w:rsidRPr="007D2103">
        <w:rPr>
          <w:rtl/>
        </w:rPr>
        <w:t>לפקודה</w:t>
      </w:r>
      <w:r>
        <w:rPr>
          <w:rFonts w:hint="cs"/>
          <w:rtl/>
        </w:rPr>
        <w:t xml:space="preserve">, אך אין </w:t>
      </w:r>
      <w:r w:rsidRPr="007D2103">
        <w:rPr>
          <w:rtl/>
        </w:rPr>
        <w:t xml:space="preserve">הכרח כי כל </w:t>
      </w:r>
      <w:r>
        <w:rPr>
          <w:rFonts w:hint="cs"/>
          <w:rtl/>
        </w:rPr>
        <w:t>אמות מידה</w:t>
      </w:r>
      <w:r w:rsidRPr="007D2103">
        <w:rPr>
          <w:rtl/>
        </w:rPr>
        <w:t xml:space="preserve"> יתקיימו בכל מקרה נתון</w:t>
      </w:r>
      <w:r>
        <w:rPr>
          <w:rFonts w:hint="cs"/>
          <w:rtl/>
        </w:rPr>
        <w:t>.</w:t>
      </w:r>
    </w:p>
    <w:p w:rsidR="00A75A37" w:rsidRDefault="00A75A37" w:rsidP="00A75A37">
      <w:pPr>
        <w:pStyle w:val="Ruller41"/>
        <w:rPr>
          <w:rtl/>
        </w:rPr>
      </w:pPr>
    </w:p>
    <w:p w:rsidR="00A75A37" w:rsidRDefault="00A75A37" w:rsidP="00A75A37">
      <w:pPr>
        <w:pStyle w:val="Ruller41"/>
        <w:rPr>
          <w:rtl/>
        </w:rPr>
      </w:pPr>
      <w:r>
        <w:rPr>
          <w:rtl/>
        </w:rPr>
        <w:tab/>
      </w:r>
      <w:r>
        <w:rPr>
          <w:rFonts w:hint="cs"/>
          <w:rtl/>
        </w:rPr>
        <w:t>אשר ל</w:t>
      </w:r>
      <w:r w:rsidRPr="00B27AB9">
        <w:rPr>
          <w:rtl/>
        </w:rPr>
        <w:t>קשר שבין התמורה למתן השירות</w:t>
      </w:r>
      <w:r>
        <w:rPr>
          <w:rFonts w:hint="cs"/>
          <w:rtl/>
        </w:rPr>
        <w:t>, נקבע בחוזר (סעיף 3.2) כי ה</w:t>
      </w:r>
      <w:r>
        <w:rPr>
          <w:rtl/>
        </w:rPr>
        <w:t>שירות יכול שיהיה גם</w:t>
      </w:r>
      <w:r>
        <w:rPr>
          <w:rFonts w:hint="cs"/>
          <w:rtl/>
        </w:rPr>
        <w:t xml:space="preserve"> בדרך של </w:t>
      </w:r>
      <w:r>
        <w:rPr>
          <w:rtl/>
        </w:rPr>
        <w:t>מתן ברכות, עצות, עריכת טקסים דתיים וכדומה. אינדיקציה לקשר שבין מתן השירות למתן התמורה יכולה להיות סמיכות הזמנים שבין מתן השירות לבין מתן התמורה. עם זאת</w:t>
      </w:r>
      <w:r>
        <w:rPr>
          <w:rFonts w:hint="cs"/>
          <w:rtl/>
        </w:rPr>
        <w:t>, הובהר</w:t>
      </w:r>
      <w:r>
        <w:rPr>
          <w:rtl/>
        </w:rPr>
        <w:t xml:space="preserve"> כי אין הכרח כי נותן השירות ידרוש את התשלום</w:t>
      </w:r>
      <w:r>
        <w:rPr>
          <w:rFonts w:hint="cs"/>
          <w:rtl/>
        </w:rPr>
        <w:t xml:space="preserve">, וכי </w:t>
      </w:r>
      <w:r>
        <w:rPr>
          <w:rtl/>
        </w:rPr>
        <w:t xml:space="preserve">קיומה של נורמה חברתית לשלם סכום כסף </w:t>
      </w:r>
      <w:r>
        <w:rPr>
          <w:rFonts w:hint="cs"/>
          <w:rtl/>
        </w:rPr>
        <w:t>בנסיבות אלה</w:t>
      </w:r>
      <w:r>
        <w:rPr>
          <w:rtl/>
        </w:rPr>
        <w:t xml:space="preserve"> או ציפייה של נותן שרות הדת לקבל תקבולים בגין השרות יכולים לתמוך בסיווגו של תקבול כהכנסה חייבת במס</w:t>
      </w:r>
      <w:r>
        <w:rPr>
          <w:rFonts w:hint="cs"/>
          <w:rtl/>
        </w:rPr>
        <w:t xml:space="preserve">. עוד צוין כי </w:t>
      </w:r>
      <w:r>
        <w:rPr>
          <w:rtl/>
        </w:rPr>
        <w:t xml:space="preserve">גם מקום בו </w:t>
      </w:r>
      <w:r>
        <w:rPr>
          <w:rFonts w:hint="cs"/>
          <w:rtl/>
        </w:rPr>
        <w:t xml:space="preserve">ניתן </w:t>
      </w:r>
      <w:r>
        <w:rPr>
          <w:rtl/>
        </w:rPr>
        <w:t xml:space="preserve">תשלום מבלי שהיתה חובה משפטית לתשלומו, ואף אם התשלום מותנה ברצונו הטוב של הנותן, אין </w:t>
      </w:r>
      <w:r>
        <w:rPr>
          <w:rFonts w:hint="cs"/>
          <w:rtl/>
        </w:rPr>
        <w:t>באלה</w:t>
      </w:r>
      <w:r>
        <w:rPr>
          <w:rtl/>
        </w:rPr>
        <w:t xml:space="preserve"> כדי לשלול את אפיון</w:t>
      </w:r>
      <w:r>
        <w:rPr>
          <w:rFonts w:hint="cs"/>
          <w:rtl/>
        </w:rPr>
        <w:t xml:space="preserve"> </w:t>
      </w:r>
      <w:r>
        <w:rPr>
          <w:rtl/>
        </w:rPr>
        <w:t>התקבול כהכנסה</w:t>
      </w:r>
      <w:r>
        <w:rPr>
          <w:rFonts w:hint="cs"/>
          <w:rtl/>
        </w:rPr>
        <w:t xml:space="preserve">. </w:t>
      </w:r>
    </w:p>
    <w:p w:rsidR="00A75A37" w:rsidRDefault="00A75A37" w:rsidP="00A75A37">
      <w:pPr>
        <w:pStyle w:val="Ruller41"/>
        <w:rPr>
          <w:rtl/>
        </w:rPr>
      </w:pPr>
    </w:p>
    <w:p w:rsidR="00A75A37" w:rsidRDefault="00A75A37" w:rsidP="00A75A37">
      <w:pPr>
        <w:pStyle w:val="Ruller41"/>
        <w:rPr>
          <w:rtl/>
        </w:rPr>
      </w:pPr>
      <w:r>
        <w:rPr>
          <w:rtl/>
        </w:rPr>
        <w:tab/>
      </w:r>
      <w:r>
        <w:rPr>
          <w:rFonts w:hint="cs"/>
          <w:rtl/>
        </w:rPr>
        <w:t xml:space="preserve">עוד נקבע בחוזר כי </w:t>
      </w:r>
      <w:r w:rsidRPr="007D2103">
        <w:rPr>
          <w:rtl/>
        </w:rPr>
        <w:t xml:space="preserve">במקרים המתאימים ניתן לראות בתקבולים שקיבל נותן שירות הדת </w:t>
      </w:r>
      <w:r>
        <w:rPr>
          <w:rFonts w:hint="cs"/>
          <w:rtl/>
        </w:rPr>
        <w:t xml:space="preserve">גם </w:t>
      </w:r>
      <w:r w:rsidRPr="007D2103">
        <w:rPr>
          <w:rtl/>
        </w:rPr>
        <w:t>כהכנסה לפי סעיף</w:t>
      </w:r>
      <w:r w:rsidRPr="007D2103">
        <w:rPr>
          <w:rFonts w:hint="cs"/>
          <w:rtl/>
        </w:rPr>
        <w:t xml:space="preserve"> 2(10)</w:t>
      </w:r>
      <w:r w:rsidRPr="007D2103">
        <w:rPr>
          <w:rtl/>
        </w:rPr>
        <w:t xml:space="preserve"> לפקודה</w:t>
      </w:r>
      <w:r>
        <w:rPr>
          <w:rFonts w:hint="cs"/>
          <w:rtl/>
        </w:rPr>
        <w:t xml:space="preserve"> (סעיף 3.1.3). וכן נקבעו בחוזר הוראות בדבר החובה לניהול פנקסים, הגשת דוחות, הצהרות הון ומידע על נכסים (סעיף 7). </w:t>
      </w:r>
    </w:p>
    <w:p w:rsidR="00A75A37" w:rsidRDefault="00A75A37" w:rsidP="00A75A37">
      <w:pPr>
        <w:pStyle w:val="Ruller41"/>
        <w:rPr>
          <w:rtl/>
        </w:rPr>
      </w:pPr>
    </w:p>
    <w:p w:rsidR="00A75A37" w:rsidRPr="00E52A69" w:rsidRDefault="00A75A37" w:rsidP="00A75A37">
      <w:pPr>
        <w:pStyle w:val="Ruller41"/>
        <w:rPr>
          <w:rtl/>
        </w:rPr>
      </w:pPr>
      <w:r>
        <w:rPr>
          <w:rtl/>
        </w:rPr>
        <w:tab/>
      </w:r>
      <w:r>
        <w:rPr>
          <w:rFonts w:hint="cs"/>
          <w:rtl/>
        </w:rPr>
        <w:t xml:space="preserve">נקל אפוא לראות כי הוראות החוזר משקפות את המבחנים ואמות המידה שנקבעו לענין זה בפסיקה. אציין כי ההוראות המקצועיות של רשות המיסים לא מחייבות כמובן את בתי המשפט בבואם לפרש את החוק וליישמו, ואולם הן עשויות לשמש כלי עזר בידי בית המשפט במקרים מתאימים בפירוש ויישום החוק, בין היתר כדי להבטיח הפעלה אחידה של הדין (ע"א 256/80 </w:t>
      </w:r>
      <w:r w:rsidRPr="00A84FCA">
        <w:rPr>
          <w:rFonts w:ascii="Century" w:hAnsi="Century" w:cs="Miriam" w:hint="cs"/>
          <w:b/>
          <w:spacing w:val="0"/>
          <w:szCs w:val="24"/>
          <w:rtl/>
        </w:rPr>
        <w:t>לאוב נ' מנהל מס שבח מקרקעין</w:t>
      </w:r>
      <w:r>
        <w:rPr>
          <w:rFonts w:hint="cs"/>
          <w:rtl/>
        </w:rPr>
        <w:t xml:space="preserve">, פ"ד לז(2) 163, 166 (1983); </w:t>
      </w:r>
      <w:r>
        <w:rPr>
          <w:rFonts w:ascii="Century" w:hAnsi="Century" w:cs="Miriam" w:hint="cs"/>
          <w:b/>
          <w:spacing w:val="0"/>
          <w:szCs w:val="24"/>
          <w:rtl/>
        </w:rPr>
        <w:t>נמדר - מס הכנסה</w:t>
      </w:r>
      <w:r>
        <w:rPr>
          <w:rFonts w:hint="cs"/>
          <w:rtl/>
        </w:rPr>
        <w:t xml:space="preserve"> 49-48).</w:t>
      </w:r>
    </w:p>
    <w:p w:rsidR="00A75A37" w:rsidRDefault="00A75A37" w:rsidP="00A75A37">
      <w:pPr>
        <w:pStyle w:val="Ruller41"/>
        <w:rPr>
          <w:rtl/>
        </w:rPr>
      </w:pPr>
    </w:p>
    <w:p w:rsidR="00A75A37" w:rsidRDefault="00A75A37" w:rsidP="00A75A37">
      <w:pPr>
        <w:pStyle w:val="Ruller41"/>
        <w:rPr>
          <w:rFonts w:ascii="Century" w:hAnsi="Century" w:cs="Miriam"/>
          <w:b/>
          <w:spacing w:val="0"/>
          <w:szCs w:val="24"/>
          <w:rtl/>
        </w:rPr>
      </w:pPr>
      <w:r>
        <w:rPr>
          <w:rFonts w:ascii="Century" w:hAnsi="Century" w:cs="Miriam" w:hint="cs"/>
          <w:b/>
          <w:spacing w:val="0"/>
          <w:szCs w:val="24"/>
          <w:rtl/>
        </w:rPr>
        <w:t>ומן הכלל אל הפרט</w:t>
      </w:r>
    </w:p>
    <w:p w:rsidR="00A75A37" w:rsidRPr="000005A5" w:rsidRDefault="00A75A37" w:rsidP="00A75A37">
      <w:pPr>
        <w:pStyle w:val="Ruller41"/>
        <w:rPr>
          <w:rFonts w:ascii="Miriam" w:hAnsi="Miriam" w:cs="Miriam"/>
          <w:sz w:val="24"/>
          <w:szCs w:val="24"/>
          <w:rtl/>
        </w:rPr>
      </w:pPr>
    </w:p>
    <w:p w:rsidR="00A75A37" w:rsidRDefault="00A75A37" w:rsidP="00A75A37">
      <w:pPr>
        <w:pStyle w:val="Ruller4"/>
      </w:pPr>
      <w:r>
        <w:rPr>
          <w:rFonts w:hint="cs"/>
          <w:rtl/>
        </w:rPr>
        <w:t xml:space="preserve">נוכח המאפיינים ואמות המידה שנקבעו בפסיקה באשר למונח "משלח יד", כמפורט לעיל, עולה לדעתי בבירור כי לצרכי מס הכנסה יש להתייחס לפעילותו ועיסוקו של המערער כ"משלח יד", וכתוצאה מכך - להכנסות שהוא מפיק באופן קבוע מפעילותו זו כהכנסה ממשלח יד החבה במס לפי סעיף 2(1) לפקודה. </w:t>
      </w:r>
    </w:p>
    <w:p w:rsidR="00A75A37" w:rsidRDefault="00A75A37" w:rsidP="00A75A37">
      <w:pPr>
        <w:pStyle w:val="Ruller4"/>
        <w:numPr>
          <w:ilvl w:val="0"/>
          <w:numId w:val="0"/>
        </w:numPr>
        <w:rPr>
          <w:rtl/>
        </w:rPr>
      </w:pPr>
    </w:p>
    <w:p w:rsidR="00A75A37" w:rsidRDefault="00A75A37" w:rsidP="00A75A37">
      <w:pPr>
        <w:pStyle w:val="Ruller4"/>
        <w:rPr>
          <w:rtl/>
        </w:rPr>
      </w:pPr>
      <w:r>
        <w:rPr>
          <w:rFonts w:hint="cs"/>
          <w:rtl/>
        </w:rPr>
        <w:t>המדובר בעיסוק עצמאי, לאורך זמן, המביא לידי ביטוי את כישוריו וסגולותיו האישיות של העוסק, ואשר מניב לעוסק תקבולים שמקורם ב</w:t>
      </w:r>
      <w:r w:rsidRPr="00A84FCA">
        <w:rPr>
          <w:rFonts w:hint="cs"/>
          <w:rtl/>
        </w:rPr>
        <w:t>שימוש באותם כישורים</w:t>
      </w:r>
      <w:r>
        <w:rPr>
          <w:rFonts w:hint="cs"/>
          <w:rtl/>
        </w:rPr>
        <w:t xml:space="preserve"> וסגולות</w:t>
      </w:r>
      <w:r w:rsidRPr="00A84FCA">
        <w:rPr>
          <w:rFonts w:hint="cs"/>
          <w:rtl/>
        </w:rPr>
        <w:t xml:space="preserve"> לצורך הפקת ההכנסה</w:t>
      </w:r>
      <w:r>
        <w:rPr>
          <w:rFonts w:hint="cs"/>
          <w:rtl/>
        </w:rPr>
        <w:t>. וכפי שנקבע, אין הכרח להוכיח כי מקורה של הכנסה מסוימת הוא במתן שירות ספציפי מוגדר, או כי התמורה נקבעה מראש והוסדרה בצורה פורמלית מחייבת. כל אלה מתקיימים בפעילותו של המערער, ועל כן הכנסותיו הן בגדר הכנסות ממשלח יד החייבות במס.</w:t>
      </w:r>
    </w:p>
    <w:p w:rsidR="00A75A37" w:rsidRPr="00A84FCA" w:rsidRDefault="00A75A37" w:rsidP="00A75A37">
      <w:pPr>
        <w:pStyle w:val="Ruller41"/>
        <w:spacing w:line="240" w:lineRule="auto"/>
        <w:jc w:val="center"/>
      </w:pPr>
    </w:p>
    <w:p w:rsidR="00A75A37" w:rsidRDefault="00A75A37" w:rsidP="009E7983">
      <w:pPr>
        <w:pStyle w:val="Ruller4"/>
      </w:pPr>
      <w:r>
        <w:rPr>
          <w:rFonts w:hint="cs"/>
          <w:rtl/>
        </w:rPr>
        <w:t xml:space="preserve">כמפורט לעיל, בית המשפט המחוזי קבע כממצא עובדתי, על בסיס תשתית ראייתית רחבה שעמדה בפניו, כי המערער מקבל את מאמיניו בביתו לשם מתן ברכות ועצות במגוון תחומי החיים (בריאות, פרנסה, זוגיות, ועוד), עורך אירועים והילולות לשימור הקשר עם </w:t>
      </w:r>
      <w:r w:rsidR="009E7983">
        <w:rPr>
          <w:rFonts w:hint="cs"/>
          <w:rtl/>
        </w:rPr>
        <w:t>מאמיניו</w:t>
      </w:r>
      <w:r>
        <w:rPr>
          <w:rFonts w:hint="cs"/>
          <w:rtl/>
        </w:rPr>
        <w:t xml:space="preserve"> ומקפיד לכבדם בנוכחותו באירועיהם המשפחתיים, בארץ ובחו"ל. כן נקבע כי </w:t>
      </w:r>
      <w:r w:rsidR="009E7983">
        <w:rPr>
          <w:rFonts w:hint="cs"/>
          <w:rtl/>
        </w:rPr>
        <w:t>מאמיניו</w:t>
      </w:r>
      <w:r w:rsidRPr="00DC1DA6">
        <w:rPr>
          <w:rFonts w:ascii="Century" w:hAnsi="Century" w:hint="cs"/>
          <w:sz w:val="22"/>
          <w:rtl/>
        </w:rPr>
        <w:t xml:space="preserve"> </w:t>
      </w:r>
      <w:r>
        <w:rPr>
          <w:rFonts w:ascii="Century" w:hAnsi="Century" w:hint="cs"/>
          <w:sz w:val="22"/>
          <w:rtl/>
        </w:rPr>
        <w:t xml:space="preserve">של המערער, בישראל ובחו"ל, </w:t>
      </w:r>
      <w:r w:rsidRPr="006F54D5">
        <w:rPr>
          <w:rFonts w:ascii="Century" w:hAnsi="Century" w:hint="cs"/>
          <w:sz w:val="22"/>
          <w:rtl/>
        </w:rPr>
        <w:t xml:space="preserve">מעבירים </w:t>
      </w:r>
      <w:r>
        <w:rPr>
          <w:rFonts w:ascii="Century" w:hAnsi="Century" w:hint="cs"/>
          <w:sz w:val="22"/>
          <w:rtl/>
        </w:rPr>
        <w:t>לו</w:t>
      </w:r>
      <w:r w:rsidRPr="006F54D5">
        <w:rPr>
          <w:rFonts w:ascii="Century" w:hAnsi="Century" w:hint="cs"/>
          <w:sz w:val="22"/>
          <w:rtl/>
        </w:rPr>
        <w:t xml:space="preserve"> </w:t>
      </w:r>
      <w:r>
        <w:rPr>
          <w:rFonts w:ascii="Century" w:hAnsi="Century" w:hint="cs"/>
          <w:sz w:val="22"/>
          <w:rtl/>
        </w:rPr>
        <w:t>כספים, לעתים בסכומים מאוד משמעותיים, איש כפי יכולתו - אגב בואם לקבל ברכה או עצה, כמו גם באירועים, הילולות וחגים - המשמשים אותו ואת בני משפחתו למילוי כל צרכיהם</w:t>
      </w:r>
      <w:r>
        <w:rPr>
          <w:rFonts w:hint="cs"/>
          <w:rtl/>
        </w:rPr>
        <w:t>. אין מדובר גם בפעולה אקראית או חד-פעמית, אלא בתקבולים בעלי מאפיינים פירותיים,</w:t>
      </w:r>
      <w:r w:rsidRPr="00DC1DA6">
        <w:rPr>
          <w:rFonts w:hint="cs"/>
          <w:rtl/>
        </w:rPr>
        <w:t xml:space="preserve"> </w:t>
      </w:r>
      <w:r>
        <w:rPr>
          <w:rFonts w:hint="cs"/>
          <w:rtl/>
        </w:rPr>
        <w:t xml:space="preserve">המתקבלים באופן שיטתי, חוזר ונשנה, לאורך זמן, ובהיקפים מצטברים גדולים של מיליוני </w:t>
      </w:r>
      <w:r>
        <w:rPr>
          <w:rFonts w:hint="eastAsia"/>
          <w:rtl/>
        </w:rPr>
        <w:t>₪</w:t>
      </w:r>
      <w:r>
        <w:rPr>
          <w:rFonts w:hint="cs"/>
          <w:rtl/>
        </w:rPr>
        <w:t xml:space="preserve"> (למבחנים לסיווג הכנסה כהכנסה פירותית ראו בין היתר: ע"א 111/83 </w:t>
      </w:r>
      <w:r w:rsidRPr="001F167A">
        <w:rPr>
          <w:rFonts w:ascii="Century" w:hAnsi="Century" w:cs="Miriam" w:hint="cs"/>
          <w:b/>
          <w:spacing w:val="0"/>
          <w:sz w:val="22"/>
          <w:szCs w:val="24"/>
          <w:rtl/>
        </w:rPr>
        <w:t>אלמור לניהול ונאמנות בע"מ נ' מנהל מס ערך מוסף</w:t>
      </w:r>
      <w:r w:rsidRPr="001F167A">
        <w:rPr>
          <w:rFonts w:ascii="Century" w:hAnsi="Century" w:hint="cs"/>
          <w:sz w:val="22"/>
          <w:rtl/>
        </w:rPr>
        <w:t xml:space="preserve"> פ"ד לט(4) 1, 17-13 (1985); </w:t>
      </w:r>
      <w:r>
        <w:rPr>
          <w:rFonts w:hint="cs"/>
          <w:rtl/>
        </w:rPr>
        <w:t xml:space="preserve">ענין </w:t>
      </w:r>
      <w:r w:rsidRPr="001F167A">
        <w:rPr>
          <w:rFonts w:ascii="Century" w:hAnsi="Century" w:cs="Miriam" w:hint="cs"/>
          <w:b/>
          <w:spacing w:val="0"/>
          <w:sz w:val="22"/>
          <w:szCs w:val="24"/>
          <w:rtl/>
        </w:rPr>
        <w:t>חזן</w:t>
      </w:r>
      <w:r w:rsidRPr="001F167A">
        <w:rPr>
          <w:rFonts w:ascii="Century" w:hAnsi="Century" w:hint="cs"/>
          <w:sz w:val="22"/>
          <w:rtl/>
        </w:rPr>
        <w:t xml:space="preserve">, </w:t>
      </w:r>
      <w:r>
        <w:rPr>
          <w:rFonts w:hint="cs"/>
          <w:rtl/>
        </w:rPr>
        <w:t xml:space="preserve">563-562; ענין </w:t>
      </w:r>
      <w:r w:rsidRPr="001F167A">
        <w:rPr>
          <w:rFonts w:ascii="Century" w:hAnsi="Century" w:cs="Miriam" w:hint="cs"/>
          <w:b/>
          <w:spacing w:val="0"/>
          <w:sz w:val="22"/>
          <w:szCs w:val="24"/>
          <w:rtl/>
        </w:rPr>
        <w:t>ברשף</w:t>
      </w:r>
      <w:r w:rsidRPr="001F167A">
        <w:rPr>
          <w:rFonts w:ascii="Century" w:hAnsi="Century" w:hint="cs"/>
          <w:sz w:val="22"/>
          <w:rtl/>
        </w:rPr>
        <w:t>, פסקה</w:t>
      </w:r>
      <w:r w:rsidRPr="0024462C">
        <w:rPr>
          <w:rFonts w:hint="cs"/>
          <w:rtl/>
        </w:rPr>
        <w:t xml:space="preserve"> </w:t>
      </w:r>
      <w:r>
        <w:rPr>
          <w:rFonts w:hint="cs"/>
          <w:rtl/>
        </w:rPr>
        <w:t>9;</w:t>
      </w:r>
      <w:r w:rsidRPr="007D000C">
        <w:rPr>
          <w:rFonts w:hint="cs"/>
          <w:rtl/>
        </w:rPr>
        <w:t xml:space="preserve"> </w:t>
      </w:r>
      <w:r w:rsidRPr="001F167A">
        <w:rPr>
          <w:rFonts w:ascii="Century" w:hAnsi="Century" w:hint="cs"/>
          <w:sz w:val="22"/>
          <w:rtl/>
        </w:rPr>
        <w:t xml:space="preserve">ענין </w:t>
      </w:r>
      <w:r w:rsidRPr="001F167A">
        <w:rPr>
          <w:rFonts w:ascii="Century" w:hAnsi="Century" w:cs="Miriam" w:hint="cs"/>
          <w:b/>
          <w:spacing w:val="0"/>
          <w:sz w:val="22"/>
          <w:szCs w:val="24"/>
          <w:rtl/>
        </w:rPr>
        <w:t>מגיד</w:t>
      </w:r>
      <w:r w:rsidRPr="001F167A">
        <w:rPr>
          <w:rFonts w:ascii="Century" w:hAnsi="Century" w:hint="cs"/>
          <w:sz w:val="22"/>
          <w:rtl/>
        </w:rPr>
        <w:t xml:space="preserve">, פסקאות 20-19; ענין </w:t>
      </w:r>
      <w:r w:rsidRPr="001F167A">
        <w:rPr>
          <w:rFonts w:ascii="Century" w:hAnsi="Century" w:cs="Miriam" w:hint="cs"/>
          <w:b/>
          <w:spacing w:val="0"/>
          <w:sz w:val="22"/>
          <w:szCs w:val="24"/>
          <w:rtl/>
        </w:rPr>
        <w:t>קרן</w:t>
      </w:r>
      <w:r w:rsidRPr="001F167A">
        <w:rPr>
          <w:rFonts w:ascii="Century" w:hAnsi="Century" w:hint="cs"/>
          <w:sz w:val="22"/>
          <w:rtl/>
        </w:rPr>
        <w:t xml:space="preserve">, 670-668; ענין </w:t>
      </w:r>
      <w:r w:rsidRPr="001F167A">
        <w:rPr>
          <w:rFonts w:ascii="Century" w:hAnsi="Century" w:cs="Miriam" w:hint="cs"/>
          <w:b/>
          <w:spacing w:val="0"/>
          <w:sz w:val="22"/>
          <w:szCs w:val="24"/>
          <w:rtl/>
        </w:rPr>
        <w:t>ניסים</w:t>
      </w:r>
      <w:r w:rsidRPr="001F167A">
        <w:rPr>
          <w:rFonts w:ascii="Century" w:hAnsi="Century" w:hint="cs"/>
          <w:sz w:val="22"/>
          <w:rtl/>
        </w:rPr>
        <w:t xml:space="preserve">, פסקה 13 לחוות דעתה של המשנה לנשיא (כתוארה אז) נאור; ע"א 5083/13 </w:t>
      </w:r>
      <w:r w:rsidRPr="001F167A">
        <w:rPr>
          <w:rFonts w:ascii="Century" w:hAnsi="Century" w:cs="Miriam" w:hint="cs"/>
          <w:b/>
          <w:spacing w:val="0"/>
          <w:sz w:val="22"/>
          <w:szCs w:val="24"/>
          <w:rtl/>
        </w:rPr>
        <w:t>פקיד שומה כפר סבא נ' ברנע</w:t>
      </w:r>
      <w:r w:rsidRPr="00A87501">
        <w:rPr>
          <w:rFonts w:ascii="Century" w:hAnsi="Century" w:hint="cs"/>
          <w:sz w:val="22"/>
          <w:rtl/>
        </w:rPr>
        <w:t>,</w:t>
      </w:r>
      <w:r w:rsidRPr="001F167A">
        <w:rPr>
          <w:rFonts w:ascii="Century" w:hAnsi="Century" w:hint="cs"/>
          <w:sz w:val="22"/>
          <w:rtl/>
        </w:rPr>
        <w:t xml:space="preserve"> פסקה 20 לחוות דעתו של השופט עמית (10.8.2016);</w:t>
      </w:r>
      <w:r w:rsidRPr="001F167A">
        <w:rPr>
          <w:rFonts w:ascii="Century" w:hAnsi="Century" w:hint="cs"/>
          <w:sz w:val="22"/>
        </w:rPr>
        <w:t xml:space="preserve"> </w:t>
      </w:r>
      <w:r w:rsidRPr="001F167A">
        <w:rPr>
          <w:rFonts w:ascii="Century" w:hAnsi="Century" w:hint="cs"/>
          <w:sz w:val="22"/>
          <w:rtl/>
        </w:rPr>
        <w:t xml:space="preserve">ע"א 4377/17 </w:t>
      </w:r>
      <w:r w:rsidRPr="001F167A">
        <w:rPr>
          <w:rFonts w:ascii="Century" w:hAnsi="Century" w:cs="Miriam" w:hint="cs"/>
          <w:b/>
          <w:spacing w:val="0"/>
          <w:sz w:val="22"/>
          <w:szCs w:val="24"/>
          <w:rtl/>
        </w:rPr>
        <w:t>גיבשטיין נ' מע"מ רחובות</w:t>
      </w:r>
      <w:r w:rsidRPr="001F167A">
        <w:rPr>
          <w:rFonts w:ascii="Century" w:hAnsi="Century" w:hint="cs"/>
          <w:sz w:val="22"/>
          <w:rtl/>
        </w:rPr>
        <w:t>, פסקה 21 (2.6.2019))</w:t>
      </w:r>
      <w:r>
        <w:rPr>
          <w:rFonts w:hint="cs"/>
          <w:rtl/>
        </w:rPr>
        <w:t>.</w:t>
      </w:r>
    </w:p>
    <w:p w:rsidR="00A75A37" w:rsidRDefault="00A75A37" w:rsidP="00A75A37">
      <w:pPr>
        <w:pStyle w:val="Ruller4"/>
        <w:numPr>
          <w:ilvl w:val="0"/>
          <w:numId w:val="0"/>
        </w:numPr>
        <w:rPr>
          <w:rtl/>
        </w:rPr>
      </w:pPr>
    </w:p>
    <w:p w:rsidR="00A75A37" w:rsidRDefault="00A75A37" w:rsidP="00A75A37">
      <w:pPr>
        <w:pStyle w:val="Ruller4"/>
        <w:numPr>
          <w:ilvl w:val="0"/>
          <w:numId w:val="0"/>
        </w:numPr>
        <w:ind w:firstLine="720"/>
      </w:pPr>
      <w:r>
        <w:rPr>
          <w:rFonts w:hint="cs"/>
          <w:rtl/>
        </w:rPr>
        <w:t xml:space="preserve">אמנם הכספים ניתנים לכאורה לפי נדבת ליבו של הנותן, ולא לפי התחייבות משפטית, אך נקבע כי הדבר נעשה על פי הנהוג ומתוך ציווי פנימי עמוק הנובע מאמונה, ואין  מדובר בנדיבות ללא תמורה, ואף מצד המערער קיימת </w:t>
      </w:r>
      <w:r w:rsidRPr="006F54D5">
        <w:rPr>
          <w:rFonts w:ascii="Century" w:hAnsi="Century" w:hint="cs"/>
          <w:sz w:val="22"/>
          <w:rtl/>
        </w:rPr>
        <w:t>ציפייה</w:t>
      </w:r>
      <w:r>
        <w:rPr>
          <w:rFonts w:hint="cs"/>
          <w:rtl/>
        </w:rPr>
        <w:t xml:space="preserve">, המעוגנת במסורת, </w:t>
      </w:r>
      <w:r>
        <w:rPr>
          <w:rFonts w:ascii="Century" w:hAnsi="Century" w:hint="cs"/>
          <w:sz w:val="22"/>
          <w:rtl/>
        </w:rPr>
        <w:t>לקבלת הכספים במתווה האמור, אשר ישמשו אותו כ</w:t>
      </w:r>
      <w:r w:rsidRPr="006F54D5">
        <w:rPr>
          <w:rFonts w:ascii="Century" w:hAnsi="Century" w:hint="cs"/>
          <w:sz w:val="22"/>
          <w:rtl/>
        </w:rPr>
        <w:t>מקור פרנסה לו ולמשפחתו</w:t>
      </w:r>
      <w:r>
        <w:rPr>
          <w:rFonts w:hint="cs"/>
          <w:rtl/>
        </w:rPr>
        <w:t>.</w:t>
      </w:r>
    </w:p>
    <w:p w:rsidR="00A75A37" w:rsidRPr="006E4639" w:rsidRDefault="00A75A37" w:rsidP="00A75A37">
      <w:pPr>
        <w:pStyle w:val="Ruller4"/>
        <w:numPr>
          <w:ilvl w:val="0"/>
          <w:numId w:val="0"/>
        </w:numPr>
        <w:spacing w:line="276" w:lineRule="auto"/>
      </w:pPr>
    </w:p>
    <w:p w:rsidR="00A75A37" w:rsidRDefault="00A75A37" w:rsidP="009E7983">
      <w:pPr>
        <w:pStyle w:val="Ruller4"/>
        <w:rPr>
          <w:rtl/>
        </w:rPr>
      </w:pPr>
      <w:r>
        <w:rPr>
          <w:rFonts w:hint="cs"/>
          <w:rtl/>
        </w:rPr>
        <w:t>המונח "משלח יד" פורש</w:t>
      </w:r>
      <w:r w:rsidRPr="0092382C">
        <w:rPr>
          <w:rFonts w:hint="cs"/>
          <w:rtl/>
        </w:rPr>
        <w:t xml:space="preserve"> </w:t>
      </w:r>
      <w:r>
        <w:rPr>
          <w:rFonts w:hint="cs"/>
          <w:rtl/>
        </w:rPr>
        <w:t xml:space="preserve">כאמור בפסיקה בצורה רחבה ביותר. אכן, אין מדובר בענייננו במשלח יד שגרתי, אך מדובר כאמור בעיסוק העונה על עיקרי המאפיינים הנדרשים ממשלח יד לצרכי חיוב במס. התקבולים שהרב מפיק מקיומה של חצרו ומפעילותו כאמור, נובעים מכישוריו האישיים והמוניטין שקנה לו, לרבות ייחוסו </w:t>
      </w:r>
      <w:r>
        <w:rPr>
          <w:rFonts w:hint="cs"/>
          <w:rtl/>
        </w:rPr>
        <w:lastRenderedPageBreak/>
        <w:t xml:space="preserve">המשפחתי ("זכות אבות"), ואלה משמשים כאבן שואבת </w:t>
      </w:r>
      <w:r w:rsidR="009E7983">
        <w:rPr>
          <w:rFonts w:hint="cs"/>
          <w:rtl/>
        </w:rPr>
        <w:t>למאמיניו</w:t>
      </w:r>
      <w:r>
        <w:rPr>
          <w:rFonts w:hint="cs"/>
          <w:rtl/>
        </w:rPr>
        <w:t xml:space="preserve"> ולחברי קהילתו המצטופפים סביבו, ובגינם מועברים לו הכספים המשמשים אותו ואת משפחתו. </w:t>
      </w:r>
    </w:p>
    <w:p w:rsidR="00A75A37" w:rsidRPr="000D5A6D" w:rsidRDefault="00A75A37" w:rsidP="00A75A37">
      <w:pPr>
        <w:pStyle w:val="Ruller41"/>
        <w:rPr>
          <w:rtl/>
        </w:rPr>
      </w:pPr>
    </w:p>
    <w:p w:rsidR="00A75A37" w:rsidRDefault="00A75A37" w:rsidP="009E7983">
      <w:pPr>
        <w:pStyle w:val="Ruller4"/>
        <w:numPr>
          <w:ilvl w:val="0"/>
          <w:numId w:val="0"/>
        </w:numPr>
        <w:ind w:firstLine="720"/>
      </w:pPr>
      <w:r>
        <w:rPr>
          <w:rFonts w:ascii="Century" w:hAnsi="Century" w:hint="cs"/>
          <w:sz w:val="22"/>
          <w:rtl/>
        </w:rPr>
        <w:t>גם אם</w:t>
      </w:r>
      <w:r w:rsidRPr="009F5F24">
        <w:rPr>
          <w:rFonts w:ascii="Century" w:hAnsi="Century" w:hint="cs"/>
          <w:sz w:val="22"/>
          <w:rtl/>
        </w:rPr>
        <w:t xml:space="preserve"> בראייתו</w:t>
      </w:r>
      <w:r>
        <w:rPr>
          <w:rFonts w:ascii="Century" w:hAnsi="Century" w:hint="cs"/>
          <w:sz w:val="22"/>
          <w:rtl/>
        </w:rPr>
        <w:t xml:space="preserve"> הסובייקטיבית של המערער</w:t>
      </w:r>
      <w:r w:rsidRPr="009F5F24">
        <w:rPr>
          <w:rFonts w:ascii="Century" w:hAnsi="Century" w:hint="cs"/>
          <w:sz w:val="22"/>
          <w:rtl/>
        </w:rPr>
        <w:t xml:space="preserve">, </w:t>
      </w:r>
      <w:r>
        <w:rPr>
          <w:rFonts w:ascii="Century" w:hAnsi="Century" w:hint="cs"/>
          <w:sz w:val="22"/>
          <w:rtl/>
        </w:rPr>
        <w:t>פעילותו היא</w:t>
      </w:r>
      <w:r w:rsidRPr="009F5F24">
        <w:rPr>
          <w:rFonts w:ascii="Century" w:hAnsi="Century" w:hint="cs"/>
          <w:sz w:val="22"/>
          <w:rtl/>
        </w:rPr>
        <w:t xml:space="preserve"> לשם שמים</w:t>
      </w:r>
      <w:r>
        <w:rPr>
          <w:rFonts w:ascii="Century" w:hAnsi="Century" w:hint="cs"/>
          <w:sz w:val="22"/>
          <w:rtl/>
        </w:rPr>
        <w:t>, ולא לצורך הפקת הכנסות, אין בכך כדי לשנות מהמסקנה כי אגב פעילות זו מופקת לטובתו הכנסה קבועה החייבת במס</w:t>
      </w:r>
      <w:r w:rsidRPr="009F5F24">
        <w:rPr>
          <w:rFonts w:ascii="Century" w:hAnsi="Century" w:hint="cs"/>
          <w:sz w:val="22"/>
          <w:rtl/>
        </w:rPr>
        <w:t xml:space="preserve">. </w:t>
      </w:r>
      <w:r>
        <w:rPr>
          <w:rFonts w:hint="cs"/>
          <w:rtl/>
        </w:rPr>
        <w:t>יודגש כי אין בקביעה כי מדובר בפעילות שהיא בגדר "משלח יד" משום זילות מעמדו או פעילותו של המערער כרב וכמנהיג רוחני של ציבור מאמיניו. המדובר הוא אך בקביעה פורמלית של סיווג הכנסותיו</w:t>
      </w:r>
      <w:r w:rsidRPr="008616B5">
        <w:rPr>
          <w:rFonts w:hint="cs"/>
          <w:rtl/>
        </w:rPr>
        <w:t xml:space="preserve"> </w:t>
      </w:r>
      <w:r>
        <w:rPr>
          <w:rFonts w:hint="cs"/>
          <w:rtl/>
        </w:rPr>
        <w:t>לצרכי</w:t>
      </w:r>
      <w:r w:rsidRPr="008616B5">
        <w:rPr>
          <w:rFonts w:hint="cs"/>
          <w:rtl/>
        </w:rPr>
        <w:t xml:space="preserve"> </w:t>
      </w:r>
      <w:r>
        <w:rPr>
          <w:rFonts w:hint="cs"/>
          <w:rtl/>
        </w:rPr>
        <w:t>דיני המס, הא ותו לא.</w:t>
      </w:r>
    </w:p>
    <w:p w:rsidR="00A75A37" w:rsidRPr="007C47F4" w:rsidRDefault="00A75A37" w:rsidP="00A75A37">
      <w:pPr>
        <w:pStyle w:val="Ruller41"/>
        <w:rPr>
          <w:rtl/>
        </w:rPr>
      </w:pPr>
    </w:p>
    <w:p w:rsidR="00A75A37" w:rsidRDefault="00A75A37" w:rsidP="00A75A37">
      <w:pPr>
        <w:pStyle w:val="Ruller4"/>
      </w:pPr>
      <w:r>
        <w:rPr>
          <w:rFonts w:hint="cs"/>
          <w:rtl/>
        </w:rPr>
        <w:t xml:space="preserve">לאורך ההיסטוריה התקבצו בני העם היהודי בפזורות השונות בקהילות. לא היה דפוס קבוע באשר ליחסי הרב והקהילה, אך בכל קהילות ישראל היה לרב הקהילה תפקיד חשוב בחיי הקהילה, ובכל הקהילות נהנו הרבנים משכר או מתמיכה כספית בדרך אחרת  מבני הקהילה לצרכי קיומם. </w:t>
      </w:r>
    </w:p>
    <w:p w:rsidR="00A75A37" w:rsidRDefault="00A75A37" w:rsidP="00A75A37">
      <w:pPr>
        <w:pStyle w:val="Ruller4"/>
        <w:numPr>
          <w:ilvl w:val="0"/>
          <w:numId w:val="0"/>
        </w:numPr>
        <w:rPr>
          <w:rtl/>
        </w:rPr>
      </w:pPr>
    </w:p>
    <w:p w:rsidR="00A75A37" w:rsidRDefault="00A75A37" w:rsidP="00A75A37">
      <w:pPr>
        <w:pStyle w:val="Ruller41"/>
        <w:spacing w:line="276" w:lineRule="auto"/>
        <w:ind w:left="1649" w:right="1134"/>
        <w:rPr>
          <w:rtl/>
        </w:rPr>
      </w:pPr>
      <w:r>
        <w:rPr>
          <w:rFonts w:hint="cs"/>
          <w:rtl/>
        </w:rPr>
        <w:t xml:space="preserve">"...הכוח ומקור הסמכות של מוסד הרבנות נשען אך ורק על האמון שרחשה הקהילה לחכמים המקומיים, אמון שנסמך על כריזמה אישית או על חוזה מוסכם בין הקהילה לרב. העיקרון החשוב שמשתקף בהיבט זה של הרבנות הוא תלותה, כסמכות דתית, בקהילה. הרב, כסמכות בנושאי הדת, התמנה על ידי הקהילה, קיבל שכרו ממנה ובתמורה התחייב לספק לחברי הקהילה את צרכיהם הדתיים, הן ברמה הנורמטיבית של בירור הלכות ופסיקת הלכה, והן ברמה הרוחנית-פדגוגית של עריכת טקסים, נשיאת דרשות לציבור ולימוד תורה..." (איל ינון, יוסי דוד </w:t>
      </w:r>
      <w:r w:rsidRPr="00651FDC">
        <w:rPr>
          <w:rFonts w:ascii="Century" w:hAnsi="Century" w:cs="Miriam" w:hint="cs"/>
          <w:b/>
          <w:spacing w:val="0"/>
          <w:szCs w:val="24"/>
          <w:rtl/>
        </w:rPr>
        <w:t>הרבנות הממלכתית: בחירה, הפרדה וחופש ביטוי</w:t>
      </w:r>
      <w:r>
        <w:rPr>
          <w:rFonts w:hint="cs"/>
          <w:rtl/>
        </w:rPr>
        <w:t xml:space="preserve"> 18-15 (מחקרי מדיניות 19, המכון הישראלי לדמוקרטיה, 2000)). </w:t>
      </w:r>
    </w:p>
    <w:p w:rsidR="00A75A37" w:rsidRPr="00CB1E6F" w:rsidRDefault="00A75A37" w:rsidP="00A75A37">
      <w:pPr>
        <w:pStyle w:val="Ruller41"/>
        <w:rPr>
          <w:sz w:val="32"/>
          <w:szCs w:val="32"/>
          <w:rtl/>
        </w:rPr>
      </w:pPr>
      <w:r w:rsidRPr="00CB1E6F">
        <w:rPr>
          <w:sz w:val="32"/>
          <w:szCs w:val="32"/>
          <w:rtl/>
        </w:rPr>
        <w:tab/>
      </w:r>
      <w:r w:rsidRPr="00CB1E6F">
        <w:rPr>
          <w:rFonts w:hint="cs"/>
          <w:sz w:val="32"/>
          <w:szCs w:val="32"/>
          <w:rtl/>
        </w:rPr>
        <w:t xml:space="preserve"> </w:t>
      </w:r>
    </w:p>
    <w:p w:rsidR="00A75A37" w:rsidRDefault="00A75A37" w:rsidP="00A75A37">
      <w:pPr>
        <w:pStyle w:val="Ruller4"/>
        <w:numPr>
          <w:ilvl w:val="0"/>
          <w:numId w:val="0"/>
        </w:numPr>
        <w:ind w:firstLine="720"/>
        <w:rPr>
          <w:rtl/>
        </w:rPr>
      </w:pPr>
      <w:r>
        <w:rPr>
          <w:rFonts w:hint="cs"/>
          <w:rtl/>
        </w:rPr>
        <w:t>בקהילות ישראל השונות התפתחו דפוסים שונים בנוגע למימון הרבנות על ידי הקהילה. אחד הדפוסים הוא של חצרות של אדמו"רים בקהילות החסידים במזרח אירופה, שבדומה להם קמו חצרות רבנים וצדיקים מקובלים גם במקצת מקומות בצפון אפריקה. דגם זה יובא גם לחצרות רבנים במדינת ישראל</w:t>
      </w:r>
      <w:r w:rsidRPr="00937328">
        <w:rPr>
          <w:rFonts w:hint="cs"/>
          <w:rtl/>
        </w:rPr>
        <w:t xml:space="preserve"> </w:t>
      </w:r>
      <w:r>
        <w:rPr>
          <w:rFonts w:hint="cs"/>
          <w:rtl/>
        </w:rPr>
        <w:t xml:space="preserve">(ראו למשל: ישראל ברטל "היחיד והקהילה </w:t>
      </w:r>
      <w:r>
        <w:rPr>
          <w:rtl/>
        </w:rPr>
        <w:t>–</w:t>
      </w:r>
      <w:r>
        <w:rPr>
          <w:rFonts w:hint="cs"/>
          <w:rtl/>
        </w:rPr>
        <w:t xml:space="preserve"> מבוא" </w:t>
      </w:r>
      <w:r w:rsidRPr="00E96627">
        <w:rPr>
          <w:rFonts w:ascii="Century" w:hAnsi="Century" w:cs="Miriam" w:hint="cs"/>
          <w:b/>
          <w:spacing w:val="0"/>
          <w:sz w:val="22"/>
          <w:szCs w:val="24"/>
          <w:rtl/>
        </w:rPr>
        <w:t xml:space="preserve">זמן יהודי חדש </w:t>
      </w:r>
      <w:r>
        <w:rPr>
          <w:rFonts w:ascii="Century" w:hAnsi="Century" w:cs="Miriam" w:hint="cs"/>
          <w:b/>
          <w:spacing w:val="0"/>
          <w:sz w:val="22"/>
          <w:szCs w:val="24"/>
          <w:rtl/>
        </w:rPr>
        <w:t>-</w:t>
      </w:r>
      <w:r w:rsidRPr="00E96627">
        <w:rPr>
          <w:rFonts w:ascii="Century" w:hAnsi="Century" w:cs="Miriam" w:hint="cs"/>
          <w:b/>
          <w:spacing w:val="0"/>
          <w:sz w:val="22"/>
          <w:szCs w:val="24"/>
          <w:rtl/>
        </w:rPr>
        <w:t xml:space="preserve"> תרבות יהודית בעידן חילוני </w:t>
      </w:r>
      <w:r>
        <w:rPr>
          <w:rFonts w:ascii="Century" w:hAnsi="Century" w:cs="Miriam" w:hint="cs"/>
          <w:b/>
          <w:spacing w:val="0"/>
          <w:sz w:val="22"/>
          <w:szCs w:val="24"/>
          <w:rtl/>
        </w:rPr>
        <w:t>-</w:t>
      </w:r>
      <w:r w:rsidRPr="00E96627">
        <w:rPr>
          <w:rFonts w:ascii="Century" w:hAnsi="Century" w:cs="Miriam" w:hint="cs"/>
          <w:b/>
          <w:spacing w:val="0"/>
          <w:sz w:val="22"/>
          <w:szCs w:val="24"/>
          <w:rtl/>
        </w:rPr>
        <w:t xml:space="preserve"> מבט אנציקלופדי</w:t>
      </w:r>
      <w:r w:rsidRPr="00E96627">
        <w:rPr>
          <w:rFonts w:hint="cs"/>
          <w:rtl/>
        </w:rPr>
        <w:t xml:space="preserve"> </w:t>
      </w:r>
      <w:r>
        <w:rPr>
          <w:rFonts w:hint="cs"/>
          <w:rtl/>
        </w:rPr>
        <w:t xml:space="preserve">כרך א 243, 245 (ירמיהו יובל, יאיר צבן ודוד שחם עורכים, 2007); גרשון דוד הונדרט "הקהילה בפולין במאה ה-18: אספקטים שונים" </w:t>
      </w:r>
      <w:r w:rsidRPr="00E96627">
        <w:rPr>
          <w:rFonts w:ascii="Century" w:hAnsi="Century" w:cs="Miriam" w:hint="cs"/>
          <w:b/>
          <w:spacing w:val="0"/>
          <w:sz w:val="22"/>
          <w:szCs w:val="24"/>
          <w:rtl/>
        </w:rPr>
        <w:t>קהל ישראל: השלטון העצמי היהודי לדורותיו</w:t>
      </w:r>
      <w:r>
        <w:rPr>
          <w:rFonts w:ascii="Century" w:hAnsi="Century" w:cs="Miriam" w:hint="cs"/>
          <w:b/>
          <w:spacing w:val="0"/>
          <w:sz w:val="22"/>
          <w:szCs w:val="24"/>
          <w:rtl/>
        </w:rPr>
        <w:t xml:space="preserve"> </w:t>
      </w:r>
      <w:r>
        <w:rPr>
          <w:rFonts w:ascii="Century" w:hAnsi="Century" w:hint="cs"/>
          <w:sz w:val="22"/>
          <w:rtl/>
        </w:rPr>
        <w:t>כרך ג</w:t>
      </w:r>
      <w:r>
        <w:rPr>
          <w:rFonts w:hint="cs"/>
          <w:rtl/>
        </w:rPr>
        <w:t xml:space="preserve"> 43, 45-44 (ישראל ברטל עורך, 2004). כן ראו הדברים בחוות דעתה של </w:t>
      </w:r>
      <w:r>
        <w:rPr>
          <w:rFonts w:hint="cs"/>
          <w:rtl/>
        </w:rPr>
        <w:lastRenderedPageBreak/>
        <w:t xml:space="preserve">פרופ' פדיה ובעדותה בבית המשפט, שחלקים נרחבים מהם פורטו בפסק דינו של בית המשפט המחוזי (עמ' 24-12)). </w:t>
      </w:r>
    </w:p>
    <w:p w:rsidR="00A75A37" w:rsidRDefault="00A75A37" w:rsidP="00A75A37">
      <w:pPr>
        <w:pStyle w:val="Ruller4"/>
        <w:numPr>
          <w:ilvl w:val="0"/>
          <w:numId w:val="0"/>
        </w:numPr>
        <w:ind w:firstLine="720"/>
        <w:rPr>
          <w:rtl/>
        </w:rPr>
      </w:pPr>
      <w:r w:rsidRPr="00AE040A">
        <w:rPr>
          <w:rFonts w:hint="cs"/>
          <w:rtl/>
        </w:rPr>
        <w:tab/>
      </w:r>
    </w:p>
    <w:p w:rsidR="00A75A37" w:rsidRDefault="00A75A37" w:rsidP="00A75A37">
      <w:pPr>
        <w:pStyle w:val="Ruller4"/>
        <w:rPr>
          <w:rtl/>
        </w:rPr>
      </w:pPr>
      <w:r>
        <w:rPr>
          <w:rFonts w:hint="cs"/>
          <w:rtl/>
        </w:rPr>
        <w:t>במדינת ישראל נעשה מיסוד של תפקיד הרבנות על ידי מינוי רבנים ראשיים ורבני ערים, אשר מינויים וכהונתם מוסדרים בדין, ואשר שכרם משולם מהקופה הציבורית על ידי המדינה והרשויות המקומיות (</w:t>
      </w:r>
      <w:r>
        <w:rPr>
          <w:rtl/>
        </w:rPr>
        <w:t>ח</w:t>
      </w:r>
      <w:r>
        <w:rPr>
          <w:rFonts w:hint="cs"/>
          <w:rtl/>
        </w:rPr>
        <w:t xml:space="preserve">וק הרבנות הראשית לישראל, תש"ם-1980; </w:t>
      </w:r>
      <w:r w:rsidRPr="00AE040A">
        <w:rPr>
          <w:rtl/>
        </w:rPr>
        <w:t>סעיף 15(א)(2) לחוק שירותי הדת היהודיים [נוסח משולב], התשל"א</w:t>
      </w:r>
      <w:r w:rsidRPr="00AE040A">
        <w:rPr>
          <w:rFonts w:hint="cs"/>
          <w:rtl/>
        </w:rPr>
        <w:t>-1971</w:t>
      </w:r>
      <w:r>
        <w:rPr>
          <w:rFonts w:hint="cs"/>
          <w:rtl/>
        </w:rPr>
        <w:t xml:space="preserve">; </w:t>
      </w:r>
      <w:r w:rsidRPr="00AE040A">
        <w:rPr>
          <w:rFonts w:hint="cs"/>
          <w:rtl/>
        </w:rPr>
        <w:t>תקנות שירותי הדת היהודיים (בחירות רבני עיר), תשס"ז-2007</w:t>
      </w:r>
      <w:r>
        <w:rPr>
          <w:rFonts w:hint="cs"/>
          <w:rtl/>
        </w:rPr>
        <w:t xml:space="preserve">); הדר ליפשיץ וגדעון ספיר "שירותי הדת היהודיים בישראל </w:t>
      </w:r>
      <w:r>
        <w:rPr>
          <w:rtl/>
        </w:rPr>
        <w:t>–</w:t>
      </w:r>
      <w:r>
        <w:rPr>
          <w:rFonts w:hint="cs"/>
          <w:rtl/>
        </w:rPr>
        <w:t xml:space="preserve"> דיון נורמטיבי וניהולי לקראת רפורמה" </w:t>
      </w:r>
      <w:r>
        <w:rPr>
          <w:rFonts w:ascii="Century" w:hAnsi="Century" w:cs="Miriam" w:hint="cs"/>
          <w:b/>
          <w:spacing w:val="0"/>
          <w:sz w:val="22"/>
          <w:szCs w:val="24"/>
          <w:rtl/>
        </w:rPr>
        <w:t>מחקרי משפט</w:t>
      </w:r>
      <w:r>
        <w:rPr>
          <w:rFonts w:ascii="Century" w:hAnsi="Century" w:hint="cs"/>
          <w:sz w:val="22"/>
          <w:rtl/>
        </w:rPr>
        <w:t xml:space="preserve"> כג 117, </w:t>
      </w:r>
      <w:r>
        <w:rPr>
          <w:rFonts w:hint="cs"/>
          <w:rtl/>
        </w:rPr>
        <w:t>149-148</w:t>
      </w:r>
      <w:r>
        <w:rPr>
          <w:rFonts w:ascii="Century" w:hAnsi="Century" w:hint="cs"/>
          <w:sz w:val="22"/>
          <w:rtl/>
        </w:rPr>
        <w:t xml:space="preserve"> (תשס"ז-תשס"ח)</w:t>
      </w:r>
      <w:r>
        <w:rPr>
          <w:rFonts w:hint="cs"/>
          <w:rtl/>
        </w:rPr>
        <w:t xml:space="preserve">). </w:t>
      </w:r>
    </w:p>
    <w:p w:rsidR="00A75A37" w:rsidRPr="000D5A6D" w:rsidRDefault="00A75A37" w:rsidP="00A75A37">
      <w:pPr>
        <w:pStyle w:val="Ruller41"/>
        <w:rPr>
          <w:rtl/>
        </w:rPr>
      </w:pPr>
    </w:p>
    <w:p w:rsidR="00A75A37" w:rsidRDefault="00A75A37" w:rsidP="00A75A37">
      <w:pPr>
        <w:pStyle w:val="Ruller4"/>
        <w:numPr>
          <w:ilvl w:val="0"/>
          <w:numId w:val="0"/>
        </w:numPr>
        <w:ind w:firstLine="720"/>
        <w:rPr>
          <w:rtl/>
        </w:rPr>
      </w:pPr>
      <w:r>
        <w:rPr>
          <w:rFonts w:hint="cs"/>
          <w:rtl/>
        </w:rPr>
        <w:t xml:space="preserve">ואולם לצד הרבנות הממסדית כאמור פועלים בקהילות שונות בישראל רבנים קהילתיים עצמאיים, בדפוסים שונים, שאינם במעמד של עובדי ציבור המקבלים משכורת  מהקופה הציבורית, ובין אלה גם אדמו"רים ורבנים מקובלים המקיימים "חצר", כגון המערער דנן, הרב אבוחצירא. </w:t>
      </w:r>
    </w:p>
    <w:p w:rsidR="00A75A37" w:rsidRDefault="00A75A37" w:rsidP="00A75A37">
      <w:pPr>
        <w:pStyle w:val="Ruller4"/>
        <w:numPr>
          <w:ilvl w:val="0"/>
          <w:numId w:val="0"/>
        </w:numPr>
        <w:rPr>
          <w:rtl/>
        </w:rPr>
      </w:pPr>
    </w:p>
    <w:p w:rsidR="00A75A37" w:rsidRDefault="00A75A37" w:rsidP="00A75A37">
      <w:pPr>
        <w:pStyle w:val="Ruller4"/>
        <w:rPr>
          <w:rtl/>
        </w:rPr>
      </w:pPr>
      <w:r>
        <w:rPr>
          <w:rFonts w:hint="cs"/>
          <w:rtl/>
        </w:rPr>
        <w:t xml:space="preserve">אף שקיימים כמובן הבדלים שונים במעמד הפורמלי ובדפוסי הפעולה של "החצרות" אל מול הרבנות הממוסדת, ניתן לומר כי באופן בסיסי, אלה גם אלה מעניקים לקהילותיהם שירותי דת - הן שירותים ספציפיים והן הנהגה רוחנית - ופרנסתם על הציבור, בין על ידי משכורת פורמלית ובין בדרך של קבלת כספים בדרך לא פורמלית, כפי המקרה דנן. </w:t>
      </w:r>
    </w:p>
    <w:p w:rsidR="00A75A37" w:rsidRPr="00696C66" w:rsidRDefault="00A75A37" w:rsidP="00A75A37">
      <w:pPr>
        <w:pStyle w:val="Ruller41"/>
        <w:rPr>
          <w:rtl/>
        </w:rPr>
      </w:pPr>
    </w:p>
    <w:p w:rsidR="00A75A37" w:rsidRDefault="00A75A37" w:rsidP="00A75A37">
      <w:pPr>
        <w:pStyle w:val="Ruller4"/>
      </w:pPr>
      <w:r>
        <w:rPr>
          <w:rFonts w:hint="cs"/>
          <w:rtl/>
        </w:rPr>
        <w:t xml:space="preserve">כמצוין לעיל, עיקר טענתו של המערער היא, כי אין לראות בתקבולים השונים שהוא מקבל במסגרת מעמדו ופעילותו כרב וכמורה רוחני לקהל מאמיניו כהכנסה ממשלח יד, אלא </w:t>
      </w:r>
      <w:r w:rsidRPr="00E3373D">
        <w:rPr>
          <w:rFonts w:ascii="Century" w:hAnsi="Century" w:cs="Miriam" w:hint="cs"/>
          <w:b/>
          <w:spacing w:val="0"/>
          <w:sz w:val="22"/>
          <w:szCs w:val="24"/>
          <w:rtl/>
        </w:rPr>
        <w:t>כמתנות</w:t>
      </w:r>
      <w:r>
        <w:rPr>
          <w:rFonts w:ascii="Century" w:hAnsi="Century" w:cs="Miriam" w:hint="cs"/>
          <w:b/>
          <w:spacing w:val="0"/>
          <w:sz w:val="22"/>
          <w:szCs w:val="24"/>
          <w:rtl/>
        </w:rPr>
        <w:t xml:space="preserve"> </w:t>
      </w:r>
      <w:r>
        <w:rPr>
          <w:rFonts w:hint="cs"/>
          <w:rtl/>
        </w:rPr>
        <w:t xml:space="preserve">הניתנות לו לפי נדבת ליבם של הנותנים, ללא תמורה או שירות מצדו, ואשר אינן חייבות במס. </w:t>
      </w:r>
    </w:p>
    <w:p w:rsidR="00A75A37" w:rsidRDefault="00A75A37" w:rsidP="00A75A37">
      <w:pPr>
        <w:pStyle w:val="Ruller4"/>
        <w:numPr>
          <w:ilvl w:val="0"/>
          <w:numId w:val="0"/>
        </w:numPr>
        <w:rPr>
          <w:rtl/>
        </w:rPr>
      </w:pPr>
    </w:p>
    <w:p w:rsidR="00A75A37" w:rsidRDefault="00A75A37" w:rsidP="00A75A37">
      <w:pPr>
        <w:pStyle w:val="Ruller4"/>
        <w:numPr>
          <w:ilvl w:val="0"/>
          <w:numId w:val="0"/>
        </w:numPr>
        <w:ind w:firstLine="720"/>
        <w:rPr>
          <w:rtl/>
        </w:rPr>
      </w:pPr>
      <w:r>
        <w:rPr>
          <w:rFonts w:hint="cs"/>
          <w:rtl/>
        </w:rPr>
        <w:t>טענה זו אינה מקובלת עלי. לעיל פירטתי מדוע יש לראות בפעילות המערער כמשלח יד, אשר ההכנסות המופקות במסגרתו הן הכנסה חייבת במס. להלן אתייחס, להשלמת הדברים, לטענה כי מדובר ב"מתנות".</w:t>
      </w:r>
    </w:p>
    <w:p w:rsidR="00A75A37" w:rsidRDefault="00A75A37" w:rsidP="00A75A37">
      <w:pPr>
        <w:pStyle w:val="Ruller4"/>
        <w:numPr>
          <w:ilvl w:val="0"/>
          <w:numId w:val="0"/>
        </w:numPr>
        <w:ind w:firstLine="720"/>
        <w:rPr>
          <w:rtl/>
        </w:rPr>
      </w:pPr>
      <w:r>
        <w:rPr>
          <w:rFonts w:hint="cs"/>
          <w:rtl/>
        </w:rPr>
        <w:t xml:space="preserve"> </w:t>
      </w:r>
    </w:p>
    <w:p w:rsidR="00A75A37" w:rsidRDefault="00A75A37" w:rsidP="00A75A37">
      <w:pPr>
        <w:pStyle w:val="Ruller4"/>
      </w:pPr>
      <w:r>
        <w:rPr>
          <w:rFonts w:hint="cs"/>
          <w:rtl/>
        </w:rPr>
        <w:t xml:space="preserve">המונח "מתנה" אינו מוגדר בפקודה, אף שהוא נזכר בה בהקשרים שונים (סעיפים 88 ו- 97 לפקודה), וגם העיסוק בו בפסיקה אינו רב. עם זאת, נפסק כי תקבול </w:t>
      </w:r>
      <w:r>
        <w:rPr>
          <w:rFonts w:hint="cs"/>
          <w:rtl/>
        </w:rPr>
        <w:lastRenderedPageBreak/>
        <w:t xml:space="preserve">עשוי להוות הכנסה חייבת במס גם אם נותן התקבול נתן אותו מרצונו החופשי ומבלי שהתחייב לכך מראש, ולמקבל לא הייתה כוונה להפיק תקבול זה מפעילותו. תקבול שהתקבל בקשר עם עיסוקו של הנישום יתחייב במס גם אם מקורו בנדיבות לבו של הנותן, שכן לא כוונתו של הנותן היא שנבחנת אלא ההקשר בו ניתן והנסיבות האובייקטיביות שהולידו את התקבול. </w:t>
      </w:r>
    </w:p>
    <w:p w:rsidR="00A75A37" w:rsidRDefault="00A75A37" w:rsidP="00A75A37">
      <w:pPr>
        <w:pStyle w:val="Ruller4"/>
        <w:numPr>
          <w:ilvl w:val="0"/>
          <w:numId w:val="0"/>
        </w:numPr>
        <w:rPr>
          <w:rtl/>
        </w:rPr>
      </w:pPr>
    </w:p>
    <w:p w:rsidR="00A75A37" w:rsidRDefault="00A75A37" w:rsidP="00A75A37">
      <w:pPr>
        <w:pStyle w:val="Ruller4"/>
        <w:numPr>
          <w:ilvl w:val="0"/>
          <w:numId w:val="0"/>
        </w:numPr>
        <w:ind w:firstLine="720"/>
        <w:rPr>
          <w:rtl/>
        </w:rPr>
      </w:pPr>
      <w:r>
        <w:rPr>
          <w:rFonts w:hint="cs"/>
          <w:rtl/>
        </w:rPr>
        <w:t xml:space="preserve">כך, </w:t>
      </w:r>
      <w:r>
        <w:rPr>
          <w:rFonts w:ascii="Century" w:hAnsi="Century" w:hint="cs"/>
          <w:sz w:val="22"/>
          <w:rtl/>
        </w:rPr>
        <w:t xml:space="preserve">בענין </w:t>
      </w:r>
      <w:r>
        <w:rPr>
          <w:rFonts w:ascii="Century" w:hAnsi="Century" w:cs="Miriam" w:hint="cs"/>
          <w:b/>
          <w:spacing w:val="0"/>
          <w:sz w:val="22"/>
          <w:szCs w:val="24"/>
          <w:rtl/>
        </w:rPr>
        <w:t>ברזל</w:t>
      </w:r>
      <w:r>
        <w:rPr>
          <w:rFonts w:hint="cs"/>
          <w:rtl/>
        </w:rPr>
        <w:t xml:space="preserve"> שנזכר לעיל, נדון מקרה בו מונה אדם לתפקיד מנהל עיזבון שלא במסגרת משלח ידו, אלא באופן פרטי לחלוטין, על פי בקשת חותנתו. בית המשפט פסק לטובתו תשלום בגין תפקידו כמנהל עיזבון, ועלתה השאלה האם תשלום זה חייב במס. בית המשפט השיב על כך בחיוב, וקבע כי - </w:t>
      </w:r>
    </w:p>
    <w:p w:rsidR="00A75A37" w:rsidRPr="00D3637D" w:rsidRDefault="00A75A37" w:rsidP="00A75A37">
      <w:pPr>
        <w:pStyle w:val="Ruller41"/>
        <w:rPr>
          <w:rtl/>
        </w:rPr>
      </w:pPr>
    </w:p>
    <w:p w:rsidR="00A75A37" w:rsidRDefault="00A75A37" w:rsidP="00A75A37">
      <w:pPr>
        <w:pStyle w:val="Ruller4"/>
        <w:numPr>
          <w:ilvl w:val="0"/>
          <w:numId w:val="0"/>
        </w:numPr>
        <w:spacing w:line="276" w:lineRule="auto"/>
        <w:ind w:left="1508" w:right="1134"/>
      </w:pPr>
      <w:r>
        <w:rPr>
          <w:rFonts w:hint="cs"/>
          <w:rtl/>
        </w:rPr>
        <w:t>"...</w:t>
      </w:r>
      <w:r w:rsidRPr="0027205A">
        <w:rPr>
          <w:rFonts w:hint="cs"/>
          <w:spacing w:val="6"/>
          <w:rtl/>
        </w:rPr>
        <w:t xml:space="preserve">אי אפשר לומר שהיתה כאן 'מתנה' במשמעות המלה האנגלית </w:t>
      </w:r>
      <w:r w:rsidRPr="0027205A">
        <w:rPr>
          <w:rFonts w:asciiTheme="minorHAnsi" w:hAnsiTheme="minorHAnsi" w:cstheme="minorHAnsi"/>
          <w:spacing w:val="6"/>
        </w:rPr>
        <w:t>bounty</w:t>
      </w:r>
      <w:r w:rsidRPr="0027205A">
        <w:rPr>
          <w:rFonts w:hint="cs"/>
          <w:spacing w:val="6"/>
          <w:rtl/>
        </w:rPr>
        <w:t>, דהיינו דבר שכולו בנדיבות לבו של המשלם, ללא תמורה מצד המקבל</w:t>
      </w:r>
      <w:r>
        <w:rPr>
          <w:rFonts w:hint="cs"/>
          <w:rtl/>
        </w:rPr>
        <w:t xml:space="preserve">... [וכי]  </w:t>
      </w:r>
      <w:r w:rsidRPr="0027205A">
        <w:rPr>
          <w:rFonts w:hint="cs"/>
          <w:spacing w:val="6"/>
          <w:rtl/>
        </w:rPr>
        <w:t xml:space="preserve">אפילו בהנחה שהמערער לא היה זכאי לדרוש ושלא ציפה לשכר, ושכל קביעת השכר היתה נתונה בחסדיו ובשיקול דעתו של גורם אחר, אין לומר שהתשלום נתקבל כמתנה וללא תמורה. </w:t>
      </w:r>
      <w:r w:rsidRPr="0027205A">
        <w:rPr>
          <w:spacing w:val="6"/>
          <w:rtl/>
        </w:rPr>
        <w:t>הרי ניהול עזבון הינו</w:t>
      </w:r>
      <w:r w:rsidRPr="0027205A">
        <w:rPr>
          <w:rFonts w:hint="cs"/>
          <w:spacing w:val="6"/>
          <w:rtl/>
        </w:rPr>
        <w:t xml:space="preserve"> </w:t>
      </w:r>
      <w:r w:rsidRPr="0027205A">
        <w:rPr>
          <w:spacing w:val="6"/>
          <w:rtl/>
        </w:rPr>
        <w:t>תפקיד או משרה (</w:t>
      </w:r>
      <w:r w:rsidRPr="00D3637D">
        <w:rPr>
          <w:rFonts w:asciiTheme="minorHAnsi" w:hAnsiTheme="minorHAnsi" w:cstheme="minorHAnsi"/>
          <w:spacing w:val="6"/>
        </w:rPr>
        <w:t>office</w:t>
      </w:r>
      <w:r w:rsidRPr="0027205A">
        <w:rPr>
          <w:spacing w:val="6"/>
          <w:rtl/>
        </w:rPr>
        <w:t>), ובמקרה זה היה זה תפקיד ששכרו בצדו</w:t>
      </w:r>
      <w:r>
        <w:rPr>
          <w:rFonts w:hint="cs"/>
          <w:rtl/>
        </w:rPr>
        <w:t xml:space="preserve">" (ענין </w:t>
      </w:r>
      <w:r>
        <w:rPr>
          <w:rFonts w:ascii="Century" w:hAnsi="Century" w:cs="Miriam" w:hint="cs"/>
          <w:b/>
          <w:spacing w:val="0"/>
          <w:sz w:val="22"/>
          <w:szCs w:val="24"/>
          <w:rtl/>
        </w:rPr>
        <w:t>ברזל</w:t>
      </w:r>
      <w:r>
        <w:rPr>
          <w:rFonts w:hint="cs"/>
          <w:rtl/>
        </w:rPr>
        <w:t>, 71.</w:t>
      </w:r>
      <w:r w:rsidRPr="007B6D04">
        <w:rPr>
          <w:rFonts w:hint="cs"/>
          <w:b/>
          <w:bCs/>
          <w:i/>
          <w:iCs/>
          <w:rtl/>
        </w:rPr>
        <w:t xml:space="preserve"> </w:t>
      </w:r>
      <w:r>
        <w:rPr>
          <w:rFonts w:hint="cs"/>
          <w:rtl/>
        </w:rPr>
        <w:t xml:space="preserve">וראו גם: </w:t>
      </w:r>
      <w:r w:rsidRPr="00052714">
        <w:rPr>
          <w:rFonts w:ascii="Century" w:hAnsi="Century" w:cs="Miriam" w:hint="cs"/>
          <w:b/>
          <w:spacing w:val="0"/>
          <w:sz w:val="22"/>
          <w:szCs w:val="24"/>
          <w:rtl/>
        </w:rPr>
        <w:t>נמדר</w:t>
      </w:r>
      <w:r>
        <w:rPr>
          <w:rFonts w:ascii="Century" w:hAnsi="Century" w:cs="Miriam" w:hint="cs"/>
          <w:b/>
          <w:spacing w:val="0"/>
          <w:sz w:val="22"/>
          <w:szCs w:val="24"/>
          <w:rtl/>
        </w:rPr>
        <w:t xml:space="preserve"> - מס הכנסה</w:t>
      </w:r>
      <w:r>
        <w:rPr>
          <w:rFonts w:hint="cs"/>
          <w:rtl/>
        </w:rPr>
        <w:t>, 71-70).</w:t>
      </w:r>
    </w:p>
    <w:p w:rsidR="00A75A37" w:rsidRPr="00244009" w:rsidRDefault="00A75A37" w:rsidP="00A75A37">
      <w:pPr>
        <w:pStyle w:val="Ruller4"/>
        <w:numPr>
          <w:ilvl w:val="0"/>
          <w:numId w:val="0"/>
        </w:numPr>
        <w:rPr>
          <w:sz w:val="28"/>
          <w:szCs w:val="32"/>
          <w:rtl/>
        </w:rPr>
      </w:pPr>
    </w:p>
    <w:p w:rsidR="00A75A37" w:rsidRDefault="00A75A37" w:rsidP="00A75A37">
      <w:pPr>
        <w:pStyle w:val="Ruller4"/>
        <w:rPr>
          <w:rtl/>
        </w:rPr>
      </w:pPr>
      <w:r>
        <w:rPr>
          <w:rFonts w:hint="cs"/>
          <w:rtl/>
        </w:rPr>
        <w:t xml:space="preserve">אכן, עצם העובדה שתקבול מסוים כונה או הוגדר על ידי הצדדים כ"מתנה" או "תרומה" אינה מכרעת לענין סיווגו לצרכי מס, ואין הכרח כי תתקיים זהות בין האופן בו הצדדים מסווגים את החלפת המשאבים ביניהם, לבין האופן בו היא תסווג לצרכי מס (עמ"ה (חי') 13/82 </w:t>
      </w:r>
      <w:r>
        <w:rPr>
          <w:rFonts w:ascii="Century" w:hAnsi="Century" w:cs="Miriam" w:hint="cs"/>
          <w:b/>
          <w:spacing w:val="0"/>
          <w:sz w:val="22"/>
          <w:szCs w:val="24"/>
          <w:rtl/>
        </w:rPr>
        <w:t>פרומקין נ' פקיד השומה חיפה</w:t>
      </w:r>
      <w:r>
        <w:rPr>
          <w:rFonts w:ascii="Century" w:hAnsi="Century" w:hint="cs"/>
          <w:sz w:val="22"/>
          <w:rtl/>
        </w:rPr>
        <w:t xml:space="preserve">, פ"מ תשמ"ג(1) 410, 414 (1982); </w:t>
      </w:r>
      <w:r>
        <w:rPr>
          <w:rFonts w:hint="cs"/>
          <w:rtl/>
        </w:rPr>
        <w:t xml:space="preserve">ענין </w:t>
      </w:r>
      <w:r w:rsidRPr="00014100">
        <w:rPr>
          <w:rFonts w:ascii="Century" w:hAnsi="Century" w:cs="Miriam" w:hint="cs"/>
          <w:b/>
          <w:spacing w:val="0"/>
          <w:sz w:val="22"/>
          <w:szCs w:val="24"/>
          <w:rtl/>
        </w:rPr>
        <w:t>קרצמר</w:t>
      </w:r>
      <w:r>
        <w:rPr>
          <w:rFonts w:hint="cs"/>
          <w:rtl/>
        </w:rPr>
        <w:t xml:space="preserve">, פסקה 22 לחוות דעת השופט הנדל; ענין </w:t>
      </w:r>
      <w:r>
        <w:rPr>
          <w:rFonts w:ascii="Century" w:hAnsi="Century" w:cs="Miriam" w:hint="cs"/>
          <w:b/>
          <w:spacing w:val="0"/>
          <w:sz w:val="22"/>
          <w:szCs w:val="24"/>
          <w:rtl/>
        </w:rPr>
        <w:t>סלפותי</w:t>
      </w:r>
      <w:r>
        <w:rPr>
          <w:rFonts w:hint="cs"/>
          <w:rtl/>
        </w:rPr>
        <w:t xml:space="preserve">). </w:t>
      </w:r>
    </w:p>
    <w:p w:rsidR="00A75A37" w:rsidRDefault="00A75A37" w:rsidP="00A75A37">
      <w:pPr>
        <w:pStyle w:val="Ruller41"/>
        <w:rPr>
          <w:rtl/>
        </w:rPr>
      </w:pPr>
    </w:p>
    <w:p w:rsidR="00A75A37" w:rsidRDefault="00A75A37" w:rsidP="00A75A37">
      <w:pPr>
        <w:pStyle w:val="Ruller4"/>
      </w:pPr>
      <w:r>
        <w:rPr>
          <w:rFonts w:hint="cs"/>
          <w:rtl/>
        </w:rPr>
        <w:t xml:space="preserve">כפי שכבר צוין לעיל (פסקה </w:t>
      </w:r>
      <w:r w:rsidRPr="00244009">
        <w:rPr>
          <w:rFonts w:hint="cs"/>
          <w:rtl/>
        </w:rPr>
        <w:t>18)</w:t>
      </w:r>
      <w:r>
        <w:rPr>
          <w:rFonts w:hint="cs"/>
          <w:rtl/>
        </w:rPr>
        <w:t xml:space="preserve">, פקודת מס הכנסה ביקשה לכסות לצורכי מס כמעט כל תקבול שמקבל אדם, מכל מקור שהוא, ולמנוע קיומם של "חורים" ברשת המס. בהתאם לכך ניתנה פרשנות מרחיבה למקורות הספציפיים המנויים בסעיף 2 לפקודה, וכן הוסף לפקודה </w:t>
      </w:r>
      <w:r w:rsidRPr="00A9563A">
        <w:rPr>
          <w:rFonts w:hint="cs"/>
          <w:rtl/>
        </w:rPr>
        <w:t>סעיף העוללות</w:t>
      </w:r>
      <w:r>
        <w:rPr>
          <w:rFonts w:hint="cs"/>
          <w:rtl/>
        </w:rPr>
        <w:t>, המחיל חבות במס גם על הכנסה "</w:t>
      </w:r>
      <w:r w:rsidRPr="00A9563A">
        <w:rPr>
          <w:rFonts w:ascii="Century" w:hAnsi="Century" w:cs="Miriam" w:hint="cs"/>
          <w:b/>
          <w:spacing w:val="0"/>
          <w:sz w:val="22"/>
          <w:szCs w:val="24"/>
          <w:rtl/>
        </w:rPr>
        <w:t>מכל מקור אחר</w:t>
      </w:r>
      <w:r>
        <w:rPr>
          <w:rFonts w:hint="cs"/>
          <w:rtl/>
        </w:rPr>
        <w:t xml:space="preserve">". בהמשך הוחלה חבות במס, בתיקון משנת 2003, גם על הכנסות </w:t>
      </w:r>
      <w:r w:rsidRPr="00047DD3">
        <w:rPr>
          <w:rFonts w:hint="cs"/>
          <w:rtl/>
        </w:rPr>
        <w:t>שמקור</w:t>
      </w:r>
      <w:r>
        <w:rPr>
          <w:rFonts w:hint="cs"/>
          <w:rtl/>
        </w:rPr>
        <w:t>ן</w:t>
      </w:r>
      <w:r w:rsidRPr="00047DD3">
        <w:rPr>
          <w:rFonts w:hint="cs"/>
          <w:rtl/>
        </w:rPr>
        <w:t xml:space="preserve"> </w:t>
      </w:r>
      <w:r>
        <w:rPr>
          <w:rFonts w:hint="cs"/>
          <w:rtl/>
        </w:rPr>
        <w:t>"</w:t>
      </w:r>
      <w:r w:rsidRPr="00B239F3">
        <w:rPr>
          <w:rFonts w:ascii="Century" w:hAnsi="Century" w:cs="Miriam" w:hint="cs"/>
          <w:b/>
          <w:spacing w:val="0"/>
          <w:sz w:val="22"/>
          <w:szCs w:val="24"/>
          <w:rtl/>
        </w:rPr>
        <w:t>בהימורים, בהגרלות או בפעילות נושאת פרסים</w:t>
      </w:r>
      <w:r>
        <w:rPr>
          <w:rFonts w:hint="cs"/>
          <w:rtl/>
        </w:rPr>
        <w:t>", אף בהעדר "מקור" (וראו גם סעיף 3 לפקודה שעניינו "הכנסות אחרות").</w:t>
      </w:r>
    </w:p>
    <w:p w:rsidR="00A75A37" w:rsidRDefault="00A75A37" w:rsidP="00A75A37">
      <w:pPr>
        <w:pStyle w:val="Ruller4"/>
        <w:numPr>
          <w:ilvl w:val="0"/>
          <w:numId w:val="0"/>
        </w:numPr>
        <w:rPr>
          <w:rtl/>
        </w:rPr>
      </w:pPr>
    </w:p>
    <w:p w:rsidR="00A75A37" w:rsidRDefault="00A75A37" w:rsidP="00A75A37">
      <w:pPr>
        <w:pStyle w:val="Ruller4"/>
        <w:rPr>
          <w:rtl/>
        </w:rPr>
      </w:pPr>
      <w:r>
        <w:rPr>
          <w:rFonts w:hint="cs"/>
          <w:rtl/>
        </w:rPr>
        <w:lastRenderedPageBreak/>
        <w:t>נוכח מכלול הוראות הפקודה נותר מרחב מצומצם מאוד של הכנסות שאינן חייבות במס, ונהוג בהקשר זה לציין מציאות ומתנות - "מתת שמיים" (</w:t>
      </w:r>
      <w:r w:rsidRPr="007A1D35">
        <w:rPr>
          <w:rFonts w:asciiTheme="minorHAnsi" w:hAnsiTheme="minorHAnsi" w:cstheme="minorHAnsi"/>
          <w:spacing w:val="0"/>
        </w:rPr>
        <w:t>windfall</w:t>
      </w:r>
      <w:r>
        <w:rPr>
          <w:rFonts w:hint="cs"/>
          <w:rtl/>
        </w:rPr>
        <w:t>), או מתת אדם (</w:t>
      </w:r>
      <w:r w:rsidRPr="00244009">
        <w:rPr>
          <w:rFonts w:asciiTheme="minorHAnsi" w:hAnsiTheme="minorHAnsi" w:cstheme="minorHAnsi"/>
          <w:spacing w:val="0"/>
        </w:rPr>
        <w:t>bounty</w:t>
      </w:r>
      <w:r>
        <w:rPr>
          <w:rFonts w:hint="cs"/>
          <w:rtl/>
        </w:rPr>
        <w:t>) - כאשר הכוונה היא ל</w:t>
      </w:r>
      <w:r w:rsidRPr="00106A26">
        <w:rPr>
          <w:rFonts w:hint="cs"/>
          <w:rtl/>
        </w:rPr>
        <w:t>תקבול</w:t>
      </w:r>
      <w:r>
        <w:rPr>
          <w:rFonts w:hint="cs"/>
          <w:rtl/>
        </w:rPr>
        <w:t xml:space="preserve"> </w:t>
      </w:r>
      <w:r>
        <w:rPr>
          <w:rFonts w:ascii="Century" w:hAnsi="Century" w:cs="Miriam" w:hint="cs"/>
          <w:b/>
          <w:spacing w:val="0"/>
          <w:sz w:val="22"/>
          <w:szCs w:val="24"/>
          <w:rtl/>
        </w:rPr>
        <w:t>אקראי ומזדמן</w:t>
      </w:r>
      <w:r>
        <w:rPr>
          <w:rFonts w:hint="cs"/>
          <w:rtl/>
        </w:rPr>
        <w:t xml:space="preserve">, כגון מציאה אקראית  או מתנות אישיות בתום-לב, בין קרובים או חברים, כגון לכבוד יום הולדת, אירוע משפחתי או אירוע חברי (ענין </w:t>
      </w:r>
      <w:r w:rsidRPr="000B1045">
        <w:rPr>
          <w:rFonts w:ascii="Century" w:hAnsi="Century" w:cs="Miriam" w:hint="cs"/>
          <w:b/>
          <w:spacing w:val="0"/>
          <w:sz w:val="22"/>
          <w:szCs w:val="24"/>
          <w:rtl/>
        </w:rPr>
        <w:t>קרצ'מר</w:t>
      </w:r>
      <w:r>
        <w:rPr>
          <w:rFonts w:hint="cs"/>
          <w:rtl/>
        </w:rPr>
        <w:t>, פסקה 22 לחוות דעת השופט הנדל, פסקה 8 לחוות דעת השופט אלרון. והשוו גם סעיפים 88 ו-97 לפקודה). במסגרת זו נקבע בפסיקה בין היתר כי סיווגם של תקבולים יעשה על פי בחינה כלכלית מהותית, ולא על פי שמם או צורתם הפורמלית, וזאת במגמה להגשים את תכלית החקיקה ולמנוע עקיפת דיני המס.</w:t>
      </w:r>
    </w:p>
    <w:p w:rsidR="00A75A37" w:rsidRDefault="00A75A37" w:rsidP="00A75A37">
      <w:pPr>
        <w:pStyle w:val="Ruller4"/>
        <w:numPr>
          <w:ilvl w:val="0"/>
          <w:numId w:val="0"/>
        </w:numPr>
        <w:rPr>
          <w:rtl/>
        </w:rPr>
      </w:pPr>
    </w:p>
    <w:p w:rsidR="00A75A37" w:rsidRPr="007B6D04" w:rsidRDefault="00A75A37" w:rsidP="00A75A37">
      <w:pPr>
        <w:pStyle w:val="Ruller4"/>
        <w:numPr>
          <w:ilvl w:val="0"/>
          <w:numId w:val="0"/>
        </w:numPr>
        <w:shd w:val="clear" w:color="auto" w:fill="FFFFFF" w:themeFill="background1"/>
        <w:ind w:firstLine="720"/>
        <w:rPr>
          <w:rtl/>
        </w:rPr>
      </w:pPr>
      <w:r>
        <w:rPr>
          <w:rFonts w:hint="cs"/>
          <w:rtl/>
        </w:rPr>
        <w:t>על מנת להכריע אם תקבול מסוים מהווה אכן מתנה, יש לבחון בין היתר מהו "הכובע" שבמסגרתו הוא ניתן והתקבל. ככל שהמתנה ניתנה על רקע אישי-משפחתי-חברי, שאינו קשור ל"כובעו" המקצועי של המקבל (ולעיתים אף הנותן), ובסכום מקובל בנסיבות כאלה, הנטייה לראות באותו תקבול כמתנה תגבר, ולהפך.</w:t>
      </w:r>
      <w:r w:rsidRPr="00620642">
        <w:rPr>
          <w:rFonts w:hint="cs"/>
          <w:rtl/>
        </w:rPr>
        <w:t xml:space="preserve"> </w:t>
      </w:r>
      <w:r>
        <w:rPr>
          <w:rFonts w:hint="cs"/>
          <w:rtl/>
        </w:rPr>
        <w:t xml:space="preserve">התשובה לשאלה, האם מתנה ניתנה  כ"דבר שכולו בנדיבות לבו של המשלם ללא תמורה מצד המקבל", כלשון בית המשפט בענין </w:t>
      </w:r>
      <w:r w:rsidRPr="00620642">
        <w:rPr>
          <w:rFonts w:ascii="Century" w:hAnsi="Century" w:cs="Miriam" w:hint="cs"/>
          <w:b/>
          <w:spacing w:val="0"/>
          <w:sz w:val="22"/>
          <w:szCs w:val="24"/>
          <w:rtl/>
        </w:rPr>
        <w:t>ברזל</w:t>
      </w:r>
      <w:r>
        <w:rPr>
          <w:rFonts w:hint="cs"/>
          <w:rtl/>
        </w:rPr>
        <w:t>, אינה נקבעת אפוא רק על פי אומד הדעת הסובייקטיבי של מי מהצדדים או אף שניהם,  אלא היא נבחנת כאמור על פי בחינה כלכלית מהותית ומושפעת מסוג מערכת היחסים ומהנסיבות במסגרתם הועבר התקבול. ניתן לומר כי התנאי כי התקבול ניתן מנדיבות לבו של הנותן וללא תמורה מצד המקבל הוא תנאי הכרחי לסיווג תקבול כמתנה, אך כי הוא אינו בהכרח תנאי מספיק.</w:t>
      </w:r>
    </w:p>
    <w:p w:rsidR="00A75A37" w:rsidRDefault="00A75A37" w:rsidP="00A75A37">
      <w:pPr>
        <w:pStyle w:val="Ruller41"/>
        <w:rPr>
          <w:rtl/>
        </w:rPr>
      </w:pPr>
    </w:p>
    <w:p w:rsidR="00A75A37" w:rsidRDefault="00A75A37" w:rsidP="00A75A37">
      <w:pPr>
        <w:pStyle w:val="Ruller41"/>
        <w:rPr>
          <w:rtl/>
        </w:rPr>
      </w:pPr>
      <w:r>
        <w:rPr>
          <w:rtl/>
        </w:rPr>
        <w:tab/>
      </w:r>
      <w:r>
        <w:rPr>
          <w:rFonts w:hint="cs"/>
          <w:rtl/>
        </w:rPr>
        <w:t xml:space="preserve">מטבע הדברים, עשויים להתעורר מקרים בהם מתקיים עירוב בין חייו האישיים של הנישום לחייו המקצועיים באופן שיקשה על סיווג התקבול. מערכות יחסים שסובבות סביב רקע מקצועי עשויות לא פעם לפתח עם הזמן גם מאפיינים אישיים, הכוללים קרבה, חיבה אישית והערכה. באותה המידה, מערכות יחסים אישיות, עשויות להוביל במקרים מסוימים גם להתפתחות של מערכת יחסים עסקית. במקרים כאלה ניתן להיעזר בין היתר </w:t>
      </w:r>
      <w:r>
        <w:rPr>
          <w:rFonts w:ascii="Century" w:hAnsi="Century" w:hint="cs"/>
          <w:rtl/>
        </w:rPr>
        <w:t xml:space="preserve">גם </w:t>
      </w:r>
      <w:r w:rsidRPr="007F502D">
        <w:rPr>
          <w:rFonts w:ascii="Century" w:hAnsi="Century" w:hint="cs"/>
          <w:rtl/>
        </w:rPr>
        <w:t xml:space="preserve">במבחן </w:t>
      </w:r>
      <w:r>
        <w:rPr>
          <w:rFonts w:ascii="Century" w:hAnsi="Century" w:cs="Miriam" w:hint="cs"/>
          <w:b/>
          <w:spacing w:val="0"/>
          <w:szCs w:val="24"/>
          <w:rtl/>
        </w:rPr>
        <w:t>ה</w:t>
      </w:r>
      <w:r w:rsidRPr="00DC5DD6">
        <w:rPr>
          <w:rFonts w:ascii="Century" w:hAnsi="Century" w:cs="Miriam" w:hint="cs"/>
          <w:b/>
          <w:spacing w:val="0"/>
          <w:szCs w:val="24"/>
          <w:rtl/>
        </w:rPr>
        <w:t>דומיננטיות</w:t>
      </w:r>
      <w:r>
        <w:rPr>
          <w:rFonts w:hint="cs"/>
          <w:rtl/>
        </w:rPr>
        <w:t xml:space="preserve">, היינו - בחינה אובייקטיבית של מהו הרכיב הדומיננטי שבגינו ניתן התקבול, כמו גם סבירות עצם מתן המתנה ושוויה, על רקע מכלול הנסיבות. </w:t>
      </w:r>
    </w:p>
    <w:p w:rsidR="00A75A37" w:rsidRPr="001E7146" w:rsidRDefault="00A75A37" w:rsidP="00A75A37">
      <w:pPr>
        <w:pStyle w:val="Ruller41"/>
        <w:rPr>
          <w:rtl/>
        </w:rPr>
      </w:pPr>
      <w:r>
        <w:rPr>
          <w:rFonts w:hint="cs"/>
          <w:rtl/>
        </w:rPr>
        <w:t xml:space="preserve"> </w:t>
      </w:r>
    </w:p>
    <w:p w:rsidR="00A75A37" w:rsidRDefault="00A75A37" w:rsidP="00A75A37">
      <w:pPr>
        <w:pStyle w:val="Ruller4"/>
        <w:rPr>
          <w:rtl/>
        </w:rPr>
      </w:pPr>
      <w:r>
        <w:rPr>
          <w:rFonts w:hint="cs"/>
          <w:rtl/>
        </w:rPr>
        <w:t xml:space="preserve">במקרה דנן קבע בית המשפט המחוזי כי אין להתייחס לתקבולים שקיבל המערער לאורך שנות המס הנדונות, באופן קבוע ובסכומים גבוהים, כ"מתנות" או כ"תרומות", הפטורות ממס. בית המשפט נימק זאת בין היתר כך - </w:t>
      </w:r>
    </w:p>
    <w:p w:rsidR="00A75A37" w:rsidRDefault="00A75A37" w:rsidP="00A75A37">
      <w:pPr>
        <w:pStyle w:val="Ruller41"/>
        <w:rPr>
          <w:rtl/>
        </w:rPr>
      </w:pPr>
    </w:p>
    <w:p w:rsidR="00A75A37" w:rsidRDefault="00A75A37" w:rsidP="00A75A37">
      <w:pPr>
        <w:pStyle w:val="Ruller41"/>
        <w:spacing w:line="276" w:lineRule="auto"/>
        <w:ind w:left="1508" w:right="1134"/>
        <w:rPr>
          <w:rtl/>
        </w:rPr>
      </w:pPr>
      <w:r>
        <w:rPr>
          <w:rFonts w:hint="cs"/>
          <w:rtl/>
        </w:rPr>
        <w:lastRenderedPageBreak/>
        <w:t>"</w:t>
      </w:r>
      <w:r>
        <w:rPr>
          <w:rtl/>
        </w:rPr>
        <w:t>כשהמתת נעוץ בנוהג, אמונה או מנהג, ברצון לשמר את מעמדו של בעל התפקיד, את המוסד שהוא מסמל או מייצג, כאשר ניתן לזהות מנגנוני איסוף והפקת הכנסה, כאשר קיימת מחזוריות, ציפייה מצד המקבל להכנסות מסוג זה, כאשר מדובר בהיקפים ניכרים, כשהמתת חורג מהמקובל בנסיבות דומות אלמלא תפקידו, מעמדו או תוארו של מקבל המתנה – כל אלה יתמכו בראיית אותה התעשרות כחבה במס וברת-מקור. קל וחומר כאשר מקופלת במתת ציפייה או הנחה בדבר תמורה</w:t>
      </w:r>
      <w:r>
        <w:rPr>
          <w:rFonts w:hint="cs"/>
          <w:rtl/>
        </w:rPr>
        <w:t xml:space="preserve"> עקיפה..." (פסקה 10 לפסק הדין). </w:t>
      </w:r>
    </w:p>
    <w:p w:rsidR="00A75A37" w:rsidRDefault="00A75A37" w:rsidP="00A75A37">
      <w:pPr>
        <w:pStyle w:val="Ruller41"/>
        <w:ind w:left="1508" w:right="1134"/>
        <w:rPr>
          <w:rtl/>
        </w:rPr>
      </w:pPr>
    </w:p>
    <w:p w:rsidR="00A75A37" w:rsidRDefault="00A75A37" w:rsidP="00A75A37">
      <w:pPr>
        <w:pStyle w:val="Ruller41"/>
        <w:rPr>
          <w:rtl/>
        </w:rPr>
      </w:pPr>
      <w:r>
        <w:rPr>
          <w:rtl/>
        </w:rPr>
        <w:tab/>
      </w:r>
      <w:r>
        <w:rPr>
          <w:rFonts w:hint="cs"/>
          <w:rtl/>
        </w:rPr>
        <w:t>בהמשך לכך פירט וביסס בית המשפט מסקנתו זו, על פני עמודים ארוכים, בהתייחס לראיות שהובאו בפניו.</w:t>
      </w:r>
    </w:p>
    <w:p w:rsidR="00A75A37" w:rsidRPr="0064029D" w:rsidRDefault="00A75A37" w:rsidP="00A75A37">
      <w:pPr>
        <w:pStyle w:val="Ruller41"/>
        <w:rPr>
          <w:rtl/>
        </w:rPr>
      </w:pPr>
    </w:p>
    <w:p w:rsidR="00A75A37" w:rsidRDefault="00A75A37" w:rsidP="00A75A37">
      <w:pPr>
        <w:pStyle w:val="Ruller4"/>
      </w:pPr>
      <w:r>
        <w:rPr>
          <w:rFonts w:hint="cs"/>
          <w:rtl/>
        </w:rPr>
        <w:t xml:space="preserve">אכן, בדין הגיע בית המשפט קמא למסקנה כי אין מדובר במתנות ותרומות הפטורות ממס. נוכח תכליות דיני המס והמבחנים שנקבעו בפסיקה, כמו גם לאור הגיונם של דברים, הנסיבות דנן אינן עונות, אף לא בקירוב, למאפיינים של מתנה הפטורה ממס. אין לקבל כי תקבולים בהיקף של מיליוני </w:t>
      </w:r>
      <w:r>
        <w:rPr>
          <w:rFonts w:hint="eastAsia"/>
          <w:rtl/>
        </w:rPr>
        <w:t>₪</w:t>
      </w:r>
      <w:r>
        <w:rPr>
          <w:rFonts w:hint="cs"/>
          <w:rtl/>
        </w:rPr>
        <w:t>, שמקבל המערער באופן שיטתי לאורך השנים, במסגרת פעילותו ומעמדו כרב וכרועה רוחני בקהילתו, בנסיבות שתוארו לעיל, ייחשבו כמתנה הפטורה ממס. המדובר במקרה מובהק של מקור הכנסות מחזורי  ומתמשך, של הכנסות קבועות ובהיקף מאוד משמעותי, הניתנות במסגרת הרחוקה ממתת שהוא אך מנדבת לבו של הנותן, אלא נטועה במערכת של תן וקח, הן ברמה הקהילתית הכללית והן בהקשר של פעולות ספציפיות מצד המערער של מתן ברכות, עצות והשתתפות באירועים משפחתיים של המעניק.</w:t>
      </w:r>
    </w:p>
    <w:p w:rsidR="00A75A37" w:rsidRDefault="00A75A37" w:rsidP="00A75A37">
      <w:pPr>
        <w:pStyle w:val="Ruller4"/>
        <w:numPr>
          <w:ilvl w:val="0"/>
          <w:numId w:val="0"/>
        </w:numPr>
        <w:rPr>
          <w:rtl/>
        </w:rPr>
      </w:pPr>
      <w:r>
        <w:rPr>
          <w:rFonts w:hint="cs"/>
          <w:rtl/>
        </w:rPr>
        <w:t xml:space="preserve">  </w:t>
      </w:r>
    </w:p>
    <w:p w:rsidR="00A75A37" w:rsidRDefault="00A75A37" w:rsidP="00A75A37">
      <w:pPr>
        <w:pStyle w:val="Ruller4"/>
      </w:pPr>
      <w:r>
        <w:rPr>
          <w:rFonts w:hint="cs"/>
          <w:rtl/>
        </w:rPr>
        <w:t xml:space="preserve">מטבע הדברים, נוכח העובדה כי הרב לא ניהל פנקסים הכוללים רישום לגבי התקבולים השונים, לא ניתן היה לבחון באופן פרטני כל תקבול ותקבול. יחד עם זאת, התמונה העולה ממכלול הראיות שהובאו לפני בית המשפט קמא היא ברורה, וממנה עולה כי לצד כספים שניתנו בזיקה לאירועים ספציפיים - של הענקת ברכה או עצה, או השתתפות המערער באירוע משפחתי של המעניק - ניתנו כספים למערער גם באירועים משפחתיים שלו, בסכומים החורגים מהמקובל במתנות באירועים כאלה, וכן בהילולות ובחגים. כל זאת לצרכיו האישיים ולפרנסת בני משפחתו. כן נקבע כאמור, כי לתקבולים אלה נלווה יסוד של תמורה, בין תמורה ישירה וספציפית </w:t>
      </w:r>
      <w:r>
        <w:rPr>
          <w:rtl/>
        </w:rPr>
        <w:t>–</w:t>
      </w:r>
      <w:r>
        <w:rPr>
          <w:rFonts w:hint="cs"/>
          <w:rtl/>
        </w:rPr>
        <w:t xml:space="preserve"> בגין ברכה, עצה או השתתפות באירוע משפחתי - ובין תמורה עקיפה וכללית, ברצון לשמר ולטפח את מעמדו של הרב ואת חצרו, מתוך רגש דתי-אמוני-מסורתי (פסקאות 27-16 לפסק הדין). </w:t>
      </w:r>
    </w:p>
    <w:p w:rsidR="00A75A37" w:rsidRDefault="00A75A37" w:rsidP="00A75A37">
      <w:pPr>
        <w:pStyle w:val="Ruller4"/>
        <w:numPr>
          <w:ilvl w:val="0"/>
          <w:numId w:val="0"/>
        </w:numPr>
        <w:ind w:firstLine="720"/>
        <w:rPr>
          <w:rtl/>
        </w:rPr>
      </w:pPr>
    </w:p>
    <w:p w:rsidR="00A75A37" w:rsidRDefault="00A75A37" w:rsidP="00A75A37">
      <w:pPr>
        <w:pStyle w:val="Ruller4"/>
        <w:rPr>
          <w:rtl/>
        </w:rPr>
      </w:pPr>
      <w:r>
        <w:rPr>
          <w:rFonts w:hint="cs"/>
          <w:rtl/>
        </w:rPr>
        <w:lastRenderedPageBreak/>
        <w:t>לצד האמור אזכיר, כמצוין כבר לעיל (פסקה 7), כי בית המשפט קמא ערך הבחנה בין</w:t>
      </w:r>
      <w:r w:rsidRPr="0092167E">
        <w:rPr>
          <w:rFonts w:hint="cs"/>
          <w:rtl/>
        </w:rPr>
        <w:t xml:space="preserve"> כספים </w:t>
      </w:r>
      <w:r>
        <w:rPr>
          <w:rFonts w:hint="cs"/>
          <w:rtl/>
        </w:rPr>
        <w:t xml:space="preserve">אותם </w:t>
      </w:r>
      <w:r w:rsidRPr="0092167E">
        <w:rPr>
          <w:rFonts w:hint="cs"/>
          <w:rtl/>
        </w:rPr>
        <w:t>קיבל</w:t>
      </w:r>
      <w:r>
        <w:rPr>
          <w:rFonts w:hint="cs"/>
          <w:rtl/>
        </w:rPr>
        <w:t xml:space="preserve"> המערער </w:t>
      </w:r>
      <w:r w:rsidRPr="00356839">
        <w:rPr>
          <w:rFonts w:ascii="Century" w:hAnsi="Century" w:cs="Miriam" w:hint="cs"/>
          <w:b/>
          <w:spacing w:val="0"/>
          <w:sz w:val="22"/>
          <w:szCs w:val="24"/>
          <w:rtl/>
        </w:rPr>
        <w:t>לטובת</w:t>
      </w:r>
      <w:r>
        <w:rPr>
          <w:rFonts w:ascii="Century" w:hAnsi="Century" w:cs="Miriam" w:hint="cs"/>
          <w:b/>
          <w:spacing w:val="0"/>
          <w:sz w:val="22"/>
          <w:szCs w:val="24"/>
          <w:rtl/>
        </w:rPr>
        <w:t>ו ולטובת</w:t>
      </w:r>
      <w:r w:rsidRPr="00356839">
        <w:rPr>
          <w:rFonts w:ascii="Century" w:hAnsi="Century" w:cs="Miriam" w:hint="cs"/>
          <w:b/>
          <w:spacing w:val="0"/>
          <w:sz w:val="22"/>
          <w:szCs w:val="24"/>
          <w:rtl/>
        </w:rPr>
        <w:t xml:space="preserve"> בני משפחתו</w:t>
      </w:r>
      <w:r>
        <w:rPr>
          <w:rFonts w:hint="cs"/>
          <w:rtl/>
        </w:rPr>
        <w:t xml:space="preserve"> -</w:t>
      </w:r>
      <w:r w:rsidRPr="00356839">
        <w:rPr>
          <w:rFonts w:hint="cs"/>
          <w:rtl/>
        </w:rPr>
        <w:t xml:space="preserve"> </w:t>
      </w:r>
      <w:r>
        <w:rPr>
          <w:rFonts w:hint="cs"/>
          <w:rtl/>
        </w:rPr>
        <w:t xml:space="preserve">לגביהם נקבע כי הם חייבים כאמור במס כהכנסה ממשלח יד, בין אם ניתנו בתמורה לשירות ישיר או בתמורה לשירות עקיף מצד הרב; לבין כספים שקיבל המערער </w:t>
      </w:r>
      <w:r>
        <w:rPr>
          <w:rFonts w:ascii="Century" w:hAnsi="Century" w:cs="Miriam" w:hint="cs"/>
          <w:b/>
          <w:spacing w:val="0"/>
          <w:sz w:val="22"/>
          <w:szCs w:val="24"/>
          <w:rtl/>
        </w:rPr>
        <w:t>למטרות הקהילה</w:t>
      </w:r>
      <w:r w:rsidRPr="0095494E">
        <w:rPr>
          <w:rFonts w:hint="cs"/>
          <w:rtl/>
        </w:rPr>
        <w:t>, ואשר</w:t>
      </w:r>
      <w:r>
        <w:rPr>
          <w:rFonts w:hint="cs"/>
          <w:rtl/>
        </w:rPr>
        <w:t xml:space="preserve"> הוכח כי אכן שימשו למטרות ציבוריות של הקהילה </w:t>
      </w:r>
      <w:r>
        <w:rPr>
          <w:rtl/>
        </w:rPr>
        <w:t>–</w:t>
      </w:r>
      <w:r>
        <w:rPr>
          <w:rFonts w:hint="cs"/>
          <w:rtl/>
        </w:rPr>
        <w:t xml:space="preserve"> לגביהם נקבע כי לא יהיו חייבים במס, מכוח הפטור לפי סעיף 9(2) לפקודה. בנוסף, נקבע כי מהכספים שקיבל במסגרת </w:t>
      </w:r>
      <w:r w:rsidRPr="0095494E">
        <w:rPr>
          <w:rFonts w:ascii="Century" w:hAnsi="Century" w:cs="Miriam" w:hint="cs"/>
          <w:b/>
          <w:spacing w:val="0"/>
          <w:sz w:val="22"/>
          <w:szCs w:val="24"/>
          <w:rtl/>
        </w:rPr>
        <w:t>אירועים משפחתיים שלו</w:t>
      </w:r>
      <w:r>
        <w:rPr>
          <w:rFonts w:hint="cs"/>
          <w:rtl/>
        </w:rPr>
        <w:t xml:space="preserve"> יש לנכות את הסכומים</w:t>
      </w:r>
      <w:r w:rsidRPr="0095494E">
        <w:rPr>
          <w:rFonts w:hint="cs"/>
          <w:rtl/>
        </w:rPr>
        <w:t xml:space="preserve"> </w:t>
      </w:r>
      <w:r>
        <w:rPr>
          <w:rFonts w:hint="cs"/>
          <w:rtl/>
        </w:rPr>
        <w:t xml:space="preserve">שמקובל לתת כמתנות באירועים משפחתיים כאלה, אותם יש לראות כמתנות הפטורות ממס. עקב כל אלה ובחינה פרטנית של התקבולים השונים הופחתה השומה באורח מאוד משמעותי, בשיעור של כשני שלישים </w:t>
      </w:r>
      <w:r>
        <w:rPr>
          <w:rtl/>
        </w:rPr>
        <w:t>–</w:t>
      </w:r>
      <w:r>
        <w:rPr>
          <w:rFonts w:hint="cs"/>
          <w:rtl/>
        </w:rPr>
        <w:t xml:space="preserve"> מכ- 13.8 מיליון </w:t>
      </w:r>
      <w:r>
        <w:rPr>
          <w:rFonts w:hint="eastAsia"/>
          <w:rtl/>
        </w:rPr>
        <w:t>₪</w:t>
      </w:r>
      <w:r>
        <w:rPr>
          <w:rFonts w:hint="cs"/>
          <w:rtl/>
        </w:rPr>
        <w:t xml:space="preserve">, לכ- 4.66 מיליון ש"ח. </w:t>
      </w:r>
    </w:p>
    <w:p w:rsidR="00A75A37" w:rsidRDefault="00A75A37" w:rsidP="00A75A37">
      <w:pPr>
        <w:pStyle w:val="Ruller4"/>
        <w:numPr>
          <w:ilvl w:val="0"/>
          <w:numId w:val="0"/>
        </w:numPr>
        <w:rPr>
          <w:rtl/>
        </w:rPr>
      </w:pPr>
    </w:p>
    <w:p w:rsidR="00A75A37" w:rsidRDefault="00A75A37" w:rsidP="00A75A37">
      <w:pPr>
        <w:pStyle w:val="Ruller4"/>
        <w:numPr>
          <w:ilvl w:val="0"/>
          <w:numId w:val="0"/>
        </w:numPr>
        <w:ind w:firstLine="720"/>
        <w:rPr>
          <w:rtl/>
        </w:rPr>
      </w:pPr>
      <w:r>
        <w:rPr>
          <w:rFonts w:hint="cs"/>
          <w:rtl/>
        </w:rPr>
        <w:t>כן יצוין לענין זה, כי נוכח העדר ניהול פנקסים על ידי המערער והקושי עקב כך לאתר ולסווג את הכספים שהתקבלו אצל המערער לצורכי הקהילה, אינה מובנת מאליה כלל נכונות בית המשפט לראות בכספים לגביהם נטען על ידו שניתנו לו אך כ"צינור" לצורך העברתם לקהילה ככאלו, וזאת למרות קביעת בית המשפט כי אין לקבל במדינה מתוקנת ניהול כספי של מיליוני שקלים ללא ניהול ספרים כחוק ורישום מסודר. מתן פטור ממס לכספים המיועדים למוסדות ציבוריים מחייב בין היתר רישום של המוסד הציבורי כעמותה או הקדש, והגשת "</w:t>
      </w:r>
      <w:r w:rsidRPr="00BE000D">
        <w:rPr>
          <w:rFonts w:hint="cs"/>
          <w:rtl/>
        </w:rPr>
        <w:t>דין ו</w:t>
      </w:r>
      <w:r w:rsidRPr="00BE000D">
        <w:rPr>
          <w:rtl/>
        </w:rPr>
        <w:t>חש</w:t>
      </w:r>
      <w:r w:rsidRPr="00BE000D">
        <w:rPr>
          <w:rFonts w:hint="cs"/>
          <w:rtl/>
        </w:rPr>
        <w:t>ב</w:t>
      </w:r>
      <w:r w:rsidRPr="00BE000D">
        <w:rPr>
          <w:rtl/>
        </w:rPr>
        <w:t>ו</w:t>
      </w:r>
      <w:r w:rsidRPr="00BE000D">
        <w:rPr>
          <w:rFonts w:hint="cs"/>
          <w:rtl/>
        </w:rPr>
        <w:t>ן</w:t>
      </w:r>
      <w:r w:rsidRPr="00BE000D">
        <w:rPr>
          <w:rtl/>
        </w:rPr>
        <w:t xml:space="preserve"> </w:t>
      </w:r>
      <w:r w:rsidRPr="00BE000D">
        <w:rPr>
          <w:rFonts w:hint="cs"/>
          <w:rtl/>
        </w:rPr>
        <w:t>ש</w:t>
      </w:r>
      <w:r w:rsidRPr="00BE000D">
        <w:rPr>
          <w:rtl/>
        </w:rPr>
        <w:t>נ</w:t>
      </w:r>
      <w:r w:rsidRPr="00BE000D">
        <w:rPr>
          <w:rFonts w:hint="cs"/>
          <w:rtl/>
        </w:rPr>
        <w:t>תי</w:t>
      </w:r>
      <w:r w:rsidRPr="00BE000D">
        <w:rPr>
          <w:rtl/>
        </w:rPr>
        <w:t xml:space="preserve"> </w:t>
      </w:r>
      <w:r w:rsidRPr="00BE000D">
        <w:rPr>
          <w:rFonts w:hint="cs"/>
          <w:rtl/>
        </w:rPr>
        <w:t>ל</w:t>
      </w:r>
      <w:r w:rsidRPr="00BE000D">
        <w:rPr>
          <w:rtl/>
        </w:rPr>
        <w:t>ג</w:t>
      </w:r>
      <w:r w:rsidRPr="00BE000D">
        <w:rPr>
          <w:rFonts w:hint="cs"/>
          <w:rtl/>
        </w:rPr>
        <w:t>ב</w:t>
      </w:r>
      <w:r w:rsidRPr="00BE000D">
        <w:rPr>
          <w:rtl/>
        </w:rPr>
        <w:t>י</w:t>
      </w:r>
      <w:r w:rsidRPr="00BE000D">
        <w:rPr>
          <w:rFonts w:hint="cs"/>
          <w:rtl/>
        </w:rPr>
        <w:t xml:space="preserve"> </w:t>
      </w:r>
      <w:r w:rsidRPr="00BE000D">
        <w:rPr>
          <w:rtl/>
        </w:rPr>
        <w:t>נ</w:t>
      </w:r>
      <w:r w:rsidRPr="00BE000D">
        <w:rPr>
          <w:rFonts w:hint="cs"/>
          <w:rtl/>
        </w:rPr>
        <w:t>כ</w:t>
      </w:r>
      <w:r w:rsidRPr="00BE000D">
        <w:rPr>
          <w:rtl/>
        </w:rPr>
        <w:t>ס</w:t>
      </w:r>
      <w:r w:rsidRPr="00BE000D">
        <w:rPr>
          <w:rFonts w:hint="cs"/>
          <w:rtl/>
        </w:rPr>
        <w:t>י</w:t>
      </w:r>
      <w:r w:rsidRPr="00BE000D">
        <w:rPr>
          <w:rtl/>
        </w:rPr>
        <w:t>ה</w:t>
      </w:r>
      <w:r w:rsidRPr="00BE000D">
        <w:rPr>
          <w:rFonts w:hint="cs"/>
          <w:rtl/>
        </w:rPr>
        <w:t>ם</w:t>
      </w:r>
      <w:r w:rsidRPr="00BE000D">
        <w:rPr>
          <w:rtl/>
        </w:rPr>
        <w:t xml:space="preserve">, </w:t>
      </w:r>
      <w:r w:rsidRPr="00BE000D">
        <w:rPr>
          <w:rFonts w:hint="cs"/>
          <w:rtl/>
        </w:rPr>
        <w:t>ה</w:t>
      </w:r>
      <w:r w:rsidRPr="00BE000D">
        <w:rPr>
          <w:rtl/>
        </w:rPr>
        <w:t>כ</w:t>
      </w:r>
      <w:r w:rsidRPr="00BE000D">
        <w:rPr>
          <w:rFonts w:hint="cs"/>
          <w:rtl/>
        </w:rPr>
        <w:t xml:space="preserve">נסותיהם והוצאותיהם להנחת דעתו </w:t>
      </w:r>
      <w:r w:rsidRPr="00BE000D">
        <w:rPr>
          <w:rtl/>
        </w:rPr>
        <w:t>של פקיד השומה</w:t>
      </w:r>
      <w:r>
        <w:rPr>
          <w:rFonts w:hint="cs"/>
          <w:rtl/>
        </w:rPr>
        <w:t>" (סעיף 9(2) לפקודה). איני משוכנע כי הייתה הצדקה להקלה לה זכה המערער, אך מכל מקום, יש לזקוף זאת אך לראשוניות פסק הדין (פסקה 33 לפסק הדין), ואין לראות בכך כתקדים להבא.</w:t>
      </w:r>
    </w:p>
    <w:p w:rsidR="00A75A37" w:rsidRPr="002708FF" w:rsidRDefault="00A75A37" w:rsidP="00A75A37">
      <w:pPr>
        <w:pStyle w:val="Ruller41"/>
        <w:rPr>
          <w:rFonts w:ascii="FrankRuehl" w:hAnsi="FrankRuehl"/>
          <w:b/>
          <w:spacing w:val="0"/>
          <w:sz w:val="24"/>
          <w:rtl/>
        </w:rPr>
      </w:pPr>
    </w:p>
    <w:p w:rsidR="00A75A37" w:rsidRDefault="00A75A37" w:rsidP="00A75A37">
      <w:pPr>
        <w:pStyle w:val="Ruller4"/>
        <w:rPr>
          <w:rFonts w:ascii="Century" w:hAnsi="Century" w:cs="Miriam"/>
          <w:b/>
          <w:spacing w:val="0"/>
          <w:sz w:val="22"/>
          <w:szCs w:val="24"/>
          <w:rtl/>
        </w:rPr>
      </w:pPr>
      <w:r w:rsidRPr="00D54130">
        <w:rPr>
          <w:rFonts w:hint="cs"/>
          <w:rtl/>
        </w:rPr>
        <w:t>הכנסה</w:t>
      </w:r>
      <w:r w:rsidRPr="002708FF">
        <w:rPr>
          <w:rFonts w:ascii="Century" w:hAnsi="Century" w:cs="Miriam" w:hint="cs"/>
          <w:b/>
          <w:spacing w:val="0"/>
          <w:sz w:val="22"/>
          <w:szCs w:val="24"/>
          <w:rtl/>
        </w:rPr>
        <w:t xml:space="preserve"> "</w:t>
      </w:r>
      <w:r>
        <w:rPr>
          <w:rFonts w:ascii="Century" w:hAnsi="Century" w:cs="Miriam" w:hint="cs"/>
          <w:b/>
          <w:spacing w:val="0"/>
          <w:sz w:val="22"/>
          <w:szCs w:val="24"/>
          <w:rtl/>
        </w:rPr>
        <w:t xml:space="preserve">מכל </w:t>
      </w:r>
      <w:r w:rsidRPr="002708FF">
        <w:rPr>
          <w:rFonts w:ascii="Century" w:hAnsi="Century" w:cs="Miriam" w:hint="cs"/>
          <w:b/>
          <w:spacing w:val="0"/>
          <w:sz w:val="22"/>
          <w:szCs w:val="24"/>
          <w:rtl/>
        </w:rPr>
        <w:t xml:space="preserve">ממקור אחר" </w:t>
      </w:r>
      <w:r>
        <w:rPr>
          <w:rFonts w:ascii="FrankRuehl" w:hAnsi="FrankRuehl" w:hint="cs"/>
          <w:b/>
          <w:spacing w:val="0"/>
          <w:rtl/>
        </w:rPr>
        <w:t>-</w:t>
      </w:r>
    </w:p>
    <w:p w:rsidR="00A75A37" w:rsidRPr="00D54130" w:rsidRDefault="00A75A37" w:rsidP="00A75A37">
      <w:pPr>
        <w:pStyle w:val="Ruller4"/>
        <w:numPr>
          <w:ilvl w:val="0"/>
          <w:numId w:val="0"/>
        </w:numPr>
        <w:spacing w:line="240" w:lineRule="auto"/>
        <w:rPr>
          <w:rFonts w:ascii="Miriam" w:hAnsi="Miriam" w:cs="Miriam"/>
          <w:sz w:val="20"/>
          <w:szCs w:val="22"/>
          <w:rtl/>
        </w:rPr>
      </w:pPr>
    </w:p>
    <w:p w:rsidR="00A75A37" w:rsidRDefault="00A75A37" w:rsidP="00A75A37">
      <w:pPr>
        <w:pStyle w:val="Ruller4"/>
        <w:numPr>
          <w:ilvl w:val="0"/>
          <w:numId w:val="0"/>
        </w:numPr>
        <w:ind w:firstLine="720"/>
      </w:pPr>
      <w:r>
        <w:rPr>
          <w:rFonts w:hint="cs"/>
          <w:rtl/>
        </w:rPr>
        <w:t xml:space="preserve">לפני סיום אעיר עוד, כי השומה הוצאה למערער כאמור בגין סיווג הכנסותיו כהכנסות ממשלח יד, לפי סעיף 2(1) לפקודה, ולחלופין </w:t>
      </w:r>
      <w:r>
        <w:rPr>
          <w:rtl/>
        </w:rPr>
        <w:t>–</w:t>
      </w:r>
      <w:r>
        <w:rPr>
          <w:rFonts w:hint="cs"/>
          <w:rtl/>
        </w:rPr>
        <w:t xml:space="preserve"> כהכנסה "ממקור אחר", לפי סעיף 2(10) לפקודה. </w:t>
      </w:r>
      <w:r>
        <w:rPr>
          <w:rFonts w:ascii="Century" w:hAnsi="Century" w:hint="cs"/>
          <w:sz w:val="22"/>
          <w:rtl/>
        </w:rPr>
        <w:t>פסק דינו המפורט של בית המשפט המחוזי התמקד בחלופה של הכנסה ממשלח יד, אך לצד זאת ציין בית המשפט, קצרות, כי גם טענתו החלופית של פקיד השומה, לפיה ניתן לראות בכספים כהכנסה מ"מקור אחר" לפי סעיף 2(10) לפקודה, מהווה פרשנות סבירה של הסעיף, אף שהיא אינה נדרשת בענין הנדון.</w:t>
      </w:r>
    </w:p>
    <w:p w:rsidR="00A75A37" w:rsidRDefault="00A75A37" w:rsidP="00A75A37">
      <w:pPr>
        <w:pStyle w:val="Ruller4"/>
        <w:numPr>
          <w:ilvl w:val="0"/>
          <w:numId w:val="0"/>
        </w:numPr>
        <w:rPr>
          <w:rtl/>
        </w:rPr>
      </w:pPr>
    </w:p>
    <w:p w:rsidR="00A75A37" w:rsidRPr="00041008" w:rsidRDefault="00A75A37" w:rsidP="00A75A37">
      <w:pPr>
        <w:pStyle w:val="Ruller4"/>
        <w:numPr>
          <w:ilvl w:val="0"/>
          <w:numId w:val="0"/>
        </w:numPr>
        <w:rPr>
          <w:rtl/>
        </w:rPr>
      </w:pPr>
      <w:r>
        <w:rPr>
          <w:rtl/>
        </w:rPr>
        <w:tab/>
      </w:r>
      <w:r>
        <w:rPr>
          <w:rFonts w:hint="cs"/>
          <w:rtl/>
        </w:rPr>
        <w:t xml:space="preserve">אף אני סבור, כמפורט בהרחבה לעיל, כי יש לראות בהכנסות האישיות של המערער  כהכנסה ממשלח יד החייבת במס. לצד זאת אדגיש, כי גם אם הייתי מגיע </w:t>
      </w:r>
      <w:r>
        <w:rPr>
          <w:rFonts w:hint="cs"/>
          <w:rtl/>
        </w:rPr>
        <w:lastRenderedPageBreak/>
        <w:t>למסקנה כי התקבולים הנדונים אינם מהווים הכנסה ממשלח יד, אין ספק בעיני שהם "נתפסים" ברשתו הרחבה של סעיף העוללות, ואף ביתר קלות. זאת, מאחר שכל שנדרש לצורך סעיף העוללות הוא קיומו של מקור הכנסה, ואין נדרש לסווגו לאחד המקורות הספציפיים שבפסקאות 9-1 לסעיף 2, וממילא לא נדרש להראות עמידה במאפיינים של מקור ספציפי, כגון יסוד התמורה לענין משלח יד, עליו השליך המערער במידה רבה את יהבו. במקרה דנן אין ספק כי ההכנסות מקורן ב"מקור", וזאת נוכח האופי הפירותי של ההכנסות,</w:t>
      </w:r>
      <w:r w:rsidRPr="00383C2B">
        <w:rPr>
          <w:rFonts w:hint="cs"/>
          <w:rtl/>
        </w:rPr>
        <w:t xml:space="preserve"> </w:t>
      </w:r>
      <w:r>
        <w:rPr>
          <w:rFonts w:hint="cs"/>
          <w:rtl/>
        </w:rPr>
        <w:t xml:space="preserve">הנובעות ממקור בעל פוטנציאל להפיק הכנסות חוזרות ונשנות, היינו, הרצף והמחזוריות של ההכנסות לאורך שנים והיקפן, כמפורט לעיל (וראו גם: </w:t>
      </w:r>
      <w:r>
        <w:rPr>
          <w:rFonts w:ascii="Century" w:hAnsi="Century" w:cs="Miriam" w:hint="cs"/>
          <w:b/>
          <w:spacing w:val="0"/>
          <w:sz w:val="22"/>
          <w:szCs w:val="24"/>
          <w:rtl/>
        </w:rPr>
        <w:t>נמדר - מס הכנסה</w:t>
      </w:r>
      <w:r>
        <w:rPr>
          <w:rFonts w:ascii="Century" w:hAnsi="Century" w:hint="cs"/>
          <w:sz w:val="22"/>
          <w:rtl/>
        </w:rPr>
        <w:t xml:space="preserve">, 233-232; </w:t>
      </w:r>
      <w:r>
        <w:rPr>
          <w:rFonts w:ascii="Century" w:hAnsi="Century" w:cs="Miriam" w:hint="cs"/>
          <w:b/>
          <w:spacing w:val="0"/>
          <w:sz w:val="22"/>
          <w:szCs w:val="24"/>
          <w:rtl/>
        </w:rPr>
        <w:t>גרוס - דיני המס החדשים</w:t>
      </w:r>
      <w:r>
        <w:rPr>
          <w:rFonts w:ascii="Century" w:hAnsi="Century" w:hint="cs"/>
          <w:sz w:val="22"/>
          <w:rtl/>
        </w:rPr>
        <w:t>, 234-232</w:t>
      </w:r>
      <w:r w:rsidRPr="00D576CC">
        <w:rPr>
          <w:rFonts w:ascii="Century" w:hAnsi="Century" w:hint="cs"/>
          <w:sz w:val="22"/>
          <w:rtl/>
        </w:rPr>
        <w:t xml:space="preserve"> </w:t>
      </w:r>
      <w:r>
        <w:rPr>
          <w:rFonts w:ascii="Century" w:hAnsi="Century" w:hint="cs"/>
          <w:sz w:val="22"/>
          <w:rtl/>
        </w:rPr>
        <w:t>והאסמכתאות הנזכרות במקורות אלה</w:t>
      </w:r>
      <w:r>
        <w:rPr>
          <w:rFonts w:hint="cs"/>
          <w:rtl/>
        </w:rPr>
        <w:t xml:space="preserve">). </w:t>
      </w:r>
    </w:p>
    <w:p w:rsidR="00A75A37" w:rsidRDefault="00A75A37" w:rsidP="00A75A37">
      <w:pPr>
        <w:pStyle w:val="Ruller41"/>
        <w:rPr>
          <w:rtl/>
        </w:rPr>
      </w:pPr>
    </w:p>
    <w:p w:rsidR="00A75A37" w:rsidRPr="004E42F9" w:rsidRDefault="00A75A37" w:rsidP="00A75A37">
      <w:pPr>
        <w:pStyle w:val="Ruller41"/>
        <w:rPr>
          <w:rtl/>
        </w:rPr>
      </w:pPr>
      <w:r>
        <w:rPr>
          <w:rtl/>
        </w:rPr>
        <w:tab/>
      </w:r>
      <w:r>
        <w:rPr>
          <w:rFonts w:hint="cs"/>
          <w:rtl/>
        </w:rPr>
        <w:t>ייתכן אף שנכון יותר לסווג הכנסות מסוג הנדון כאן כהכנסה "ממקור אחר", וזאת הן נוכח הייחודיות של מקור ההכנסות, שאינו בגדר המקרה הרגיל של "משלח יד", ואולי גם יהא בכך כדי לשכך את התחושה של המערער, ואחרים במעמדו, בדבר זילות מעמדם ופעילותם הדתית-רוחנית-ציבורית על ידי הגדרתה כ"משלח יד", שהוא מושג בעל אופי כלכלי-עסקי. הנחתי היא שאין כל נפקות מבחינת החבות במס בין שתי החלופות, וכאמור בית המשפט קמא והצדדים לא עמדו על כך. מכל מקום, מן הראוי שרשות המיסים תיתן דעתה לסוגיה זו.</w:t>
      </w:r>
    </w:p>
    <w:p w:rsidR="00A75A37" w:rsidRDefault="00A75A37" w:rsidP="00A75A37">
      <w:pPr>
        <w:pStyle w:val="Ruller4"/>
        <w:numPr>
          <w:ilvl w:val="0"/>
          <w:numId w:val="0"/>
        </w:numPr>
        <w:rPr>
          <w:rtl/>
        </w:rPr>
      </w:pPr>
    </w:p>
    <w:p w:rsidR="00A75A37" w:rsidRPr="00175D71" w:rsidRDefault="00A75A37" w:rsidP="00A75A37">
      <w:pPr>
        <w:pStyle w:val="Ruller4"/>
        <w:rPr>
          <w:rFonts w:ascii="Miriam" w:hAnsi="Miriam"/>
          <w:rtl/>
        </w:rPr>
      </w:pPr>
      <w:r w:rsidRPr="00175D71">
        <w:rPr>
          <w:rFonts w:ascii="Century" w:hAnsi="Century" w:cs="Miriam" w:hint="cs"/>
          <w:b/>
          <w:spacing w:val="0"/>
          <w:sz w:val="22"/>
          <w:szCs w:val="24"/>
          <w:rtl/>
        </w:rPr>
        <w:t>סיכומם של דברים</w:t>
      </w:r>
      <w:r w:rsidRPr="00175D71">
        <w:rPr>
          <w:rFonts w:ascii="Miriam" w:hAnsi="Miriam" w:hint="cs"/>
          <w:rtl/>
        </w:rPr>
        <w:t xml:space="preserve">: </w:t>
      </w:r>
      <w:r>
        <w:rPr>
          <w:rFonts w:ascii="Miriam" w:hAnsi="Miriam" w:hint="cs"/>
          <w:rtl/>
        </w:rPr>
        <w:t xml:space="preserve">נוכח כל המפורט לעיל אני סבור כי צדק פקיד השומה כאשר ראה בהכנסות המערער ששימשו אותו לצרכים האישיים שלו ושל בני משפחתו, להבדיל מכספים שיועדו לצורכי הקהילה, כהכנסות ממשלח יד, או כהכנסות ממקור אחר, החייבות במס, וממילא צדק גם בית המשפט קמא כאשר דחה את ערעור המערער. </w:t>
      </w:r>
    </w:p>
    <w:p w:rsidR="00A75A37" w:rsidRPr="00A554EE" w:rsidRDefault="00A75A37" w:rsidP="00A75A37">
      <w:pPr>
        <w:pStyle w:val="Ruller41"/>
        <w:spacing w:line="240" w:lineRule="auto"/>
      </w:pPr>
    </w:p>
    <w:p w:rsidR="00A75A37" w:rsidRDefault="00A75A37" w:rsidP="00A75A37">
      <w:pPr>
        <w:pStyle w:val="Ruller41"/>
        <w:rPr>
          <w:rtl/>
        </w:rPr>
      </w:pPr>
      <w:r>
        <w:rPr>
          <w:rtl/>
        </w:rPr>
        <w:tab/>
      </w:r>
      <w:r>
        <w:rPr>
          <w:rFonts w:hint="cs"/>
          <w:rtl/>
        </w:rPr>
        <w:t xml:space="preserve">אשר על כן אציע לחבריי כי נדחה את הערעור. המערער יישא בהוצאות המשיב (פקיד השומה) בסך כולל של 30,000 ₪. </w:t>
      </w:r>
    </w:p>
    <w:p w:rsidR="00090D71" w:rsidRDefault="00090D71" w:rsidP="007100DC">
      <w:pPr>
        <w:pStyle w:val="Ruller41"/>
        <w:spacing w:line="480" w:lineRule="auto"/>
        <w:rPr>
          <w:rtl/>
        </w:rPr>
      </w:pPr>
    </w:p>
    <w:tbl>
      <w:tblPr>
        <w:bidiVisual/>
        <w:tblW w:w="8363" w:type="dxa"/>
        <w:tblLook w:val="01E0" w:firstRow="1" w:lastRow="1" w:firstColumn="1" w:lastColumn="1" w:noHBand="0" w:noVBand="0"/>
      </w:tblPr>
      <w:tblGrid>
        <w:gridCol w:w="2786"/>
        <w:gridCol w:w="2787"/>
        <w:gridCol w:w="2790"/>
      </w:tblGrid>
      <w:tr w:rsidR="00090D71" w:rsidTr="002774C6">
        <w:tc>
          <w:tcPr>
            <w:tcW w:w="2842" w:type="dxa"/>
            <w:shd w:val="clear" w:color="auto" w:fill="auto"/>
          </w:tcPr>
          <w:p w:rsidR="00090D71" w:rsidRDefault="00090D71" w:rsidP="002774C6">
            <w:pPr>
              <w:pStyle w:val="Ruller41"/>
              <w:rPr>
                <w:rtl/>
              </w:rPr>
            </w:pPr>
          </w:p>
        </w:tc>
        <w:tc>
          <w:tcPr>
            <w:tcW w:w="2843" w:type="dxa"/>
            <w:shd w:val="clear" w:color="auto" w:fill="auto"/>
          </w:tcPr>
          <w:p w:rsidR="00090D71" w:rsidRDefault="00090D71" w:rsidP="002774C6">
            <w:pPr>
              <w:pStyle w:val="Ruller41"/>
              <w:jc w:val="center"/>
              <w:rPr>
                <w:rtl/>
              </w:rPr>
            </w:pPr>
          </w:p>
        </w:tc>
        <w:tc>
          <w:tcPr>
            <w:tcW w:w="2843" w:type="dxa"/>
            <w:shd w:val="clear" w:color="auto" w:fill="auto"/>
          </w:tcPr>
          <w:p w:rsidR="00090D71" w:rsidRDefault="00090D71" w:rsidP="002774C6">
            <w:pPr>
              <w:pStyle w:val="Ruller41"/>
              <w:jc w:val="center"/>
              <w:rPr>
                <w:rtl/>
              </w:rPr>
            </w:pPr>
            <w:r>
              <w:rPr>
                <w:rtl/>
              </w:rPr>
              <w:t>ש ו פ ט</w:t>
            </w:r>
          </w:p>
        </w:tc>
      </w:tr>
    </w:tbl>
    <w:p w:rsidR="00090D71" w:rsidRDefault="00090D71" w:rsidP="007100DC">
      <w:pPr>
        <w:spacing w:line="480" w:lineRule="auto"/>
        <w:rPr>
          <w:rFonts w:ascii="Century" w:hAnsi="Century" w:cs="Miriam"/>
          <w:b/>
          <w:sz w:val="22"/>
          <w:u w:val="single"/>
          <w:rtl/>
        </w:rPr>
      </w:pPr>
    </w:p>
    <w:p w:rsidR="00090D71" w:rsidRDefault="009E7983" w:rsidP="00A75A37">
      <w:pPr>
        <w:rPr>
          <w:rFonts w:ascii="Century" w:hAnsi="Century" w:cs="FrankRuehl"/>
          <w:spacing w:val="10"/>
          <w:sz w:val="22"/>
          <w:szCs w:val="28"/>
          <w:rtl/>
        </w:rPr>
      </w:pPr>
      <w:r w:rsidRPr="00090D71">
        <w:rPr>
          <w:rFonts w:ascii="Century" w:hAnsi="Century" w:cs="Miriam" w:hint="cs"/>
          <w:b/>
          <w:sz w:val="22"/>
          <w:u w:val="single"/>
          <w:rtl/>
        </w:rPr>
        <w:t>השופט ג' קרא</w:t>
      </w:r>
      <w:r w:rsidRPr="009E7983">
        <w:rPr>
          <w:rFonts w:ascii="Century" w:hAnsi="Century" w:cs="Miriam" w:hint="cs"/>
          <w:b/>
          <w:sz w:val="22"/>
          <w:rtl/>
        </w:rPr>
        <w:t>:</w:t>
      </w:r>
      <w:r>
        <w:rPr>
          <w:rFonts w:ascii="Century" w:hAnsi="Century" w:cs="Miriam"/>
          <w:b/>
          <w:sz w:val="22"/>
          <w:rtl/>
        </w:rPr>
        <w:tab/>
      </w:r>
      <w:r>
        <w:rPr>
          <w:rFonts w:ascii="Century" w:hAnsi="Century" w:cs="FrankRuehl"/>
          <w:spacing w:val="10"/>
          <w:sz w:val="22"/>
          <w:szCs w:val="28"/>
          <w:rtl/>
        </w:rPr>
        <w:tab/>
      </w:r>
    </w:p>
    <w:p w:rsidR="00090D71" w:rsidRDefault="00090D71" w:rsidP="00A75A37">
      <w:pPr>
        <w:rPr>
          <w:rFonts w:ascii="Century" w:hAnsi="Century" w:cs="FrankRuehl"/>
          <w:spacing w:val="10"/>
          <w:sz w:val="22"/>
          <w:szCs w:val="28"/>
          <w:rtl/>
        </w:rPr>
      </w:pPr>
    </w:p>
    <w:p w:rsidR="00A75A37" w:rsidRDefault="009E7983" w:rsidP="00090D71">
      <w:pPr>
        <w:ind w:firstLine="720"/>
        <w:rPr>
          <w:rFonts w:ascii="Century" w:hAnsi="Century" w:cs="FrankRuehl"/>
          <w:spacing w:val="10"/>
          <w:sz w:val="22"/>
          <w:szCs w:val="28"/>
          <w:rtl/>
        </w:rPr>
      </w:pPr>
      <w:r>
        <w:rPr>
          <w:rFonts w:ascii="Century" w:hAnsi="Century" w:cs="FrankRuehl" w:hint="cs"/>
          <w:spacing w:val="10"/>
          <w:sz w:val="22"/>
          <w:szCs w:val="28"/>
          <w:rtl/>
        </w:rPr>
        <w:t>אני מסכים.</w:t>
      </w:r>
    </w:p>
    <w:p w:rsidR="00090D71" w:rsidRDefault="00090D71" w:rsidP="00090D71">
      <w:pPr>
        <w:rPr>
          <w:rFonts w:ascii="Century" w:hAnsi="Century" w:cs="FrankRuehl"/>
          <w:spacing w:val="10"/>
          <w:sz w:val="22"/>
          <w:szCs w:val="28"/>
          <w:rtl/>
        </w:rPr>
      </w:pPr>
    </w:p>
    <w:tbl>
      <w:tblPr>
        <w:bidiVisual/>
        <w:tblW w:w="8363" w:type="dxa"/>
        <w:tblLook w:val="01E0" w:firstRow="1" w:lastRow="1" w:firstColumn="1" w:lastColumn="1" w:noHBand="0" w:noVBand="0"/>
      </w:tblPr>
      <w:tblGrid>
        <w:gridCol w:w="2786"/>
        <w:gridCol w:w="2787"/>
        <w:gridCol w:w="2790"/>
      </w:tblGrid>
      <w:tr w:rsidR="00090D71" w:rsidTr="002774C6">
        <w:tc>
          <w:tcPr>
            <w:tcW w:w="2842" w:type="dxa"/>
            <w:shd w:val="clear" w:color="auto" w:fill="auto"/>
          </w:tcPr>
          <w:p w:rsidR="00090D71" w:rsidRDefault="00090D71" w:rsidP="002774C6">
            <w:pPr>
              <w:pStyle w:val="Ruller41"/>
              <w:rPr>
                <w:rtl/>
              </w:rPr>
            </w:pPr>
          </w:p>
        </w:tc>
        <w:tc>
          <w:tcPr>
            <w:tcW w:w="2843" w:type="dxa"/>
            <w:shd w:val="clear" w:color="auto" w:fill="auto"/>
          </w:tcPr>
          <w:p w:rsidR="00090D71" w:rsidRDefault="00090D71" w:rsidP="002774C6">
            <w:pPr>
              <w:pStyle w:val="Ruller41"/>
              <w:jc w:val="center"/>
              <w:rPr>
                <w:rtl/>
              </w:rPr>
            </w:pPr>
          </w:p>
        </w:tc>
        <w:tc>
          <w:tcPr>
            <w:tcW w:w="2843" w:type="dxa"/>
            <w:shd w:val="clear" w:color="auto" w:fill="auto"/>
          </w:tcPr>
          <w:p w:rsidR="00090D71" w:rsidRDefault="00090D71" w:rsidP="002774C6">
            <w:pPr>
              <w:pStyle w:val="Ruller41"/>
              <w:jc w:val="center"/>
              <w:rPr>
                <w:rtl/>
              </w:rPr>
            </w:pPr>
            <w:r>
              <w:rPr>
                <w:rtl/>
              </w:rPr>
              <w:t>ש ו פ ט</w:t>
            </w:r>
          </w:p>
        </w:tc>
      </w:tr>
    </w:tbl>
    <w:p w:rsidR="00090D71" w:rsidRDefault="00090D71" w:rsidP="00090D71">
      <w:pPr>
        <w:rPr>
          <w:rFonts w:ascii="Century" w:hAnsi="Century" w:cs="FrankRuehl"/>
          <w:spacing w:val="10"/>
          <w:sz w:val="22"/>
          <w:szCs w:val="28"/>
          <w:rtl/>
        </w:rPr>
      </w:pPr>
    </w:p>
    <w:p w:rsidR="00090D71" w:rsidRDefault="007100DC" w:rsidP="00A75A37">
      <w:pPr>
        <w:rPr>
          <w:rFonts w:ascii="Century" w:hAnsi="Century" w:cs="Miriam"/>
          <w:b/>
          <w:sz w:val="22"/>
          <w:rtl/>
        </w:rPr>
      </w:pPr>
      <w:r>
        <w:rPr>
          <w:rFonts w:ascii="Century" w:hAnsi="Century" w:cs="Miriam" w:hint="cs"/>
          <w:b/>
          <w:sz w:val="22"/>
          <w:u w:val="single"/>
          <w:rtl/>
        </w:rPr>
        <w:t>השופטת</w:t>
      </w:r>
      <w:r w:rsidR="009E7983" w:rsidRPr="007100DC">
        <w:rPr>
          <w:rFonts w:ascii="Century" w:hAnsi="Century" w:cs="Miriam" w:hint="cs"/>
          <w:b/>
          <w:sz w:val="22"/>
          <w:u w:val="single"/>
          <w:rtl/>
        </w:rPr>
        <w:t xml:space="preserve"> י' וילנר</w:t>
      </w:r>
      <w:r w:rsidR="009E7983">
        <w:rPr>
          <w:rFonts w:ascii="Century" w:hAnsi="Century" w:cs="Miriam" w:hint="cs"/>
          <w:b/>
          <w:sz w:val="22"/>
          <w:rtl/>
        </w:rPr>
        <w:t>:</w:t>
      </w:r>
      <w:r w:rsidR="009E7983">
        <w:rPr>
          <w:rFonts w:ascii="Century" w:hAnsi="Century" w:cs="Miriam"/>
          <w:b/>
          <w:sz w:val="22"/>
          <w:rtl/>
        </w:rPr>
        <w:tab/>
      </w:r>
    </w:p>
    <w:p w:rsidR="00090D71" w:rsidRDefault="00090D71" w:rsidP="007100DC">
      <w:pPr>
        <w:spacing w:line="480" w:lineRule="auto"/>
        <w:rPr>
          <w:rFonts w:ascii="Century" w:hAnsi="Century" w:cs="Miriam"/>
          <w:b/>
          <w:sz w:val="22"/>
          <w:rtl/>
        </w:rPr>
      </w:pPr>
    </w:p>
    <w:p w:rsidR="009E7983" w:rsidRDefault="009E7983" w:rsidP="00090D71">
      <w:pPr>
        <w:ind w:firstLine="720"/>
        <w:rPr>
          <w:rFonts w:ascii="Century" w:hAnsi="Century" w:cs="FrankRuehl"/>
          <w:spacing w:val="10"/>
          <w:sz w:val="22"/>
          <w:szCs w:val="28"/>
          <w:rtl/>
        </w:rPr>
      </w:pPr>
      <w:r w:rsidRPr="009E7983">
        <w:rPr>
          <w:rFonts w:ascii="Century" w:hAnsi="Century" w:cs="FrankRuehl"/>
          <w:spacing w:val="10"/>
          <w:sz w:val="22"/>
          <w:szCs w:val="28"/>
          <w:rtl/>
        </w:rPr>
        <w:t xml:space="preserve">אני מסכימה לפסק דינו המקיף של חברי השופט </w:t>
      </w:r>
      <w:r w:rsidRPr="00090D71">
        <w:rPr>
          <w:rFonts w:ascii="Century" w:hAnsi="Century" w:cs="Miriam"/>
          <w:b/>
          <w:sz w:val="22"/>
          <w:rtl/>
        </w:rPr>
        <w:t>מ' מזוז</w:t>
      </w:r>
      <w:r>
        <w:rPr>
          <w:rFonts w:ascii="Century" w:hAnsi="Century" w:cs="FrankRuehl" w:hint="cs"/>
          <w:spacing w:val="10"/>
          <w:sz w:val="22"/>
          <w:szCs w:val="28"/>
          <w:rtl/>
        </w:rPr>
        <w:t>.</w:t>
      </w:r>
      <w:r w:rsidRPr="009E7983">
        <w:rPr>
          <w:rFonts w:ascii="Century" w:hAnsi="Century" w:cs="FrankRuehl"/>
          <w:spacing w:val="10"/>
          <w:sz w:val="22"/>
          <w:szCs w:val="28"/>
          <w:rtl/>
        </w:rPr>
        <w:tab/>
      </w:r>
    </w:p>
    <w:p w:rsidR="00090D71" w:rsidRDefault="00090D71" w:rsidP="00090D71">
      <w:pPr>
        <w:ind w:firstLine="720"/>
        <w:rPr>
          <w:rFonts w:ascii="Century" w:hAnsi="Century" w:cs="FrankRuehl"/>
          <w:spacing w:val="10"/>
          <w:sz w:val="22"/>
          <w:szCs w:val="28"/>
          <w:rtl/>
        </w:rPr>
      </w:pPr>
    </w:p>
    <w:p w:rsidR="00090D71" w:rsidRDefault="00090D71" w:rsidP="00090D71">
      <w:pPr>
        <w:ind w:firstLine="720"/>
        <w:rPr>
          <w:rFonts w:ascii="Century" w:hAnsi="Century" w:cs="FrankRuehl"/>
          <w:spacing w:val="10"/>
          <w:sz w:val="22"/>
          <w:szCs w:val="28"/>
          <w:rtl/>
        </w:rPr>
      </w:pPr>
    </w:p>
    <w:tbl>
      <w:tblPr>
        <w:bidiVisual/>
        <w:tblW w:w="8363" w:type="dxa"/>
        <w:tblLook w:val="01E0" w:firstRow="1" w:lastRow="1" w:firstColumn="1" w:lastColumn="1" w:noHBand="0" w:noVBand="0"/>
      </w:tblPr>
      <w:tblGrid>
        <w:gridCol w:w="2786"/>
        <w:gridCol w:w="2787"/>
        <w:gridCol w:w="2790"/>
      </w:tblGrid>
      <w:tr w:rsidR="00090D71" w:rsidTr="002774C6">
        <w:tc>
          <w:tcPr>
            <w:tcW w:w="2842" w:type="dxa"/>
            <w:shd w:val="clear" w:color="auto" w:fill="auto"/>
          </w:tcPr>
          <w:p w:rsidR="00090D71" w:rsidRDefault="00090D71" w:rsidP="002774C6">
            <w:pPr>
              <w:pStyle w:val="Ruller41"/>
              <w:rPr>
                <w:rtl/>
              </w:rPr>
            </w:pPr>
          </w:p>
        </w:tc>
        <w:tc>
          <w:tcPr>
            <w:tcW w:w="2843" w:type="dxa"/>
            <w:shd w:val="clear" w:color="auto" w:fill="auto"/>
          </w:tcPr>
          <w:p w:rsidR="00090D71" w:rsidRDefault="00090D71" w:rsidP="002774C6">
            <w:pPr>
              <w:pStyle w:val="Ruller41"/>
              <w:jc w:val="center"/>
              <w:rPr>
                <w:rtl/>
              </w:rPr>
            </w:pPr>
          </w:p>
        </w:tc>
        <w:tc>
          <w:tcPr>
            <w:tcW w:w="2843" w:type="dxa"/>
            <w:shd w:val="clear" w:color="auto" w:fill="auto"/>
          </w:tcPr>
          <w:p w:rsidR="00090D71" w:rsidRDefault="00090D71" w:rsidP="002774C6">
            <w:pPr>
              <w:pStyle w:val="Ruller41"/>
              <w:jc w:val="center"/>
              <w:rPr>
                <w:rtl/>
              </w:rPr>
            </w:pPr>
            <w:r>
              <w:rPr>
                <w:rtl/>
              </w:rPr>
              <w:t>ש ו פ ט</w:t>
            </w:r>
            <w:r w:rsidR="004B7259">
              <w:rPr>
                <w:rFonts w:hint="cs"/>
                <w:rtl/>
              </w:rPr>
              <w:t xml:space="preserve"> ת</w:t>
            </w:r>
            <w:bookmarkStart w:id="7" w:name="_GoBack"/>
            <w:bookmarkEnd w:id="7"/>
          </w:p>
        </w:tc>
      </w:tr>
    </w:tbl>
    <w:p w:rsidR="00A75A37" w:rsidRDefault="00A75A37" w:rsidP="00A51FAE">
      <w:pPr>
        <w:pStyle w:val="Ruller41"/>
        <w:rPr>
          <w:rtl/>
        </w:rPr>
      </w:pPr>
    </w:p>
    <w:p w:rsidR="00090D71" w:rsidRDefault="00090D71" w:rsidP="007100DC">
      <w:pPr>
        <w:pStyle w:val="Ruller41"/>
        <w:spacing w:line="480" w:lineRule="auto"/>
        <w:rPr>
          <w:rtl/>
        </w:rPr>
      </w:pPr>
    </w:p>
    <w:p w:rsidR="00016EF1" w:rsidRDefault="009E7983" w:rsidP="00A51FAE">
      <w:pPr>
        <w:pStyle w:val="Ruller41"/>
        <w:rPr>
          <w:rtl/>
        </w:rPr>
      </w:pPr>
      <w:r>
        <w:rPr>
          <w:rtl/>
        </w:rPr>
        <w:tab/>
      </w:r>
      <w:r>
        <w:rPr>
          <w:rFonts w:hint="cs"/>
          <w:rtl/>
        </w:rPr>
        <w:t xml:space="preserve">הוחלט אפוא לדחות את הערעור כאמור בפסק דינו של השופט </w:t>
      </w:r>
      <w:r w:rsidRPr="007100DC">
        <w:rPr>
          <w:rFonts w:ascii="Century" w:hAnsi="Century" w:cs="Miriam" w:hint="cs"/>
          <w:b/>
          <w:spacing w:val="0"/>
          <w:szCs w:val="24"/>
          <w:rtl/>
        </w:rPr>
        <w:t>מ' מזוז</w:t>
      </w:r>
      <w:r>
        <w:rPr>
          <w:rFonts w:hint="cs"/>
          <w:rtl/>
        </w:rPr>
        <w:t>.</w:t>
      </w:r>
    </w:p>
    <w:p w:rsidR="00090D71" w:rsidRDefault="00090D71" w:rsidP="00A51FAE">
      <w:pPr>
        <w:pStyle w:val="Ruller41"/>
        <w:rPr>
          <w:rtl/>
        </w:rPr>
      </w:pPr>
    </w:p>
    <w:p w:rsidR="00090D71" w:rsidRDefault="00090D71" w:rsidP="00A51FAE">
      <w:pPr>
        <w:pStyle w:val="Ruller41"/>
        <w:rPr>
          <w:rtl/>
        </w:rPr>
      </w:pPr>
    </w:p>
    <w:p w:rsidR="00090D71" w:rsidRDefault="00090D71" w:rsidP="00090D71">
      <w:pPr>
        <w:pStyle w:val="Ruller41"/>
        <w:rPr>
          <w:rtl/>
        </w:rPr>
      </w:pPr>
      <w:r>
        <w:rPr>
          <w:rtl/>
        </w:rPr>
        <w:tab/>
        <w:t>נית</w:t>
      </w:r>
      <w:r>
        <w:rPr>
          <w:rFonts w:hint="cs"/>
          <w:rtl/>
        </w:rPr>
        <w:t>ן</w:t>
      </w:r>
      <w:r>
        <w:rPr>
          <w:rtl/>
        </w:rPr>
        <w:t xml:space="preserve"> היום, </w:t>
      </w:r>
      <w:r>
        <w:rPr>
          <w:rFonts w:hint="eastAsia"/>
          <w:rtl/>
        </w:rPr>
        <w:t>‏ל</w:t>
      </w:r>
      <w:r>
        <w:rPr>
          <w:rtl/>
        </w:rPr>
        <w:t>' בתשרי התשפ"</w:t>
      </w:r>
      <w:r>
        <w:rPr>
          <w:rFonts w:hint="cs"/>
          <w:rtl/>
        </w:rPr>
        <w:t>א</w:t>
      </w:r>
      <w:r>
        <w:rPr>
          <w:rtl/>
        </w:rPr>
        <w:t xml:space="preserve"> (</w:t>
      </w:r>
      <w:r>
        <w:rPr>
          <w:rFonts w:hint="eastAsia"/>
          <w:rtl/>
        </w:rPr>
        <w:t>‏</w:t>
      </w:r>
      <w:r>
        <w:rPr>
          <w:rtl/>
        </w:rPr>
        <w:t>18.10.2020).</w:t>
      </w:r>
    </w:p>
    <w:p w:rsidR="00090D71" w:rsidRDefault="00090D71" w:rsidP="00A51FAE">
      <w:pPr>
        <w:pStyle w:val="Ruller41"/>
        <w:rPr>
          <w:rtl/>
        </w:rPr>
      </w:pPr>
    </w:p>
    <w:p w:rsidR="009E7983" w:rsidRDefault="009E7983" w:rsidP="00A51FAE">
      <w:pPr>
        <w:pStyle w:val="Ruller41"/>
        <w:rPr>
          <w:rtl/>
        </w:rPr>
      </w:pPr>
    </w:p>
    <w:tbl>
      <w:tblPr>
        <w:bidiVisual/>
        <w:tblW w:w="8363" w:type="dxa"/>
        <w:tblLook w:val="01E0" w:firstRow="1" w:lastRow="1" w:firstColumn="1" w:lastColumn="1" w:noHBand="0" w:noVBand="0"/>
      </w:tblPr>
      <w:tblGrid>
        <w:gridCol w:w="2787"/>
        <w:gridCol w:w="2788"/>
        <w:gridCol w:w="2788"/>
      </w:tblGrid>
      <w:tr w:rsidR="001A0164" w:rsidTr="00D00B1D">
        <w:tc>
          <w:tcPr>
            <w:tcW w:w="2842" w:type="dxa"/>
            <w:shd w:val="clear" w:color="auto" w:fill="auto"/>
          </w:tcPr>
          <w:p w:rsidR="00016EF1" w:rsidRDefault="008C78D9" w:rsidP="00A51FAE">
            <w:pPr>
              <w:pStyle w:val="Ruller41"/>
              <w:rPr>
                <w:rtl/>
              </w:rPr>
            </w:pPr>
            <w:r>
              <w:rPr>
                <w:rtl/>
              </w:rPr>
              <w:t>ש ו פ ט</w:t>
            </w:r>
          </w:p>
        </w:tc>
        <w:tc>
          <w:tcPr>
            <w:tcW w:w="2843" w:type="dxa"/>
            <w:shd w:val="clear" w:color="auto" w:fill="auto"/>
          </w:tcPr>
          <w:p w:rsidR="001A0164" w:rsidRDefault="008C78D9" w:rsidP="00BA0B08">
            <w:pPr>
              <w:pStyle w:val="Ruller41"/>
              <w:jc w:val="center"/>
              <w:rPr>
                <w:rtl/>
              </w:rPr>
            </w:pPr>
            <w:r>
              <w:rPr>
                <w:rtl/>
              </w:rPr>
              <w:t>ש ו פ ט</w:t>
            </w:r>
          </w:p>
        </w:tc>
        <w:tc>
          <w:tcPr>
            <w:tcW w:w="2843" w:type="dxa"/>
            <w:shd w:val="clear" w:color="auto" w:fill="auto"/>
          </w:tcPr>
          <w:p w:rsidR="001A0164" w:rsidRDefault="008C78D9" w:rsidP="00BA0B08">
            <w:pPr>
              <w:pStyle w:val="Ruller41"/>
              <w:jc w:val="center"/>
              <w:rPr>
                <w:rtl/>
              </w:rPr>
            </w:pPr>
            <w:r>
              <w:rPr>
                <w:rtl/>
              </w:rPr>
              <w:t>ש ו פ ט ת</w:t>
            </w:r>
          </w:p>
        </w:tc>
      </w:tr>
    </w:tbl>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8C78D9">
        <w:rPr>
          <w:sz w:val="16"/>
        </w:rPr>
        <w:t xml:space="preserve">19031590_B14.docx   </w:t>
      </w:r>
      <w:r w:rsidR="008C78D9">
        <w:rPr>
          <w:sz w:val="16"/>
          <w:rtl/>
        </w:rPr>
        <w:t>חכ</w:t>
      </w:r>
    </w:p>
    <w:p w:rsidR="00591983" w:rsidRPr="0058440A" w:rsidRDefault="00591983" w:rsidP="0058440A">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8" w:history="1">
        <w:r w:rsidR="0058440A" w:rsidRPr="00CB1590">
          <w:rPr>
            <w:rStyle w:val="Hyperlink"/>
            <w:sz w:val="16"/>
          </w:rPr>
          <w:t>http://supreme.court.gov.i</w:t>
        </w:r>
      </w:hyperlink>
      <w:r w:rsidR="0058440A" w:rsidRPr="00CB1590">
        <w:rPr>
          <w:sz w:val="16"/>
        </w:rPr>
        <w:t>l</w:t>
      </w:r>
    </w:p>
    <w:p w:rsidR="003F1F97" w:rsidRDefault="003F1F97" w:rsidP="00591983">
      <w:pPr>
        <w:pStyle w:val="Ruller38"/>
        <w:rPr>
          <w:rtl/>
        </w:rPr>
      </w:pPr>
    </w:p>
    <w:sectPr w:rsidR="003F1F97" w:rsidSect="00090D71">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440" w:right="1797" w:bottom="1440" w:left="1803" w:header="567" w:footer="397" w:gutter="0"/>
      <w:cols w:space="720"/>
      <w:titlePg/>
      <w:bidi/>
      <w:rtlGutter/>
      <w:docGrid w:linePitch="272"/>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TUR">
    <w:altName w:val="Arial"/>
    <w:charset w:val="00"/>
    <w:family w:val="swiss"/>
    <w:pitch w:val="variable"/>
    <w:sig w:usb0="E0002EFF" w:usb1="C0007843"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8D9" w:rsidRDefault="008C78D9">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8" w:name="footer_line"/>
    <w:bookmarkEnd w:id="8"/>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4B7259">
      <w:rPr>
        <w:rStyle w:val="a4"/>
        <w:noProof/>
        <w:rtl/>
      </w:rPr>
      <w:t>24</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76F4F"/>
    <w:multiLevelType w:val="hybridMultilevel"/>
    <w:tmpl w:val="F9CEE4EE"/>
    <w:lvl w:ilvl="0" w:tplc="2E5E2506">
      <w:start w:val="2"/>
      <w:numFmt w:val="hebrew1"/>
      <w:lvlText w:val="%1."/>
      <w:lvlJc w:val="center"/>
      <w:pPr>
        <w:tabs>
          <w:tab w:val="num" w:pos="1080"/>
        </w:tabs>
        <w:ind w:left="1080" w:hanging="360"/>
      </w:pPr>
      <w:rPr>
        <w:rFonts w:hint="default"/>
      </w:rPr>
    </w:lvl>
    <w:lvl w:ilvl="1" w:tplc="B8AC1FE2">
      <w:start w:val="1"/>
      <w:numFmt w:val="lowerLetter"/>
      <w:lvlText w:val="%2."/>
      <w:lvlJc w:val="left"/>
      <w:pPr>
        <w:ind w:left="2018" w:hanging="360"/>
      </w:pPr>
    </w:lvl>
    <w:lvl w:ilvl="2" w:tplc="ACD02DC4" w:tentative="1">
      <w:start w:val="1"/>
      <w:numFmt w:val="lowerRoman"/>
      <w:lvlText w:val="%3."/>
      <w:lvlJc w:val="right"/>
      <w:pPr>
        <w:ind w:left="2738" w:hanging="180"/>
      </w:pPr>
    </w:lvl>
    <w:lvl w:ilvl="3" w:tplc="1312EEC4" w:tentative="1">
      <w:start w:val="1"/>
      <w:numFmt w:val="decimal"/>
      <w:lvlText w:val="%4."/>
      <w:lvlJc w:val="left"/>
      <w:pPr>
        <w:ind w:left="3458" w:hanging="360"/>
      </w:pPr>
    </w:lvl>
    <w:lvl w:ilvl="4" w:tplc="6B7AB094" w:tentative="1">
      <w:start w:val="1"/>
      <w:numFmt w:val="lowerLetter"/>
      <w:lvlText w:val="%5."/>
      <w:lvlJc w:val="left"/>
      <w:pPr>
        <w:ind w:left="4178" w:hanging="360"/>
      </w:pPr>
    </w:lvl>
    <w:lvl w:ilvl="5" w:tplc="BC9C439E" w:tentative="1">
      <w:start w:val="1"/>
      <w:numFmt w:val="lowerRoman"/>
      <w:lvlText w:val="%6."/>
      <w:lvlJc w:val="right"/>
      <w:pPr>
        <w:ind w:left="4898" w:hanging="180"/>
      </w:pPr>
    </w:lvl>
    <w:lvl w:ilvl="6" w:tplc="91F4E38E" w:tentative="1">
      <w:start w:val="1"/>
      <w:numFmt w:val="decimal"/>
      <w:lvlText w:val="%7."/>
      <w:lvlJc w:val="left"/>
      <w:pPr>
        <w:ind w:left="5618" w:hanging="360"/>
      </w:pPr>
    </w:lvl>
    <w:lvl w:ilvl="7" w:tplc="4F4809F0" w:tentative="1">
      <w:start w:val="1"/>
      <w:numFmt w:val="lowerLetter"/>
      <w:lvlText w:val="%8."/>
      <w:lvlJc w:val="left"/>
      <w:pPr>
        <w:ind w:left="6338" w:hanging="360"/>
      </w:pPr>
    </w:lvl>
    <w:lvl w:ilvl="8" w:tplc="A3E88420" w:tentative="1">
      <w:start w:val="1"/>
      <w:numFmt w:val="lowerRoman"/>
      <w:lvlText w:val="%9."/>
      <w:lvlJc w:val="right"/>
      <w:pPr>
        <w:ind w:left="7058" w:hanging="180"/>
      </w:pPr>
    </w:lvl>
  </w:abstractNum>
  <w:abstractNum w:abstractNumId="11" w15:restartNumberingAfterBreak="0">
    <w:nsid w:val="08A6001B"/>
    <w:multiLevelType w:val="hybridMultilevel"/>
    <w:tmpl w:val="B09494A6"/>
    <w:lvl w:ilvl="0" w:tplc="0CE0554A">
      <w:start w:val="1"/>
      <w:numFmt w:val="decimal"/>
      <w:pStyle w:val="Ruller4"/>
      <w:lvlText w:val="%1."/>
      <w:lvlJc w:val="left"/>
      <w:pPr>
        <w:tabs>
          <w:tab w:val="num" w:pos="1049"/>
        </w:tabs>
        <w:ind w:left="142" w:firstLine="0"/>
      </w:pPr>
      <w:rPr>
        <w:rFonts w:cs="FrankRuehl" w:hint="default"/>
        <w:b w:val="0"/>
        <w:bCs w:val="0"/>
        <w:i w:val="0"/>
        <w:iCs w:val="0"/>
        <w:sz w:val="24"/>
        <w:szCs w:val="24"/>
      </w:rPr>
    </w:lvl>
    <w:lvl w:ilvl="1" w:tplc="AC06CF70">
      <w:start w:val="1"/>
      <w:numFmt w:val="hebrew1"/>
      <w:lvlText w:val="%2."/>
      <w:lvlJc w:val="center"/>
      <w:pPr>
        <w:tabs>
          <w:tab w:val="num" w:pos="502"/>
        </w:tabs>
        <w:ind w:left="502" w:hanging="360"/>
      </w:pPr>
    </w:lvl>
    <w:lvl w:ilvl="2" w:tplc="9CC0E594">
      <w:start w:val="1"/>
      <w:numFmt w:val="lowerRoman"/>
      <w:lvlText w:val="%3."/>
      <w:lvlJc w:val="right"/>
      <w:pPr>
        <w:tabs>
          <w:tab w:val="num" w:pos="1172"/>
        </w:tabs>
        <w:ind w:left="1172" w:hanging="180"/>
      </w:pPr>
    </w:lvl>
    <w:lvl w:ilvl="3" w:tplc="2482D22E" w:tentative="1">
      <w:start w:val="1"/>
      <w:numFmt w:val="decimal"/>
      <w:lvlText w:val="%4."/>
      <w:lvlJc w:val="left"/>
      <w:pPr>
        <w:tabs>
          <w:tab w:val="num" w:pos="2880"/>
        </w:tabs>
        <w:ind w:left="2880" w:hanging="360"/>
      </w:pPr>
    </w:lvl>
    <w:lvl w:ilvl="4" w:tplc="BEE25970" w:tentative="1">
      <w:start w:val="1"/>
      <w:numFmt w:val="lowerLetter"/>
      <w:lvlText w:val="%5."/>
      <w:lvlJc w:val="left"/>
      <w:pPr>
        <w:tabs>
          <w:tab w:val="num" w:pos="3600"/>
        </w:tabs>
        <w:ind w:left="3600" w:hanging="360"/>
      </w:pPr>
    </w:lvl>
    <w:lvl w:ilvl="5" w:tplc="B8B0D870" w:tentative="1">
      <w:start w:val="1"/>
      <w:numFmt w:val="lowerRoman"/>
      <w:lvlText w:val="%6."/>
      <w:lvlJc w:val="right"/>
      <w:pPr>
        <w:tabs>
          <w:tab w:val="num" w:pos="4320"/>
        </w:tabs>
        <w:ind w:left="4320" w:hanging="180"/>
      </w:pPr>
    </w:lvl>
    <w:lvl w:ilvl="6" w:tplc="B922C010" w:tentative="1">
      <w:start w:val="1"/>
      <w:numFmt w:val="decimal"/>
      <w:lvlText w:val="%7."/>
      <w:lvlJc w:val="left"/>
      <w:pPr>
        <w:tabs>
          <w:tab w:val="num" w:pos="5040"/>
        </w:tabs>
        <w:ind w:left="5040" w:hanging="360"/>
      </w:pPr>
    </w:lvl>
    <w:lvl w:ilvl="7" w:tplc="E0108B3E" w:tentative="1">
      <w:start w:val="1"/>
      <w:numFmt w:val="lowerLetter"/>
      <w:lvlText w:val="%8."/>
      <w:lvlJc w:val="left"/>
      <w:pPr>
        <w:tabs>
          <w:tab w:val="num" w:pos="5760"/>
        </w:tabs>
        <w:ind w:left="5760" w:hanging="360"/>
      </w:pPr>
    </w:lvl>
    <w:lvl w:ilvl="8" w:tplc="639234DC" w:tentative="1">
      <w:start w:val="1"/>
      <w:numFmt w:val="lowerRoman"/>
      <w:lvlText w:val="%9."/>
      <w:lvlJc w:val="right"/>
      <w:pPr>
        <w:tabs>
          <w:tab w:val="num" w:pos="6480"/>
        </w:tabs>
        <w:ind w:left="6480" w:hanging="180"/>
      </w:pPr>
    </w:lvl>
  </w:abstractNum>
  <w:abstractNum w:abstractNumId="12" w15:restartNumberingAfterBreak="0">
    <w:nsid w:val="0F1428CA"/>
    <w:multiLevelType w:val="hybridMultilevel"/>
    <w:tmpl w:val="8D6E42E8"/>
    <w:lvl w:ilvl="0" w:tplc="899466D2">
      <w:start w:val="1"/>
      <w:numFmt w:val="decimal"/>
      <w:lvlText w:val="(%1)"/>
      <w:lvlJc w:val="left"/>
      <w:pPr>
        <w:ind w:left="868" w:hanging="358"/>
      </w:pPr>
      <w:rPr>
        <w:rFonts w:hint="default"/>
      </w:rPr>
    </w:lvl>
    <w:lvl w:ilvl="1" w:tplc="1676FB6C" w:tentative="1">
      <w:start w:val="1"/>
      <w:numFmt w:val="lowerLetter"/>
      <w:lvlText w:val="%2."/>
      <w:lvlJc w:val="left"/>
      <w:pPr>
        <w:ind w:left="1505" w:hanging="360"/>
      </w:pPr>
    </w:lvl>
    <w:lvl w:ilvl="2" w:tplc="E5DCAEB2" w:tentative="1">
      <w:start w:val="1"/>
      <w:numFmt w:val="lowerRoman"/>
      <w:lvlText w:val="%3."/>
      <w:lvlJc w:val="right"/>
      <w:pPr>
        <w:ind w:left="2225" w:hanging="180"/>
      </w:pPr>
    </w:lvl>
    <w:lvl w:ilvl="3" w:tplc="56E28CEE" w:tentative="1">
      <w:start w:val="1"/>
      <w:numFmt w:val="decimal"/>
      <w:lvlText w:val="%4."/>
      <w:lvlJc w:val="left"/>
      <w:pPr>
        <w:ind w:left="2945" w:hanging="360"/>
      </w:pPr>
    </w:lvl>
    <w:lvl w:ilvl="4" w:tplc="EEA603A6" w:tentative="1">
      <w:start w:val="1"/>
      <w:numFmt w:val="lowerLetter"/>
      <w:lvlText w:val="%5."/>
      <w:lvlJc w:val="left"/>
      <w:pPr>
        <w:ind w:left="3665" w:hanging="360"/>
      </w:pPr>
    </w:lvl>
    <w:lvl w:ilvl="5" w:tplc="331E7508" w:tentative="1">
      <w:start w:val="1"/>
      <w:numFmt w:val="lowerRoman"/>
      <w:lvlText w:val="%6."/>
      <w:lvlJc w:val="right"/>
      <w:pPr>
        <w:ind w:left="4385" w:hanging="180"/>
      </w:pPr>
    </w:lvl>
    <w:lvl w:ilvl="6" w:tplc="1A22E538" w:tentative="1">
      <w:start w:val="1"/>
      <w:numFmt w:val="decimal"/>
      <w:lvlText w:val="%7."/>
      <w:lvlJc w:val="left"/>
      <w:pPr>
        <w:ind w:left="5105" w:hanging="360"/>
      </w:pPr>
    </w:lvl>
    <w:lvl w:ilvl="7" w:tplc="1A6E6198" w:tentative="1">
      <w:start w:val="1"/>
      <w:numFmt w:val="lowerLetter"/>
      <w:lvlText w:val="%8."/>
      <w:lvlJc w:val="left"/>
      <w:pPr>
        <w:ind w:left="5825" w:hanging="360"/>
      </w:pPr>
    </w:lvl>
    <w:lvl w:ilvl="8" w:tplc="63DEAA72" w:tentative="1">
      <w:start w:val="1"/>
      <w:numFmt w:val="lowerRoman"/>
      <w:lvlText w:val="%9."/>
      <w:lvlJc w:val="right"/>
      <w:pPr>
        <w:ind w:left="6545" w:hanging="180"/>
      </w:pPr>
    </w:lvl>
  </w:abstractNum>
  <w:abstractNum w:abstractNumId="13" w15:restartNumberingAfterBreak="0">
    <w:nsid w:val="17346AD9"/>
    <w:multiLevelType w:val="hybridMultilevel"/>
    <w:tmpl w:val="EF066286"/>
    <w:lvl w:ilvl="0" w:tplc="88BAEE82">
      <w:start w:val="1"/>
      <w:numFmt w:val="decimal"/>
      <w:lvlText w:val="(%1)"/>
      <w:lvlJc w:val="left"/>
      <w:pPr>
        <w:ind w:left="502" w:hanging="360"/>
      </w:pPr>
      <w:rPr>
        <w:rFonts w:hint="default"/>
      </w:rPr>
    </w:lvl>
    <w:lvl w:ilvl="1" w:tplc="73B8BD82" w:tentative="1">
      <w:start w:val="1"/>
      <w:numFmt w:val="lowerLetter"/>
      <w:lvlText w:val="%2."/>
      <w:lvlJc w:val="left"/>
      <w:pPr>
        <w:ind w:left="1222" w:hanging="360"/>
      </w:pPr>
    </w:lvl>
    <w:lvl w:ilvl="2" w:tplc="DB40DF60" w:tentative="1">
      <w:start w:val="1"/>
      <w:numFmt w:val="lowerRoman"/>
      <w:lvlText w:val="%3."/>
      <w:lvlJc w:val="right"/>
      <w:pPr>
        <w:ind w:left="1942" w:hanging="180"/>
      </w:pPr>
    </w:lvl>
    <w:lvl w:ilvl="3" w:tplc="E2380A06" w:tentative="1">
      <w:start w:val="1"/>
      <w:numFmt w:val="decimal"/>
      <w:lvlText w:val="%4."/>
      <w:lvlJc w:val="left"/>
      <w:pPr>
        <w:ind w:left="2662" w:hanging="360"/>
      </w:pPr>
    </w:lvl>
    <w:lvl w:ilvl="4" w:tplc="E5B840C6" w:tentative="1">
      <w:start w:val="1"/>
      <w:numFmt w:val="lowerLetter"/>
      <w:lvlText w:val="%5."/>
      <w:lvlJc w:val="left"/>
      <w:pPr>
        <w:ind w:left="3382" w:hanging="360"/>
      </w:pPr>
    </w:lvl>
    <w:lvl w:ilvl="5" w:tplc="442E0FB8" w:tentative="1">
      <w:start w:val="1"/>
      <w:numFmt w:val="lowerRoman"/>
      <w:lvlText w:val="%6."/>
      <w:lvlJc w:val="right"/>
      <w:pPr>
        <w:ind w:left="4102" w:hanging="180"/>
      </w:pPr>
    </w:lvl>
    <w:lvl w:ilvl="6" w:tplc="7B668D62" w:tentative="1">
      <w:start w:val="1"/>
      <w:numFmt w:val="decimal"/>
      <w:lvlText w:val="%7."/>
      <w:lvlJc w:val="left"/>
      <w:pPr>
        <w:ind w:left="4822" w:hanging="360"/>
      </w:pPr>
    </w:lvl>
    <w:lvl w:ilvl="7" w:tplc="53623E40" w:tentative="1">
      <w:start w:val="1"/>
      <w:numFmt w:val="lowerLetter"/>
      <w:lvlText w:val="%8."/>
      <w:lvlJc w:val="left"/>
      <w:pPr>
        <w:ind w:left="5542" w:hanging="360"/>
      </w:pPr>
    </w:lvl>
    <w:lvl w:ilvl="8" w:tplc="8248A72C" w:tentative="1">
      <w:start w:val="1"/>
      <w:numFmt w:val="lowerRoman"/>
      <w:lvlText w:val="%9."/>
      <w:lvlJc w:val="right"/>
      <w:pPr>
        <w:ind w:left="6262" w:hanging="180"/>
      </w:pPr>
    </w:lvl>
  </w:abstractNum>
  <w:abstractNum w:abstractNumId="14" w15:restartNumberingAfterBreak="0">
    <w:nsid w:val="23802474"/>
    <w:multiLevelType w:val="hybridMultilevel"/>
    <w:tmpl w:val="1FDCACE8"/>
    <w:lvl w:ilvl="0" w:tplc="E14CD500">
      <w:start w:val="1"/>
      <w:numFmt w:val="hebrew1"/>
      <w:lvlText w:val="%1."/>
      <w:lvlJc w:val="center"/>
      <w:pPr>
        <w:tabs>
          <w:tab w:val="num" w:pos="1080"/>
        </w:tabs>
        <w:ind w:left="1080" w:hanging="360"/>
      </w:pPr>
      <w:rPr>
        <w:rFonts w:hint="default"/>
      </w:rPr>
    </w:lvl>
    <w:lvl w:ilvl="1" w:tplc="E042DA34" w:tentative="1">
      <w:start w:val="1"/>
      <w:numFmt w:val="lowerLetter"/>
      <w:lvlText w:val="%2."/>
      <w:lvlJc w:val="left"/>
      <w:pPr>
        <w:ind w:left="2160" w:hanging="360"/>
      </w:pPr>
    </w:lvl>
    <w:lvl w:ilvl="2" w:tplc="B7BAE586" w:tentative="1">
      <w:start w:val="1"/>
      <w:numFmt w:val="lowerRoman"/>
      <w:lvlText w:val="%3."/>
      <w:lvlJc w:val="right"/>
      <w:pPr>
        <w:ind w:left="2880" w:hanging="180"/>
      </w:pPr>
    </w:lvl>
    <w:lvl w:ilvl="3" w:tplc="CBDC4EEE" w:tentative="1">
      <w:start w:val="1"/>
      <w:numFmt w:val="decimal"/>
      <w:lvlText w:val="%4."/>
      <w:lvlJc w:val="left"/>
      <w:pPr>
        <w:ind w:left="3600" w:hanging="360"/>
      </w:pPr>
    </w:lvl>
    <w:lvl w:ilvl="4" w:tplc="89B8B996" w:tentative="1">
      <w:start w:val="1"/>
      <w:numFmt w:val="lowerLetter"/>
      <w:lvlText w:val="%5."/>
      <w:lvlJc w:val="left"/>
      <w:pPr>
        <w:ind w:left="4320" w:hanging="360"/>
      </w:pPr>
    </w:lvl>
    <w:lvl w:ilvl="5" w:tplc="200CD368" w:tentative="1">
      <w:start w:val="1"/>
      <w:numFmt w:val="lowerRoman"/>
      <w:lvlText w:val="%6."/>
      <w:lvlJc w:val="right"/>
      <w:pPr>
        <w:ind w:left="5040" w:hanging="180"/>
      </w:pPr>
    </w:lvl>
    <w:lvl w:ilvl="6" w:tplc="BED0B7C2" w:tentative="1">
      <w:start w:val="1"/>
      <w:numFmt w:val="decimal"/>
      <w:lvlText w:val="%7."/>
      <w:lvlJc w:val="left"/>
      <w:pPr>
        <w:ind w:left="5760" w:hanging="360"/>
      </w:pPr>
    </w:lvl>
    <w:lvl w:ilvl="7" w:tplc="0F58EC96" w:tentative="1">
      <w:start w:val="1"/>
      <w:numFmt w:val="lowerLetter"/>
      <w:lvlText w:val="%8."/>
      <w:lvlJc w:val="left"/>
      <w:pPr>
        <w:ind w:left="6480" w:hanging="360"/>
      </w:pPr>
    </w:lvl>
    <w:lvl w:ilvl="8" w:tplc="D3DC5B8A" w:tentative="1">
      <w:start w:val="1"/>
      <w:numFmt w:val="lowerRoman"/>
      <w:lvlText w:val="%9."/>
      <w:lvlJc w:val="right"/>
      <w:pPr>
        <w:ind w:left="7200" w:hanging="180"/>
      </w:pPr>
    </w:lvl>
  </w:abstractNum>
  <w:abstractNum w:abstractNumId="15" w15:restartNumberingAfterBreak="0">
    <w:nsid w:val="4B6100BF"/>
    <w:multiLevelType w:val="hybridMultilevel"/>
    <w:tmpl w:val="0DDE7A16"/>
    <w:lvl w:ilvl="0" w:tplc="B636EA46">
      <w:start w:val="1"/>
      <w:numFmt w:val="decimal"/>
      <w:lvlText w:val="(%1)"/>
      <w:lvlJc w:val="left"/>
      <w:pPr>
        <w:ind w:left="720" w:hanging="360"/>
      </w:pPr>
      <w:rPr>
        <w:rFonts w:ascii="Miriam" w:hAnsi="Miriam" w:cs="Miriam" w:hint="default"/>
        <w:sz w:val="24"/>
        <w:szCs w:val="24"/>
      </w:rPr>
    </w:lvl>
    <w:lvl w:ilvl="1" w:tplc="0C6E2200" w:tentative="1">
      <w:start w:val="1"/>
      <w:numFmt w:val="lowerLetter"/>
      <w:lvlText w:val="%2."/>
      <w:lvlJc w:val="left"/>
      <w:pPr>
        <w:ind w:left="1440" w:hanging="360"/>
      </w:pPr>
    </w:lvl>
    <w:lvl w:ilvl="2" w:tplc="B9D49E22" w:tentative="1">
      <w:start w:val="1"/>
      <w:numFmt w:val="lowerRoman"/>
      <w:lvlText w:val="%3."/>
      <w:lvlJc w:val="right"/>
      <w:pPr>
        <w:ind w:left="2160" w:hanging="180"/>
      </w:pPr>
    </w:lvl>
    <w:lvl w:ilvl="3" w:tplc="EBD6FF20" w:tentative="1">
      <w:start w:val="1"/>
      <w:numFmt w:val="decimal"/>
      <w:lvlText w:val="%4."/>
      <w:lvlJc w:val="left"/>
      <w:pPr>
        <w:ind w:left="2880" w:hanging="360"/>
      </w:pPr>
    </w:lvl>
    <w:lvl w:ilvl="4" w:tplc="381A9DCC" w:tentative="1">
      <w:start w:val="1"/>
      <w:numFmt w:val="lowerLetter"/>
      <w:lvlText w:val="%5."/>
      <w:lvlJc w:val="left"/>
      <w:pPr>
        <w:ind w:left="3600" w:hanging="360"/>
      </w:pPr>
    </w:lvl>
    <w:lvl w:ilvl="5" w:tplc="1CEE4452" w:tentative="1">
      <w:start w:val="1"/>
      <w:numFmt w:val="lowerRoman"/>
      <w:lvlText w:val="%6."/>
      <w:lvlJc w:val="right"/>
      <w:pPr>
        <w:ind w:left="4320" w:hanging="180"/>
      </w:pPr>
    </w:lvl>
    <w:lvl w:ilvl="6" w:tplc="64C08FEA" w:tentative="1">
      <w:start w:val="1"/>
      <w:numFmt w:val="decimal"/>
      <w:lvlText w:val="%7."/>
      <w:lvlJc w:val="left"/>
      <w:pPr>
        <w:ind w:left="5040" w:hanging="360"/>
      </w:pPr>
    </w:lvl>
    <w:lvl w:ilvl="7" w:tplc="9404DACC" w:tentative="1">
      <w:start w:val="1"/>
      <w:numFmt w:val="lowerLetter"/>
      <w:lvlText w:val="%8."/>
      <w:lvlJc w:val="left"/>
      <w:pPr>
        <w:ind w:left="5760" w:hanging="360"/>
      </w:pPr>
    </w:lvl>
    <w:lvl w:ilvl="8" w:tplc="6428DF2E" w:tentative="1">
      <w:start w:val="1"/>
      <w:numFmt w:val="lowerRoman"/>
      <w:lvlText w:val="%9."/>
      <w:lvlJc w:val="right"/>
      <w:pPr>
        <w:ind w:left="6480" w:hanging="180"/>
      </w:pPr>
    </w:lvl>
  </w:abstractNum>
  <w:abstractNum w:abstractNumId="16" w15:restartNumberingAfterBreak="0">
    <w:nsid w:val="4FE670AD"/>
    <w:multiLevelType w:val="hybridMultilevel"/>
    <w:tmpl w:val="BDBEA786"/>
    <w:lvl w:ilvl="0" w:tplc="FED6177C">
      <w:start w:val="2"/>
      <w:numFmt w:val="hebrew1"/>
      <w:lvlText w:val="%1."/>
      <w:lvlJc w:val="center"/>
      <w:pPr>
        <w:tabs>
          <w:tab w:val="num" w:pos="502"/>
        </w:tabs>
        <w:ind w:left="502" w:hanging="360"/>
      </w:pPr>
      <w:rPr>
        <w:rFonts w:hint="default"/>
      </w:rPr>
    </w:lvl>
    <w:lvl w:ilvl="1" w:tplc="42B45A3A" w:tentative="1">
      <w:start w:val="1"/>
      <w:numFmt w:val="lowerLetter"/>
      <w:lvlText w:val="%2."/>
      <w:lvlJc w:val="left"/>
      <w:pPr>
        <w:ind w:left="1440" w:hanging="360"/>
      </w:pPr>
    </w:lvl>
    <w:lvl w:ilvl="2" w:tplc="D2FC8AE0" w:tentative="1">
      <w:start w:val="1"/>
      <w:numFmt w:val="lowerRoman"/>
      <w:lvlText w:val="%3."/>
      <w:lvlJc w:val="right"/>
      <w:pPr>
        <w:ind w:left="2160" w:hanging="180"/>
      </w:pPr>
    </w:lvl>
    <w:lvl w:ilvl="3" w:tplc="4154ABC2" w:tentative="1">
      <w:start w:val="1"/>
      <w:numFmt w:val="decimal"/>
      <w:lvlText w:val="%4."/>
      <w:lvlJc w:val="left"/>
      <w:pPr>
        <w:ind w:left="2880" w:hanging="360"/>
      </w:pPr>
    </w:lvl>
    <w:lvl w:ilvl="4" w:tplc="DF1013CC" w:tentative="1">
      <w:start w:val="1"/>
      <w:numFmt w:val="lowerLetter"/>
      <w:lvlText w:val="%5."/>
      <w:lvlJc w:val="left"/>
      <w:pPr>
        <w:ind w:left="3600" w:hanging="360"/>
      </w:pPr>
    </w:lvl>
    <w:lvl w:ilvl="5" w:tplc="DE16A060" w:tentative="1">
      <w:start w:val="1"/>
      <w:numFmt w:val="lowerRoman"/>
      <w:lvlText w:val="%6."/>
      <w:lvlJc w:val="right"/>
      <w:pPr>
        <w:ind w:left="4320" w:hanging="180"/>
      </w:pPr>
    </w:lvl>
    <w:lvl w:ilvl="6" w:tplc="271253EC" w:tentative="1">
      <w:start w:val="1"/>
      <w:numFmt w:val="decimal"/>
      <w:lvlText w:val="%7."/>
      <w:lvlJc w:val="left"/>
      <w:pPr>
        <w:ind w:left="5040" w:hanging="360"/>
      </w:pPr>
    </w:lvl>
    <w:lvl w:ilvl="7" w:tplc="DCA64E2E" w:tentative="1">
      <w:start w:val="1"/>
      <w:numFmt w:val="lowerLetter"/>
      <w:lvlText w:val="%8."/>
      <w:lvlJc w:val="left"/>
      <w:pPr>
        <w:ind w:left="5760" w:hanging="360"/>
      </w:pPr>
    </w:lvl>
    <w:lvl w:ilvl="8" w:tplc="9B0C8030" w:tentative="1">
      <w:start w:val="1"/>
      <w:numFmt w:val="lowerRoman"/>
      <w:lvlText w:val="%9."/>
      <w:lvlJc w:val="right"/>
      <w:pPr>
        <w:ind w:left="6480" w:hanging="180"/>
      </w:pPr>
    </w:lvl>
  </w:abstractNum>
  <w:abstractNum w:abstractNumId="17" w15:restartNumberingAfterBreak="0">
    <w:nsid w:val="4FE70B62"/>
    <w:multiLevelType w:val="hybridMultilevel"/>
    <w:tmpl w:val="ADA8711E"/>
    <w:lvl w:ilvl="0" w:tplc="000AE190">
      <w:start w:val="1"/>
      <w:numFmt w:val="hebrew1"/>
      <w:pStyle w:val="Ruller40"/>
      <w:lvlText w:val="%1."/>
      <w:lvlJc w:val="left"/>
      <w:pPr>
        <w:tabs>
          <w:tab w:val="num" w:pos="907"/>
        </w:tabs>
        <w:ind w:left="0" w:firstLine="0"/>
      </w:pPr>
      <w:rPr>
        <w:rFonts w:hint="default"/>
      </w:rPr>
    </w:lvl>
    <w:lvl w:ilvl="1" w:tplc="096E1BD6" w:tentative="1">
      <w:start w:val="1"/>
      <w:numFmt w:val="lowerLetter"/>
      <w:lvlText w:val="%2."/>
      <w:lvlJc w:val="left"/>
      <w:pPr>
        <w:tabs>
          <w:tab w:val="num" w:pos="1440"/>
        </w:tabs>
        <w:ind w:left="1440" w:hanging="360"/>
      </w:pPr>
    </w:lvl>
    <w:lvl w:ilvl="2" w:tplc="43020894" w:tentative="1">
      <w:start w:val="1"/>
      <w:numFmt w:val="lowerRoman"/>
      <w:lvlText w:val="%3."/>
      <w:lvlJc w:val="right"/>
      <w:pPr>
        <w:tabs>
          <w:tab w:val="num" w:pos="2160"/>
        </w:tabs>
        <w:ind w:left="2160" w:hanging="180"/>
      </w:pPr>
    </w:lvl>
    <w:lvl w:ilvl="3" w:tplc="6960EB78" w:tentative="1">
      <w:start w:val="1"/>
      <w:numFmt w:val="decimal"/>
      <w:lvlText w:val="%4."/>
      <w:lvlJc w:val="left"/>
      <w:pPr>
        <w:tabs>
          <w:tab w:val="num" w:pos="2880"/>
        </w:tabs>
        <w:ind w:left="2880" w:hanging="360"/>
      </w:pPr>
    </w:lvl>
    <w:lvl w:ilvl="4" w:tplc="E76465AE" w:tentative="1">
      <w:start w:val="1"/>
      <w:numFmt w:val="lowerLetter"/>
      <w:lvlText w:val="%5."/>
      <w:lvlJc w:val="left"/>
      <w:pPr>
        <w:tabs>
          <w:tab w:val="num" w:pos="3600"/>
        </w:tabs>
        <w:ind w:left="3600" w:hanging="360"/>
      </w:pPr>
    </w:lvl>
    <w:lvl w:ilvl="5" w:tplc="46742498" w:tentative="1">
      <w:start w:val="1"/>
      <w:numFmt w:val="lowerRoman"/>
      <w:lvlText w:val="%6."/>
      <w:lvlJc w:val="right"/>
      <w:pPr>
        <w:tabs>
          <w:tab w:val="num" w:pos="4320"/>
        </w:tabs>
        <w:ind w:left="4320" w:hanging="180"/>
      </w:pPr>
    </w:lvl>
    <w:lvl w:ilvl="6" w:tplc="2E725532" w:tentative="1">
      <w:start w:val="1"/>
      <w:numFmt w:val="decimal"/>
      <w:lvlText w:val="%7."/>
      <w:lvlJc w:val="left"/>
      <w:pPr>
        <w:tabs>
          <w:tab w:val="num" w:pos="5040"/>
        </w:tabs>
        <w:ind w:left="5040" w:hanging="360"/>
      </w:pPr>
    </w:lvl>
    <w:lvl w:ilvl="7" w:tplc="DFAA0D42" w:tentative="1">
      <w:start w:val="1"/>
      <w:numFmt w:val="lowerLetter"/>
      <w:lvlText w:val="%8."/>
      <w:lvlJc w:val="left"/>
      <w:pPr>
        <w:tabs>
          <w:tab w:val="num" w:pos="5760"/>
        </w:tabs>
        <w:ind w:left="5760" w:hanging="360"/>
      </w:pPr>
    </w:lvl>
    <w:lvl w:ilvl="8" w:tplc="F3BE6A1A" w:tentative="1">
      <w:start w:val="1"/>
      <w:numFmt w:val="lowerRoman"/>
      <w:lvlText w:val="%9."/>
      <w:lvlJc w:val="right"/>
      <w:pPr>
        <w:tabs>
          <w:tab w:val="num" w:pos="6480"/>
        </w:tabs>
        <w:ind w:left="6480" w:hanging="180"/>
      </w:pPr>
    </w:lvl>
  </w:abstractNum>
  <w:abstractNum w:abstractNumId="18" w15:restartNumberingAfterBreak="0">
    <w:nsid w:val="683A3B9B"/>
    <w:multiLevelType w:val="hybridMultilevel"/>
    <w:tmpl w:val="4580B59C"/>
    <w:lvl w:ilvl="0" w:tplc="B7A2403C">
      <w:start w:val="2"/>
      <w:numFmt w:val="hebrew1"/>
      <w:lvlText w:val="%1."/>
      <w:lvlJc w:val="center"/>
      <w:pPr>
        <w:tabs>
          <w:tab w:val="num" w:pos="502"/>
        </w:tabs>
        <w:ind w:left="502" w:hanging="360"/>
      </w:pPr>
      <w:rPr>
        <w:rFonts w:hint="default"/>
      </w:rPr>
    </w:lvl>
    <w:lvl w:ilvl="1" w:tplc="C29C4ECC">
      <w:start w:val="1"/>
      <w:numFmt w:val="lowerLetter"/>
      <w:lvlText w:val="%2."/>
      <w:lvlJc w:val="left"/>
      <w:pPr>
        <w:ind w:left="1440" w:hanging="360"/>
      </w:pPr>
    </w:lvl>
    <w:lvl w:ilvl="2" w:tplc="5CB640D4" w:tentative="1">
      <w:start w:val="1"/>
      <w:numFmt w:val="lowerRoman"/>
      <w:lvlText w:val="%3."/>
      <w:lvlJc w:val="right"/>
      <w:pPr>
        <w:ind w:left="2160" w:hanging="180"/>
      </w:pPr>
    </w:lvl>
    <w:lvl w:ilvl="3" w:tplc="5A561BA4" w:tentative="1">
      <w:start w:val="1"/>
      <w:numFmt w:val="decimal"/>
      <w:lvlText w:val="%4."/>
      <w:lvlJc w:val="left"/>
      <w:pPr>
        <w:ind w:left="2880" w:hanging="360"/>
      </w:pPr>
    </w:lvl>
    <w:lvl w:ilvl="4" w:tplc="AA4253F2" w:tentative="1">
      <w:start w:val="1"/>
      <w:numFmt w:val="lowerLetter"/>
      <w:lvlText w:val="%5."/>
      <w:lvlJc w:val="left"/>
      <w:pPr>
        <w:ind w:left="3600" w:hanging="360"/>
      </w:pPr>
    </w:lvl>
    <w:lvl w:ilvl="5" w:tplc="D4F09AAA" w:tentative="1">
      <w:start w:val="1"/>
      <w:numFmt w:val="lowerRoman"/>
      <w:lvlText w:val="%6."/>
      <w:lvlJc w:val="right"/>
      <w:pPr>
        <w:ind w:left="4320" w:hanging="180"/>
      </w:pPr>
    </w:lvl>
    <w:lvl w:ilvl="6" w:tplc="03DC830A" w:tentative="1">
      <w:start w:val="1"/>
      <w:numFmt w:val="decimal"/>
      <w:lvlText w:val="%7."/>
      <w:lvlJc w:val="left"/>
      <w:pPr>
        <w:ind w:left="5040" w:hanging="360"/>
      </w:pPr>
    </w:lvl>
    <w:lvl w:ilvl="7" w:tplc="9FC6FEB4" w:tentative="1">
      <w:start w:val="1"/>
      <w:numFmt w:val="lowerLetter"/>
      <w:lvlText w:val="%8."/>
      <w:lvlJc w:val="left"/>
      <w:pPr>
        <w:ind w:left="5760" w:hanging="360"/>
      </w:pPr>
    </w:lvl>
    <w:lvl w:ilvl="8" w:tplc="EECA70D2" w:tentative="1">
      <w:start w:val="1"/>
      <w:numFmt w:val="lowerRoman"/>
      <w:lvlText w:val="%9."/>
      <w:lvlJc w:val="right"/>
      <w:pPr>
        <w:ind w:left="6480" w:hanging="180"/>
      </w:pPr>
    </w:lvl>
  </w:abstractNum>
  <w:abstractNum w:abstractNumId="19" w15:restartNumberingAfterBreak="0">
    <w:nsid w:val="7977262B"/>
    <w:multiLevelType w:val="hybridMultilevel"/>
    <w:tmpl w:val="01C42CA4"/>
    <w:lvl w:ilvl="0" w:tplc="299A796C">
      <w:start w:val="4"/>
      <w:numFmt w:val="hebrew1"/>
      <w:lvlText w:val="%1."/>
      <w:lvlJc w:val="center"/>
      <w:pPr>
        <w:tabs>
          <w:tab w:val="num" w:pos="360"/>
        </w:tabs>
        <w:ind w:left="360" w:hanging="360"/>
      </w:pPr>
      <w:rPr>
        <w:rFonts w:hint="default"/>
      </w:rPr>
    </w:lvl>
    <w:lvl w:ilvl="1" w:tplc="AF947136" w:tentative="1">
      <w:start w:val="1"/>
      <w:numFmt w:val="lowerLetter"/>
      <w:lvlText w:val="%2."/>
      <w:lvlJc w:val="left"/>
      <w:pPr>
        <w:ind w:left="1440" w:hanging="360"/>
      </w:pPr>
    </w:lvl>
    <w:lvl w:ilvl="2" w:tplc="A9687478" w:tentative="1">
      <w:start w:val="1"/>
      <w:numFmt w:val="lowerRoman"/>
      <w:lvlText w:val="%3."/>
      <w:lvlJc w:val="right"/>
      <w:pPr>
        <w:ind w:left="2160" w:hanging="180"/>
      </w:pPr>
    </w:lvl>
    <w:lvl w:ilvl="3" w:tplc="AB6E1BC2" w:tentative="1">
      <w:start w:val="1"/>
      <w:numFmt w:val="decimal"/>
      <w:lvlText w:val="%4."/>
      <w:lvlJc w:val="left"/>
      <w:pPr>
        <w:ind w:left="2880" w:hanging="360"/>
      </w:pPr>
    </w:lvl>
    <w:lvl w:ilvl="4" w:tplc="598CAD48" w:tentative="1">
      <w:start w:val="1"/>
      <w:numFmt w:val="lowerLetter"/>
      <w:lvlText w:val="%5."/>
      <w:lvlJc w:val="left"/>
      <w:pPr>
        <w:ind w:left="3600" w:hanging="360"/>
      </w:pPr>
    </w:lvl>
    <w:lvl w:ilvl="5" w:tplc="334EBC46" w:tentative="1">
      <w:start w:val="1"/>
      <w:numFmt w:val="lowerRoman"/>
      <w:lvlText w:val="%6."/>
      <w:lvlJc w:val="right"/>
      <w:pPr>
        <w:ind w:left="4320" w:hanging="180"/>
      </w:pPr>
    </w:lvl>
    <w:lvl w:ilvl="6" w:tplc="73EEFBFE" w:tentative="1">
      <w:start w:val="1"/>
      <w:numFmt w:val="decimal"/>
      <w:lvlText w:val="%7."/>
      <w:lvlJc w:val="left"/>
      <w:pPr>
        <w:ind w:left="5040" w:hanging="360"/>
      </w:pPr>
    </w:lvl>
    <w:lvl w:ilvl="7" w:tplc="DDA6C3F4" w:tentative="1">
      <w:start w:val="1"/>
      <w:numFmt w:val="lowerLetter"/>
      <w:lvlText w:val="%8."/>
      <w:lvlJc w:val="left"/>
      <w:pPr>
        <w:ind w:left="5760" w:hanging="360"/>
      </w:pPr>
    </w:lvl>
    <w:lvl w:ilvl="8" w:tplc="102E35EC"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7"/>
  </w:num>
  <w:num w:numId="12">
    <w:abstractNumId w:val="11"/>
  </w:num>
  <w:num w:numId="13">
    <w:abstractNumId w:val="18"/>
  </w:num>
  <w:num w:numId="14">
    <w:abstractNumId w:val="12"/>
  </w:num>
  <w:num w:numId="15">
    <w:abstractNumId w:val="11"/>
    <w:lvlOverride w:ilvl="0">
      <w:startOverride w:val="1"/>
    </w:lvlOverride>
  </w:num>
  <w:num w:numId="16">
    <w:abstractNumId w:val="13"/>
  </w:num>
  <w:num w:numId="17">
    <w:abstractNumId w:val="16"/>
  </w:num>
  <w:num w:numId="18">
    <w:abstractNumId w:val="10"/>
  </w:num>
  <w:num w:numId="19">
    <w:abstractNumId w:val="15"/>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725F5"/>
    <w:rsid w:val="00072AD2"/>
    <w:rsid w:val="00090D71"/>
    <w:rsid w:val="000B1478"/>
    <w:rsid w:val="000C4690"/>
    <w:rsid w:val="000D25C4"/>
    <w:rsid w:val="00134A67"/>
    <w:rsid w:val="001A0164"/>
    <w:rsid w:val="00200D6B"/>
    <w:rsid w:val="00265F6E"/>
    <w:rsid w:val="002876BF"/>
    <w:rsid w:val="002A4A7A"/>
    <w:rsid w:val="002A4BF3"/>
    <w:rsid w:val="002B52CB"/>
    <w:rsid w:val="002F7BB6"/>
    <w:rsid w:val="003448B2"/>
    <w:rsid w:val="00361DB2"/>
    <w:rsid w:val="0037622E"/>
    <w:rsid w:val="00377102"/>
    <w:rsid w:val="0039709B"/>
    <w:rsid w:val="003D72DA"/>
    <w:rsid w:val="003F1F97"/>
    <w:rsid w:val="0041048F"/>
    <w:rsid w:val="00437D59"/>
    <w:rsid w:val="004610A4"/>
    <w:rsid w:val="004B29FF"/>
    <w:rsid w:val="004B7259"/>
    <w:rsid w:val="004C7868"/>
    <w:rsid w:val="00503A3E"/>
    <w:rsid w:val="00521DDF"/>
    <w:rsid w:val="00527F02"/>
    <w:rsid w:val="00534816"/>
    <w:rsid w:val="005803E2"/>
    <w:rsid w:val="0058440A"/>
    <w:rsid w:val="00591983"/>
    <w:rsid w:val="00624A42"/>
    <w:rsid w:val="0065522F"/>
    <w:rsid w:val="006A30F7"/>
    <w:rsid w:val="006C42AD"/>
    <w:rsid w:val="007100DC"/>
    <w:rsid w:val="00725345"/>
    <w:rsid w:val="00741CC0"/>
    <w:rsid w:val="007B512F"/>
    <w:rsid w:val="007F7512"/>
    <w:rsid w:val="00810894"/>
    <w:rsid w:val="008143AB"/>
    <w:rsid w:val="0083345F"/>
    <w:rsid w:val="00836667"/>
    <w:rsid w:val="008525CB"/>
    <w:rsid w:val="00866D0F"/>
    <w:rsid w:val="008C2F11"/>
    <w:rsid w:val="008C78D9"/>
    <w:rsid w:val="008D78B9"/>
    <w:rsid w:val="008E3F85"/>
    <w:rsid w:val="009051E8"/>
    <w:rsid w:val="00914156"/>
    <w:rsid w:val="00916FF8"/>
    <w:rsid w:val="00922093"/>
    <w:rsid w:val="00930C85"/>
    <w:rsid w:val="009B38DA"/>
    <w:rsid w:val="009E7983"/>
    <w:rsid w:val="009F2F53"/>
    <w:rsid w:val="009F4187"/>
    <w:rsid w:val="00A12E0F"/>
    <w:rsid w:val="00A51FAE"/>
    <w:rsid w:val="00A75A37"/>
    <w:rsid w:val="00A80845"/>
    <w:rsid w:val="00AB69F7"/>
    <w:rsid w:val="00AD097B"/>
    <w:rsid w:val="00AD64B9"/>
    <w:rsid w:val="00AE022B"/>
    <w:rsid w:val="00B009CC"/>
    <w:rsid w:val="00B0782A"/>
    <w:rsid w:val="00B62B8C"/>
    <w:rsid w:val="00B63343"/>
    <w:rsid w:val="00B87FF7"/>
    <w:rsid w:val="00BA0B08"/>
    <w:rsid w:val="00BC0E82"/>
    <w:rsid w:val="00BD40F9"/>
    <w:rsid w:val="00C41C86"/>
    <w:rsid w:val="00C63A6C"/>
    <w:rsid w:val="00CA13AF"/>
    <w:rsid w:val="00CA1444"/>
    <w:rsid w:val="00CB1590"/>
    <w:rsid w:val="00CB7600"/>
    <w:rsid w:val="00CC0E9D"/>
    <w:rsid w:val="00CC3639"/>
    <w:rsid w:val="00D00B1D"/>
    <w:rsid w:val="00D00CB7"/>
    <w:rsid w:val="00D25F16"/>
    <w:rsid w:val="00E21CA9"/>
    <w:rsid w:val="00E31063"/>
    <w:rsid w:val="00E36FE9"/>
    <w:rsid w:val="00E73E98"/>
    <w:rsid w:val="00E75223"/>
    <w:rsid w:val="00E90D72"/>
    <w:rsid w:val="00EA0BE1"/>
    <w:rsid w:val="00EC23AC"/>
    <w:rsid w:val="00EC2992"/>
    <w:rsid w:val="00ED46A4"/>
    <w:rsid w:val="00ED6FD9"/>
    <w:rsid w:val="00EE3810"/>
    <w:rsid w:val="00F63C3B"/>
    <w:rsid w:val="00F9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A71D7"/>
  <w15:chartTrackingRefBased/>
  <w15:docId w15:val="{ACAB0AD0-2454-4BB1-90BD-4DD32E56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paragraph" w:styleId="5">
    <w:name w:val="heading 5"/>
    <w:basedOn w:val="a"/>
    <w:link w:val="50"/>
    <w:uiPriority w:val="9"/>
    <w:qFormat/>
    <w:rsid w:val="00A75A37"/>
    <w:pPr>
      <w:overflowPunct/>
      <w:autoSpaceDE/>
      <w:autoSpaceDN/>
      <w:bidi w:val="0"/>
      <w:adjustRightInd/>
      <w:spacing w:before="100" w:beforeAutospacing="1" w:after="100" w:afterAutospacing="1"/>
      <w:textAlignment w:val="auto"/>
      <w:outlineLvl w:val="4"/>
    </w:pPr>
    <w:rPr>
      <w:rFonts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uiPriority w:val="99"/>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character" w:customStyle="1" w:styleId="50">
    <w:name w:val="כותרת 5 תו"/>
    <w:basedOn w:val="a0"/>
    <w:link w:val="5"/>
    <w:uiPriority w:val="9"/>
    <w:rsid w:val="00A75A37"/>
    <w:rPr>
      <w:b/>
      <w:bCs/>
    </w:rPr>
  </w:style>
  <w:style w:type="paragraph" w:customStyle="1" w:styleId="Ruller4">
    <w:name w:val="Ruller 4 ממוספר"/>
    <w:basedOn w:val="Ruller41"/>
    <w:next w:val="Ruller41"/>
    <w:rsid w:val="00A75A37"/>
    <w:pPr>
      <w:numPr>
        <w:numId w:val="12"/>
      </w:numPr>
      <w:tabs>
        <w:tab w:val="clear" w:pos="800"/>
        <w:tab w:val="clear" w:pos="1049"/>
        <w:tab w:val="num" w:pos="907"/>
      </w:tabs>
      <w:overflowPunct/>
      <w:autoSpaceDE/>
      <w:autoSpaceDN/>
      <w:adjustRightInd/>
      <w:ind w:left="0"/>
      <w:textAlignment w:val="auto"/>
    </w:pPr>
    <w:rPr>
      <w:rFonts w:ascii="Garamond" w:hAnsi="Garamond"/>
      <w:sz w:val="24"/>
    </w:rPr>
  </w:style>
  <w:style w:type="paragraph" w:customStyle="1" w:styleId="Ruller40">
    <w:name w:val="Ruller4 אלפביתי"/>
    <w:basedOn w:val="Ruller41"/>
    <w:next w:val="Ruller41"/>
    <w:rsid w:val="00A75A37"/>
    <w:pPr>
      <w:numPr>
        <w:numId w:val="11"/>
      </w:numPr>
      <w:overflowPunct/>
      <w:autoSpaceDE/>
      <w:autoSpaceDN/>
      <w:adjustRightInd/>
      <w:textAlignment w:val="auto"/>
    </w:pPr>
    <w:rPr>
      <w:sz w:val="28"/>
    </w:rPr>
  </w:style>
  <w:style w:type="paragraph" w:customStyle="1" w:styleId="P00">
    <w:name w:val="P00"/>
    <w:link w:val="P000"/>
    <w:rsid w:val="00A75A3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default">
    <w:name w:val="default"/>
    <w:rsid w:val="00A75A37"/>
    <w:rPr>
      <w:rFonts w:ascii="Times New Roman" w:hAnsi="Times New Roman" w:cs="Times New Roman"/>
      <w:sz w:val="20"/>
      <w:szCs w:val="26"/>
    </w:rPr>
  </w:style>
  <w:style w:type="character" w:customStyle="1" w:styleId="P000">
    <w:name w:val="P00 תו"/>
    <w:link w:val="P00"/>
    <w:rsid w:val="00A75A37"/>
    <w:rPr>
      <w:rFonts w:cs="FrankRuehl"/>
      <w:noProof/>
      <w:szCs w:val="26"/>
      <w:lang w:eastAsia="he-IL"/>
    </w:rPr>
  </w:style>
  <w:style w:type="paragraph" w:customStyle="1" w:styleId="P22">
    <w:name w:val="P22"/>
    <w:basedOn w:val="P00"/>
    <w:rsid w:val="00A75A37"/>
    <w:pPr>
      <w:tabs>
        <w:tab w:val="clear" w:pos="624"/>
        <w:tab w:val="clear" w:pos="1021"/>
      </w:tabs>
      <w:ind w:right="1021"/>
    </w:pPr>
  </w:style>
  <w:style w:type="paragraph" w:styleId="ae">
    <w:name w:val="Plain Text"/>
    <w:basedOn w:val="a"/>
    <w:link w:val="af"/>
    <w:unhideWhenUsed/>
    <w:rsid w:val="00A75A37"/>
    <w:pPr>
      <w:overflowPunct/>
      <w:autoSpaceDE/>
      <w:autoSpaceDN/>
      <w:bidi w:val="0"/>
      <w:adjustRightInd/>
      <w:spacing w:line="360" w:lineRule="auto"/>
      <w:textAlignment w:val="auto"/>
    </w:pPr>
    <w:rPr>
      <w:rFonts w:ascii="Courier New" w:hAnsi="Courier New" w:cs="Courier New"/>
      <w:szCs w:val="20"/>
    </w:rPr>
  </w:style>
  <w:style w:type="character" w:customStyle="1" w:styleId="af">
    <w:name w:val="טקסט רגיל תו"/>
    <w:basedOn w:val="a0"/>
    <w:link w:val="ae"/>
    <w:rsid w:val="00A75A37"/>
    <w:rPr>
      <w:rFonts w:ascii="Courier New" w:hAnsi="Courier New" w:cs="Courier New"/>
    </w:rPr>
  </w:style>
  <w:style w:type="character" w:customStyle="1" w:styleId="big-number">
    <w:name w:val="big-number"/>
    <w:rsid w:val="00A75A37"/>
    <w:rPr>
      <w:rFonts w:ascii="Times New Roman" w:hAnsi="Times New Roman" w:cs="Times New Roman"/>
      <w:sz w:val="32"/>
      <w:szCs w:val="32"/>
    </w:rPr>
  </w:style>
  <w:style w:type="paragraph" w:customStyle="1" w:styleId="medium2-header">
    <w:name w:val="medium2-header"/>
    <w:basedOn w:val="a"/>
    <w:rsid w:val="00A75A37"/>
    <w:pPr>
      <w:keepNext/>
      <w:keepLines/>
      <w:widowControl w:val="0"/>
      <w:tabs>
        <w:tab w:val="left" w:pos="624"/>
        <w:tab w:val="left" w:pos="1021"/>
        <w:tab w:val="left" w:pos="1474"/>
        <w:tab w:val="left" w:pos="1928"/>
        <w:tab w:val="left" w:pos="2381"/>
        <w:tab w:val="left" w:pos="2835"/>
      </w:tabs>
      <w:suppressAutoHyphens/>
      <w:overflowPunct/>
      <w:adjustRightInd/>
      <w:spacing w:before="240"/>
      <w:ind w:left="2835"/>
      <w:jc w:val="center"/>
      <w:textAlignment w:val="auto"/>
    </w:pPr>
    <w:rPr>
      <w:rFonts w:cs="Times New Roman"/>
      <w:bCs/>
      <w:sz w:val="24"/>
      <w:lang w:eastAsia="he-IL"/>
    </w:rPr>
  </w:style>
  <w:style w:type="character" w:customStyle="1" w:styleId="Ruller42">
    <w:name w:val="Ruller4 תו"/>
    <w:link w:val="Ruller41"/>
    <w:locked/>
    <w:rsid w:val="00A75A37"/>
    <w:rPr>
      <w:rFonts w:ascii="Arial TUR" w:hAnsi="Arial TUR" w:cs="FrankRuehl"/>
      <w:spacing w:val="10"/>
      <w:sz w:val="22"/>
      <w:szCs w:val="28"/>
    </w:rPr>
  </w:style>
  <w:style w:type="paragraph" w:customStyle="1" w:styleId="af0">
    <w:name w:val="אזכורים"/>
    <w:basedOn w:val="a"/>
    <w:rsid w:val="00A75A37"/>
    <w:pPr>
      <w:tabs>
        <w:tab w:val="left" w:pos="567"/>
      </w:tabs>
      <w:spacing w:after="40" w:line="270" w:lineRule="exact"/>
      <w:ind w:left="567" w:hanging="567"/>
      <w:jc w:val="both"/>
    </w:pPr>
    <w:rPr>
      <w:rFonts w:cs="FrankRuehl"/>
      <w:lang w:eastAsia="he-IL"/>
    </w:rPr>
  </w:style>
  <w:style w:type="paragraph" w:customStyle="1" w:styleId="big-header">
    <w:name w:val="big-header"/>
    <w:basedOn w:val="a"/>
    <w:rsid w:val="00A75A37"/>
    <w:pPr>
      <w:keepNext/>
      <w:keepLines/>
      <w:widowControl w:val="0"/>
      <w:tabs>
        <w:tab w:val="left" w:pos="624"/>
        <w:tab w:val="left" w:pos="1021"/>
        <w:tab w:val="left" w:pos="1474"/>
        <w:tab w:val="left" w:pos="1928"/>
        <w:tab w:val="left" w:pos="2381"/>
        <w:tab w:val="left" w:pos="2835"/>
      </w:tabs>
      <w:suppressAutoHyphens/>
      <w:overflowPunct/>
      <w:adjustRightInd/>
      <w:spacing w:before="440" w:after="120"/>
      <w:ind w:left="2835"/>
      <w:jc w:val="center"/>
      <w:textAlignment w:val="auto"/>
    </w:pPr>
    <w:rPr>
      <w:rFonts w:cs="Times New Roman"/>
      <w:noProof/>
      <w:szCs w:val="32"/>
      <w:lang w:eastAsia="he-IL"/>
    </w:rPr>
  </w:style>
  <w:style w:type="paragraph" w:customStyle="1" w:styleId="footnote">
    <w:name w:val="footnote"/>
    <w:basedOn w:val="P00"/>
    <w:rsid w:val="00A75A37"/>
    <w:pPr>
      <w:tabs>
        <w:tab w:val="clear" w:pos="624"/>
        <w:tab w:val="clear" w:pos="1021"/>
        <w:tab w:val="clear" w:pos="1474"/>
        <w:tab w:val="clear" w:pos="1928"/>
        <w:tab w:val="clear" w:pos="2381"/>
        <w:tab w:val="clear" w:pos="2835"/>
        <w:tab w:val="clear" w:pos="6259"/>
      </w:tabs>
      <w:spacing w:before="0"/>
    </w:pPr>
    <w:rPr>
      <w:rFonts w:cs="Times New Roman"/>
      <w:sz w:val="22"/>
      <w:szCs w:val="22"/>
    </w:rPr>
  </w:style>
  <w:style w:type="paragraph" w:customStyle="1" w:styleId="page">
    <w:name w:val="page"/>
    <w:rsid w:val="00A75A37"/>
    <w:pPr>
      <w:widowControl w:val="0"/>
      <w:autoSpaceDE w:val="0"/>
      <w:autoSpaceDN w:val="0"/>
      <w:bidi/>
    </w:pPr>
    <w:rPr>
      <w:noProof/>
      <w:position w:val="4"/>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7421</Words>
  <Characters>37106</Characters>
  <Application>Microsoft Office Word</Application>
  <DocSecurity>0</DocSecurity>
  <Lines>309</Lines>
  <Paragraphs>88</Paragraphs>
  <ScaleCrop>false</ScaleCrop>
  <HeadingPairs>
    <vt:vector size="2" baseType="variant">
      <vt:variant>
        <vt:lpstr>שם</vt:lpstr>
      </vt:variant>
      <vt:variant>
        <vt:i4>1</vt:i4>
      </vt:variant>
    </vt:vector>
  </HeadingPairs>
  <TitlesOfParts>
    <vt:vector size="1" baseType="lpstr">
      <vt:lpstr>פסק-דין בתיק ע"א  3159/19</vt:lpstr>
    </vt:vector>
  </TitlesOfParts>
  <Company/>
  <LinksUpToDate>false</LinksUpToDate>
  <CharactersWithSpaces>44439</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2020-10-18T12:05:28Z</cp:lastPrinted>
  <dcterms:created xsi:type="dcterms:W3CDTF">2020-10-18T12:05:28Z</dcterms:created>
  <dcterms:modified xsi:type="dcterms:W3CDTF">2020-10-18T12:05:28Z</dcterms:modified>
</cp:coreProperties>
</file>