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72" w:type="dxa"/>
        <w:tblLook w:val="0000" w:firstRow="0" w:lastRow="0" w:firstColumn="0" w:lastColumn="0" w:noHBand="0" w:noVBand="0"/>
      </w:tblPr>
      <w:tblGrid>
        <w:gridCol w:w="9"/>
        <w:gridCol w:w="8354"/>
        <w:gridCol w:w="9"/>
      </w:tblGrid>
      <w:tr w:rsidR="00036227" w:rsidTr="00353C0D">
        <w:trPr>
          <w:gridBefore w:val="1"/>
          <w:wBefore w:w="9" w:type="dxa"/>
        </w:trPr>
        <w:tc>
          <w:tcPr>
            <w:tcW w:w="8363" w:type="dxa"/>
            <w:gridSpan w:val="2"/>
          </w:tcPr>
          <w:p w:rsidR="00916FF8" w:rsidRPr="00624A42" w:rsidRDefault="00552FB9" w:rsidP="00353C0D">
            <w:pPr>
              <w:pStyle w:val="FileNumber0"/>
              <w:spacing w:line="240" w:lineRule="auto"/>
              <w:rPr>
                <w:sz w:val="28"/>
                <w:u w:val="single"/>
                <w:rtl/>
              </w:rPr>
            </w:pPr>
            <w:bookmarkStart w:id="0" w:name="_GoBack"/>
            <w:bookmarkEnd w:id="0"/>
            <w:r>
              <w:rPr>
                <w:u w:val="single"/>
                <w:rtl/>
              </w:rPr>
              <w:t>בבית המשפט העליון בשבתו כבית משפט לערעורים אזרחיים</w:t>
            </w:r>
          </w:p>
        </w:tc>
      </w:tr>
      <w:tr w:rsidR="00036227" w:rsidTr="00353C0D">
        <w:trPr>
          <w:gridAfter w:val="1"/>
          <w:wAfter w:w="9" w:type="dxa"/>
          <w:trHeight w:val="342"/>
        </w:trPr>
        <w:tc>
          <w:tcPr>
            <w:tcW w:w="8363" w:type="dxa"/>
            <w:gridSpan w:val="2"/>
          </w:tcPr>
          <w:p w:rsidR="00916FF8" w:rsidRPr="00810894" w:rsidRDefault="00552FB9" w:rsidP="00353C0D">
            <w:pPr>
              <w:pStyle w:val="FileNumber"/>
              <w:spacing w:line="240" w:lineRule="auto"/>
              <w:rPr>
                <w:sz w:val="28"/>
                <w:szCs w:val="28"/>
              </w:rPr>
            </w:pPr>
            <w:bookmarkStart w:id="1" w:name="casename_body"/>
            <w:r>
              <w:rPr>
                <w:sz w:val="28"/>
                <w:szCs w:val="28"/>
                <w:rtl/>
              </w:rPr>
              <w:t>ע"א  4900/19</w:t>
            </w:r>
          </w:p>
        </w:tc>
      </w:tr>
      <w:bookmarkEnd w:id="1"/>
    </w:tbl>
    <w:p w:rsidR="00916FF8" w:rsidRDefault="00916FF8" w:rsidP="00353C0D">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rsidP="00353C0D">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552FB9" w:rsidP="00353C0D">
            <w:pPr>
              <w:pStyle w:val="BodyRuller"/>
            </w:pPr>
            <w:r>
              <w:rPr>
                <w:rtl/>
              </w:rPr>
              <w:t>כבוד השופט י' עמית</w:t>
            </w:r>
          </w:p>
        </w:tc>
      </w:tr>
      <w:tr w:rsidR="00552FB9" w:rsidTr="00EC23AC">
        <w:trPr>
          <w:trHeight w:val="287"/>
        </w:trPr>
        <w:tc>
          <w:tcPr>
            <w:tcW w:w="3261" w:type="dxa"/>
          </w:tcPr>
          <w:p w:rsidR="00552FB9" w:rsidRDefault="00552FB9" w:rsidP="00353C0D">
            <w:pPr>
              <w:pStyle w:val="BodyRuller"/>
              <w:rPr>
                <w:rtl/>
              </w:rPr>
            </w:pPr>
          </w:p>
        </w:tc>
        <w:tc>
          <w:tcPr>
            <w:tcW w:w="5239" w:type="dxa"/>
          </w:tcPr>
          <w:p w:rsidR="00552FB9" w:rsidRDefault="00552FB9" w:rsidP="00353C0D">
            <w:pPr>
              <w:pStyle w:val="BodyRuller"/>
              <w:rPr>
                <w:rtl/>
              </w:rPr>
            </w:pPr>
            <w:r>
              <w:rPr>
                <w:rtl/>
              </w:rPr>
              <w:t>כבוד השופט י' אלרון</w:t>
            </w:r>
          </w:p>
        </w:tc>
      </w:tr>
      <w:tr w:rsidR="00552FB9" w:rsidTr="00EC23AC">
        <w:trPr>
          <w:trHeight w:val="287"/>
        </w:trPr>
        <w:tc>
          <w:tcPr>
            <w:tcW w:w="3261" w:type="dxa"/>
          </w:tcPr>
          <w:p w:rsidR="00552FB9" w:rsidRDefault="00552FB9" w:rsidP="00353C0D">
            <w:pPr>
              <w:pStyle w:val="BodyRuller"/>
              <w:rPr>
                <w:rtl/>
              </w:rPr>
            </w:pPr>
          </w:p>
        </w:tc>
        <w:tc>
          <w:tcPr>
            <w:tcW w:w="5239" w:type="dxa"/>
          </w:tcPr>
          <w:p w:rsidR="00552FB9" w:rsidRDefault="00552FB9" w:rsidP="00353C0D">
            <w:pPr>
              <w:pStyle w:val="BodyRuller"/>
              <w:rPr>
                <w:rtl/>
              </w:rPr>
            </w:pPr>
            <w:r>
              <w:rPr>
                <w:rtl/>
              </w:rPr>
              <w:t>כבוד השופט ע' גרוסקופף</w:t>
            </w:r>
          </w:p>
        </w:tc>
      </w:tr>
    </w:tbl>
    <w:p w:rsidR="00916FF8" w:rsidRDefault="00916FF8" w:rsidP="00353C0D">
      <w:pPr>
        <w:pStyle w:val="Ruller3"/>
        <w:spacing w:line="240" w:lineRule="auto"/>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353C0D">
        <w:trPr>
          <w:trHeight w:val="287"/>
        </w:trPr>
        <w:tc>
          <w:tcPr>
            <w:tcW w:w="3210" w:type="dxa"/>
          </w:tcPr>
          <w:p w:rsidR="00D00CB7" w:rsidRPr="00E75223" w:rsidRDefault="00552FB9" w:rsidP="00353C0D">
            <w:pPr>
              <w:pStyle w:val="BodyRuller"/>
              <w:rPr>
                <w:rFonts w:ascii="David" w:hAnsi="David"/>
              </w:rPr>
            </w:pPr>
            <w:r>
              <w:rPr>
                <w:rFonts w:ascii="David" w:hAnsi="David"/>
                <w:rtl/>
              </w:rPr>
              <w:t>המערער</w:t>
            </w:r>
            <w:r w:rsidR="006E0635">
              <w:rPr>
                <w:rFonts w:ascii="David" w:hAnsi="David" w:hint="cs"/>
                <w:rtl/>
              </w:rPr>
              <w:t>ות</w:t>
            </w:r>
            <w:r>
              <w:rPr>
                <w:rFonts w:ascii="David" w:hAnsi="David"/>
                <w:rtl/>
              </w:rPr>
              <w:t>:</w:t>
            </w:r>
          </w:p>
        </w:tc>
        <w:tc>
          <w:tcPr>
            <w:tcW w:w="5154" w:type="dxa"/>
          </w:tcPr>
          <w:p w:rsidR="00D00CB7" w:rsidRDefault="00552FB9" w:rsidP="00353C0D">
            <w:pPr>
              <w:pStyle w:val="BodyRuller"/>
            </w:pPr>
            <w:r>
              <w:rPr>
                <w:rtl/>
              </w:rPr>
              <w:t>1. ב.ס.ט</w:t>
            </w:r>
            <w:r w:rsidR="006E0635">
              <w:rPr>
                <w:rFonts w:hint="cs"/>
                <w:rtl/>
              </w:rPr>
              <w:t>.</w:t>
            </w:r>
            <w:r>
              <w:rPr>
                <w:rtl/>
              </w:rPr>
              <w:t xml:space="preserve"> בנייה בע"מ</w:t>
            </w:r>
          </w:p>
        </w:tc>
      </w:tr>
      <w:tr w:rsidR="00552FB9" w:rsidTr="00353C0D">
        <w:trPr>
          <w:trHeight w:val="287"/>
        </w:trPr>
        <w:tc>
          <w:tcPr>
            <w:tcW w:w="3210" w:type="dxa"/>
          </w:tcPr>
          <w:p w:rsidR="00552FB9" w:rsidRDefault="00552FB9" w:rsidP="00353C0D">
            <w:pPr>
              <w:pStyle w:val="BodyRuller"/>
              <w:rPr>
                <w:rFonts w:ascii="David" w:hAnsi="David"/>
                <w:rtl/>
              </w:rPr>
            </w:pPr>
          </w:p>
        </w:tc>
        <w:tc>
          <w:tcPr>
            <w:tcW w:w="5154" w:type="dxa"/>
          </w:tcPr>
          <w:p w:rsidR="00552FB9" w:rsidRDefault="00552FB9" w:rsidP="00353C0D">
            <w:pPr>
              <w:pStyle w:val="BodyRuller"/>
              <w:rPr>
                <w:rtl/>
              </w:rPr>
            </w:pPr>
            <w:r>
              <w:rPr>
                <w:rtl/>
              </w:rPr>
              <w:t>2. סמיר עואד בע"מ</w:t>
            </w:r>
          </w:p>
        </w:tc>
      </w:tr>
      <w:tr w:rsidR="00552FB9" w:rsidTr="00353C0D">
        <w:trPr>
          <w:trHeight w:val="287"/>
        </w:trPr>
        <w:tc>
          <w:tcPr>
            <w:tcW w:w="3210" w:type="dxa"/>
          </w:tcPr>
          <w:p w:rsidR="00552FB9" w:rsidRDefault="00552FB9" w:rsidP="00353C0D">
            <w:pPr>
              <w:pStyle w:val="BodyRuller"/>
              <w:rPr>
                <w:rFonts w:ascii="David" w:hAnsi="David"/>
                <w:rtl/>
              </w:rPr>
            </w:pPr>
          </w:p>
        </w:tc>
        <w:tc>
          <w:tcPr>
            <w:tcW w:w="5154" w:type="dxa"/>
          </w:tcPr>
          <w:p w:rsidR="00552FB9" w:rsidRDefault="00552FB9" w:rsidP="00353C0D">
            <w:pPr>
              <w:pStyle w:val="BodyRuller"/>
              <w:rPr>
                <w:rtl/>
              </w:rPr>
            </w:pPr>
            <w:r>
              <w:rPr>
                <w:rtl/>
              </w:rPr>
              <w:t>3. ס.ת.ר</w:t>
            </w:r>
            <w:r w:rsidR="006E0635">
              <w:rPr>
                <w:rFonts w:hint="cs"/>
                <w:rtl/>
              </w:rPr>
              <w:t>.</w:t>
            </w:r>
            <w:r>
              <w:rPr>
                <w:rtl/>
              </w:rPr>
              <w:t xml:space="preserve"> השקעות בע"מ</w:t>
            </w:r>
          </w:p>
        </w:tc>
      </w:tr>
    </w:tbl>
    <w:p w:rsidR="00D00CB7" w:rsidRDefault="00D00CB7" w:rsidP="00353C0D">
      <w:pPr>
        <w:pStyle w:val="Ruller3"/>
        <w:spacing w:line="240" w:lineRule="auto"/>
        <w:rPr>
          <w:rtl/>
        </w:rPr>
      </w:pPr>
    </w:p>
    <w:tbl>
      <w:tblPr>
        <w:bidiVisual/>
        <w:tblW w:w="8363" w:type="dxa"/>
        <w:tblLook w:val="0000" w:firstRow="0" w:lastRow="0" w:firstColumn="0" w:lastColumn="0" w:noHBand="0" w:noVBand="0"/>
      </w:tblPr>
      <w:tblGrid>
        <w:gridCol w:w="3222"/>
        <w:gridCol w:w="5141"/>
      </w:tblGrid>
      <w:tr w:rsidR="00036227" w:rsidTr="00353C0D">
        <w:tc>
          <w:tcPr>
            <w:tcW w:w="3222" w:type="dxa"/>
          </w:tcPr>
          <w:p w:rsidR="00036227" w:rsidRDefault="00036227" w:rsidP="00353C0D">
            <w:pPr>
              <w:pStyle w:val="BodyRuller"/>
            </w:pPr>
          </w:p>
        </w:tc>
        <w:tc>
          <w:tcPr>
            <w:tcW w:w="5141" w:type="dxa"/>
          </w:tcPr>
          <w:p w:rsidR="00036227" w:rsidRDefault="00036227" w:rsidP="00353C0D">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rsidP="00353C0D">
      <w:pPr>
        <w:pStyle w:val="Ruller3"/>
        <w:spacing w:line="240" w:lineRule="auto"/>
        <w:rPr>
          <w:rtl/>
        </w:rPr>
      </w:pPr>
    </w:p>
    <w:tbl>
      <w:tblPr>
        <w:bidiVisual/>
        <w:tblW w:w="8364" w:type="dxa"/>
        <w:tblLayout w:type="fixed"/>
        <w:tblLook w:val="0000" w:firstRow="0" w:lastRow="0" w:firstColumn="0" w:lastColumn="0" w:noHBand="0" w:noVBand="0"/>
      </w:tblPr>
      <w:tblGrid>
        <w:gridCol w:w="3210"/>
        <w:gridCol w:w="5154"/>
      </w:tblGrid>
      <w:tr w:rsidR="0083345F" w:rsidTr="00353C0D">
        <w:trPr>
          <w:trHeight w:val="287"/>
        </w:trPr>
        <w:tc>
          <w:tcPr>
            <w:tcW w:w="3210" w:type="dxa"/>
          </w:tcPr>
          <w:p w:rsidR="0083345F" w:rsidRPr="00E75223" w:rsidRDefault="00552FB9" w:rsidP="00353C0D">
            <w:pPr>
              <w:pStyle w:val="BodyRuller"/>
              <w:rPr>
                <w:rFonts w:ascii="David" w:hAnsi="David"/>
              </w:rPr>
            </w:pPr>
            <w:r>
              <w:rPr>
                <w:rFonts w:ascii="David" w:hAnsi="David"/>
                <w:rtl/>
              </w:rPr>
              <w:t>המשיב:</w:t>
            </w:r>
          </w:p>
        </w:tc>
        <w:tc>
          <w:tcPr>
            <w:tcW w:w="5154" w:type="dxa"/>
          </w:tcPr>
          <w:p w:rsidR="0083345F" w:rsidRDefault="00552FB9" w:rsidP="00353C0D">
            <w:pPr>
              <w:pStyle w:val="BodyRuller"/>
            </w:pPr>
            <w:r>
              <w:rPr>
                <w:rtl/>
              </w:rPr>
              <w:t>מנהל מיסוי מקרקעין נצרת</w:t>
            </w:r>
          </w:p>
        </w:tc>
      </w:tr>
    </w:tbl>
    <w:p w:rsidR="0083345F" w:rsidRDefault="0083345F" w:rsidP="00353C0D">
      <w:pPr>
        <w:pStyle w:val="Ruller3"/>
        <w:spacing w:line="240" w:lineRule="auto"/>
        <w:rPr>
          <w:rtl/>
        </w:rPr>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552FB9" w:rsidP="00353C0D">
            <w:pPr>
              <w:pStyle w:val="BodyRuller"/>
              <w:jc w:val="both"/>
              <w:rPr>
                <w:sz w:val="24"/>
                <w:szCs w:val="24"/>
              </w:rPr>
            </w:pPr>
            <w:r>
              <w:rPr>
                <w:sz w:val="24"/>
                <w:szCs w:val="24"/>
                <w:rtl/>
              </w:rPr>
              <w:t xml:space="preserve">ערעור על פסק </w:t>
            </w:r>
            <w:r w:rsidR="006E0635">
              <w:rPr>
                <w:rFonts w:hint="cs"/>
                <w:sz w:val="24"/>
                <w:szCs w:val="24"/>
                <w:rtl/>
              </w:rPr>
              <w:t xml:space="preserve">הדין </w:t>
            </w:r>
            <w:r>
              <w:rPr>
                <w:sz w:val="24"/>
                <w:szCs w:val="24"/>
                <w:rtl/>
              </w:rPr>
              <w:t xml:space="preserve">של בית המשפט </w:t>
            </w:r>
            <w:r w:rsidR="006E0635">
              <w:rPr>
                <w:rFonts w:hint="cs"/>
                <w:sz w:val="24"/>
                <w:szCs w:val="24"/>
                <w:rtl/>
              </w:rPr>
              <w:t>המחוזי בנצרת בשבתו כבית משפט לע</w:t>
            </w:r>
            <w:r>
              <w:rPr>
                <w:sz w:val="24"/>
                <w:szCs w:val="24"/>
                <w:rtl/>
              </w:rPr>
              <w:t>ניינים מינהליים ב</w:t>
            </w:r>
            <w:r w:rsidR="006E0635">
              <w:rPr>
                <w:rFonts w:hint="cs"/>
                <w:sz w:val="24"/>
                <w:szCs w:val="24"/>
                <w:rtl/>
              </w:rPr>
              <w:t xml:space="preserve">ר"ע </w:t>
            </w:r>
            <w:r>
              <w:rPr>
                <w:sz w:val="24"/>
                <w:szCs w:val="24"/>
                <w:rtl/>
              </w:rPr>
              <w:t>31189-11-14</w:t>
            </w:r>
            <w:r w:rsidR="006E0635">
              <w:rPr>
                <w:rFonts w:hint="cs"/>
                <w:sz w:val="24"/>
                <w:szCs w:val="24"/>
                <w:rtl/>
              </w:rPr>
              <w:t xml:space="preserve"> שניתן </w:t>
            </w:r>
            <w:r w:rsidR="00353C0D">
              <w:rPr>
                <w:rFonts w:hint="cs"/>
                <w:sz w:val="24"/>
                <w:szCs w:val="24"/>
                <w:rtl/>
              </w:rPr>
              <w:t>ב</w:t>
            </w:r>
            <w:r w:rsidR="00353C0D">
              <w:rPr>
                <w:sz w:val="24"/>
                <w:szCs w:val="24"/>
                <w:rtl/>
              </w:rPr>
              <w:t>יום 16.</w:t>
            </w:r>
            <w:r w:rsidR="00353C0D">
              <w:rPr>
                <w:rFonts w:hint="cs"/>
                <w:sz w:val="24"/>
                <w:szCs w:val="24"/>
                <w:rtl/>
              </w:rPr>
              <w:t>6</w:t>
            </w:r>
            <w:r w:rsidR="00353C0D">
              <w:rPr>
                <w:sz w:val="24"/>
                <w:szCs w:val="24"/>
                <w:rtl/>
              </w:rPr>
              <w:t xml:space="preserve">.2019 </w:t>
            </w:r>
            <w:r w:rsidR="006E0635">
              <w:rPr>
                <w:rFonts w:hint="cs"/>
                <w:sz w:val="24"/>
                <w:szCs w:val="24"/>
                <w:rtl/>
              </w:rPr>
              <w:t xml:space="preserve">על ידי </w:t>
            </w:r>
            <w:r w:rsidR="008B4CDC">
              <w:rPr>
                <w:rFonts w:hint="cs"/>
                <w:sz w:val="24"/>
                <w:szCs w:val="24"/>
                <w:rtl/>
              </w:rPr>
              <w:t xml:space="preserve">כבוד השופט א' קולה, וחברי הועדה: </w:t>
            </w:r>
            <w:r w:rsidR="006E0635">
              <w:rPr>
                <w:rFonts w:hint="cs"/>
                <w:sz w:val="24"/>
                <w:szCs w:val="24"/>
                <w:rtl/>
              </w:rPr>
              <w:t>ח' שטרן ונ' מולכו</w:t>
            </w:r>
          </w:p>
        </w:tc>
      </w:tr>
    </w:tbl>
    <w:p w:rsidR="00916FF8" w:rsidRDefault="00916FF8" w:rsidP="00353C0D">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353C0D">
        <w:tc>
          <w:tcPr>
            <w:tcW w:w="3230" w:type="dxa"/>
            <w:tcBorders>
              <w:top w:val="nil"/>
              <w:left w:val="nil"/>
              <w:bottom w:val="nil"/>
              <w:right w:val="nil"/>
            </w:tcBorders>
          </w:tcPr>
          <w:p w:rsidR="008C2F11" w:rsidRPr="00265F6E" w:rsidRDefault="008C2F11" w:rsidP="00353C0D">
            <w:pPr>
              <w:pStyle w:val="BodyRuller"/>
              <w:rPr>
                <w:sz w:val="24"/>
                <w:szCs w:val="24"/>
              </w:rPr>
            </w:pPr>
            <w:r w:rsidRPr="00265F6E">
              <w:rPr>
                <w:sz w:val="24"/>
                <w:szCs w:val="24"/>
                <w:rtl/>
              </w:rPr>
              <w:t>תאריך הישיבה:</w:t>
            </w:r>
          </w:p>
        </w:tc>
        <w:tc>
          <w:tcPr>
            <w:tcW w:w="2423" w:type="dxa"/>
            <w:tcBorders>
              <w:top w:val="nil"/>
              <w:left w:val="nil"/>
              <w:bottom w:val="nil"/>
              <w:right w:val="nil"/>
            </w:tcBorders>
          </w:tcPr>
          <w:p w:rsidR="008C2F11" w:rsidRDefault="006E0635" w:rsidP="00353C0D">
            <w:pPr>
              <w:pStyle w:val="BodyRuller"/>
              <w:rPr>
                <w:rtl/>
              </w:rPr>
            </w:pPr>
            <w:r>
              <w:rPr>
                <w:rFonts w:hint="cs"/>
                <w:sz w:val="24"/>
                <w:szCs w:val="24"/>
                <w:rtl/>
              </w:rPr>
              <w:t xml:space="preserve">ו' באדר התשפ"א </w:t>
            </w:r>
            <w:r w:rsidR="008C2F11">
              <w:t xml:space="preserve">       </w:t>
            </w:r>
          </w:p>
        </w:tc>
        <w:tc>
          <w:tcPr>
            <w:tcW w:w="2710" w:type="dxa"/>
            <w:tcBorders>
              <w:top w:val="nil"/>
              <w:left w:val="nil"/>
              <w:bottom w:val="nil"/>
              <w:right w:val="nil"/>
            </w:tcBorders>
          </w:tcPr>
          <w:p w:rsidR="008C2F11" w:rsidRDefault="006E0635" w:rsidP="00353C0D">
            <w:pPr>
              <w:pStyle w:val="BodyRuller"/>
              <w:rPr>
                <w:sz w:val="24"/>
                <w:szCs w:val="24"/>
                <w:rtl/>
              </w:rPr>
            </w:pPr>
            <w:r>
              <w:rPr>
                <w:rFonts w:hint="cs"/>
                <w:rtl/>
              </w:rPr>
              <w:t>(18.2.2021)</w:t>
            </w:r>
          </w:p>
        </w:tc>
      </w:tr>
    </w:tbl>
    <w:p w:rsidR="00916FF8" w:rsidRDefault="00916FF8" w:rsidP="00353C0D">
      <w:pPr>
        <w:pStyle w:val="Ruller3"/>
        <w:spacing w:line="240" w:lineRule="auto"/>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189"/>
        <w:gridCol w:w="23"/>
        <w:gridCol w:w="5124"/>
        <w:gridCol w:w="27"/>
      </w:tblGrid>
      <w:tr w:rsidR="00036227" w:rsidTr="00353C0D">
        <w:trPr>
          <w:gridAfter w:val="1"/>
          <w:wAfter w:w="27" w:type="dxa"/>
        </w:trPr>
        <w:tc>
          <w:tcPr>
            <w:tcW w:w="3216" w:type="dxa"/>
            <w:gridSpan w:val="2"/>
            <w:tcBorders>
              <w:top w:val="nil"/>
              <w:left w:val="nil"/>
              <w:bottom w:val="nil"/>
              <w:right w:val="nil"/>
            </w:tcBorders>
          </w:tcPr>
          <w:p w:rsidR="00036227" w:rsidRDefault="00552FB9" w:rsidP="00353C0D">
            <w:pPr>
              <w:pStyle w:val="BodyRuller"/>
            </w:pPr>
            <w:r>
              <w:rPr>
                <w:rtl/>
              </w:rPr>
              <w:t>בשם המערער</w:t>
            </w:r>
            <w:r w:rsidR="006E0635">
              <w:rPr>
                <w:rFonts w:hint="cs"/>
                <w:rtl/>
              </w:rPr>
              <w:t>ות</w:t>
            </w:r>
            <w:r>
              <w:rPr>
                <w:rtl/>
              </w:rPr>
              <w:t>:</w:t>
            </w:r>
          </w:p>
        </w:tc>
        <w:tc>
          <w:tcPr>
            <w:tcW w:w="5147" w:type="dxa"/>
            <w:gridSpan w:val="2"/>
            <w:tcBorders>
              <w:top w:val="nil"/>
              <w:left w:val="nil"/>
              <w:bottom w:val="nil"/>
              <w:right w:val="nil"/>
            </w:tcBorders>
          </w:tcPr>
          <w:p w:rsidR="00353C0D" w:rsidRDefault="006E0635" w:rsidP="00353C0D">
            <w:pPr>
              <w:pStyle w:val="BodyRuller"/>
              <w:rPr>
                <w:rFonts w:hint="cs"/>
                <w:rtl/>
              </w:rPr>
            </w:pPr>
            <w:r>
              <w:rPr>
                <w:rFonts w:hint="cs"/>
                <w:rtl/>
              </w:rPr>
              <w:t>עו"ד קרן מרציאנו</w:t>
            </w:r>
            <w:r w:rsidR="00353C0D">
              <w:rPr>
                <w:rFonts w:hint="cs"/>
                <w:rtl/>
              </w:rPr>
              <w:t xml:space="preserve">, </w:t>
            </w:r>
            <w:r>
              <w:rPr>
                <w:rFonts w:hint="cs"/>
                <w:rtl/>
              </w:rPr>
              <w:t>עו"ד פרופ' יצחק הדרי</w:t>
            </w:r>
            <w:r w:rsidR="00353C0D">
              <w:rPr>
                <w:rFonts w:hint="cs"/>
                <w:rtl/>
              </w:rPr>
              <w:t>,</w:t>
            </w:r>
          </w:p>
          <w:p w:rsidR="00036227" w:rsidRDefault="006E0635" w:rsidP="00353C0D">
            <w:pPr>
              <w:pStyle w:val="BodyRuller"/>
            </w:pPr>
            <w:r>
              <w:rPr>
                <w:rFonts w:hint="cs"/>
                <w:rtl/>
              </w:rPr>
              <w:t>עו"ד טלי הדרי</w:t>
            </w:r>
          </w:p>
        </w:tc>
      </w:tr>
      <w:tr w:rsidR="00353C0D" w:rsidTr="00353C0D">
        <w:trPr>
          <w:gridAfter w:val="1"/>
          <w:wAfter w:w="27" w:type="dxa"/>
        </w:trPr>
        <w:tc>
          <w:tcPr>
            <w:tcW w:w="3216" w:type="dxa"/>
            <w:gridSpan w:val="2"/>
            <w:tcBorders>
              <w:top w:val="nil"/>
              <w:left w:val="nil"/>
              <w:bottom w:val="nil"/>
              <w:right w:val="nil"/>
            </w:tcBorders>
          </w:tcPr>
          <w:p w:rsidR="00353C0D" w:rsidRDefault="00353C0D" w:rsidP="00353C0D">
            <w:pPr>
              <w:pStyle w:val="BodyRuller"/>
              <w:rPr>
                <w:rtl/>
              </w:rPr>
            </w:pPr>
          </w:p>
        </w:tc>
        <w:tc>
          <w:tcPr>
            <w:tcW w:w="5147" w:type="dxa"/>
            <w:gridSpan w:val="2"/>
            <w:tcBorders>
              <w:top w:val="nil"/>
              <w:left w:val="nil"/>
              <w:bottom w:val="nil"/>
              <w:right w:val="nil"/>
            </w:tcBorders>
          </w:tcPr>
          <w:p w:rsidR="00353C0D" w:rsidRDefault="00353C0D" w:rsidP="00353C0D">
            <w:pPr>
              <w:pStyle w:val="BodyRuller"/>
              <w:rPr>
                <w:rFonts w:hint="cs"/>
                <w:rtl/>
              </w:rPr>
            </w:pPr>
          </w:p>
        </w:tc>
      </w:tr>
      <w:tr w:rsidR="00036227" w:rsidTr="00353C0D">
        <w:trPr>
          <w:gridBefore w:val="1"/>
          <w:wBefore w:w="27" w:type="dxa"/>
        </w:trPr>
        <w:tc>
          <w:tcPr>
            <w:tcW w:w="3212" w:type="dxa"/>
            <w:gridSpan w:val="2"/>
            <w:tcBorders>
              <w:top w:val="nil"/>
              <w:left w:val="nil"/>
              <w:bottom w:val="nil"/>
              <w:right w:val="nil"/>
            </w:tcBorders>
          </w:tcPr>
          <w:p w:rsidR="00036227" w:rsidRDefault="00552FB9" w:rsidP="00353C0D">
            <w:pPr>
              <w:pStyle w:val="BodyRuller"/>
            </w:pPr>
            <w:r>
              <w:rPr>
                <w:rtl/>
              </w:rPr>
              <w:t>בשם המשיב:</w:t>
            </w:r>
          </w:p>
        </w:tc>
        <w:tc>
          <w:tcPr>
            <w:tcW w:w="5151" w:type="dxa"/>
            <w:gridSpan w:val="2"/>
            <w:tcBorders>
              <w:top w:val="nil"/>
              <w:left w:val="nil"/>
              <w:bottom w:val="nil"/>
              <w:right w:val="nil"/>
            </w:tcBorders>
          </w:tcPr>
          <w:p w:rsidR="00036227" w:rsidRDefault="00552FB9" w:rsidP="00353C0D">
            <w:pPr>
              <w:pStyle w:val="BodyRuller"/>
            </w:pPr>
            <w:r>
              <w:rPr>
                <w:rtl/>
              </w:rPr>
              <w:t xml:space="preserve">עו"ד </w:t>
            </w:r>
            <w:r w:rsidR="006E0635">
              <w:rPr>
                <w:rFonts w:hint="cs"/>
                <w:rtl/>
              </w:rPr>
              <w:t>עמנואל לינדר</w:t>
            </w:r>
          </w:p>
        </w:tc>
      </w:tr>
    </w:tbl>
    <w:p w:rsidR="00916FF8" w:rsidRDefault="00916FF8" w:rsidP="00353C0D">
      <w:pPr>
        <w:tabs>
          <w:tab w:val="left" w:pos="2552"/>
        </w:tabs>
        <w:rPr>
          <w:rtl/>
        </w:rPr>
      </w:pPr>
    </w:p>
    <w:p w:rsidR="00353C0D" w:rsidRDefault="00353C0D" w:rsidP="00353C0D">
      <w:pPr>
        <w:tabs>
          <w:tab w:val="left" w:pos="2552"/>
        </w:tabs>
        <w:rPr>
          <w:rtl/>
        </w:rPr>
      </w:pPr>
    </w:p>
    <w:tbl>
      <w:tblPr>
        <w:bidiVisual/>
        <w:tblW w:w="8363" w:type="dxa"/>
        <w:tblLook w:val="0000" w:firstRow="0" w:lastRow="0" w:firstColumn="0" w:lastColumn="0" w:noHBand="0" w:noVBand="0"/>
      </w:tblPr>
      <w:tblGrid>
        <w:gridCol w:w="8363"/>
      </w:tblGrid>
      <w:tr w:rsidR="00036227" w:rsidTr="00353C0D">
        <w:tc>
          <w:tcPr>
            <w:tcW w:w="8363" w:type="dxa"/>
          </w:tcPr>
          <w:p w:rsidR="00916FF8" w:rsidRDefault="00552FB9" w:rsidP="00353C0D">
            <w:pPr>
              <w:pStyle w:val="DocumentHead"/>
              <w:spacing w:line="240" w:lineRule="auto"/>
            </w:pPr>
            <w:bookmarkStart w:id="2" w:name="secretary"/>
            <w:bookmarkStart w:id="3" w:name="BeginProtocol"/>
            <w:bookmarkEnd w:id="2"/>
            <w:bookmarkEnd w:id="3"/>
            <w:r>
              <w:rPr>
                <w:rtl/>
              </w:rPr>
              <w:t>פסק-דין</w:t>
            </w:r>
          </w:p>
        </w:tc>
      </w:tr>
    </w:tbl>
    <w:p w:rsidR="00916FF8" w:rsidRPr="00353C0D" w:rsidRDefault="00552FB9" w:rsidP="00353C0D">
      <w:pPr>
        <w:pStyle w:val="Ruller41"/>
        <w:rPr>
          <w:rFonts w:ascii="Century" w:hAnsi="Century" w:cs="Miriam"/>
          <w:b/>
          <w:spacing w:val="0"/>
          <w:szCs w:val="24"/>
          <w:rtl/>
        </w:rPr>
      </w:pPr>
      <w:bookmarkStart w:id="4" w:name="Writer_Name"/>
      <w:bookmarkEnd w:id="4"/>
      <w:r w:rsidRPr="00353C0D">
        <w:rPr>
          <w:rFonts w:ascii="Century" w:hAnsi="Century" w:cs="Miriam"/>
          <w:b/>
          <w:spacing w:val="0"/>
          <w:szCs w:val="24"/>
          <w:u w:val="single"/>
          <w:rtl/>
        </w:rPr>
        <w:t>השופט י' עמית</w:t>
      </w:r>
      <w:r w:rsidRPr="00353C0D">
        <w:rPr>
          <w:rFonts w:ascii="Century" w:hAnsi="Century" w:cs="Miriam"/>
          <w:b/>
          <w:spacing w:val="0"/>
          <w:szCs w:val="24"/>
          <w:rtl/>
        </w:rPr>
        <w:t>:</w:t>
      </w:r>
    </w:p>
    <w:p w:rsidR="000B1478" w:rsidRDefault="000B1478" w:rsidP="00353C0D">
      <w:pPr>
        <w:pStyle w:val="Ruller41"/>
        <w:rPr>
          <w:rFonts w:hint="cs"/>
          <w:rtl/>
        </w:rPr>
      </w:pPr>
      <w:bookmarkStart w:id="5" w:name="Start_Write"/>
      <w:bookmarkEnd w:id="5"/>
    </w:p>
    <w:p w:rsidR="008B4CDC" w:rsidRDefault="008B4CDC" w:rsidP="008B4CDC">
      <w:pPr>
        <w:pStyle w:val="Ruller41"/>
        <w:rPr>
          <w:rFonts w:ascii="Century" w:hAnsi="Century"/>
          <w:rtl/>
        </w:rPr>
      </w:pPr>
      <w:r w:rsidRPr="00572AFF">
        <w:rPr>
          <w:rFonts w:ascii="Century" w:hAnsi="Century"/>
          <w:rtl/>
        </w:rPr>
        <w:tab/>
      </w:r>
      <w:r>
        <w:rPr>
          <w:rFonts w:ascii="Century" w:hAnsi="Century" w:hint="cs"/>
          <w:rtl/>
        </w:rPr>
        <w:t xml:space="preserve">האם זכות לפיצויי הפקעה וזכות לפיצויים בגין ירידת ערך של מקרקעין מוציאות את בעל הזכויות מהגדרתו כ"איגוד מקרקעין" לפי חוק מיסוי מקרקעין </w:t>
      </w:r>
      <w:r>
        <w:rPr>
          <w:rFonts w:ascii="Century" w:hAnsi="Century"/>
          <w:rtl/>
        </w:rPr>
        <w:t>(שבח ורכיש</w:t>
      </w:r>
      <w:r>
        <w:rPr>
          <w:rFonts w:ascii="Century" w:hAnsi="Century" w:hint="cs"/>
          <w:rtl/>
        </w:rPr>
        <w:t xml:space="preserve">ה), </w:t>
      </w:r>
      <w:r w:rsidRPr="00572AFF">
        <w:rPr>
          <w:rFonts w:ascii="Century" w:hAnsi="Century"/>
          <w:rtl/>
        </w:rPr>
        <w:t xml:space="preserve">התשכ"ג-1963 </w:t>
      </w:r>
      <w:r>
        <w:rPr>
          <w:rFonts w:ascii="Century" w:hAnsi="Century" w:hint="cs"/>
          <w:rtl/>
        </w:rPr>
        <w:t xml:space="preserve">(להלן: </w:t>
      </w:r>
      <w:r w:rsidRPr="00B54B22">
        <w:rPr>
          <w:rFonts w:ascii="Century" w:hAnsi="Century" w:cs="Miriam" w:hint="cs"/>
          <w:b/>
          <w:spacing w:val="0"/>
          <w:szCs w:val="24"/>
          <w:rtl/>
        </w:rPr>
        <w:t>ח</w:t>
      </w:r>
      <w:r w:rsidRPr="00B54B22">
        <w:rPr>
          <w:rFonts w:ascii="Century" w:hAnsi="Century" w:cs="Miriam"/>
          <w:b/>
          <w:spacing w:val="0"/>
          <w:szCs w:val="24"/>
          <w:rtl/>
        </w:rPr>
        <w:t>וק מיסוי מקרקעין</w:t>
      </w:r>
      <w:r>
        <w:rPr>
          <w:rFonts w:ascii="Century" w:hAnsi="Century" w:hint="cs"/>
          <w:rtl/>
        </w:rPr>
        <w:t xml:space="preserve"> או </w:t>
      </w:r>
      <w:r w:rsidRPr="00B54B22">
        <w:rPr>
          <w:rFonts w:ascii="Century" w:hAnsi="Century" w:cs="Miriam"/>
          <w:b/>
          <w:spacing w:val="0"/>
          <w:szCs w:val="24"/>
          <w:rtl/>
        </w:rPr>
        <w:t>החו</w:t>
      </w:r>
      <w:r>
        <w:rPr>
          <w:rFonts w:ascii="Century" w:hAnsi="Century" w:cs="Miriam" w:hint="cs"/>
          <w:b/>
          <w:spacing w:val="0"/>
          <w:szCs w:val="24"/>
          <w:rtl/>
        </w:rPr>
        <w:t>ק</w:t>
      </w:r>
      <w:r w:rsidRPr="00B54B22">
        <w:rPr>
          <w:rFonts w:ascii="Century" w:hAnsi="Century" w:hint="cs"/>
          <w:rtl/>
        </w:rPr>
        <w:t>)</w:t>
      </w:r>
      <w:r>
        <w:rPr>
          <w:rFonts w:ascii="Century" w:hAnsi="Century" w:hint="cs"/>
          <w:rtl/>
        </w:rPr>
        <w:t>, ועל כן יכולות להביא לחיוב במס רכישה? זו השאלה העיקרית המתעוררת במסגרת הערעור שלפנינו.</w:t>
      </w:r>
    </w:p>
    <w:p w:rsidR="008B4CDC" w:rsidRDefault="008B4CDC" w:rsidP="008B4CDC">
      <w:pPr>
        <w:pStyle w:val="Ruller41"/>
        <w:rPr>
          <w:rFonts w:ascii="Century" w:hAnsi="Century"/>
          <w:rtl/>
        </w:rPr>
      </w:pPr>
    </w:p>
    <w:p w:rsidR="008B4CDC" w:rsidRPr="00CF09C3" w:rsidRDefault="008B4CDC" w:rsidP="008B4CDC">
      <w:pPr>
        <w:pStyle w:val="Ruller41"/>
        <w:spacing w:line="240" w:lineRule="auto"/>
        <w:rPr>
          <w:rFonts w:ascii="Century" w:hAnsi="Century" w:cs="Miriam"/>
          <w:b/>
          <w:spacing w:val="0"/>
          <w:szCs w:val="24"/>
          <w:rtl/>
        </w:rPr>
      </w:pPr>
      <w:r>
        <w:rPr>
          <w:rFonts w:ascii="Century" w:hAnsi="Century" w:cs="Miriam" w:hint="cs"/>
          <w:b/>
          <w:spacing w:val="0"/>
          <w:szCs w:val="24"/>
          <w:rtl/>
        </w:rPr>
        <w:t>רקע נורמטיבי</w:t>
      </w:r>
    </w:p>
    <w:p w:rsidR="008B4CDC" w:rsidRDefault="008B4CDC" w:rsidP="008B4CDC">
      <w:pPr>
        <w:pStyle w:val="Ruller41"/>
        <w:spacing w:line="240" w:lineRule="auto"/>
        <w:rPr>
          <w:rFonts w:ascii="Century" w:hAnsi="Century"/>
          <w:rtl/>
        </w:rPr>
      </w:pPr>
    </w:p>
    <w:p w:rsidR="008B4CDC" w:rsidRDefault="008B4CDC" w:rsidP="008B4CDC">
      <w:pPr>
        <w:pStyle w:val="Ruller41"/>
        <w:rPr>
          <w:sz w:val="32"/>
          <w:rtl/>
        </w:rPr>
      </w:pPr>
      <w:r>
        <w:rPr>
          <w:rFonts w:ascii="Century" w:hAnsi="Century" w:hint="cs"/>
          <w:rtl/>
        </w:rPr>
        <w:t>1.</w:t>
      </w:r>
      <w:r>
        <w:rPr>
          <w:rFonts w:ascii="Century" w:hAnsi="Century"/>
          <w:rtl/>
        </w:rPr>
        <w:tab/>
      </w:r>
      <w:r>
        <w:rPr>
          <w:rFonts w:ascii="Century" w:hAnsi="Century" w:hint="cs"/>
          <w:rtl/>
        </w:rPr>
        <w:t>סעיף 9(ב)(1) ל</w:t>
      </w:r>
      <w:r>
        <w:rPr>
          <w:sz w:val="32"/>
          <w:rtl/>
        </w:rPr>
        <w:t xml:space="preserve">חוק </w:t>
      </w:r>
      <w:r>
        <w:rPr>
          <w:rFonts w:ascii="Century" w:hAnsi="Century" w:hint="cs"/>
          <w:rtl/>
        </w:rPr>
        <w:t>מיסוי מקרקעין</w:t>
      </w:r>
      <w:r>
        <w:rPr>
          <w:rFonts w:hint="cs"/>
          <w:sz w:val="32"/>
          <w:rtl/>
        </w:rPr>
        <w:t xml:space="preserve"> קובע כלהלן:</w:t>
      </w:r>
    </w:p>
    <w:p w:rsidR="00353C0D" w:rsidRDefault="00353C0D" w:rsidP="008B4CDC">
      <w:pPr>
        <w:pStyle w:val="Ruller41"/>
        <w:rPr>
          <w:sz w:val="32"/>
          <w:rtl/>
        </w:rPr>
      </w:pPr>
    </w:p>
    <w:p w:rsidR="008B4CDC" w:rsidRPr="000B508C" w:rsidRDefault="008B4CDC" w:rsidP="008B4CDC">
      <w:pPr>
        <w:pStyle w:val="Ruller5"/>
        <w:rPr>
          <w:rFonts w:ascii="Century" w:hAnsi="Century" w:cs="Miriam"/>
          <w:b/>
          <w:spacing w:val="0"/>
          <w:szCs w:val="24"/>
          <w:rtl/>
        </w:rPr>
      </w:pPr>
      <w:r w:rsidRPr="000B508C">
        <w:rPr>
          <w:rFonts w:ascii="Century" w:hAnsi="Century" w:cs="Miriam"/>
          <w:b/>
          <w:spacing w:val="0"/>
          <w:szCs w:val="24"/>
          <w:rtl/>
        </w:rPr>
        <w:t>מס ר</w:t>
      </w:r>
      <w:r w:rsidRPr="000B508C">
        <w:rPr>
          <w:rFonts w:ascii="Century" w:hAnsi="Century" w:cs="Miriam" w:hint="cs"/>
          <w:b/>
          <w:spacing w:val="0"/>
          <w:szCs w:val="24"/>
          <w:rtl/>
        </w:rPr>
        <w:t>כישה</w:t>
      </w:r>
    </w:p>
    <w:p w:rsidR="008B4CDC" w:rsidRPr="000B508C" w:rsidRDefault="008B4CDC" w:rsidP="008B4CDC">
      <w:pPr>
        <w:pStyle w:val="Ruller5"/>
        <w:rPr>
          <w:rtl/>
        </w:rPr>
      </w:pPr>
      <w:r w:rsidRPr="000B508C">
        <w:rPr>
          <w:rFonts w:hint="cs"/>
          <w:rtl/>
        </w:rPr>
        <w:t>[...]</w:t>
      </w:r>
    </w:p>
    <w:p w:rsidR="008B4CDC" w:rsidRDefault="008B4CDC" w:rsidP="008B4CDC">
      <w:pPr>
        <w:pStyle w:val="Ruller5"/>
        <w:rPr>
          <w:rtl/>
        </w:rPr>
      </w:pPr>
      <w:r w:rsidRPr="000B508C">
        <w:rPr>
          <w:rFonts w:hint="cs"/>
          <w:rtl/>
        </w:rPr>
        <w:t xml:space="preserve">(ב) (1) </w:t>
      </w:r>
      <w:r w:rsidRPr="003801B5">
        <w:rPr>
          <w:rFonts w:ascii="Century" w:hAnsi="Century" w:cs="Miriam"/>
          <w:b/>
          <w:spacing w:val="0"/>
          <w:szCs w:val="24"/>
          <w:rtl/>
        </w:rPr>
        <w:t>בפע</w:t>
      </w:r>
      <w:r w:rsidRPr="003801B5">
        <w:rPr>
          <w:rFonts w:ascii="Century" w:hAnsi="Century" w:cs="Miriam" w:hint="cs"/>
          <w:b/>
          <w:spacing w:val="0"/>
          <w:szCs w:val="24"/>
          <w:rtl/>
        </w:rPr>
        <w:t>ולה באיגוד מקרקעין יהא הרוכש חייב במס</w:t>
      </w:r>
      <w:r w:rsidRPr="003801B5">
        <w:rPr>
          <w:rFonts w:ascii="Century" w:hAnsi="Century" w:cs="Miriam"/>
          <w:b/>
          <w:spacing w:val="0"/>
          <w:szCs w:val="24"/>
          <w:rtl/>
        </w:rPr>
        <w:t xml:space="preserve"> </w:t>
      </w:r>
      <w:r w:rsidRPr="003801B5">
        <w:rPr>
          <w:rFonts w:ascii="Century" w:hAnsi="Century" w:cs="Miriam" w:hint="cs"/>
          <w:b/>
          <w:spacing w:val="0"/>
          <w:szCs w:val="24"/>
          <w:rtl/>
        </w:rPr>
        <w:t>רכישה</w:t>
      </w:r>
      <w:r w:rsidRPr="000B508C">
        <w:rPr>
          <w:rFonts w:hint="cs"/>
          <w:rtl/>
        </w:rPr>
        <w:t xml:space="preserve"> שהיתה חייבת בו מכירת</w:t>
      </w:r>
      <w:r w:rsidRPr="000B508C">
        <w:rPr>
          <w:rtl/>
        </w:rPr>
        <w:t xml:space="preserve"> </w:t>
      </w:r>
      <w:r w:rsidRPr="000B508C">
        <w:rPr>
          <w:rFonts w:hint="cs"/>
          <w:rtl/>
        </w:rPr>
        <w:t>ז</w:t>
      </w:r>
      <w:r w:rsidRPr="000B508C">
        <w:rPr>
          <w:rtl/>
        </w:rPr>
        <w:t>כ</w:t>
      </w:r>
      <w:r w:rsidRPr="000B508C">
        <w:rPr>
          <w:rFonts w:hint="cs"/>
          <w:rtl/>
        </w:rPr>
        <w:t xml:space="preserve">ות במקרקעין ששוויה הוא החלק היחסי </w:t>
      </w:r>
      <w:r w:rsidRPr="000B508C">
        <w:rPr>
          <w:rtl/>
        </w:rPr>
        <w:t>–</w:t>
      </w:r>
      <w:r w:rsidRPr="000B508C">
        <w:rPr>
          <w:rFonts w:hint="cs"/>
          <w:rtl/>
        </w:rPr>
        <w:t xml:space="preserve"> כאמור בפסקה (1א) </w:t>
      </w:r>
      <w:r w:rsidRPr="000B508C">
        <w:rPr>
          <w:rtl/>
        </w:rPr>
        <w:t>–</w:t>
      </w:r>
      <w:r w:rsidRPr="000B508C">
        <w:rPr>
          <w:rFonts w:hint="cs"/>
          <w:rtl/>
        </w:rPr>
        <w:t xml:space="preserve"> משווי כלל הזכויות במקרקעין שבבעלות האיגוד; [...]</w:t>
      </w:r>
      <w:r>
        <w:rPr>
          <w:rStyle w:val="default"/>
          <w:rFonts w:hint="cs"/>
          <w:rtl/>
        </w:rPr>
        <w:t xml:space="preserve"> </w:t>
      </w:r>
      <w:r w:rsidRPr="00804C04">
        <w:rPr>
          <w:rStyle w:val="default"/>
          <w:rFonts w:hint="cs"/>
          <w:rtl/>
        </w:rPr>
        <w:t xml:space="preserve">לעניין סעיף </w:t>
      </w:r>
      <w:r w:rsidRPr="00804C04">
        <w:rPr>
          <w:rStyle w:val="default"/>
          <w:rFonts w:hint="cs"/>
          <w:rtl/>
        </w:rPr>
        <w:lastRenderedPageBreak/>
        <w:t xml:space="preserve">קטן זה, </w:t>
      </w:r>
      <w:r w:rsidRPr="000B508C">
        <w:rPr>
          <w:rFonts w:hint="cs"/>
          <w:rtl/>
        </w:rPr>
        <w:t xml:space="preserve">"פעולה באיגוד" </w:t>
      </w:r>
      <w:r w:rsidRPr="000B508C">
        <w:rPr>
          <w:rtl/>
        </w:rPr>
        <w:t>–</w:t>
      </w:r>
      <w:r w:rsidRPr="000B508C">
        <w:rPr>
          <w:rFonts w:hint="cs"/>
          <w:rtl/>
        </w:rPr>
        <w:t xml:space="preserve"> הענקת זכות באיגוד, לרבות הקצאתה, הסבתה, העברתה או ויתור עליה, שינוי בזכויות הנובעות מזכות באיגוד, והכול בין בתמורה ובין שלא בתמורה; לעניין זה, "הקצאה" </w:t>
      </w:r>
      <w:r w:rsidRPr="000B508C">
        <w:rPr>
          <w:rtl/>
        </w:rPr>
        <w:t>–</w:t>
      </w:r>
      <w:r w:rsidRPr="000B508C">
        <w:rPr>
          <w:rFonts w:hint="cs"/>
          <w:rtl/>
        </w:rPr>
        <w:t xml:space="preserve"> כל הנפקה של זכויות באיגוד</w:t>
      </w:r>
      <w:r>
        <w:rPr>
          <w:rFonts w:hint="cs"/>
          <w:rtl/>
        </w:rPr>
        <w:t>.</w:t>
      </w:r>
    </w:p>
    <w:p w:rsidR="008B4CDC" w:rsidRDefault="008B4CDC" w:rsidP="008B4CDC">
      <w:pPr>
        <w:pStyle w:val="Ruller5"/>
        <w:rPr>
          <w:rtl/>
        </w:rPr>
      </w:pPr>
    </w:p>
    <w:p w:rsidR="00353C0D" w:rsidRDefault="00353C0D" w:rsidP="008B4CDC">
      <w:pPr>
        <w:pStyle w:val="Ruller41"/>
        <w:rPr>
          <w:rStyle w:val="default"/>
          <w:rtl/>
        </w:rPr>
      </w:pPr>
    </w:p>
    <w:p w:rsidR="008B4CDC" w:rsidRDefault="008B4CDC" w:rsidP="008B4CDC">
      <w:pPr>
        <w:pStyle w:val="Ruller41"/>
        <w:rPr>
          <w:rStyle w:val="default"/>
          <w:rtl/>
        </w:rPr>
      </w:pPr>
      <w:r>
        <w:rPr>
          <w:rStyle w:val="default"/>
          <w:rtl/>
        </w:rPr>
        <w:tab/>
      </w:r>
      <w:r>
        <w:rPr>
          <w:rStyle w:val="default"/>
          <w:rFonts w:hint="cs"/>
          <w:rtl/>
        </w:rPr>
        <w:t>סעיף 1 לחוק מגדיר את המונח</w:t>
      </w:r>
      <w:r w:rsidRPr="00AF5D4C">
        <w:rPr>
          <w:rStyle w:val="default"/>
          <w:rFonts w:hint="cs"/>
          <w:rtl/>
        </w:rPr>
        <w:t xml:space="preserve"> </w:t>
      </w:r>
      <w:r>
        <w:rPr>
          <w:rStyle w:val="default"/>
          <w:rFonts w:hint="cs"/>
          <w:rtl/>
        </w:rPr>
        <w:t>"</w:t>
      </w:r>
      <w:r w:rsidRPr="00AF5D4C">
        <w:rPr>
          <w:rStyle w:val="default"/>
          <w:rFonts w:hint="cs"/>
          <w:rtl/>
        </w:rPr>
        <w:t>איגוד מקרקעין</w:t>
      </w:r>
      <w:r>
        <w:rPr>
          <w:rStyle w:val="default"/>
          <w:rFonts w:hint="cs"/>
          <w:rtl/>
        </w:rPr>
        <w:t>" כדלקמן:</w:t>
      </w:r>
    </w:p>
    <w:p w:rsidR="008B4CDC" w:rsidRDefault="008B4CDC" w:rsidP="008B4CDC">
      <w:pPr>
        <w:pStyle w:val="Ruller41"/>
        <w:rPr>
          <w:rStyle w:val="default"/>
          <w:rtl/>
        </w:rPr>
      </w:pPr>
    </w:p>
    <w:p w:rsidR="008B4CDC" w:rsidRDefault="008B4CDC" w:rsidP="008B4CDC">
      <w:pPr>
        <w:pStyle w:val="Ruller5"/>
        <w:rPr>
          <w:rtl/>
        </w:rPr>
      </w:pPr>
      <w:r w:rsidRPr="000B508C">
        <w:rPr>
          <w:rFonts w:hint="cs"/>
          <w:rtl/>
        </w:rPr>
        <w:t>"</w:t>
      </w:r>
      <w:r w:rsidRPr="000B508C">
        <w:rPr>
          <w:rtl/>
        </w:rPr>
        <w:t>איג</w:t>
      </w:r>
      <w:r w:rsidRPr="000B508C">
        <w:rPr>
          <w:rFonts w:hint="cs"/>
          <w:rtl/>
        </w:rPr>
        <w:t xml:space="preserve">וד מקרקעין" </w:t>
      </w:r>
      <w:r w:rsidRPr="000B508C">
        <w:rPr>
          <w:rtl/>
        </w:rPr>
        <w:t>–</w:t>
      </w:r>
      <w:r w:rsidRPr="000B508C">
        <w:rPr>
          <w:rFonts w:hint="cs"/>
          <w:rtl/>
        </w:rPr>
        <w:t xml:space="preserve"> </w:t>
      </w:r>
      <w:r w:rsidRPr="000B508C">
        <w:rPr>
          <w:rFonts w:ascii="Century" w:hAnsi="Century" w:cs="Miriam" w:hint="cs"/>
          <w:b/>
          <w:spacing w:val="0"/>
          <w:szCs w:val="24"/>
          <w:rtl/>
        </w:rPr>
        <w:t xml:space="preserve">איגוד שכל נכסיו, במישרין או </w:t>
      </w:r>
      <w:r w:rsidRPr="000B508C">
        <w:rPr>
          <w:rFonts w:ascii="Century" w:hAnsi="Century" w:cs="Miriam"/>
          <w:b/>
          <w:spacing w:val="0"/>
          <w:szCs w:val="24"/>
          <w:rtl/>
        </w:rPr>
        <w:t>בע</w:t>
      </w:r>
      <w:r w:rsidRPr="000B508C">
        <w:rPr>
          <w:rFonts w:ascii="Century" w:hAnsi="Century" w:cs="Miriam" w:hint="cs"/>
          <w:b/>
          <w:spacing w:val="0"/>
          <w:szCs w:val="24"/>
          <w:rtl/>
        </w:rPr>
        <w:t>קיפין, הם זכויות במקרקעין</w:t>
      </w:r>
      <w:r w:rsidRPr="000B508C">
        <w:rPr>
          <w:rFonts w:hint="cs"/>
          <w:rtl/>
        </w:rPr>
        <w:t xml:space="preserve">, למעט איגוד שהזכויות בו רשומות למסחר בבורסה כהגדרתה בפקודה ולמעט קרן להשקעות במקרקעין כהגדרתה בסעיף 64א2 לפקודה, בתקופה שעד למועד הרישום למסחר בבורסה כהגדרתו בסעיף 64א3(א)(2) לפקודה, ובלבד שמניותיה נרשמו למסחר בבורסה כאמור באותו סעיף; </w:t>
      </w:r>
      <w:r w:rsidRPr="000B508C">
        <w:rPr>
          <w:rFonts w:ascii="Century" w:hAnsi="Century" w:cs="Miriam" w:hint="cs"/>
          <w:b/>
          <w:spacing w:val="0"/>
          <w:szCs w:val="24"/>
          <w:rtl/>
        </w:rPr>
        <w:t xml:space="preserve">ולענין זה לא יראו כנכסיו של האיגוד </w:t>
      </w:r>
      <w:r w:rsidRPr="000B508C">
        <w:rPr>
          <w:rFonts w:ascii="Century" w:hAnsi="Century" w:cs="Miriam"/>
          <w:b/>
          <w:spacing w:val="0"/>
          <w:szCs w:val="24"/>
          <w:rtl/>
        </w:rPr>
        <w:t>–</w:t>
      </w:r>
      <w:r w:rsidRPr="000B508C">
        <w:rPr>
          <w:rFonts w:ascii="Century" w:hAnsi="Century" w:cs="Miriam" w:hint="cs"/>
          <w:b/>
          <w:spacing w:val="0"/>
          <w:szCs w:val="24"/>
          <w:rtl/>
        </w:rPr>
        <w:t xml:space="preserve"> מזומנים, מניות, איגרות חוב, ניירות ער</w:t>
      </w:r>
      <w:r w:rsidRPr="000B508C">
        <w:rPr>
          <w:rFonts w:ascii="Century" w:hAnsi="Century" w:cs="Miriam"/>
          <w:b/>
          <w:spacing w:val="0"/>
          <w:szCs w:val="24"/>
          <w:rtl/>
        </w:rPr>
        <w:t>ך אח</w:t>
      </w:r>
      <w:r w:rsidRPr="000B508C">
        <w:rPr>
          <w:rFonts w:ascii="Century" w:hAnsi="Century" w:cs="Miriam" w:hint="cs"/>
          <w:b/>
          <w:spacing w:val="0"/>
          <w:szCs w:val="24"/>
          <w:rtl/>
        </w:rPr>
        <w:t xml:space="preserve">רים, ומטלטלין, שאינם משמשים לאיגוד לייצור </w:t>
      </w:r>
      <w:r w:rsidRPr="000B508C">
        <w:rPr>
          <w:rFonts w:ascii="Century" w:hAnsi="Century" w:cs="Miriam"/>
          <w:b/>
          <w:spacing w:val="0"/>
          <w:szCs w:val="24"/>
          <w:rtl/>
        </w:rPr>
        <w:t>ה</w:t>
      </w:r>
      <w:r w:rsidRPr="000B508C">
        <w:rPr>
          <w:rFonts w:ascii="Century" w:hAnsi="Century" w:cs="Miriam" w:hint="cs"/>
          <w:b/>
          <w:spacing w:val="0"/>
          <w:szCs w:val="24"/>
          <w:rtl/>
        </w:rPr>
        <w:t>כנסתו, או שהם משמש</w:t>
      </w:r>
      <w:r w:rsidRPr="000B508C">
        <w:rPr>
          <w:rFonts w:ascii="Century" w:hAnsi="Century" w:cs="Miriam"/>
          <w:b/>
          <w:spacing w:val="0"/>
          <w:szCs w:val="24"/>
          <w:rtl/>
        </w:rPr>
        <w:t>י</w:t>
      </w:r>
      <w:r w:rsidRPr="000B508C">
        <w:rPr>
          <w:rFonts w:ascii="Century" w:hAnsi="Century" w:cs="Miriam" w:hint="cs"/>
          <w:b/>
          <w:spacing w:val="0"/>
          <w:szCs w:val="24"/>
          <w:rtl/>
        </w:rPr>
        <w:t>ם</w:t>
      </w:r>
      <w:r w:rsidRPr="000B508C">
        <w:rPr>
          <w:rFonts w:ascii="Century" w:hAnsi="Century" w:cs="Miriam"/>
          <w:b/>
          <w:spacing w:val="0"/>
          <w:szCs w:val="24"/>
          <w:rtl/>
        </w:rPr>
        <w:t xml:space="preserve"> </w:t>
      </w:r>
      <w:r w:rsidRPr="000B508C">
        <w:rPr>
          <w:rFonts w:ascii="Century" w:hAnsi="Century" w:cs="Miriam" w:hint="cs"/>
          <w:b/>
          <w:spacing w:val="0"/>
          <w:szCs w:val="24"/>
          <w:rtl/>
        </w:rPr>
        <w:t>לייצור הכנסתו אולם לדעת המנהל הם טפלים למטרות העיקריות של האיגוד המבוצעות למעשה ולא ב</w:t>
      </w:r>
      <w:r w:rsidRPr="000B508C">
        <w:rPr>
          <w:rFonts w:ascii="Century" w:hAnsi="Century" w:cs="Miriam"/>
          <w:b/>
          <w:spacing w:val="0"/>
          <w:szCs w:val="24"/>
          <w:rtl/>
        </w:rPr>
        <w:t>דר</w:t>
      </w:r>
      <w:r w:rsidRPr="000B508C">
        <w:rPr>
          <w:rFonts w:ascii="Century" w:hAnsi="Century" w:cs="Miriam" w:hint="cs"/>
          <w:b/>
          <w:spacing w:val="0"/>
          <w:szCs w:val="24"/>
          <w:rtl/>
        </w:rPr>
        <w:t>ך ארעית</w:t>
      </w:r>
      <w:r w:rsidRPr="00AC75E7">
        <w:rPr>
          <w:rFonts w:hint="cs"/>
          <w:rtl/>
        </w:rPr>
        <w:t>.</w:t>
      </w:r>
    </w:p>
    <w:p w:rsidR="008B4CDC" w:rsidRDefault="008B4CDC" w:rsidP="008B4CDC">
      <w:pPr>
        <w:pStyle w:val="Ruller5"/>
        <w:rPr>
          <w:rStyle w:val="default"/>
          <w:rtl/>
        </w:rPr>
      </w:pPr>
    </w:p>
    <w:p w:rsidR="00353C0D" w:rsidRDefault="00353C0D" w:rsidP="008B4CDC">
      <w:pPr>
        <w:pStyle w:val="Ruller41"/>
        <w:rPr>
          <w:rStyle w:val="default"/>
          <w:rtl/>
        </w:rPr>
      </w:pPr>
    </w:p>
    <w:p w:rsidR="008B4CDC" w:rsidRDefault="008B4CDC" w:rsidP="008B4CDC">
      <w:pPr>
        <w:pStyle w:val="Ruller41"/>
        <w:rPr>
          <w:sz w:val="28"/>
          <w:rtl/>
        </w:rPr>
      </w:pPr>
      <w:r>
        <w:rPr>
          <w:rStyle w:val="default"/>
          <w:rtl/>
        </w:rPr>
        <w:tab/>
      </w:r>
      <w:r>
        <w:rPr>
          <w:rFonts w:hint="cs"/>
          <w:sz w:val="32"/>
          <w:rtl/>
        </w:rPr>
        <w:t>הנה כי כן, חוק מיסוי מקרקעין קובע כי פעולה באיגוד מקרקעין כהגדרתה שם, חייבת בתשלום מס רכישה.</w:t>
      </w:r>
      <w:r>
        <w:rPr>
          <w:rStyle w:val="default"/>
          <w:rFonts w:hint="cs"/>
          <w:rtl/>
        </w:rPr>
        <w:t xml:space="preserve"> ההחלטה למסות </w:t>
      </w:r>
      <w:r>
        <w:rPr>
          <w:rFonts w:hint="cs"/>
          <w:rtl/>
        </w:rPr>
        <w:t xml:space="preserve">פעולה באיגוד מקרקעין נועדה להתמודד עם התחמקות מתשלום מס בעת מכירת זכויות במקרקעין באמצעות שימוש באיגודי מקרקעין (כגון חברת "גוש חלקה"). החיוב במס רכישה בנסיבות אלה מבוסס על "הרמת מסך סטטוטורית", יצירת </w:t>
      </w:r>
      <w:r>
        <w:rPr>
          <w:rFonts w:hint="cs"/>
          <w:sz w:val="28"/>
          <w:rtl/>
        </w:rPr>
        <w:t>זהות בין מכירת הזכויות באיגוד ובין מכירת הזכויות במקרקעין עצמם, כך</w:t>
      </w:r>
      <w:r>
        <w:rPr>
          <w:rFonts w:hint="cs"/>
          <w:color w:val="000000"/>
          <w:sz w:val="28"/>
          <w:rtl/>
        </w:rPr>
        <w:t xml:space="preserve"> שניתן לחייב במס עסקאות בזכויות האיגוד כאילו נמכרו מקרקעי האיגוד עצמם (</w:t>
      </w:r>
      <w:r w:rsidRPr="00E02116">
        <w:rPr>
          <w:rStyle w:val="default"/>
          <w:rtl/>
        </w:rPr>
        <w:t>ע</w:t>
      </w:r>
      <w:r w:rsidRPr="00E02116">
        <w:rPr>
          <w:rStyle w:val="default"/>
          <w:rFonts w:hint="cs"/>
          <w:rtl/>
        </w:rPr>
        <w:t>"</w:t>
      </w:r>
      <w:r w:rsidRPr="00E02116">
        <w:rPr>
          <w:rStyle w:val="default"/>
          <w:rtl/>
        </w:rPr>
        <w:t xml:space="preserve">א 74/15 </w:t>
      </w:r>
      <w:r w:rsidRPr="00E02116">
        <w:rPr>
          <w:rFonts w:cs="Miriam"/>
          <w:b/>
          <w:spacing w:val="0"/>
          <w:szCs w:val="24"/>
          <w:rtl/>
        </w:rPr>
        <w:t>מנהל מיסוי מקרקעין רחובות נ' גזית גלוב ישראל (פיתוח) בע"מ</w:t>
      </w:r>
      <w:r w:rsidRPr="00FE0E77">
        <w:rPr>
          <w:rFonts w:ascii="Century" w:hAnsi="Century" w:hint="cs"/>
          <w:rtl/>
        </w:rPr>
        <w:t xml:space="preserve">, בפסקה </w:t>
      </w:r>
      <w:r>
        <w:rPr>
          <w:rFonts w:ascii="Century" w:hAnsi="Century" w:hint="cs"/>
          <w:rtl/>
        </w:rPr>
        <w:t>15</w:t>
      </w:r>
      <w:r w:rsidRPr="00E02116">
        <w:rPr>
          <w:rFonts w:cs="Miriam" w:hint="cs"/>
          <w:b/>
          <w:spacing w:val="0"/>
          <w:szCs w:val="24"/>
          <w:rtl/>
        </w:rPr>
        <w:t xml:space="preserve"> </w:t>
      </w:r>
      <w:r w:rsidRPr="00E02116">
        <w:rPr>
          <w:rStyle w:val="default"/>
          <w:rFonts w:hint="cs"/>
          <w:rtl/>
        </w:rPr>
        <w:t>(</w:t>
      </w:r>
      <w:r w:rsidRPr="00E02116">
        <w:rPr>
          <w:rStyle w:val="default"/>
          <w:rtl/>
        </w:rPr>
        <w:t>‏14.12.2017</w:t>
      </w:r>
      <w:r w:rsidRPr="00E02116">
        <w:rPr>
          <w:rStyle w:val="default"/>
          <w:rFonts w:hint="cs"/>
          <w:rtl/>
        </w:rPr>
        <w:t>)</w:t>
      </w:r>
      <w:r>
        <w:rPr>
          <w:rStyle w:val="default"/>
          <w:rFonts w:hint="cs"/>
          <w:rtl/>
        </w:rPr>
        <w:t xml:space="preserve"> (להלן: עניין </w:t>
      </w:r>
      <w:r w:rsidRPr="00E02116">
        <w:rPr>
          <w:rFonts w:cs="Miriam" w:hint="cs"/>
          <w:b/>
          <w:spacing w:val="0"/>
          <w:szCs w:val="24"/>
          <w:rtl/>
        </w:rPr>
        <w:t>גזית גלוב</w:t>
      </w:r>
      <w:r>
        <w:rPr>
          <w:rStyle w:val="default"/>
          <w:rFonts w:hint="cs"/>
          <w:rtl/>
        </w:rPr>
        <w:t>)</w:t>
      </w:r>
      <w:r>
        <w:rPr>
          <w:rFonts w:hint="cs"/>
          <w:color w:val="000000"/>
          <w:sz w:val="28"/>
          <w:rtl/>
        </w:rPr>
        <w:t xml:space="preserve">; </w:t>
      </w:r>
      <w:r w:rsidRPr="00733366">
        <w:rPr>
          <w:color w:val="000000"/>
          <w:sz w:val="28"/>
          <w:rtl/>
        </w:rPr>
        <w:t>ע</w:t>
      </w:r>
      <w:r w:rsidRPr="00733366">
        <w:rPr>
          <w:rFonts w:hint="cs"/>
          <w:color w:val="000000"/>
          <w:sz w:val="28"/>
          <w:rtl/>
        </w:rPr>
        <w:t>"</w:t>
      </w:r>
      <w:r w:rsidRPr="00733366">
        <w:rPr>
          <w:color w:val="000000"/>
          <w:sz w:val="28"/>
          <w:rtl/>
        </w:rPr>
        <w:t xml:space="preserve">א 924/12 </w:t>
      </w:r>
      <w:r w:rsidRPr="00733366">
        <w:rPr>
          <w:rFonts w:ascii="Century" w:hAnsi="Century" w:cs="Miriam"/>
          <w:b/>
          <w:spacing w:val="0"/>
          <w:szCs w:val="24"/>
          <w:rtl/>
        </w:rPr>
        <w:t>מדינת ישראל מנהל מס שבח חיפה נ' אספן בניה ופיתוח בע"מ</w:t>
      </w:r>
      <w:r w:rsidRPr="00733366">
        <w:rPr>
          <w:rFonts w:hint="cs"/>
          <w:color w:val="000000"/>
          <w:sz w:val="28"/>
          <w:rtl/>
        </w:rPr>
        <w:t xml:space="preserve">, בפסקה י"ד </w:t>
      </w:r>
      <w:r w:rsidRPr="00733366">
        <w:rPr>
          <w:color w:val="000000"/>
          <w:sz w:val="28"/>
          <w:rtl/>
        </w:rPr>
        <w:t>(‏13.1.2014)</w:t>
      </w:r>
      <w:r w:rsidRPr="00733366">
        <w:rPr>
          <w:rFonts w:hint="cs"/>
          <w:color w:val="000000"/>
          <w:sz w:val="28"/>
          <w:rtl/>
        </w:rPr>
        <w:t xml:space="preserve"> </w:t>
      </w:r>
      <w:r>
        <w:rPr>
          <w:rFonts w:hint="cs"/>
          <w:rtl/>
        </w:rPr>
        <w:t xml:space="preserve">(להלן: עניין </w:t>
      </w:r>
      <w:r w:rsidRPr="00733366">
        <w:rPr>
          <w:rFonts w:ascii="Century" w:hAnsi="Century" w:cs="Miriam" w:hint="cs"/>
          <w:b/>
          <w:spacing w:val="0"/>
          <w:szCs w:val="24"/>
          <w:rtl/>
        </w:rPr>
        <w:t>אספן</w:t>
      </w:r>
      <w:r>
        <w:rPr>
          <w:rFonts w:hint="cs"/>
          <w:rtl/>
        </w:rPr>
        <w:t xml:space="preserve">); </w:t>
      </w:r>
      <w:r w:rsidRPr="008235B5">
        <w:rPr>
          <w:rFonts w:hint="cs"/>
          <w:sz w:val="28"/>
          <w:rtl/>
        </w:rPr>
        <w:t>ע"א 2881/10 </w:t>
      </w:r>
      <w:r w:rsidRPr="00733366">
        <w:rPr>
          <w:rFonts w:ascii="Century" w:hAnsi="Century" w:cs="Miriam" w:hint="cs"/>
          <w:b/>
          <w:spacing w:val="0"/>
          <w:szCs w:val="24"/>
          <w:rtl/>
        </w:rPr>
        <w:t>לוי נ' מנהל מס שבח רחובות</w:t>
      </w:r>
      <w:r w:rsidRPr="008235B5">
        <w:rPr>
          <w:rFonts w:hint="cs"/>
          <w:sz w:val="28"/>
          <w:rtl/>
        </w:rPr>
        <w:t xml:space="preserve">, בפסקה יא </w:t>
      </w:r>
      <w:r>
        <w:rPr>
          <w:rFonts w:hint="cs"/>
          <w:sz w:val="28"/>
          <w:rtl/>
        </w:rPr>
        <w:t xml:space="preserve">(23.4.2012); </w:t>
      </w:r>
      <w:r w:rsidRPr="00AE6A13">
        <w:rPr>
          <w:rFonts w:hint="cs"/>
          <w:sz w:val="28"/>
          <w:rtl/>
        </w:rPr>
        <w:t>ע"א 4666/06</w:t>
      </w:r>
      <w:r>
        <w:rPr>
          <w:rFonts w:hint="cs"/>
          <w:sz w:val="28"/>
          <w:rtl/>
        </w:rPr>
        <w:t xml:space="preserve"> </w:t>
      </w:r>
      <w:r w:rsidRPr="00AE6A13">
        <w:rPr>
          <w:rFonts w:ascii="Century" w:hAnsi="Century" w:cs="Miriam" w:hint="cs"/>
          <w:b/>
          <w:spacing w:val="0"/>
          <w:szCs w:val="24"/>
          <w:rtl/>
        </w:rPr>
        <w:t>נאות הארץ בע"מ נ' מנהל מיסוי מקרקעין, תל אביב</w:t>
      </w:r>
      <w:r w:rsidRPr="00AE6A13">
        <w:rPr>
          <w:rFonts w:hint="cs"/>
          <w:sz w:val="28"/>
          <w:rtl/>
        </w:rPr>
        <w:t xml:space="preserve">, בפסקה </w:t>
      </w:r>
      <w:r w:rsidRPr="00051C76">
        <w:rPr>
          <w:rFonts w:hint="cs"/>
          <w:sz w:val="28"/>
          <w:rtl/>
        </w:rPr>
        <w:t>7</w:t>
      </w:r>
      <w:r>
        <w:rPr>
          <w:rFonts w:hint="cs"/>
          <w:sz w:val="28"/>
          <w:rtl/>
        </w:rPr>
        <w:t xml:space="preserve"> (</w:t>
      </w:r>
      <w:r w:rsidRPr="00051C76">
        <w:rPr>
          <w:rFonts w:hint="cs"/>
          <w:sz w:val="28"/>
          <w:rtl/>
        </w:rPr>
        <w:t>11.3.2009)</w:t>
      </w:r>
      <w:r>
        <w:rPr>
          <w:rFonts w:hint="cs"/>
          <w:sz w:val="28"/>
          <w:rtl/>
        </w:rPr>
        <w:t xml:space="preserve"> אהרון נמדר </w:t>
      </w:r>
      <w:r w:rsidRPr="00AA390E">
        <w:rPr>
          <w:rFonts w:ascii="Century" w:hAnsi="Century" w:cs="Miriam" w:hint="cs"/>
          <w:b/>
          <w:spacing w:val="0"/>
          <w:szCs w:val="24"/>
          <w:rtl/>
        </w:rPr>
        <w:t>מס שבח מקרקעין</w:t>
      </w:r>
      <w:r w:rsidRPr="00AA390E">
        <w:rPr>
          <w:rFonts w:hint="cs"/>
          <w:sz w:val="28"/>
          <w:rtl/>
        </w:rPr>
        <w:t xml:space="preserve"> </w:t>
      </w:r>
      <w:r>
        <w:rPr>
          <w:rFonts w:hint="cs"/>
          <w:sz w:val="28"/>
          <w:rtl/>
        </w:rPr>
        <w:t xml:space="preserve">כרך א </w:t>
      </w:r>
      <w:r>
        <w:rPr>
          <w:sz w:val="28"/>
          <w:rtl/>
        </w:rPr>
        <w:t>–</w:t>
      </w:r>
      <w:r>
        <w:rPr>
          <w:rFonts w:hint="cs"/>
          <w:sz w:val="28"/>
          <w:rtl/>
        </w:rPr>
        <w:t xml:space="preserve"> </w:t>
      </w:r>
      <w:r w:rsidRPr="00051C76">
        <w:rPr>
          <w:rFonts w:hint="cs"/>
          <w:sz w:val="28"/>
          <w:rtl/>
        </w:rPr>
        <w:t>בסיס המס</w:t>
      </w:r>
      <w:r>
        <w:rPr>
          <w:rFonts w:hint="cs"/>
          <w:rtl/>
        </w:rPr>
        <w:t xml:space="preserve"> 551-550</w:t>
      </w:r>
      <w:r w:rsidRPr="00051C76">
        <w:rPr>
          <w:rFonts w:hint="cs"/>
          <w:sz w:val="28"/>
          <w:rtl/>
        </w:rPr>
        <w:t xml:space="preserve"> (מהדו</w:t>
      </w:r>
      <w:r>
        <w:rPr>
          <w:rFonts w:hint="cs"/>
          <w:rtl/>
        </w:rPr>
        <w:t xml:space="preserve">רה שביעית, 2012) (להלן </w:t>
      </w:r>
      <w:r w:rsidRPr="00051C76">
        <w:rPr>
          <w:rFonts w:ascii="Century" w:hAnsi="Century" w:cs="Miriam" w:hint="cs"/>
          <w:b/>
          <w:spacing w:val="0"/>
          <w:szCs w:val="24"/>
          <w:rtl/>
        </w:rPr>
        <w:t>נמדר</w:t>
      </w:r>
      <w:r>
        <w:rPr>
          <w:rFonts w:hint="cs"/>
          <w:rtl/>
        </w:rPr>
        <w:t>)).</w:t>
      </w:r>
    </w:p>
    <w:p w:rsidR="008B4CDC" w:rsidRPr="00A675C1" w:rsidRDefault="008B4CDC" w:rsidP="008B4CDC">
      <w:pPr>
        <w:pStyle w:val="Ruller41"/>
        <w:contextualSpacing/>
        <w:rPr>
          <w:rStyle w:val="default"/>
          <w:sz w:val="28"/>
          <w:rtl/>
        </w:rPr>
      </w:pPr>
      <w:r>
        <w:rPr>
          <w:rStyle w:val="default"/>
          <w:rtl/>
        </w:rPr>
        <w:t xml:space="preserve"> </w:t>
      </w:r>
    </w:p>
    <w:p w:rsidR="008B4CDC" w:rsidRDefault="008B4CDC" w:rsidP="008B4CDC">
      <w:pPr>
        <w:pStyle w:val="Ruller41"/>
        <w:rPr>
          <w:rStyle w:val="default"/>
          <w:rtl/>
        </w:rPr>
      </w:pPr>
      <w:r>
        <w:rPr>
          <w:rStyle w:val="default"/>
          <w:rFonts w:hint="cs"/>
          <w:rtl/>
        </w:rPr>
        <w:t>2.</w:t>
      </w:r>
      <w:r>
        <w:rPr>
          <w:rStyle w:val="default"/>
          <w:rFonts w:hint="cs"/>
          <w:rtl/>
        </w:rPr>
        <w:tab/>
        <w:t>המונחים "איגוד מקרקעין" (עובר לתיקונו בתיקון מס' 86 לחוק (ס"ח 722) (</w:t>
      </w:r>
      <w:r w:rsidRPr="00AA2E6E">
        <w:rPr>
          <w:rFonts w:hint="cs"/>
          <w:rtl/>
        </w:rPr>
        <w:t>תיקון עקיף לחוק</w:t>
      </w:r>
      <w:r w:rsidRPr="00AA2E6E">
        <w:t xml:space="preserve"> </w:t>
      </w:r>
      <w:r w:rsidRPr="00AA2E6E">
        <w:rPr>
          <w:rFonts w:hint="cs"/>
          <w:rtl/>
        </w:rPr>
        <w:t>לתיקון</w:t>
      </w:r>
      <w:r>
        <w:rPr>
          <w:rFonts w:hint="cs"/>
          <w:rtl/>
        </w:rPr>
        <w:t xml:space="preserve"> </w:t>
      </w:r>
      <w:r w:rsidRPr="00AA2E6E">
        <w:rPr>
          <w:rFonts w:hint="cs"/>
          <w:rtl/>
        </w:rPr>
        <w:t>פקודת</w:t>
      </w:r>
      <w:r w:rsidRPr="00AA2E6E">
        <w:t xml:space="preserve"> </w:t>
      </w:r>
      <w:r w:rsidRPr="00AA2E6E">
        <w:rPr>
          <w:rFonts w:hint="cs"/>
          <w:rtl/>
        </w:rPr>
        <w:t>מס</w:t>
      </w:r>
      <w:r w:rsidRPr="00AA2E6E">
        <w:t xml:space="preserve"> </w:t>
      </w:r>
      <w:r w:rsidRPr="00AA2E6E">
        <w:rPr>
          <w:rFonts w:hint="cs"/>
          <w:rtl/>
        </w:rPr>
        <w:t>הכנסה (מס' 222), התשע"ו-2016</w:t>
      </w:r>
      <w:r>
        <w:rPr>
          <w:rFonts w:hint="cs"/>
          <w:rtl/>
        </w:rPr>
        <w:t xml:space="preserve">) </w:t>
      </w:r>
      <w:r>
        <w:rPr>
          <w:rStyle w:val="default"/>
          <w:rFonts w:hint="cs"/>
          <w:rtl/>
        </w:rPr>
        <w:t xml:space="preserve">ו"זכויות במקרקעין", נדונו בהרחבה בפסק הדין בעניין </w:t>
      </w:r>
      <w:r w:rsidRPr="00D27F25">
        <w:rPr>
          <w:rStyle w:val="default"/>
          <w:rFonts w:cs="Miriam" w:hint="cs"/>
          <w:b/>
          <w:spacing w:val="0"/>
          <w:szCs w:val="24"/>
          <w:rtl/>
        </w:rPr>
        <w:t>גזית גל</w:t>
      </w:r>
      <w:r>
        <w:rPr>
          <w:rStyle w:val="default"/>
          <w:rFonts w:cs="Miriam" w:hint="cs"/>
          <w:b/>
          <w:spacing w:val="0"/>
          <w:szCs w:val="24"/>
          <w:rtl/>
        </w:rPr>
        <w:t>וב</w:t>
      </w:r>
      <w:r w:rsidRPr="00ED0EF6">
        <w:rPr>
          <w:rStyle w:val="default"/>
          <w:rFonts w:hint="cs"/>
          <w:rtl/>
        </w:rPr>
        <w:t xml:space="preserve"> (</w:t>
      </w:r>
      <w:r w:rsidRPr="00E02116">
        <w:rPr>
          <w:rStyle w:val="default"/>
          <w:rFonts w:hint="cs"/>
          <w:rtl/>
        </w:rPr>
        <w:t xml:space="preserve">בקשה לדיון נוסף נדחתה, </w:t>
      </w:r>
      <w:r w:rsidRPr="00E02116">
        <w:rPr>
          <w:rStyle w:val="default"/>
          <w:rtl/>
        </w:rPr>
        <w:t>דנ</w:t>
      </w:r>
      <w:r w:rsidRPr="00E02116">
        <w:rPr>
          <w:rStyle w:val="default"/>
          <w:rFonts w:hint="cs"/>
          <w:rtl/>
        </w:rPr>
        <w:t>"</w:t>
      </w:r>
      <w:r w:rsidRPr="00E02116">
        <w:rPr>
          <w:rStyle w:val="default"/>
          <w:rtl/>
        </w:rPr>
        <w:t xml:space="preserve">א 1032/18 </w:t>
      </w:r>
      <w:r w:rsidRPr="00E02116">
        <w:rPr>
          <w:rFonts w:cs="Miriam"/>
          <w:b/>
          <w:spacing w:val="0"/>
          <w:szCs w:val="24"/>
          <w:rtl/>
        </w:rPr>
        <w:t>אלדר נכסים בע"מ נ' מנהל מיסוי מקרקעין תל אביב</w:t>
      </w:r>
      <w:r w:rsidRPr="00E02116">
        <w:rPr>
          <w:rStyle w:val="default"/>
          <w:rFonts w:hint="cs"/>
          <w:rtl/>
        </w:rPr>
        <w:t xml:space="preserve"> (</w:t>
      </w:r>
      <w:r w:rsidRPr="00E02116">
        <w:rPr>
          <w:rStyle w:val="default"/>
          <w:rtl/>
        </w:rPr>
        <w:t>‏18.9.2018</w:t>
      </w:r>
      <w:r w:rsidRPr="00E02116">
        <w:rPr>
          <w:rStyle w:val="default"/>
          <w:rFonts w:hint="cs"/>
          <w:rtl/>
        </w:rPr>
        <w:t>)</w:t>
      </w:r>
      <w:r>
        <w:rPr>
          <w:rStyle w:val="default"/>
          <w:rFonts w:hint="cs"/>
          <w:rtl/>
        </w:rPr>
        <w:t>). בפסק הדין נדונו א</w:t>
      </w:r>
      <w:r>
        <w:rPr>
          <w:rFonts w:hint="cs"/>
          <w:color w:val="000000"/>
          <w:sz w:val="28"/>
          <w:rtl/>
        </w:rPr>
        <w:t>רבעה ערעורי</w:t>
      </w:r>
      <w:r w:rsidRPr="00321D12">
        <w:rPr>
          <w:rStyle w:val="default"/>
          <w:rFonts w:hint="cs"/>
          <w:rtl/>
        </w:rPr>
        <w:t xml:space="preserve">ם </w:t>
      </w:r>
      <w:r>
        <w:rPr>
          <w:rStyle w:val="default"/>
          <w:rFonts w:hint="cs"/>
          <w:rtl/>
        </w:rPr>
        <w:t xml:space="preserve">שעניינם </w:t>
      </w:r>
      <w:r w:rsidRPr="00321D12">
        <w:rPr>
          <w:rStyle w:val="default"/>
          <w:rFonts w:hint="cs"/>
          <w:rtl/>
        </w:rPr>
        <w:t xml:space="preserve">מיסוי עסקאות למכירת מרכזי קניות. שאלה מרכזית </w:t>
      </w:r>
      <w:r w:rsidRPr="00321D12">
        <w:rPr>
          <w:rStyle w:val="default"/>
          <w:rFonts w:hint="cs"/>
          <w:rtl/>
        </w:rPr>
        <w:lastRenderedPageBreak/>
        <w:t>שהתעוררה שם הייתה אם נכסים מסוימים כ</w:t>
      </w:r>
      <w:r>
        <w:rPr>
          <w:rStyle w:val="default"/>
          <w:rFonts w:hint="cs"/>
          <w:rtl/>
        </w:rPr>
        <w:t xml:space="preserve">מו </w:t>
      </w:r>
      <w:r w:rsidRPr="00321D12">
        <w:rPr>
          <w:rStyle w:val="default"/>
          <w:rFonts w:hint="cs"/>
          <w:rtl/>
        </w:rPr>
        <w:t>פעילות עסקית, "עסק חי" ומוניטין של מרכזי הקניות הם נכסים עצמאיים שאינם נחשבים לזכויות במקרקעין</w:t>
      </w:r>
      <w:r>
        <w:rPr>
          <w:rStyle w:val="default"/>
          <w:rFonts w:hint="cs"/>
          <w:rtl/>
        </w:rPr>
        <w:t>,</w:t>
      </w:r>
      <w:r w:rsidRPr="00321D12">
        <w:rPr>
          <w:rStyle w:val="default"/>
          <w:rFonts w:hint="cs"/>
          <w:rtl/>
        </w:rPr>
        <w:t xml:space="preserve"> והשלכותיהם על סיווג האיגוד כאיגוד מקרקעין (פסקה 13).</w:t>
      </w:r>
      <w:r>
        <w:rPr>
          <w:rStyle w:val="default"/>
          <w:rFonts w:hint="cs"/>
          <w:rtl/>
        </w:rPr>
        <w:t xml:space="preserve"> בפסק הדין, עמדה הנשיאה </w:t>
      </w:r>
      <w:r w:rsidRPr="00DA2027">
        <w:rPr>
          <w:rStyle w:val="default"/>
          <w:rFonts w:cs="Miriam" w:hint="cs"/>
          <w:b/>
          <w:spacing w:val="0"/>
          <w:szCs w:val="24"/>
          <w:rtl/>
        </w:rPr>
        <w:t>נאור</w:t>
      </w:r>
      <w:r>
        <w:rPr>
          <w:rStyle w:val="default"/>
          <w:rFonts w:cs="Miriam" w:hint="cs"/>
          <w:b/>
          <w:spacing w:val="0"/>
          <w:szCs w:val="24"/>
          <w:rtl/>
        </w:rPr>
        <w:t xml:space="preserve"> </w:t>
      </w:r>
      <w:r>
        <w:rPr>
          <w:rStyle w:val="default"/>
          <w:rFonts w:hint="cs"/>
          <w:rtl/>
        </w:rPr>
        <w:t>על הגדרת המונח "איגוד מקרקעין" וקבעה כי ניתן לחלקה לשלושה חלקים עליהם יפורט להלן:</w:t>
      </w:r>
    </w:p>
    <w:p w:rsidR="008B4CDC" w:rsidRDefault="008B4CDC" w:rsidP="008B4CDC">
      <w:pPr>
        <w:overflowPunct/>
        <w:autoSpaceDE/>
        <w:autoSpaceDN/>
        <w:adjustRightInd/>
        <w:spacing w:before="100"/>
        <w:contextualSpacing/>
        <w:jc w:val="both"/>
        <w:textAlignment w:val="auto"/>
        <w:rPr>
          <w:rStyle w:val="default"/>
          <w:rFonts w:ascii="Arial TUR" w:hAnsi="Arial TUR"/>
          <w:sz w:val="22"/>
          <w:rtl/>
        </w:rPr>
      </w:pPr>
    </w:p>
    <w:p w:rsidR="008B4CDC" w:rsidRPr="00321D12" w:rsidRDefault="008B4CDC" w:rsidP="008B4CDC">
      <w:pPr>
        <w:pStyle w:val="Ruller41"/>
        <w:rPr>
          <w:rtl/>
        </w:rPr>
      </w:pPr>
      <w:r>
        <w:rPr>
          <w:rStyle w:val="default"/>
          <w:rtl/>
        </w:rPr>
        <w:tab/>
      </w:r>
      <w:r>
        <w:rPr>
          <w:rStyle w:val="default"/>
          <w:rFonts w:hint="cs"/>
          <w:rtl/>
        </w:rPr>
        <w:t xml:space="preserve">(-) </w:t>
      </w:r>
      <w:r w:rsidR="00353C0D">
        <w:rPr>
          <w:rStyle w:val="default"/>
          <w:rtl/>
        </w:rPr>
        <w:tab/>
      </w:r>
      <w:r w:rsidRPr="00E50C95">
        <w:rPr>
          <w:rStyle w:val="default"/>
          <w:rFonts w:cs="Miriam" w:hint="cs"/>
          <w:b/>
          <w:spacing w:val="0"/>
          <w:szCs w:val="24"/>
          <w:rtl/>
        </w:rPr>
        <w:t xml:space="preserve">ההגדרה הבסיסית </w:t>
      </w:r>
      <w:r>
        <w:rPr>
          <w:rStyle w:val="default"/>
          <w:rtl/>
        </w:rPr>
        <w:t>–</w:t>
      </w:r>
      <w:r>
        <w:rPr>
          <w:rStyle w:val="default"/>
          <w:rFonts w:hint="cs"/>
          <w:rtl/>
        </w:rPr>
        <w:t xml:space="preserve"> </w:t>
      </w:r>
      <w:r>
        <w:rPr>
          <w:rFonts w:hint="cs"/>
          <w:rtl/>
        </w:rPr>
        <w:t xml:space="preserve">"איגוד שכל נכסיו, במישרין או בעקיפין, הם זכויות במקרקעין" </w:t>
      </w:r>
      <w:r>
        <w:rPr>
          <w:rtl/>
        </w:rPr>
        <w:t>–</w:t>
      </w:r>
      <w:r>
        <w:rPr>
          <w:rFonts w:hint="cs"/>
          <w:rtl/>
        </w:rPr>
        <w:t xml:space="preserve"> במסגרת זו יש לגבש "רשימה" של נכסי האיגוד שהינם נכסים עצמאים ונפרדים מנכסיו האחרים של האיגוד, ולגביהם יקבע אם הם מהווים זכויות במקרקעין או אם לאו. אם כלל נכסי האיגוד הם זכויות במקרקעין, יוגדר האיגוד כ"איגוד מקרקעין" (בכפוף להגדרה הממעטת). אם ימצא כי קיים לפחות נכס אחד שאינו עולה כדי זכות במקרקעין, לא יפול האיגוד המדובר לגדרי ההגדרה הבסיסית, ויש לבחון את התקיימות תנאי ההגדרה המרחיבה (שם, פסקה 17).</w:t>
      </w:r>
    </w:p>
    <w:p w:rsidR="008B4CDC" w:rsidRDefault="008B4CDC" w:rsidP="008B4CDC">
      <w:pPr>
        <w:overflowPunct/>
        <w:autoSpaceDE/>
        <w:autoSpaceDN/>
        <w:adjustRightInd/>
        <w:spacing w:before="100"/>
        <w:ind w:firstLine="720"/>
        <w:contextualSpacing/>
        <w:jc w:val="both"/>
        <w:textAlignment w:val="auto"/>
        <w:rPr>
          <w:rtl/>
        </w:rPr>
      </w:pPr>
    </w:p>
    <w:p w:rsidR="008B4CDC" w:rsidRPr="00E50C95" w:rsidRDefault="008B4CDC" w:rsidP="008B4CDC">
      <w:pPr>
        <w:pStyle w:val="Ruller41"/>
        <w:rPr>
          <w:rStyle w:val="default"/>
        </w:rPr>
      </w:pPr>
      <w:r>
        <w:rPr>
          <w:rtl/>
        </w:rPr>
        <w:tab/>
      </w:r>
      <w:r>
        <w:rPr>
          <w:rFonts w:hint="cs"/>
          <w:rtl/>
        </w:rPr>
        <w:t xml:space="preserve">(-) </w:t>
      </w:r>
      <w:r w:rsidR="00353C0D">
        <w:rPr>
          <w:rFonts w:cs="Miriam"/>
          <w:b/>
          <w:spacing w:val="0"/>
          <w:szCs w:val="24"/>
          <w:rtl/>
        </w:rPr>
        <w:tab/>
      </w:r>
      <w:r w:rsidRPr="008D53D8">
        <w:rPr>
          <w:rFonts w:cs="Miriam" w:hint="cs"/>
          <w:b/>
          <w:spacing w:val="0"/>
          <w:szCs w:val="24"/>
          <w:rtl/>
        </w:rPr>
        <w:t>ה</w:t>
      </w:r>
      <w:r>
        <w:rPr>
          <w:rFonts w:cs="Miriam" w:hint="cs"/>
          <w:b/>
          <w:spacing w:val="0"/>
          <w:szCs w:val="24"/>
          <w:rtl/>
        </w:rPr>
        <w:t>ה</w:t>
      </w:r>
      <w:r w:rsidRPr="008D53D8">
        <w:rPr>
          <w:rFonts w:cs="Miriam" w:hint="cs"/>
          <w:b/>
          <w:spacing w:val="0"/>
          <w:szCs w:val="24"/>
          <w:rtl/>
        </w:rPr>
        <w:t xml:space="preserve">גדרה </w:t>
      </w:r>
      <w:r>
        <w:rPr>
          <w:rFonts w:cs="Miriam" w:hint="cs"/>
          <w:b/>
          <w:spacing w:val="0"/>
          <w:szCs w:val="24"/>
          <w:rtl/>
        </w:rPr>
        <w:t>ה</w:t>
      </w:r>
      <w:r w:rsidRPr="008D53D8">
        <w:rPr>
          <w:rFonts w:cs="Miriam" w:hint="cs"/>
          <w:b/>
          <w:spacing w:val="0"/>
          <w:szCs w:val="24"/>
          <w:rtl/>
        </w:rPr>
        <w:t>ממעטת</w:t>
      </w:r>
      <w:r>
        <w:rPr>
          <w:rFonts w:hint="cs"/>
          <w:rtl/>
        </w:rPr>
        <w:t xml:space="preserve"> </w:t>
      </w:r>
      <w:r>
        <w:rPr>
          <w:rtl/>
        </w:rPr>
        <w:t>–</w:t>
      </w:r>
      <w:r>
        <w:rPr>
          <w:rFonts w:hint="cs"/>
          <w:rtl/>
        </w:rPr>
        <w:t xml:space="preserve"> "למעט איגוד שהזכויות בו רשומות למסחר בבורסה כהגדרתה בפקודה [...]" </w:t>
      </w:r>
      <w:r>
        <w:rPr>
          <w:rtl/>
        </w:rPr>
        <w:t>–</w:t>
      </w:r>
      <w:r>
        <w:rPr>
          <w:rFonts w:hint="cs"/>
          <w:rtl/>
        </w:rPr>
        <w:t xml:space="preserve"> בהתקיים האמור בהגדרה הממעטת, יוצא איגוד שנכסיו הם זכויות במקרקעין מהגדרת "איגוד מקרקעין". יושם אל לב</w:t>
      </w:r>
      <w:r>
        <w:rPr>
          <w:rStyle w:val="default"/>
          <w:rFonts w:hint="cs"/>
          <w:rtl/>
        </w:rPr>
        <w:t xml:space="preserve"> כי במועדים הרלוונטיים למקרים שנדונו ב</w:t>
      </w:r>
      <w:r w:rsidRPr="00AD55AF">
        <w:rPr>
          <w:rStyle w:val="default"/>
          <w:rFonts w:hint="cs"/>
          <w:rtl/>
        </w:rPr>
        <w:t>עניין</w:t>
      </w:r>
      <w:r>
        <w:rPr>
          <w:rStyle w:val="default"/>
          <w:rFonts w:cs="Miriam" w:hint="cs"/>
          <w:b/>
          <w:spacing w:val="0"/>
          <w:szCs w:val="24"/>
          <w:rtl/>
        </w:rPr>
        <w:t xml:space="preserve"> </w:t>
      </w:r>
      <w:r w:rsidRPr="00AD55AF">
        <w:rPr>
          <w:rStyle w:val="default"/>
          <w:rFonts w:cs="Miriam" w:hint="cs"/>
          <w:b/>
          <w:spacing w:val="0"/>
          <w:szCs w:val="24"/>
          <w:rtl/>
        </w:rPr>
        <w:t>גזית גלוב</w:t>
      </w:r>
      <w:r>
        <w:rPr>
          <w:rStyle w:val="default"/>
          <w:rFonts w:hint="cs"/>
          <w:rtl/>
        </w:rPr>
        <w:t xml:space="preserve"> </w:t>
      </w:r>
      <w:r>
        <w:rPr>
          <w:rFonts w:hint="cs"/>
          <w:rtl/>
        </w:rPr>
        <w:t>(שם, בפסקה 16)</w:t>
      </w:r>
      <w:r>
        <w:rPr>
          <w:rStyle w:val="default"/>
          <w:rFonts w:hint="cs"/>
          <w:rtl/>
        </w:rPr>
        <w:t xml:space="preserve">, כמו גם במועד הרלוונטי למקרה שלפנינו, ההגדרה הממעטת הייתה שונה ומצומצמת יותר מזו הקיימת בהגדרת המונח כיום. עם זאת, מאחר שבמקרים אלו לא התעוררה שאלת פרשנותה של ההגדרה הממעטת, אין לשוני נפקות מעשית. </w:t>
      </w:r>
    </w:p>
    <w:p w:rsidR="008B4CDC" w:rsidRDefault="008B4CDC" w:rsidP="008B4CDC">
      <w:pPr>
        <w:overflowPunct/>
        <w:autoSpaceDE/>
        <w:autoSpaceDN/>
        <w:adjustRightInd/>
        <w:spacing w:before="100"/>
        <w:ind w:firstLine="720"/>
        <w:contextualSpacing/>
        <w:jc w:val="both"/>
        <w:textAlignment w:val="auto"/>
        <w:rPr>
          <w:rtl/>
        </w:rPr>
      </w:pPr>
    </w:p>
    <w:p w:rsidR="008B4CDC" w:rsidRDefault="008B4CDC" w:rsidP="008B4CDC">
      <w:pPr>
        <w:pStyle w:val="Ruller41"/>
        <w:rPr>
          <w:rtl/>
        </w:rPr>
      </w:pPr>
      <w:r>
        <w:rPr>
          <w:rtl/>
        </w:rPr>
        <w:tab/>
      </w:r>
      <w:r>
        <w:rPr>
          <w:rFonts w:hint="cs"/>
          <w:rtl/>
        </w:rPr>
        <w:t xml:space="preserve">(-) </w:t>
      </w:r>
      <w:r w:rsidR="00353C0D">
        <w:rPr>
          <w:rFonts w:cs="Miriam"/>
          <w:b/>
          <w:spacing w:val="0"/>
          <w:szCs w:val="24"/>
          <w:rtl/>
        </w:rPr>
        <w:tab/>
      </w:r>
      <w:r>
        <w:rPr>
          <w:rFonts w:cs="Miriam" w:hint="cs"/>
          <w:b/>
          <w:spacing w:val="0"/>
          <w:szCs w:val="24"/>
          <w:rtl/>
        </w:rPr>
        <w:t>ה</w:t>
      </w:r>
      <w:r w:rsidRPr="00772140">
        <w:rPr>
          <w:rFonts w:cs="Miriam" w:hint="cs"/>
          <w:b/>
          <w:spacing w:val="0"/>
          <w:szCs w:val="24"/>
          <w:rtl/>
        </w:rPr>
        <w:t xml:space="preserve">הגדרה </w:t>
      </w:r>
      <w:r>
        <w:rPr>
          <w:rFonts w:cs="Miriam" w:hint="cs"/>
          <w:b/>
          <w:spacing w:val="0"/>
          <w:szCs w:val="24"/>
          <w:rtl/>
        </w:rPr>
        <w:t>ה</w:t>
      </w:r>
      <w:r w:rsidRPr="00772140">
        <w:rPr>
          <w:rFonts w:cs="Miriam" w:hint="cs"/>
          <w:b/>
          <w:spacing w:val="0"/>
          <w:szCs w:val="24"/>
          <w:rtl/>
        </w:rPr>
        <w:t>מרחיבה</w:t>
      </w:r>
      <w:r>
        <w:rPr>
          <w:rFonts w:hint="cs"/>
          <w:rtl/>
        </w:rPr>
        <w:t xml:space="preserve"> </w:t>
      </w:r>
      <w:r>
        <w:rPr>
          <w:rtl/>
        </w:rPr>
        <w:t>–</w:t>
      </w:r>
      <w:r>
        <w:rPr>
          <w:rFonts w:hint="cs"/>
          <w:rtl/>
        </w:rPr>
        <w:t xml:space="preserve"> "לא יראו כנכסיו של האיגוד [...]". הגדרה זו עוסקת במקרים שבהם חרף העובדה שהאיגוד מחזיק בנכסים שהם אינם זכויות במקרקעין, עדיין יראו בו כאיגוד מקרקעין. בחלק זה נזכרת רשימת נכסים (</w:t>
      </w:r>
      <w:r w:rsidRPr="002B1C5A">
        <w:rPr>
          <w:rFonts w:hint="cs"/>
          <w:rtl/>
        </w:rPr>
        <w:t>מזומנים, מניות, איגרות חוב, ניירות ער</w:t>
      </w:r>
      <w:r w:rsidRPr="002B1C5A">
        <w:rPr>
          <w:rtl/>
        </w:rPr>
        <w:t>ך אח</w:t>
      </w:r>
      <w:r w:rsidRPr="002B1C5A">
        <w:rPr>
          <w:rFonts w:hint="cs"/>
          <w:rtl/>
        </w:rPr>
        <w:t>רים, ומטלטלין</w:t>
      </w:r>
      <w:r>
        <w:rPr>
          <w:rFonts w:hint="cs"/>
          <w:rtl/>
        </w:rPr>
        <w:t>)</w:t>
      </w:r>
      <w:r w:rsidRPr="002B1C5A">
        <w:rPr>
          <w:rFonts w:hint="cs"/>
          <w:rtl/>
        </w:rPr>
        <w:t xml:space="preserve"> </w:t>
      </w:r>
      <w:r>
        <w:rPr>
          <w:rFonts w:hint="cs"/>
          <w:rtl/>
        </w:rPr>
        <w:t xml:space="preserve">המכונים "נכסים ניטרלים", שכל עוד הם אינם משמשים את האיגוד בייצור הכנסתו הם לא יובאו בחשבון נכסי האיגוד ולא יגרעו מסיווגו של האיגוד כאיגוד מקרקעין </w:t>
      </w:r>
      <w:r w:rsidRPr="00DA098D">
        <w:rPr>
          <w:rFonts w:hint="cs"/>
          <w:rtl/>
        </w:rPr>
        <w:t>(</w:t>
      </w:r>
      <w:r w:rsidRPr="00DA098D">
        <w:rPr>
          <w:rFonts w:cs="Miriam" w:hint="cs"/>
          <w:b/>
          <w:spacing w:val="0"/>
          <w:szCs w:val="24"/>
          <w:rtl/>
        </w:rPr>
        <w:t>"מבחן הניטרליות"</w:t>
      </w:r>
      <w:r w:rsidRPr="00DA098D">
        <w:rPr>
          <w:rFonts w:hint="cs"/>
          <w:rtl/>
        </w:rPr>
        <w:t>)</w:t>
      </w:r>
      <w:r>
        <w:rPr>
          <w:rFonts w:hint="cs"/>
          <w:rtl/>
        </w:rPr>
        <w:t xml:space="preserve">. ככל שנכסים אלו משמשים ליצור הכנסתו של האיגוד, הם לא יגרעו מסיווגו כאיגוד מקרקעין אם "לדעת המנהל הם טפלים למטרות העיקריות של האיגוד </w:t>
      </w:r>
      <w:r w:rsidRPr="00BF34C6">
        <w:rPr>
          <w:rFonts w:hint="cs"/>
          <w:rtl/>
        </w:rPr>
        <w:t>המבוצעות למעשה ולא ב</w:t>
      </w:r>
      <w:r w:rsidRPr="00BF34C6">
        <w:rPr>
          <w:rtl/>
        </w:rPr>
        <w:t>דר</w:t>
      </w:r>
      <w:r w:rsidRPr="00BF34C6">
        <w:rPr>
          <w:rFonts w:hint="cs"/>
          <w:rtl/>
        </w:rPr>
        <w:t>ך ארעית</w:t>
      </w:r>
      <w:r>
        <w:rPr>
          <w:rFonts w:hint="cs"/>
          <w:rtl/>
        </w:rPr>
        <w:t>" ("</w:t>
      </w:r>
      <w:r w:rsidRPr="00DA098D">
        <w:rPr>
          <w:rFonts w:cs="Miriam" w:hint="cs"/>
          <w:b/>
          <w:spacing w:val="0"/>
          <w:szCs w:val="24"/>
          <w:rtl/>
        </w:rPr>
        <w:t>מבחן הטפלות</w:t>
      </w:r>
      <w:r>
        <w:rPr>
          <w:rFonts w:hint="cs"/>
          <w:rtl/>
        </w:rPr>
        <w:t xml:space="preserve">") (להרחבה ראו עניין </w:t>
      </w:r>
      <w:r w:rsidRPr="00D0213E">
        <w:rPr>
          <w:rStyle w:val="default"/>
          <w:rFonts w:cs="Miriam" w:hint="cs"/>
          <w:b/>
          <w:spacing w:val="0"/>
          <w:szCs w:val="24"/>
          <w:rtl/>
        </w:rPr>
        <w:t>גזית גלוב</w:t>
      </w:r>
      <w:r>
        <w:rPr>
          <w:rFonts w:hint="cs"/>
          <w:rtl/>
        </w:rPr>
        <w:t xml:space="preserve">, בפסקאות 24-22. עוד ראו אצל </w:t>
      </w:r>
      <w:r w:rsidRPr="0029465E">
        <w:rPr>
          <w:rFonts w:cs="Miriam" w:hint="cs"/>
          <w:b/>
          <w:spacing w:val="0"/>
          <w:szCs w:val="24"/>
          <w:rtl/>
        </w:rPr>
        <w:t>נמדר</w:t>
      </w:r>
      <w:r w:rsidRPr="0029465E">
        <w:rPr>
          <w:rFonts w:hint="cs"/>
          <w:rtl/>
        </w:rPr>
        <w:t>, בעמ' 604-599</w:t>
      </w:r>
      <w:r>
        <w:rPr>
          <w:rFonts w:hint="cs"/>
          <w:rtl/>
        </w:rPr>
        <w:t>;</w:t>
      </w:r>
      <w:r w:rsidRPr="004D69C4">
        <w:rPr>
          <w:rFonts w:hint="cs"/>
          <w:rtl/>
        </w:rPr>
        <w:t xml:space="preserve"> </w:t>
      </w:r>
      <w:r w:rsidRPr="00834368">
        <w:rPr>
          <w:rFonts w:hint="cs"/>
          <w:rtl/>
        </w:rPr>
        <w:t xml:space="preserve">יצחק הדרי </w:t>
      </w:r>
      <w:r w:rsidRPr="00834368">
        <w:rPr>
          <w:rFonts w:cs="Miriam" w:hint="cs"/>
          <w:b/>
          <w:spacing w:val="0"/>
          <w:szCs w:val="24"/>
          <w:rtl/>
        </w:rPr>
        <w:t>מיסוי מקרקעין</w:t>
      </w:r>
      <w:r w:rsidRPr="00834368">
        <w:rPr>
          <w:rFonts w:hint="cs"/>
          <w:rtl/>
        </w:rPr>
        <w:t xml:space="preserve"> כרך ב </w:t>
      </w:r>
      <w:r w:rsidRPr="00834368">
        <w:rPr>
          <w:rtl/>
        </w:rPr>
        <w:t>–</w:t>
      </w:r>
      <w:r w:rsidRPr="00834368">
        <w:rPr>
          <w:rFonts w:hint="cs"/>
          <w:rtl/>
        </w:rPr>
        <w:t xml:space="preserve"> חלק ראשון </w:t>
      </w:r>
      <w:r>
        <w:rPr>
          <w:rFonts w:hint="cs"/>
          <w:rtl/>
        </w:rPr>
        <w:t>318, 325-322</w:t>
      </w:r>
      <w:r w:rsidRPr="00834368">
        <w:rPr>
          <w:rFonts w:hint="cs"/>
          <w:rtl/>
        </w:rPr>
        <w:t xml:space="preserve"> (מהדורה שנייה, 2003) (להלן: </w:t>
      </w:r>
      <w:r w:rsidRPr="00834368">
        <w:rPr>
          <w:rFonts w:cs="Miriam" w:hint="cs"/>
          <w:b/>
          <w:spacing w:val="0"/>
          <w:szCs w:val="24"/>
          <w:rtl/>
        </w:rPr>
        <w:t>הדרי</w:t>
      </w:r>
      <w:r>
        <w:rPr>
          <w:rFonts w:cs="Miriam" w:hint="cs"/>
          <w:b/>
          <w:spacing w:val="0"/>
          <w:szCs w:val="24"/>
          <w:rtl/>
        </w:rPr>
        <w:t>,</w:t>
      </w:r>
      <w:r w:rsidRPr="00834368">
        <w:rPr>
          <w:rFonts w:cs="Miriam" w:hint="cs"/>
          <w:b/>
          <w:spacing w:val="0"/>
          <w:szCs w:val="24"/>
          <w:rtl/>
        </w:rPr>
        <w:t xml:space="preserve"> כרך ב </w:t>
      </w:r>
      <w:r w:rsidRPr="00834368">
        <w:rPr>
          <w:rFonts w:cs="Miriam"/>
          <w:b/>
          <w:spacing w:val="0"/>
          <w:szCs w:val="24"/>
          <w:rtl/>
        </w:rPr>
        <w:t>–</w:t>
      </w:r>
      <w:r w:rsidRPr="00834368">
        <w:rPr>
          <w:rFonts w:cs="Miriam" w:hint="cs"/>
          <w:b/>
          <w:spacing w:val="0"/>
          <w:szCs w:val="24"/>
          <w:rtl/>
        </w:rPr>
        <w:t xml:space="preserve"> חלק ראשון</w:t>
      </w:r>
      <w:r w:rsidRPr="00834368">
        <w:rPr>
          <w:rFonts w:hint="cs"/>
          <w:rtl/>
        </w:rPr>
        <w:t>)</w:t>
      </w:r>
      <w:r>
        <w:rPr>
          <w:rFonts w:hint="cs"/>
          <w:rtl/>
        </w:rPr>
        <w:t xml:space="preserve">; אבי גורמן ושי אהרונוביץ' </w:t>
      </w:r>
      <w:r>
        <w:rPr>
          <w:rFonts w:cs="Miriam" w:hint="cs"/>
          <w:b/>
          <w:spacing w:val="0"/>
          <w:szCs w:val="24"/>
          <w:rtl/>
        </w:rPr>
        <w:t xml:space="preserve">מיסוי מקרקעין </w:t>
      </w:r>
      <w:r>
        <w:rPr>
          <w:rFonts w:cs="Miriam"/>
          <w:b/>
          <w:spacing w:val="0"/>
          <w:szCs w:val="24"/>
          <w:rtl/>
        </w:rPr>
        <w:t>–</w:t>
      </w:r>
      <w:r>
        <w:rPr>
          <w:rFonts w:cs="Miriam" w:hint="cs"/>
          <w:b/>
          <w:spacing w:val="0"/>
          <w:szCs w:val="24"/>
          <w:rtl/>
        </w:rPr>
        <w:t xml:space="preserve"> פרשנות, הלכה ומעשה</w:t>
      </w:r>
      <w:r>
        <w:rPr>
          <w:rFonts w:hint="cs"/>
          <w:rtl/>
        </w:rPr>
        <w:t xml:space="preserve"> 179 (2017))</w:t>
      </w:r>
      <w:r w:rsidRPr="004D69C4">
        <w:rPr>
          <w:rFonts w:hint="cs"/>
          <w:rtl/>
        </w:rPr>
        <w:t>.</w:t>
      </w:r>
    </w:p>
    <w:p w:rsidR="008B4CDC" w:rsidRDefault="008B4CDC" w:rsidP="008B4CDC">
      <w:pPr>
        <w:overflowPunct/>
        <w:autoSpaceDE/>
        <w:autoSpaceDN/>
        <w:adjustRightInd/>
        <w:spacing w:before="100"/>
        <w:ind w:firstLine="720"/>
        <w:contextualSpacing/>
        <w:jc w:val="both"/>
        <w:textAlignment w:val="auto"/>
        <w:rPr>
          <w:rtl/>
        </w:rPr>
      </w:pPr>
    </w:p>
    <w:p w:rsidR="008B4CDC" w:rsidRDefault="008B4CDC" w:rsidP="008B4CDC">
      <w:pPr>
        <w:pStyle w:val="Ruller41"/>
        <w:rPr>
          <w:rtl/>
        </w:rPr>
      </w:pPr>
      <w:r>
        <w:rPr>
          <w:rtl/>
        </w:rPr>
        <w:lastRenderedPageBreak/>
        <w:tab/>
      </w:r>
      <w:r>
        <w:rPr>
          <w:rFonts w:hint="cs"/>
          <w:rtl/>
        </w:rPr>
        <w:t xml:space="preserve">במילים אחרות, בהתאם לפסק הדין בעניין </w:t>
      </w:r>
      <w:r w:rsidRPr="00BB2B75">
        <w:rPr>
          <w:rFonts w:cs="Miriam" w:hint="cs"/>
          <w:b/>
          <w:spacing w:val="0"/>
          <w:szCs w:val="24"/>
          <w:rtl/>
        </w:rPr>
        <w:t>גזית גלוב</w:t>
      </w:r>
      <w:r>
        <w:rPr>
          <w:rFonts w:hint="cs"/>
          <w:rtl/>
        </w:rPr>
        <w:t>, המבחן שנקבע להגדרת המונח "איגוד מקרקעין" הוא המבחן הנכסי (למשל שם, בפסקה 53). איגוד ש</w:t>
      </w:r>
      <w:r w:rsidRPr="00455E1F">
        <w:rPr>
          <w:rFonts w:hint="cs"/>
          <w:rtl/>
        </w:rPr>
        <w:t>כל</w:t>
      </w:r>
      <w:r>
        <w:rPr>
          <w:rFonts w:hint="cs"/>
          <w:rtl/>
        </w:rPr>
        <w:t xml:space="preserve"> נכסיו, במישרין או בעקיפין, הם זכויות במקרקעין, הוא איגוד מקרקעין. איגוד יחשב לאיגוד מקרקעין גם אם יש ברשותו נכסים ש</w:t>
      </w:r>
      <w:r w:rsidRPr="00226912">
        <w:rPr>
          <w:rFonts w:cs="Miriam" w:hint="cs"/>
          <w:b/>
          <w:spacing w:val="0"/>
          <w:szCs w:val="24"/>
          <w:rtl/>
        </w:rPr>
        <w:t>אינם</w:t>
      </w:r>
      <w:r>
        <w:rPr>
          <w:rFonts w:hint="cs"/>
          <w:rtl/>
        </w:rPr>
        <w:t xml:space="preserve"> זכויות במקרקעין כל עוד מדובר בנכסים "ניטרלים" ש</w:t>
      </w:r>
      <w:r w:rsidRPr="00226912">
        <w:rPr>
          <w:rFonts w:cs="Miriam" w:hint="cs"/>
          <w:b/>
          <w:spacing w:val="0"/>
          <w:szCs w:val="24"/>
          <w:rtl/>
        </w:rPr>
        <w:t>לא</w:t>
      </w:r>
      <w:r>
        <w:rPr>
          <w:rFonts w:hint="cs"/>
          <w:rtl/>
        </w:rPr>
        <w:t xml:space="preserve"> משמשים את האיגוד ביצור הכנסתו, ולחלופין, כל עוד הנכסים הניטרלים </w:t>
      </w:r>
      <w:r w:rsidRPr="00226912">
        <w:rPr>
          <w:rFonts w:cs="Miriam" w:hint="cs"/>
          <w:b/>
          <w:spacing w:val="0"/>
          <w:szCs w:val="24"/>
          <w:rtl/>
        </w:rPr>
        <w:t>משמשים</w:t>
      </w:r>
      <w:r>
        <w:rPr>
          <w:rFonts w:hint="cs"/>
          <w:rtl/>
        </w:rPr>
        <w:t xml:space="preserve"> את האיגוד ביצור הכנסתו אך הם </w:t>
      </w:r>
      <w:r w:rsidRPr="00226912">
        <w:rPr>
          <w:rFonts w:cs="Miriam" w:hint="cs"/>
          <w:b/>
          <w:spacing w:val="0"/>
          <w:szCs w:val="24"/>
          <w:rtl/>
        </w:rPr>
        <w:t>טפלים</w:t>
      </w:r>
      <w:r>
        <w:rPr>
          <w:rFonts w:hint="cs"/>
          <w:rtl/>
        </w:rPr>
        <w:t xml:space="preserve"> למטרותיו העיקריות. איגוד </w:t>
      </w:r>
      <w:r w:rsidRPr="002A7FE5">
        <w:rPr>
          <w:rFonts w:hint="cs"/>
          <w:rtl/>
        </w:rPr>
        <w:t xml:space="preserve">המחזיק בזכויות במקרקעין </w:t>
      </w:r>
      <w:r w:rsidRPr="00226912">
        <w:rPr>
          <w:rFonts w:cs="Miriam" w:hint="cs"/>
          <w:b/>
          <w:spacing w:val="0"/>
          <w:szCs w:val="24"/>
          <w:rtl/>
        </w:rPr>
        <w:t>לא</w:t>
      </w:r>
      <w:r w:rsidRPr="002A7FE5">
        <w:rPr>
          <w:rFonts w:hint="cs"/>
          <w:rtl/>
        </w:rPr>
        <w:t xml:space="preserve"> ייחשב כאיגוד מקרקעין אם יש לו נכסים </w:t>
      </w:r>
      <w:r>
        <w:rPr>
          <w:rFonts w:hint="cs"/>
          <w:rtl/>
        </w:rPr>
        <w:t xml:space="preserve">משמעותיים </w:t>
      </w:r>
      <w:r w:rsidRPr="002A7FE5">
        <w:rPr>
          <w:rFonts w:hint="cs"/>
          <w:rtl/>
        </w:rPr>
        <w:t>שאינם זכויות במקרקעין</w:t>
      </w:r>
      <w:r>
        <w:rPr>
          <w:rFonts w:hint="cs"/>
          <w:rtl/>
        </w:rPr>
        <w:t>,</w:t>
      </w:r>
      <w:r w:rsidRPr="002A7FE5">
        <w:rPr>
          <w:rFonts w:hint="cs"/>
          <w:rtl/>
        </w:rPr>
        <w:t xml:space="preserve"> אשר משמשים את האיגוד ביצירת הכנסות ו</w:t>
      </w:r>
      <w:r>
        <w:rPr>
          <w:rFonts w:hint="cs"/>
          <w:rtl/>
        </w:rPr>
        <w:t xml:space="preserve">הם </w:t>
      </w:r>
      <w:r w:rsidRPr="002A7FE5">
        <w:rPr>
          <w:rFonts w:hint="cs"/>
          <w:rtl/>
        </w:rPr>
        <w:t>אינם טפלים למטרותיו העיקריות</w:t>
      </w:r>
      <w:r>
        <w:rPr>
          <w:rFonts w:hint="cs"/>
          <w:rtl/>
        </w:rPr>
        <w:t xml:space="preserve"> (ראו והשוו לאמור שם, בפסקה 33).</w:t>
      </w:r>
    </w:p>
    <w:p w:rsidR="008B4CDC" w:rsidRDefault="008B4CDC" w:rsidP="008B4CDC">
      <w:pPr>
        <w:overflowPunct/>
        <w:autoSpaceDE/>
        <w:autoSpaceDN/>
        <w:adjustRightInd/>
        <w:spacing w:before="100"/>
        <w:ind w:firstLine="720"/>
        <w:contextualSpacing/>
        <w:jc w:val="both"/>
        <w:textAlignment w:val="auto"/>
        <w:rPr>
          <w:rtl/>
        </w:rPr>
      </w:pPr>
    </w:p>
    <w:p w:rsidR="008B4CDC" w:rsidRDefault="008B4CDC" w:rsidP="008B4CDC">
      <w:pPr>
        <w:pStyle w:val="Ruller41"/>
        <w:rPr>
          <w:rStyle w:val="default"/>
          <w:rtl/>
        </w:rPr>
      </w:pPr>
      <w:r>
        <w:rPr>
          <w:rStyle w:val="default"/>
          <w:rFonts w:hint="cs"/>
          <w:rtl/>
        </w:rPr>
        <w:t>3.</w:t>
      </w:r>
      <w:r>
        <w:rPr>
          <w:rStyle w:val="default"/>
          <w:rFonts w:hint="cs"/>
          <w:rtl/>
        </w:rPr>
        <w:tab/>
        <w:t xml:space="preserve">לא אמרנו את שאמרנו אלא על מנת להיטיב להבין את המסגרת הנורמטיבית החלה בענייננו, ועוד נשוב </w:t>
      </w:r>
      <w:r w:rsidRPr="00CA48AF">
        <w:rPr>
          <w:rStyle w:val="default"/>
          <w:rFonts w:hint="cs"/>
          <w:rtl/>
        </w:rPr>
        <w:t xml:space="preserve">בהמשך </w:t>
      </w:r>
      <w:r>
        <w:rPr>
          <w:rStyle w:val="default"/>
          <w:rFonts w:hint="cs"/>
          <w:rtl/>
        </w:rPr>
        <w:t xml:space="preserve">לקביעות נוספות בעניין </w:t>
      </w:r>
      <w:r w:rsidRPr="00B06481">
        <w:rPr>
          <w:rStyle w:val="default"/>
          <w:rFonts w:cs="Miriam" w:hint="cs"/>
          <w:b/>
          <w:spacing w:val="0"/>
          <w:szCs w:val="24"/>
          <w:rtl/>
        </w:rPr>
        <w:t>גזית גלוב</w:t>
      </w:r>
      <w:r w:rsidRPr="0053771D">
        <w:rPr>
          <w:rStyle w:val="default"/>
          <w:rFonts w:hint="cs"/>
          <w:rtl/>
        </w:rPr>
        <w:t xml:space="preserve"> </w:t>
      </w:r>
      <w:r>
        <w:rPr>
          <w:rStyle w:val="default"/>
          <w:rFonts w:hint="cs"/>
          <w:rtl/>
        </w:rPr>
        <w:t>הרלוונטיות לענייננו.</w:t>
      </w:r>
      <w:r w:rsidRPr="00CA48AF">
        <w:rPr>
          <w:rStyle w:val="default"/>
          <w:rFonts w:hint="cs"/>
          <w:rtl/>
        </w:rPr>
        <w:t xml:space="preserve"> </w:t>
      </w:r>
      <w:r>
        <w:rPr>
          <w:rStyle w:val="default"/>
          <w:rFonts w:hint="cs"/>
          <w:rtl/>
        </w:rPr>
        <w:t>כעת, נרחיב את הדיבור על ההליך שבפנינו.</w:t>
      </w:r>
    </w:p>
    <w:p w:rsidR="008B4CDC" w:rsidRDefault="008B4CDC" w:rsidP="00353C0D">
      <w:pPr>
        <w:pStyle w:val="Ruller41"/>
        <w:rPr>
          <w:rtl/>
        </w:rPr>
      </w:pPr>
    </w:p>
    <w:p w:rsidR="008B4CDC" w:rsidRPr="00353C0D" w:rsidRDefault="008B4CDC" w:rsidP="00353C0D">
      <w:pPr>
        <w:pStyle w:val="Ruller41"/>
        <w:rPr>
          <w:rFonts w:ascii="Century" w:hAnsi="Century" w:cs="Miriam"/>
          <w:b/>
          <w:spacing w:val="0"/>
          <w:szCs w:val="24"/>
          <w:rtl/>
        </w:rPr>
      </w:pPr>
      <w:r w:rsidRPr="00353C0D">
        <w:rPr>
          <w:rFonts w:ascii="Century" w:hAnsi="Century" w:cs="Miriam" w:hint="cs"/>
          <w:b/>
          <w:spacing w:val="0"/>
          <w:szCs w:val="24"/>
          <w:rtl/>
        </w:rPr>
        <w:t>רקע עובדתי</w:t>
      </w:r>
      <w:r w:rsidRPr="00353C0D">
        <w:rPr>
          <w:rFonts w:ascii="Century" w:hAnsi="Century" w:cs="Miriam"/>
          <w:b/>
          <w:spacing w:val="0"/>
          <w:szCs w:val="24"/>
          <w:rtl/>
        </w:rPr>
        <w:tab/>
      </w:r>
    </w:p>
    <w:p w:rsidR="00353C0D" w:rsidRDefault="00353C0D" w:rsidP="00353C0D">
      <w:pPr>
        <w:pStyle w:val="Ruller41"/>
        <w:rPr>
          <w:rtl/>
        </w:rPr>
      </w:pPr>
    </w:p>
    <w:p w:rsidR="008B4CDC" w:rsidRDefault="008B4CDC" w:rsidP="008B4CDC">
      <w:pPr>
        <w:pStyle w:val="Ruller41"/>
        <w:rPr>
          <w:rFonts w:ascii="Century" w:hAnsi="Century"/>
          <w:rtl/>
        </w:rPr>
      </w:pPr>
      <w:r>
        <w:rPr>
          <w:rFonts w:ascii="Century" w:hAnsi="Century" w:hint="cs"/>
          <w:rtl/>
        </w:rPr>
        <w:t>4.</w:t>
      </w:r>
      <w:r>
        <w:rPr>
          <w:rFonts w:ascii="Century" w:hAnsi="Century"/>
          <w:rtl/>
        </w:rPr>
        <w:tab/>
      </w:r>
      <w:r>
        <w:rPr>
          <w:rFonts w:ascii="Century" w:hAnsi="Century" w:hint="cs"/>
          <w:rtl/>
        </w:rPr>
        <w:t xml:space="preserve">ענייננו בשומת מס רכישה על סך של 6,423,621 </w:t>
      </w:r>
      <w:r>
        <w:rPr>
          <w:rFonts w:ascii="Century" w:hAnsi="Century" w:hint="eastAsia"/>
          <w:rtl/>
        </w:rPr>
        <w:t>₪</w:t>
      </w:r>
      <w:r>
        <w:rPr>
          <w:rFonts w:ascii="Century" w:hAnsi="Century" w:hint="cs"/>
          <w:rtl/>
        </w:rPr>
        <w:t xml:space="preserve"> שהוצאה למערערות על ידי המשיב, וזאת בגין רכישת מניות של חברה בשם ארמון ההגמון בע"מ (להלן: </w:t>
      </w:r>
      <w:r w:rsidRPr="00B53142">
        <w:rPr>
          <w:rFonts w:ascii="Century" w:hAnsi="Century" w:cs="Miriam" w:hint="cs"/>
          <w:b/>
          <w:spacing w:val="0"/>
          <w:szCs w:val="24"/>
          <w:rtl/>
        </w:rPr>
        <w:t>ארמון ההגמון</w:t>
      </w:r>
      <w:r>
        <w:rPr>
          <w:rFonts w:ascii="Century" w:hAnsi="Century" w:cs="Miriam" w:hint="cs"/>
          <w:b/>
          <w:spacing w:val="0"/>
          <w:szCs w:val="24"/>
          <w:rtl/>
        </w:rPr>
        <w:t xml:space="preserve"> </w:t>
      </w:r>
      <w:r w:rsidRPr="00C9352B">
        <w:rPr>
          <w:rFonts w:ascii="Century" w:hAnsi="Century" w:hint="cs"/>
          <w:rtl/>
        </w:rPr>
        <w:t>או</w:t>
      </w:r>
      <w:r>
        <w:rPr>
          <w:rFonts w:ascii="Century" w:hAnsi="Century" w:cs="Miriam" w:hint="cs"/>
          <w:b/>
          <w:spacing w:val="0"/>
          <w:szCs w:val="24"/>
          <w:rtl/>
        </w:rPr>
        <w:t xml:space="preserve"> החברה</w:t>
      </w:r>
      <w:r>
        <w:rPr>
          <w:rFonts w:ascii="Century" w:hAnsi="Century" w:hint="cs"/>
          <w:rtl/>
        </w:rPr>
        <w:t xml:space="preserve">) מחברת אפריקה ישראל בע"מ (להלן: </w:t>
      </w:r>
      <w:r w:rsidRPr="00B53142">
        <w:rPr>
          <w:rFonts w:ascii="Century" w:hAnsi="Century" w:cs="Miriam" w:hint="cs"/>
          <w:b/>
          <w:spacing w:val="0"/>
          <w:szCs w:val="24"/>
          <w:rtl/>
        </w:rPr>
        <w:t>אפריקה ישראל</w:t>
      </w:r>
      <w:r>
        <w:rPr>
          <w:rFonts w:ascii="Century" w:hAnsi="Century" w:hint="cs"/>
          <w:rtl/>
        </w:rPr>
        <w:t xml:space="preserve">). הרקע לעסקה תואר בהרחבה בפסק דינה של ועדת הערר, ולא אחזור על הדברים אלא על עיקרי העובדות הצריכות לעניין. </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חברת ארמון ההגמון היא חברה פרטית שהוקמה על ידי המערערות ובשנת 1993 רכשה מהפטריארכיה היוונית האורתודוכסית בירושלים זכויות במקרקעין בשטח של עשרות דונמים בעיר נצרת. המקרקעין מחולקים לשתי חטיבות קרקע כלהלן: הראשונה, במפלס תחתון הממוקם בכניסה לעיר נצרת ומיועד בעיקרו לבניית שטחי מסחר, מגורים, תחנות אוטובוסים ועוד (להלן: </w:t>
      </w:r>
      <w:r w:rsidRPr="00D7448C">
        <w:rPr>
          <w:rFonts w:ascii="Century" w:hAnsi="Century" w:cs="Miriam" w:hint="cs"/>
          <w:b/>
          <w:spacing w:val="0"/>
          <w:szCs w:val="24"/>
          <w:rtl/>
        </w:rPr>
        <w:t>המ</w:t>
      </w:r>
      <w:r>
        <w:rPr>
          <w:rFonts w:ascii="Century" w:hAnsi="Century" w:cs="Miriam" w:hint="cs"/>
          <w:b/>
          <w:spacing w:val="0"/>
          <w:szCs w:val="24"/>
          <w:rtl/>
        </w:rPr>
        <w:t>תחם</w:t>
      </w:r>
      <w:r w:rsidRPr="00D7448C">
        <w:rPr>
          <w:rFonts w:ascii="Century" w:hAnsi="Century" w:cs="Miriam" w:hint="cs"/>
          <w:b/>
          <w:spacing w:val="0"/>
          <w:szCs w:val="24"/>
          <w:rtl/>
        </w:rPr>
        <w:t xml:space="preserve"> התחתון</w:t>
      </w:r>
      <w:r>
        <w:rPr>
          <w:rFonts w:ascii="Century" w:hAnsi="Century" w:hint="cs"/>
          <w:rtl/>
        </w:rPr>
        <w:t xml:space="preserve">); והשניה, במתחם עליון המיועד בעיקרו לבניית דירות מגורים (להלן: </w:t>
      </w:r>
      <w:r w:rsidRPr="00D7448C">
        <w:rPr>
          <w:rFonts w:ascii="Century" w:hAnsi="Century" w:cs="Miriam" w:hint="cs"/>
          <w:b/>
          <w:spacing w:val="0"/>
          <w:szCs w:val="24"/>
          <w:rtl/>
        </w:rPr>
        <w:t>המתחם העליון</w:t>
      </w:r>
      <w:r>
        <w:rPr>
          <w:rFonts w:ascii="Century" w:hAnsi="Century" w:hint="cs"/>
          <w:rtl/>
        </w:rPr>
        <w:t xml:space="preserve">). בשלב מסוים התקשרו המערערות וארמון ההגמון עם אפריקה ישראל בעסקה במסגרתה הוקצו מחצית ממניותיה של ארמון ההגמון לאפריקה ישראל. כן נעשו עסקאות נוספות בין חברת ארמון ההגמון ובין גורמים אחרים, ביניהם חברת בת של ארמון ההגמון, שהשפיעו על מצבת הזכויות של ארמון ההגמון במקרקעין. </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באוקטובר 2011 נערכו שלוש עסקאות בקשר למקרקעין, ביניהן מכירת כלל מניות אפריקה ישראל בארמון ההגמון למערערות. עסקה זו נמצאת במוקד הערעור </w:t>
      </w:r>
      <w:r>
        <w:rPr>
          <w:rFonts w:ascii="Century" w:hAnsi="Century" w:hint="cs"/>
          <w:rtl/>
        </w:rPr>
        <w:lastRenderedPageBreak/>
        <w:t>שלפנינו. בהתאם לקביעות העובדתיות שבפסק הדין, ערב העסקה ארמון ההגמון החזיקה ב"נכסים הריאליים" הבאים:</w:t>
      </w:r>
    </w:p>
    <w:p w:rsidR="008B4CDC" w:rsidRDefault="008B4CDC" w:rsidP="008B4CDC">
      <w:pPr>
        <w:pStyle w:val="Ruller41"/>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w:t>
      </w:r>
      <w:r>
        <w:rPr>
          <w:rFonts w:ascii="Century" w:hAnsi="Century"/>
          <w:rtl/>
        </w:rPr>
        <w:tab/>
      </w:r>
      <w:r>
        <w:rPr>
          <w:rFonts w:ascii="Century" w:hAnsi="Century" w:hint="cs"/>
          <w:rtl/>
        </w:rPr>
        <w:t>שטח מקרקעין במתחם התחתון ויעודו חניון אוטובוסים, וכן 104 מגרשים לבנייה במתחם העליון ושטחי מקרקעין נוספים במתחם העליון ביעודים שונים.</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w:t>
      </w:r>
      <w:r>
        <w:rPr>
          <w:rFonts w:ascii="Century" w:hAnsi="Century"/>
          <w:rtl/>
        </w:rPr>
        <w:tab/>
      </w:r>
      <w:r>
        <w:rPr>
          <w:rFonts w:ascii="Century" w:hAnsi="Century" w:hint="cs"/>
          <w:rtl/>
        </w:rPr>
        <w:t xml:space="preserve">63% ממניות חברת בת של ארמון ההגמון (חברת המרכז המסחרי), שהיא בעלת קניון אשר נבנה במקרקעין בשיתוף עם חברת ביג מרכזי קניות (2004 בע"מ) (להלן: </w:t>
      </w:r>
      <w:r w:rsidRPr="00870A89">
        <w:rPr>
          <w:rFonts w:ascii="Century" w:hAnsi="Century" w:cs="Miriam" w:hint="cs"/>
          <w:b/>
          <w:spacing w:val="0"/>
          <w:szCs w:val="24"/>
          <w:rtl/>
        </w:rPr>
        <w:t>הקניון</w:t>
      </w:r>
      <w:r>
        <w:rPr>
          <w:rFonts w:ascii="Century" w:hAnsi="Century" w:hint="cs"/>
          <w:rtl/>
        </w:rPr>
        <w:t>).</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 </w:t>
      </w:r>
      <w:r>
        <w:rPr>
          <w:rFonts w:ascii="Century" w:hAnsi="Century" w:hint="cs"/>
          <w:rtl/>
        </w:rPr>
        <w:tab/>
        <w:t>91% מזכויות הבנייה לבניית משרדים מעל גג הקניון בשטח של 6,000 מ"ר וכן 82% מזכויות בנייה נוספות אותן היא זכאית לנייד אל מחוץ לקניון כמפורט בפסק הדין.</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בנסיבות אלה נקבעה בגין העסקה שומת מס רכישה על סך של 6,423,621 </w:t>
      </w:r>
      <w:r>
        <w:rPr>
          <w:rFonts w:ascii="Century" w:hAnsi="Century" w:hint="eastAsia"/>
          <w:rtl/>
        </w:rPr>
        <w:t>₪</w:t>
      </w:r>
      <w:r>
        <w:rPr>
          <w:rFonts w:ascii="Century" w:hAnsi="Century" w:hint="cs"/>
          <w:rtl/>
        </w:rPr>
        <w:t xml:space="preserve"> כאמור לעיל. השומה נערכה בהתאם לעמדת המשיב ולפיה במועד העסקה חברת ארמון ההגמון הייתה איגוד מקרקעין ומכירת המניות הייתה פעולה באיגוד מקרקעין החייבת במס רכישה.</w:t>
      </w:r>
    </w:p>
    <w:p w:rsidR="008B4CDC" w:rsidRDefault="008B4CDC" w:rsidP="008B4CDC">
      <w:pPr>
        <w:pStyle w:val="Ruller41"/>
        <w:rPr>
          <w:rFonts w:ascii="Century" w:hAnsi="Century"/>
          <w:rtl/>
        </w:rPr>
      </w:pPr>
    </w:p>
    <w:p w:rsidR="008B4CDC" w:rsidRDefault="008B4CDC" w:rsidP="008B4CDC">
      <w:pPr>
        <w:pStyle w:val="Ruller41"/>
        <w:rPr>
          <w:rFonts w:ascii="Century" w:hAnsi="Century"/>
          <w:rtl/>
        </w:rPr>
      </w:pPr>
      <w:r>
        <w:rPr>
          <w:rFonts w:ascii="Century" w:hAnsi="Century" w:hint="cs"/>
          <w:rtl/>
        </w:rPr>
        <w:t>5.</w:t>
      </w:r>
      <w:r>
        <w:rPr>
          <w:rFonts w:ascii="Century" w:hAnsi="Century"/>
          <w:rtl/>
        </w:rPr>
        <w:tab/>
      </w:r>
      <w:r>
        <w:rPr>
          <w:rFonts w:ascii="Century" w:hAnsi="Century" w:hint="cs"/>
          <w:rtl/>
        </w:rPr>
        <w:t xml:space="preserve">המערערות טענו כי שטחים רבים מהמקרקעין הופקעו על ידי מע"צ (חברת נתיבי ישראל כיום), עיריית נצרת ועיריית נצרת עילית שנים רבות עובר לעסקת רכישת המניות, והמערערות מחזיקות בזכות לפיצויי הפקעה ובזכות לפיצויים בגין ירידת ערך המקרקעין לפי סעיף 197 לחוק התכנון והבניה, </w:t>
      </w:r>
      <w:r w:rsidRPr="001A793F">
        <w:rPr>
          <w:rFonts w:ascii="Century" w:hAnsi="Century" w:hint="cs"/>
          <w:rtl/>
        </w:rPr>
        <w:t>ה</w:t>
      </w:r>
      <w:r w:rsidRPr="001A793F">
        <w:rPr>
          <w:rFonts w:ascii="Century" w:hAnsi="Century"/>
          <w:rtl/>
        </w:rPr>
        <w:t>תשכ"ה</w:t>
      </w:r>
      <w:r>
        <w:rPr>
          <w:rFonts w:ascii="Century" w:hAnsi="Century" w:hint="cs"/>
          <w:rtl/>
        </w:rPr>
        <w:t xml:space="preserve">-1965 (להלן ובהתאמה: </w:t>
      </w:r>
      <w:r w:rsidRPr="00B52B15">
        <w:rPr>
          <w:rFonts w:ascii="Century" w:hAnsi="Century" w:cs="Miriam" w:hint="cs"/>
          <w:b/>
          <w:spacing w:val="0"/>
          <w:szCs w:val="24"/>
          <w:rtl/>
        </w:rPr>
        <w:t>פיצויים בגין ירידת ערך</w:t>
      </w:r>
      <w:r>
        <w:rPr>
          <w:rFonts w:ascii="Century" w:hAnsi="Century" w:cs="Miriam" w:hint="cs"/>
          <w:b/>
          <w:spacing w:val="0"/>
          <w:szCs w:val="24"/>
          <w:rtl/>
        </w:rPr>
        <w:t xml:space="preserve"> </w:t>
      </w:r>
      <w:r w:rsidRPr="00CE3CA9">
        <w:rPr>
          <w:rFonts w:ascii="Century" w:hAnsi="Century" w:hint="cs"/>
          <w:rtl/>
        </w:rPr>
        <w:t>ו-</w:t>
      </w:r>
      <w:r>
        <w:rPr>
          <w:rFonts w:ascii="Century" w:hAnsi="Century" w:cs="Miriam" w:hint="cs"/>
          <w:b/>
          <w:spacing w:val="0"/>
          <w:szCs w:val="24"/>
          <w:rtl/>
        </w:rPr>
        <w:t>חוק התכנון והבניה</w:t>
      </w:r>
      <w:r>
        <w:rPr>
          <w:rFonts w:ascii="Century" w:hAnsi="Century" w:hint="cs"/>
          <w:rtl/>
        </w:rPr>
        <w:t>).</w:t>
      </w:r>
      <w:r w:rsidRPr="008367AC">
        <w:rPr>
          <w:rFonts w:ascii="Century" w:hAnsi="Century" w:hint="cs"/>
          <w:rtl/>
        </w:rPr>
        <w:t xml:space="preserve"> </w:t>
      </w:r>
      <w:r>
        <w:rPr>
          <w:rFonts w:ascii="Century" w:hAnsi="Century" w:hint="cs"/>
          <w:rtl/>
        </w:rPr>
        <w:t>נטען, כי בעקבות ההפקעה התנהלו הליכים משפטיים שונים אך הם טרם הניבו פרי בדמות פיצוי. עמדת המערערות הייתה כי בהתחשב בזכויותיה של ארמון ההגמון לפיצויים כאמור לעיל, ובהתחשב בכך שחלק מהותי מהנכסים שפורטו לעיל הינם בבחינת "מלאי עסקי" (להבדיל מ"רכוש קבוע") של החברה, חברת ארמון ההגמון לא עונה להגדרת "איגוד מקרקעין" והעסקה אינה חייבת במס רכישה.</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השגת המערערות על שומת המס נדחתה ומכאן הערר שהוגש על ידן, בגדרו נתקפו הן עצם החיוב במס הן שיעורו של החיוב.</w:t>
      </w:r>
    </w:p>
    <w:p w:rsidR="008B4CDC" w:rsidRDefault="008B4CDC" w:rsidP="008B4CDC">
      <w:pPr>
        <w:pStyle w:val="Ruller41"/>
        <w:spacing w:line="480" w:lineRule="auto"/>
        <w:rPr>
          <w:rFonts w:ascii="Century" w:hAnsi="Century"/>
          <w:rtl/>
        </w:rPr>
      </w:pPr>
    </w:p>
    <w:p w:rsidR="008B4CDC" w:rsidRPr="000701F1" w:rsidRDefault="008B4CDC" w:rsidP="008B4CDC">
      <w:pPr>
        <w:pStyle w:val="Ruller41"/>
        <w:spacing w:line="240" w:lineRule="auto"/>
        <w:rPr>
          <w:rFonts w:ascii="Century" w:hAnsi="Century" w:cs="Miriam"/>
          <w:b/>
          <w:spacing w:val="0"/>
          <w:szCs w:val="24"/>
          <w:rtl/>
        </w:rPr>
      </w:pPr>
      <w:r w:rsidRPr="000701F1">
        <w:rPr>
          <w:rFonts w:ascii="Century" w:hAnsi="Century" w:cs="Miriam" w:hint="cs"/>
          <w:b/>
          <w:spacing w:val="0"/>
          <w:szCs w:val="24"/>
          <w:rtl/>
        </w:rPr>
        <w:t>פסק הדין של ועדת הערר</w:t>
      </w:r>
    </w:p>
    <w:p w:rsidR="008B4CDC" w:rsidRDefault="008B4CDC" w:rsidP="00353C0D">
      <w:pPr>
        <w:pStyle w:val="Ruller41"/>
        <w:rPr>
          <w:rtl/>
        </w:rPr>
      </w:pPr>
    </w:p>
    <w:p w:rsidR="008B4CDC" w:rsidRPr="00D503B7" w:rsidRDefault="008B4CDC" w:rsidP="00353C0D">
      <w:pPr>
        <w:pStyle w:val="Ruller41"/>
        <w:rPr>
          <w:rtl/>
        </w:rPr>
      </w:pPr>
      <w:r>
        <w:rPr>
          <w:rFonts w:hint="cs"/>
          <w:rtl/>
        </w:rPr>
        <w:lastRenderedPageBreak/>
        <w:t>6.</w:t>
      </w:r>
      <w:r>
        <w:rPr>
          <w:rtl/>
        </w:rPr>
        <w:tab/>
      </w:r>
      <w:r>
        <w:rPr>
          <w:rFonts w:hint="cs"/>
          <w:rtl/>
        </w:rPr>
        <w:t xml:space="preserve">ועדת הערר דחתה את הערר וקבעה כי במועד הקובע לעסקה, חברת ארמון ההגמון הייתה איגוד מקרקעין כך שרכישת המניות של החברה על ידי המערערות הייתה פעולה באיגוד מקרקעין החייבת במס רכישה. בהתבסס על פסק הדין בעניין </w:t>
      </w:r>
      <w:r w:rsidRPr="00265143">
        <w:rPr>
          <w:rFonts w:cs="Miriam" w:hint="cs"/>
          <w:b/>
          <w:spacing w:val="0"/>
          <w:szCs w:val="24"/>
          <w:rtl/>
        </w:rPr>
        <w:t>גזית גלוב</w:t>
      </w:r>
      <w:r>
        <w:rPr>
          <w:rFonts w:hint="cs"/>
          <w:rtl/>
        </w:rPr>
        <w:t xml:space="preserve"> (שכונה שם "עניין </w:t>
      </w:r>
      <w:r w:rsidRPr="00265143">
        <w:rPr>
          <w:rFonts w:cs="Miriam" w:hint="cs"/>
          <w:b/>
          <w:spacing w:val="0"/>
          <w:szCs w:val="24"/>
          <w:rtl/>
        </w:rPr>
        <w:t>מליסרון</w:t>
      </w:r>
      <w:r>
        <w:rPr>
          <w:rFonts w:cs="Miriam" w:hint="cs"/>
          <w:b/>
          <w:spacing w:val="0"/>
          <w:szCs w:val="24"/>
          <w:rtl/>
        </w:rPr>
        <w:t>"</w:t>
      </w:r>
      <w:r>
        <w:rPr>
          <w:rFonts w:hint="cs"/>
          <w:rtl/>
        </w:rPr>
        <w:t xml:space="preserve">, כשם אחד הערעורים שהתבררו במסגרת פסק הדין המאוחד </w:t>
      </w:r>
      <w:r>
        <w:rPr>
          <w:rtl/>
        </w:rPr>
        <w:t>–</w:t>
      </w:r>
      <w:r>
        <w:rPr>
          <w:rFonts w:hint="cs"/>
          <w:rtl/>
        </w:rPr>
        <w:t xml:space="preserve"> ע"א </w:t>
      </w:r>
      <w:r w:rsidRPr="00265143">
        <w:rPr>
          <w:rFonts w:hint="cs"/>
          <w:rtl/>
        </w:rPr>
        <w:t xml:space="preserve">1346/15 </w:t>
      </w:r>
      <w:r w:rsidRPr="00265143">
        <w:rPr>
          <w:rFonts w:cs="Miriam" w:hint="cs"/>
          <w:b/>
          <w:spacing w:val="0"/>
          <w:szCs w:val="24"/>
          <w:rtl/>
        </w:rPr>
        <w:t>מליסרון בע"מ נ' מנהל מיסוי מקרקעין חיפה</w:t>
      </w:r>
      <w:r>
        <w:rPr>
          <w:rFonts w:hint="cs"/>
          <w:rtl/>
        </w:rPr>
        <w:t xml:space="preserve">), ועדת הערר קבעה כי המונח "זכות במקרקעין" כולל בחובו רכיבים וזכויות של האיגוד שהם נטמעים או שלובים בנכסי המקרקעין שבידי האיגוד. בהתאם לכך, במועד העסקה דנן, כל זכויותיה ונכסיה של חברת ארמון ההגמון הם בגדר זכויות במקרקעין. עוד נקבע כי גם אם ניתן לראות בזכויות הקשורות בתביעות לפיצויי הפקעה או פיצוי בגין ירידת ערך כנכס נפרד מנכסי המקרקעין, הן אינן נכסים המוציאים את החברה מהגדרת איגוד מקרקעין. זאת, מכיוון שמדובר לכל היותר בכספים או בזכויות כספיות שהם בגדר מיטלטלין ("נכסים ניטרליים"), ובמועד ביצוע העסקה מושא השומה הם לא שימשו את החברה בייצור הכנסה. עוד נקבע בהקשר זה, כי יש להבחין בין שני סוגי התביעות, וגם אם ניתן לראות בתביעה לפיצויי הפקעה זכות נפרדת מהמקרקעין שהופקעו, לא כך הדבר ביחס לתביעת הפיצויים בגין ירידת ערך. </w:t>
      </w:r>
      <w:r w:rsidRPr="00D503B7">
        <w:rPr>
          <w:rFonts w:hint="cs"/>
          <w:rtl/>
        </w:rPr>
        <w:t xml:space="preserve">תביעה זו מתייחסת לפגיעה בשווי המקרקעין כשהמקרקעין נותרים </w:t>
      </w:r>
      <w:r>
        <w:rPr>
          <w:rFonts w:hint="cs"/>
          <w:rtl/>
        </w:rPr>
        <w:t>בידי</w:t>
      </w:r>
      <w:r w:rsidRPr="00D503B7">
        <w:rPr>
          <w:rFonts w:hint="cs"/>
          <w:rtl/>
        </w:rPr>
        <w:t xml:space="preserve"> האיגוד, </w:t>
      </w:r>
      <w:r>
        <w:rPr>
          <w:rFonts w:hint="cs"/>
          <w:rtl/>
        </w:rPr>
        <w:t>ו</w:t>
      </w:r>
      <w:r w:rsidRPr="00D503B7">
        <w:rPr>
          <w:rFonts w:hint="cs"/>
          <w:rtl/>
        </w:rPr>
        <w:t xml:space="preserve">לא מדובר בנכס נפרד ועצמאי מנכס המקרקעין אלא </w:t>
      </w:r>
      <w:r>
        <w:rPr>
          <w:rFonts w:hint="cs"/>
          <w:rtl/>
        </w:rPr>
        <w:t>בנכס ש</w:t>
      </w:r>
      <w:r w:rsidRPr="00D503B7">
        <w:rPr>
          <w:rFonts w:hint="cs"/>
          <w:rtl/>
        </w:rPr>
        <w:t xml:space="preserve">"נבלע" בהם. </w:t>
      </w:r>
    </w:p>
    <w:p w:rsidR="008B4CDC" w:rsidRDefault="008B4CDC" w:rsidP="00353C0D">
      <w:pPr>
        <w:pStyle w:val="Ruller41"/>
        <w:rPr>
          <w:rFonts w:ascii="Century" w:hAnsi="Century"/>
          <w:rtl/>
        </w:rPr>
      </w:pPr>
    </w:p>
    <w:p w:rsidR="008B4CDC" w:rsidRDefault="008B4CDC" w:rsidP="00353C0D">
      <w:pPr>
        <w:pStyle w:val="Ruller41"/>
        <w:rPr>
          <w:rFonts w:ascii="Century" w:hAnsi="Century"/>
          <w:rtl/>
        </w:rPr>
      </w:pPr>
      <w:r>
        <w:rPr>
          <w:rFonts w:ascii="Century" w:hAnsi="Century"/>
          <w:rtl/>
        </w:rPr>
        <w:tab/>
      </w:r>
      <w:r>
        <w:rPr>
          <w:rFonts w:ascii="Century" w:hAnsi="Century" w:hint="cs"/>
          <w:rtl/>
        </w:rPr>
        <w:t xml:space="preserve">בהתחשב בהיעדר מסוימות וב"פלואידיות" של הזכויות הנטענות; אופיין העתידי; היעדר קונקרטיזציה או נתונים מספקים לעניין גובה הסכום שיתקבל; והיעדר ודאות בעצם קבלתו </w:t>
      </w:r>
      <w:r>
        <w:rPr>
          <w:rFonts w:ascii="Century" w:hAnsi="Century"/>
          <w:rtl/>
        </w:rPr>
        <w:t>–</w:t>
      </w:r>
      <w:r>
        <w:rPr>
          <w:rFonts w:ascii="Century" w:hAnsi="Century" w:hint="cs"/>
          <w:rtl/>
        </w:rPr>
        <w:t xml:space="preserve"> נקבע כי מדובר בנכסים טפלים למטרתה העיקרית של החברה, כשהתחייבויות או "חובות" מסוג זה נופלים לסיפא ההגדרה של איגוד מקרקעין. הוועדה נדרשה אף להסדר החלקי שנחתם בין החברה למע"צ מיום 22.5.2006 ומתייחס לסכום פיצויים שאינו שנוי במחלוקת ביחס להפקעה בסך של כ-1,500,000 </w:t>
      </w:r>
      <w:r>
        <w:rPr>
          <w:rFonts w:ascii="Century" w:hAnsi="Century" w:hint="eastAsia"/>
          <w:rtl/>
        </w:rPr>
        <w:t>₪</w:t>
      </w:r>
      <w:r>
        <w:rPr>
          <w:rFonts w:ascii="Century" w:hAnsi="Century" w:hint="cs"/>
          <w:rtl/>
        </w:rPr>
        <w:t xml:space="preserve"> (הנושא הפרשי הצמדה וריבית מינואר 1998). לעניין זה נקבע, כי מדובר בסכום כסף בלתי מהותי המהווה נכס ניטרלי וטפל לנכסי החברה. </w:t>
      </w:r>
    </w:p>
    <w:p w:rsidR="008B4CDC" w:rsidRDefault="008B4CDC" w:rsidP="008B4CDC">
      <w:pPr>
        <w:pStyle w:val="Ruller41"/>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בנוסף נדחו טענות נוספות שהעלו המערערות, וביניהן הטענה כי כלל זכויות המקרקעין של החברה או חלק מהותי מהן הן בבחינת "מלאי עסקי" של החברה, כך שפעילותה העסקית שוללת את מעמדה כאיגוד מקרקעין. נקבע כי נכסי המקרקעין נרשמו בדוחות הכספיים של החברה כ"נכסים בלתי שוטפים", וממילא סיווג הזכויות כ"מלאי עסקי" כשלעצמו לא שולל מחברה את סיווגה כאיגוד מקרקעין. גם השקעת כספים, זמן ומאמצים להשבחת המקרקעין או הגנה על האינטרסים של החברה במקרקעין לא שוללים את סיווגה כאיגוד מקרקעין, כל עוד אין בידי התאגיד נכסים אחרים שאינם ניטרליים. </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לבסוף, הוועדה דחתה את טענות המערערות ביחס לרכיבי השומה וגובה השומה, תוך שנקבע כי המערערות לא הוכיחו את טענותיהן ואין להסתמך על חוות דעת שמאי המקרקעין מטעמן שהוגשה שלא כדין. מנגד, בקשת המשיב להגדלת השומה, נדחתה אף היא.</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על פסק הדין של ועדת הערר הוגש הערעור שלפנינו.</w:t>
      </w:r>
    </w:p>
    <w:p w:rsidR="008B4CDC" w:rsidRDefault="008B4CDC" w:rsidP="008B4CDC">
      <w:pPr>
        <w:pStyle w:val="Ruller41"/>
        <w:rPr>
          <w:rFonts w:ascii="Century" w:hAnsi="Century"/>
          <w:rtl/>
        </w:rPr>
      </w:pPr>
    </w:p>
    <w:p w:rsidR="008B4CDC" w:rsidRPr="004B68F4" w:rsidRDefault="008B4CDC" w:rsidP="008B4CDC">
      <w:pPr>
        <w:pStyle w:val="Ruller41"/>
        <w:spacing w:line="240" w:lineRule="auto"/>
        <w:rPr>
          <w:rFonts w:ascii="Century" w:hAnsi="Century" w:cs="Miriam"/>
          <w:b/>
          <w:spacing w:val="0"/>
          <w:szCs w:val="24"/>
          <w:rtl/>
        </w:rPr>
      </w:pPr>
      <w:r>
        <w:rPr>
          <w:rFonts w:ascii="Century" w:hAnsi="Century" w:cs="Miriam" w:hint="cs"/>
          <w:b/>
          <w:spacing w:val="0"/>
          <w:szCs w:val="24"/>
          <w:rtl/>
        </w:rPr>
        <w:t xml:space="preserve">עיקרי </w:t>
      </w:r>
      <w:r w:rsidRPr="004B68F4">
        <w:rPr>
          <w:rFonts w:ascii="Century" w:hAnsi="Century" w:cs="Miriam" w:hint="cs"/>
          <w:b/>
          <w:spacing w:val="0"/>
          <w:szCs w:val="24"/>
          <w:rtl/>
        </w:rPr>
        <w:t>הטענות בערעור</w:t>
      </w:r>
    </w:p>
    <w:p w:rsidR="008B4CDC" w:rsidRDefault="008B4CDC" w:rsidP="00353C0D">
      <w:pPr>
        <w:pStyle w:val="Ruller41"/>
        <w:rPr>
          <w:rtl/>
        </w:rPr>
      </w:pPr>
    </w:p>
    <w:p w:rsidR="008B4CDC" w:rsidRDefault="008B4CDC" w:rsidP="00353C0D">
      <w:pPr>
        <w:pStyle w:val="Ruller41"/>
        <w:rPr>
          <w:rtl/>
        </w:rPr>
      </w:pPr>
      <w:r>
        <w:rPr>
          <w:rFonts w:hint="cs"/>
          <w:rtl/>
        </w:rPr>
        <w:t>7.</w:t>
      </w:r>
      <w:r>
        <w:rPr>
          <w:rtl/>
        </w:rPr>
        <w:tab/>
      </w:r>
      <w:r>
        <w:rPr>
          <w:rFonts w:hint="cs"/>
          <w:rtl/>
        </w:rPr>
        <w:t xml:space="preserve">המערערות חזרו וטענו כי הזכות לפיצויי הפקעה והזכות לפיצויים בגין ירידת ערך של מקרקעין (להלן יחד: </w:t>
      </w:r>
      <w:r w:rsidRPr="00CD535D">
        <w:rPr>
          <w:rFonts w:cs="Miriam" w:hint="cs"/>
          <w:b/>
          <w:spacing w:val="0"/>
          <w:szCs w:val="24"/>
          <w:rtl/>
        </w:rPr>
        <w:t>הזכות לפיצויים</w:t>
      </w:r>
      <w:r>
        <w:rPr>
          <w:rFonts w:hint="cs"/>
          <w:rtl/>
        </w:rPr>
        <w:t>) אינן "זכויות במקרקעין" וכי יש בכוחן כדי להוציא את החברה מההגדרה של "איגוד מקרקעין". לשיטתן, "זכות במקרקעין" בחוק מיסוי מקרקעין היא ייחודית ומצומצמת, ובהתאם לפסיקת בית משפט זה ולגבולות שהותוו למונח בדין הכללי, הזכות לפיצויים אינה באה בגדרה. לעמדתן של המערערות, מסקנה זו מתבקשת הן לנוכח פרשנות המונח "זכות במקרקעין" בדיני ההתיישנות וסיווגה של תביעה לפיצויים כתביעה שאינה במקרקעין; הן לנוכח</w:t>
      </w:r>
      <w:r w:rsidRPr="00BA43B9">
        <w:rPr>
          <w:rFonts w:hint="cs"/>
          <w:rtl/>
        </w:rPr>
        <w:t xml:space="preserve"> </w:t>
      </w:r>
      <w:r>
        <w:rPr>
          <w:rFonts w:hint="cs"/>
          <w:rtl/>
        </w:rPr>
        <w:t xml:space="preserve">הפסיקה שעסקה בנושא והלכת </w:t>
      </w:r>
      <w:r w:rsidRPr="008D282F">
        <w:rPr>
          <w:rFonts w:cs="Miriam" w:hint="cs"/>
          <w:b/>
          <w:spacing w:val="0"/>
          <w:szCs w:val="24"/>
          <w:rtl/>
        </w:rPr>
        <w:t>גזית גלוב</w:t>
      </w:r>
      <w:r>
        <w:rPr>
          <w:rFonts w:hint="cs"/>
          <w:rtl/>
        </w:rPr>
        <w:t>; הן לנוכח התכלית האנטי תכנונית של הסדר המס. בהקשר זה נטען, כי פעולת ההפקעה היא פעולה כפויה שלא נגועה בתכנון מס, כך שאין הצדקה להחיל בנסיבות דנן את הוראות החוק.</w:t>
      </w:r>
    </w:p>
    <w:p w:rsidR="008B4CDC" w:rsidRDefault="008B4CDC" w:rsidP="00353C0D">
      <w:pPr>
        <w:pStyle w:val="Ruller41"/>
        <w:rPr>
          <w:rFonts w:ascii="Century" w:hAnsi="Century"/>
          <w:rtl/>
        </w:rPr>
      </w:pPr>
    </w:p>
    <w:p w:rsidR="008B4CDC" w:rsidRDefault="008B4CDC" w:rsidP="00353C0D">
      <w:pPr>
        <w:pStyle w:val="Ruller41"/>
        <w:rPr>
          <w:rFonts w:ascii="Century" w:hAnsi="Century"/>
          <w:rtl/>
        </w:rPr>
      </w:pPr>
      <w:r>
        <w:rPr>
          <w:rFonts w:ascii="Century" w:hAnsi="Century"/>
          <w:rtl/>
        </w:rPr>
        <w:tab/>
      </w:r>
      <w:r>
        <w:rPr>
          <w:rFonts w:ascii="Century" w:hAnsi="Century" w:hint="cs"/>
          <w:rtl/>
        </w:rPr>
        <w:t>נטען כי הזכות לפיצויי הפקעה היא זכות כספית אובליגטורית נפרדת מהמקרקעין, שקמה לבעלי המקרקעין במועד מסירת החזקה במקרקעין לרשות המפקיעה. החל ממועד זה, מתנתקת זכותו של בעל הקרקע מהמקרקעין וכל שנותר לו הוא הזכות לתביעה כספית לפיצויים. הזכות לתביעה כספית אינה בגדר "חוב" או "כספים" כפי שקבעה ועדת הערר, וניתן להעבירה לצד שלישי ולהמחותה במנותק מקרקע ספציפית. עוד נטען כי במקרה דנן הזכות לפיצויים בגין ירידת ערך מכוח סעיף 197 לחוק התכנון והבניה לא עומדת ביחס למקרקעין שנותרו בידי החברה כפי שקבעה ועדת הערר, ואין היא קשורה בקשר אינטגרלי עם מקרקעי האיגוד.</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 xml:space="preserve">המערערות טענו בנוסף כי הזכות לפיצויים היא נכס עצמאי משמעותי המשמש את החברה ביצור הכנסותיה. כך, שוויין של הזכויות עולה על 10% מנכסי החברה, ולפי עמדתו של המשיב כפי שבאה לידי ביטוי בהחלטות מיסוי שונות, מדובר בנכס שאינו טפל; הפיצויים בגין ירידת ערך מהווים הכנסה חייבת במס; וגם הזכות לפיצוי הפקעה משמשת את החברה ביצירת הכנסה בהווה באמצעות צבירת ריבית על הפיצויים שיתקבלו. </w:t>
      </w:r>
    </w:p>
    <w:p w:rsidR="008B4CDC" w:rsidRDefault="008B4CDC" w:rsidP="008B4CDC">
      <w:pPr>
        <w:pStyle w:val="Ruller41"/>
        <w:spacing w:line="240" w:lineRule="auto"/>
        <w:rPr>
          <w:rFonts w:ascii="Century" w:hAnsi="Century"/>
          <w:rtl/>
        </w:rPr>
      </w:pPr>
      <w:r>
        <w:rPr>
          <w:rFonts w:ascii="Century" w:hAnsi="Century"/>
          <w:rtl/>
        </w:rPr>
        <w:lastRenderedPageBreak/>
        <w:tab/>
      </w:r>
    </w:p>
    <w:p w:rsidR="008B4CDC" w:rsidRDefault="008B4CDC" w:rsidP="008B4CDC">
      <w:pPr>
        <w:pStyle w:val="Ruller41"/>
        <w:rPr>
          <w:rFonts w:ascii="Century" w:hAnsi="Century"/>
          <w:rtl/>
        </w:rPr>
      </w:pPr>
      <w:r>
        <w:rPr>
          <w:rFonts w:ascii="Century" w:hAnsi="Century"/>
          <w:rtl/>
        </w:rPr>
        <w:tab/>
      </w:r>
      <w:r>
        <w:rPr>
          <w:rFonts w:ascii="Century" w:hAnsi="Century" w:hint="cs"/>
          <w:rtl/>
        </w:rPr>
        <w:t>לחלופין ביקשו המערערות כי ככל שלא תתקבל עמדתן יוחזר התיק לוועדת הערר לקביעת שווי המכירה לפיו יחושב המס. בעניין זה נטען כי בניגוד להלכה הפסוקה, בשומת המשיב לא נוכו הוצאות פיתוח כנדרש; כי אי הגשת חוות הדעת מטעמן מקורה בטעות; כי היה מקום לקבל את חוות הדעת, שלא היתה בבחינת ראיה חדשה מבחינת המשיב; וכי למול הנזק שיגרם למשיב מהימשכות ההליך יש לבכר את הצורך בגביית מס אמת.</w:t>
      </w:r>
    </w:p>
    <w:p w:rsidR="008B4CDC" w:rsidRDefault="008B4CDC" w:rsidP="008B4CDC">
      <w:pPr>
        <w:pStyle w:val="Ruller41"/>
        <w:rPr>
          <w:rFonts w:ascii="Century" w:hAnsi="Century"/>
          <w:rtl/>
        </w:rPr>
      </w:pPr>
    </w:p>
    <w:p w:rsidR="008B4CDC" w:rsidRDefault="008B4CDC" w:rsidP="008B4CDC">
      <w:pPr>
        <w:pStyle w:val="Ruller41"/>
        <w:rPr>
          <w:rFonts w:ascii="Century" w:hAnsi="Century"/>
          <w:rtl/>
        </w:rPr>
      </w:pPr>
      <w:r>
        <w:rPr>
          <w:rFonts w:ascii="Century" w:hAnsi="Century" w:hint="cs"/>
          <w:rtl/>
        </w:rPr>
        <w:t>8.</w:t>
      </w:r>
      <w:r>
        <w:rPr>
          <w:rFonts w:ascii="Century" w:hAnsi="Century"/>
          <w:rtl/>
        </w:rPr>
        <w:tab/>
      </w:r>
      <w:r>
        <w:rPr>
          <w:rFonts w:ascii="Century" w:hAnsi="Century" w:hint="cs"/>
          <w:rtl/>
        </w:rPr>
        <w:t xml:space="preserve">המערערות ביקשו להביא במסגרת הערעור מספר ראיות חדשות שהן תולדה של ההליכים המשפטיים שניהלה ומנהלת החברה לקבלת הפיצויים. בתמצית, נטען כי בעקבות ההליכים והחלטת ועדת הערר שדנה בתביעה לפיצויים בגין ירידת ערך, שולמו לחברה חלק מהפיצויים בגין ירידת ערך ופיצויי הפקעה שהתבקשו על ידה, כך שלא מדובר בזכות "שטרם באה לעולם" כפי שנקבע על ידי ועדת הערר. לשיטתה, יש בהליכים ובמסמכים שהגשתם התבקשה כדי להוכיח את שוויה המשמעותי של הזכות לפיצויים ביחס לנכסי החברה; את היותה זכות כלכלית עצמאית שאינה מהווה חלק אינטגרלי מהמקרקעין; כי הזכות לפיצויים בגין ירידת ערך שימשה את החברה כהכנסה חייבת במס; וכי העובדה ששולם מס שבח בגין פיצויי ההפקעה שכבר שולמו לארמון ההגמון מנתיבי ישראל, מחזקת את הטענה כי יש להפריד בין החיוב במס שבח לבין זכות התביעה לפיצויים; ובשונה מתשלום פיצויי הפקעה, המחאת זכות לפיצויי הפקעה לא מקימה חבות במס שבח, הואיל והזכות לפיצויי הפקעה אינה מהווה זכות במקרקעין. </w:t>
      </w:r>
    </w:p>
    <w:p w:rsidR="008B4CDC" w:rsidRDefault="008B4CDC" w:rsidP="008B4CDC">
      <w:pPr>
        <w:pStyle w:val="Ruller41"/>
        <w:spacing w:line="240" w:lineRule="auto"/>
        <w:rPr>
          <w:rFonts w:ascii="Century" w:hAnsi="Century"/>
          <w:rtl/>
        </w:rPr>
      </w:pPr>
    </w:p>
    <w:p w:rsidR="008B4CDC" w:rsidRDefault="008B4CDC" w:rsidP="008B4CDC">
      <w:pPr>
        <w:pStyle w:val="Ruller41"/>
        <w:rPr>
          <w:rFonts w:ascii="Century" w:hAnsi="Century"/>
          <w:rtl/>
        </w:rPr>
      </w:pPr>
      <w:r>
        <w:rPr>
          <w:rFonts w:ascii="Century" w:hAnsi="Century"/>
          <w:rtl/>
        </w:rPr>
        <w:tab/>
      </w:r>
      <w:r>
        <w:rPr>
          <w:rFonts w:ascii="Century" w:hAnsi="Century" w:hint="cs"/>
          <w:rtl/>
        </w:rPr>
        <w:t>נטען, כי יש לקבל את המסמכים כראיות בערעור שכן הם נערכו או התקבלו אצל החברה לאחר שניתן פסק דינה של ועדת הערר, וכי הן רלוונטיות לשאלת סיווג החברה כאיגוד מקרקעין.</w:t>
      </w:r>
    </w:p>
    <w:p w:rsidR="008B4CDC" w:rsidRDefault="008B4CDC" w:rsidP="008B4CDC">
      <w:pPr>
        <w:pStyle w:val="Ruller41"/>
        <w:rPr>
          <w:rFonts w:ascii="Century" w:hAnsi="Century"/>
          <w:rtl/>
        </w:rPr>
      </w:pPr>
    </w:p>
    <w:p w:rsidR="008B4CDC" w:rsidRDefault="008B4CDC" w:rsidP="00353C0D">
      <w:pPr>
        <w:pStyle w:val="Ruller41"/>
        <w:rPr>
          <w:rStyle w:val="default"/>
          <w:rtl/>
        </w:rPr>
      </w:pPr>
      <w:r>
        <w:rPr>
          <w:rFonts w:ascii="Century" w:hAnsi="Century" w:hint="cs"/>
          <w:rtl/>
        </w:rPr>
        <w:t>9.</w:t>
      </w:r>
      <w:r>
        <w:rPr>
          <w:rFonts w:ascii="Century" w:hAnsi="Century"/>
          <w:rtl/>
        </w:rPr>
        <w:tab/>
      </w:r>
      <w:r>
        <w:rPr>
          <w:rFonts w:ascii="Century" w:hAnsi="Century" w:hint="cs"/>
          <w:rtl/>
        </w:rPr>
        <w:t xml:space="preserve">המשיב מנגד טען כי החברה עונה להגדרה של איגוד מקרקעין לפי כל חלקיה. בתמצית, נטען כי בהתאם לפסק הדין בעניין </w:t>
      </w:r>
      <w:r w:rsidRPr="00E90445">
        <w:rPr>
          <w:rFonts w:ascii="Century" w:hAnsi="Century" w:cs="Miriam" w:hint="cs"/>
          <w:b/>
          <w:spacing w:val="0"/>
          <w:szCs w:val="24"/>
          <w:rtl/>
        </w:rPr>
        <w:t>גזית גלוב</w:t>
      </w:r>
      <w:r>
        <w:rPr>
          <w:rFonts w:ascii="Century" w:hAnsi="Century" w:hint="cs"/>
          <w:rtl/>
        </w:rPr>
        <w:t>, יש לראות בזכות לפיצויים כנכס ה</w:t>
      </w:r>
      <w:r>
        <w:rPr>
          <w:rFonts w:hint="cs"/>
          <w:rtl/>
        </w:rPr>
        <w:t>משולב ונטמע ב"זכויות במקרקעין", באופן שמכניס את החברה להגדרה הבסיסית של המונח איגוד מקרקעין</w:t>
      </w:r>
      <w:r>
        <w:rPr>
          <w:rStyle w:val="default"/>
          <w:rFonts w:hint="cs"/>
          <w:rtl/>
        </w:rPr>
        <w:t xml:space="preserve">. מכל מקום, הזכות לפיצויים, שטרם התבררה והוכרעה, היא נכס ניטרלי, ותשלום ריבית על פיצויים אינו בגדר ייצור הכנסה. </w:t>
      </w:r>
      <w:r w:rsidRPr="002B4ADD">
        <w:rPr>
          <w:rStyle w:val="default"/>
          <w:rFonts w:hint="cs"/>
          <w:rtl/>
        </w:rPr>
        <w:t>גם אם ניתן לראות ב</w:t>
      </w:r>
      <w:r>
        <w:rPr>
          <w:rStyle w:val="default"/>
          <w:rFonts w:hint="cs"/>
          <w:rtl/>
        </w:rPr>
        <w:t>זכות לפיצויים</w:t>
      </w:r>
      <w:r w:rsidRPr="002B4ADD">
        <w:rPr>
          <w:rStyle w:val="default"/>
          <w:rFonts w:hint="cs"/>
          <w:rtl/>
        </w:rPr>
        <w:t xml:space="preserve"> כמייצרת הכנסה </w:t>
      </w:r>
      <w:r>
        <w:rPr>
          <w:rStyle w:val="default"/>
          <w:rFonts w:hint="cs"/>
          <w:rtl/>
        </w:rPr>
        <w:t xml:space="preserve">בזמן הווה, </w:t>
      </w:r>
      <w:r w:rsidRPr="002B4ADD">
        <w:rPr>
          <w:rStyle w:val="default"/>
          <w:rFonts w:hint="cs"/>
          <w:rtl/>
        </w:rPr>
        <w:t>היא נעש</w:t>
      </w:r>
      <w:r>
        <w:rPr>
          <w:rStyle w:val="default"/>
          <w:rFonts w:hint="cs"/>
          <w:rtl/>
        </w:rPr>
        <w:t>י</w:t>
      </w:r>
      <w:r w:rsidRPr="002B4ADD">
        <w:rPr>
          <w:rStyle w:val="default"/>
          <w:rFonts w:hint="cs"/>
          <w:rtl/>
        </w:rPr>
        <w:t>ת בדרך ארעית ולפיכך טפלה למטרה העיקרית של האיגוד</w:t>
      </w:r>
      <w:r>
        <w:rPr>
          <w:rStyle w:val="default"/>
          <w:rFonts w:hint="cs"/>
          <w:rtl/>
        </w:rPr>
        <w:t>, וגם בהיבט זה עמדת המערערות דינה להידחות</w:t>
      </w:r>
      <w:r w:rsidRPr="002B4ADD">
        <w:rPr>
          <w:rStyle w:val="default"/>
          <w:rFonts w:hint="cs"/>
          <w:rtl/>
        </w:rPr>
        <w:t>. לשיטתו של המשיב,</w:t>
      </w:r>
      <w:r>
        <w:rPr>
          <w:rStyle w:val="default"/>
          <w:rFonts w:hint="cs"/>
          <w:rtl/>
        </w:rPr>
        <w:t xml:space="preserve"> </w:t>
      </w:r>
      <w:r w:rsidRPr="002B4ADD">
        <w:rPr>
          <w:rStyle w:val="default"/>
          <w:rFonts w:hint="cs"/>
          <w:rtl/>
        </w:rPr>
        <w:t xml:space="preserve">מבחן הטפלות הוא מבחן מהותי ולא כמותי, ואין בהחלטות מיסוי שניתנו עובר לפסק הדין בעניין </w:t>
      </w:r>
      <w:r w:rsidRPr="002B4ADD">
        <w:rPr>
          <w:rFonts w:ascii="Century" w:hAnsi="Century" w:cs="Miriam" w:hint="cs"/>
          <w:b/>
          <w:spacing w:val="0"/>
          <w:szCs w:val="24"/>
          <w:rtl/>
        </w:rPr>
        <w:t>גזית גלוב</w:t>
      </w:r>
      <w:r w:rsidRPr="002B4ADD">
        <w:rPr>
          <w:rStyle w:val="default"/>
          <w:rFonts w:hint="cs"/>
          <w:rtl/>
        </w:rPr>
        <w:t xml:space="preserve"> כדי להכריע בסוגיה. </w:t>
      </w:r>
    </w:p>
    <w:p w:rsidR="008B4CDC" w:rsidRDefault="008B4CDC" w:rsidP="00353C0D">
      <w:pPr>
        <w:pStyle w:val="Ruller41"/>
        <w:rPr>
          <w:rStyle w:val="default"/>
          <w:rtl/>
        </w:rPr>
      </w:pPr>
    </w:p>
    <w:p w:rsidR="008B4CDC" w:rsidRDefault="008B4CDC" w:rsidP="00353C0D">
      <w:pPr>
        <w:pStyle w:val="Ruller41"/>
        <w:rPr>
          <w:rStyle w:val="default"/>
          <w:rtl/>
        </w:rPr>
      </w:pPr>
      <w:r>
        <w:rPr>
          <w:rStyle w:val="default"/>
          <w:rtl/>
        </w:rPr>
        <w:tab/>
      </w:r>
      <w:r>
        <w:rPr>
          <w:rStyle w:val="default"/>
          <w:rFonts w:hint="cs"/>
          <w:rtl/>
        </w:rPr>
        <w:t xml:space="preserve">המשיב התנגד לבקשה להוספת ראיות, וטען כי הטענות בעניין שווי המקרקעין שעל בסיסו חושבה השומה אינן עומדות בהוראת סעיף 90 לחוק מיסוי מקרקעין לפיו ניתן לערער על החלטה של ועדת ערר בבעיה משפטית בלבד. כמו כן נטען כי בעוד שהמשיב ביסס היטב את עמדתו לעניין השווי באמצעות עורכת השומה וחוות דעת של שמאי מקרקעין מטעמו, חוות דעת מטעם המערערות כלל לא הוגשה. המשיב הפנה לקביעות ועדת הערר באשר להתנהלותן של המערערות בקשר להגשת חוות דעת מטעמן, וגרס כי אין לאפשר "מקצה שיפורים" באמצעות החזרת הדיון לוועדה, וכי בדרך זו יצא חוטא נשכר. </w:t>
      </w:r>
    </w:p>
    <w:p w:rsidR="008B4CDC" w:rsidRDefault="008B4CDC" w:rsidP="008B4CDC">
      <w:pPr>
        <w:pStyle w:val="Ruller41"/>
        <w:rPr>
          <w:rStyle w:val="default"/>
          <w:rtl/>
        </w:rPr>
      </w:pPr>
    </w:p>
    <w:p w:rsidR="008B4CDC" w:rsidRPr="00D503B7" w:rsidRDefault="008B4CDC" w:rsidP="008B4CDC">
      <w:pPr>
        <w:pStyle w:val="Ruller41"/>
        <w:spacing w:line="240" w:lineRule="auto"/>
        <w:rPr>
          <w:rStyle w:val="default"/>
          <w:rFonts w:ascii="Century" w:hAnsi="Century" w:cs="Miriam"/>
          <w:b/>
          <w:spacing w:val="0"/>
          <w:szCs w:val="24"/>
          <w:rtl/>
        </w:rPr>
      </w:pPr>
      <w:r w:rsidRPr="00D503B7">
        <w:rPr>
          <w:rStyle w:val="default"/>
          <w:rFonts w:ascii="Century" w:hAnsi="Century" w:cs="Miriam" w:hint="cs"/>
          <w:b/>
          <w:spacing w:val="0"/>
          <w:szCs w:val="24"/>
          <w:rtl/>
        </w:rPr>
        <w:t>דיון והכרעה</w:t>
      </w:r>
    </w:p>
    <w:p w:rsidR="008B4CDC" w:rsidRDefault="008B4CDC" w:rsidP="00353C0D">
      <w:pPr>
        <w:pStyle w:val="Ruller41"/>
        <w:rPr>
          <w:rStyle w:val="default"/>
          <w:rtl/>
        </w:rPr>
      </w:pPr>
    </w:p>
    <w:p w:rsidR="008B4CDC" w:rsidRDefault="008B4CDC" w:rsidP="00353C0D">
      <w:pPr>
        <w:pStyle w:val="Ruller41"/>
        <w:rPr>
          <w:rStyle w:val="default"/>
          <w:rtl/>
        </w:rPr>
      </w:pPr>
      <w:r>
        <w:rPr>
          <w:rStyle w:val="default"/>
          <w:rFonts w:hint="cs"/>
          <w:rtl/>
        </w:rPr>
        <w:t>10.</w:t>
      </w:r>
      <w:r>
        <w:rPr>
          <w:rStyle w:val="default"/>
          <w:rtl/>
        </w:rPr>
        <w:tab/>
      </w:r>
      <w:r>
        <w:rPr>
          <w:rStyle w:val="default"/>
          <w:rFonts w:hint="cs"/>
          <w:rtl/>
        </w:rPr>
        <w:t>אקדים תובנה לדיון ואומר כי דין הערעור להידחות, והדברים פשוטים.</w:t>
      </w:r>
    </w:p>
    <w:p w:rsidR="008B4CDC" w:rsidRDefault="008B4CDC" w:rsidP="00353C0D">
      <w:pPr>
        <w:pStyle w:val="Ruller41"/>
        <w:rPr>
          <w:rStyle w:val="default"/>
          <w:rtl/>
        </w:rPr>
      </w:pPr>
    </w:p>
    <w:p w:rsidR="008B4CDC" w:rsidRDefault="008B4CDC" w:rsidP="008B4CDC">
      <w:pPr>
        <w:pStyle w:val="Ruller41"/>
        <w:rPr>
          <w:rStyle w:val="default"/>
          <w:rtl/>
        </w:rPr>
      </w:pPr>
      <w:r>
        <w:rPr>
          <w:rStyle w:val="default"/>
          <w:rtl/>
        </w:rPr>
        <w:tab/>
      </w:r>
      <w:r>
        <w:rPr>
          <w:rStyle w:val="default"/>
          <w:rFonts w:hint="cs"/>
          <w:rtl/>
        </w:rPr>
        <w:t xml:space="preserve">המערערות הצביעו על ההבחנה בין מקרקעין לבין זכויות אובליגטוריות לצורך תקופת ההתיישנות, אך איני רואה מה לדיני ההתיישנות ולסוגיה שלפנינו.  מקובלת עליי עמדת המשיב ולפיה הליכה בדרך </w:t>
      </w:r>
      <w:r w:rsidRPr="00A258D7">
        <w:rPr>
          <w:rStyle w:val="default"/>
          <w:rFonts w:hint="cs"/>
          <w:rtl/>
        </w:rPr>
        <w:t>שהתוותה</w:t>
      </w:r>
      <w:r>
        <w:rPr>
          <w:rStyle w:val="default"/>
          <w:rFonts w:hint="cs"/>
          <w:rtl/>
        </w:rPr>
        <w:t xml:space="preserve"> בעניין </w:t>
      </w:r>
      <w:r w:rsidRPr="00A258D7">
        <w:rPr>
          <w:rStyle w:val="default"/>
          <w:rFonts w:ascii="Century" w:hAnsi="Century" w:cs="Miriam" w:hint="cs"/>
          <w:b/>
          <w:spacing w:val="0"/>
          <w:szCs w:val="24"/>
          <w:rtl/>
        </w:rPr>
        <w:t>גזית גלוב</w:t>
      </w:r>
      <w:r w:rsidRPr="00A258D7">
        <w:rPr>
          <w:rStyle w:val="default"/>
          <w:rFonts w:hint="cs"/>
          <w:rtl/>
        </w:rPr>
        <w:t xml:space="preserve"> מובילה למסקנה כי </w:t>
      </w:r>
      <w:r>
        <w:rPr>
          <w:rStyle w:val="default"/>
          <w:rFonts w:hint="cs"/>
          <w:rtl/>
        </w:rPr>
        <w:t xml:space="preserve">בנסיבות העניין, </w:t>
      </w:r>
      <w:r w:rsidRPr="00A258D7">
        <w:rPr>
          <w:rStyle w:val="default"/>
          <w:rFonts w:hint="cs"/>
          <w:rtl/>
        </w:rPr>
        <w:t>הזכות לפיצויי הפקעה</w:t>
      </w:r>
      <w:r>
        <w:rPr>
          <w:rStyle w:val="default"/>
          <w:rFonts w:hint="cs"/>
          <w:rtl/>
        </w:rPr>
        <w:t xml:space="preserve"> ולפיצויים בגין ירידת ערך לא מחריגה את החברה מהגדרת "איגוד מקרקעין".</w:t>
      </w:r>
      <w:r w:rsidRPr="00A258D7">
        <w:rPr>
          <w:rStyle w:val="default"/>
          <w:rFonts w:hint="cs"/>
          <w:rtl/>
        </w:rPr>
        <w:t xml:space="preserve"> </w:t>
      </w:r>
    </w:p>
    <w:p w:rsidR="008B4CDC" w:rsidRDefault="008B4CDC" w:rsidP="008B4CDC">
      <w:pPr>
        <w:pStyle w:val="Ruller41"/>
        <w:rPr>
          <w:rStyle w:val="default"/>
          <w:rtl/>
        </w:rPr>
      </w:pPr>
    </w:p>
    <w:p w:rsidR="008B4CDC" w:rsidRDefault="008B4CDC" w:rsidP="008B4CDC">
      <w:pPr>
        <w:pStyle w:val="Ruller41"/>
        <w:rPr>
          <w:rStyle w:val="default"/>
          <w:rtl/>
        </w:rPr>
      </w:pPr>
      <w:r>
        <w:rPr>
          <w:rStyle w:val="default"/>
          <w:rFonts w:hint="cs"/>
          <w:rtl/>
        </w:rPr>
        <w:t>11.</w:t>
      </w:r>
      <w:r>
        <w:rPr>
          <w:rStyle w:val="default"/>
          <w:rtl/>
        </w:rPr>
        <w:tab/>
      </w:r>
      <w:r>
        <w:rPr>
          <w:rStyle w:val="default"/>
          <w:rFonts w:hint="cs"/>
          <w:rtl/>
        </w:rPr>
        <w:t xml:space="preserve">כפי שהוסבר לעיל, ולפי הלכת </w:t>
      </w:r>
      <w:r w:rsidRPr="00844B1A">
        <w:rPr>
          <w:rStyle w:val="default"/>
          <w:rFonts w:ascii="Century" w:hAnsi="Century" w:cs="Miriam" w:hint="cs"/>
          <w:b/>
          <w:spacing w:val="0"/>
          <w:szCs w:val="24"/>
          <w:rtl/>
        </w:rPr>
        <w:t>גזית גלוב</w:t>
      </w:r>
      <w:r>
        <w:rPr>
          <w:rStyle w:val="default"/>
          <w:rFonts w:hint="cs"/>
          <w:rtl/>
        </w:rPr>
        <w:t>, הבחינה אם איגוד עונה להגדרת "איגוד מקרקעין" היא בחינה רב-שלבית (להשוואת מורכבות ההגדרה למורכבות הגדרת "תאונת דרכים" ב</w:t>
      </w:r>
      <w:r w:rsidRPr="002C4D7F">
        <w:rPr>
          <w:rStyle w:val="default"/>
          <w:rtl/>
        </w:rPr>
        <w:t xml:space="preserve">חוק פיצויים לנפגעי תאונות דרכים, </w:t>
      </w:r>
      <w:r w:rsidRPr="002C4D7F">
        <w:rPr>
          <w:rStyle w:val="default"/>
          <w:rFonts w:hint="cs"/>
          <w:rtl/>
        </w:rPr>
        <w:t>ה</w:t>
      </w:r>
      <w:r w:rsidRPr="002C4D7F">
        <w:rPr>
          <w:rStyle w:val="default"/>
          <w:rtl/>
        </w:rPr>
        <w:t>תשל"ה-1975</w:t>
      </w:r>
      <w:r w:rsidRPr="002C4D7F">
        <w:rPr>
          <w:rStyle w:val="default"/>
          <w:rFonts w:hint="cs"/>
          <w:rtl/>
        </w:rPr>
        <w:t xml:space="preserve"> </w:t>
      </w:r>
      <w:r>
        <w:rPr>
          <w:rStyle w:val="default"/>
          <w:rFonts w:hint="cs"/>
          <w:rtl/>
        </w:rPr>
        <w:t xml:space="preserve">ראו עניין </w:t>
      </w:r>
      <w:r w:rsidRPr="002C4D7F">
        <w:rPr>
          <w:rStyle w:val="default"/>
          <w:rFonts w:ascii="Century" w:hAnsi="Century" w:cs="Miriam" w:hint="cs"/>
          <w:b/>
          <w:spacing w:val="0"/>
          <w:szCs w:val="24"/>
          <w:rtl/>
        </w:rPr>
        <w:t>אספן</w:t>
      </w:r>
      <w:r>
        <w:rPr>
          <w:rStyle w:val="default"/>
          <w:rFonts w:hint="cs"/>
          <w:rtl/>
        </w:rPr>
        <w:t xml:space="preserve">, בפסקה ט"ז; עניין </w:t>
      </w:r>
      <w:r w:rsidRPr="002C4D7F">
        <w:rPr>
          <w:rStyle w:val="default"/>
          <w:rFonts w:ascii="Century" w:hAnsi="Century" w:cs="Miriam" w:hint="cs"/>
          <w:b/>
          <w:spacing w:val="0"/>
          <w:szCs w:val="24"/>
          <w:rtl/>
        </w:rPr>
        <w:t>גזית גלוב</w:t>
      </w:r>
      <w:r>
        <w:rPr>
          <w:rStyle w:val="default"/>
          <w:rFonts w:hint="cs"/>
          <w:rtl/>
        </w:rPr>
        <w:t xml:space="preserve">, בפסקה 16). בשלב הראשון יש לבחון אם מדובר ב"איגוד שכל נכסיו, במישרין או בעקיפין, הם זכויות במקרקעין". במסגרת זו תיבחן מצבת הנכסים שבבעלות האיגוד ויקבע אם נכס לגביו נטען שהוא אינו זכות במקרקעין אכן קיים ואם הוא מובחן ועצמאי מהזכויות במקרקעין או שלוב בהן (ההגדרה הבסיסית, או כפי שכונתה על ידי המשיב בסיכומיו, "מבחן המשולבות"). </w:t>
      </w:r>
    </w:p>
    <w:p w:rsidR="008B4CDC" w:rsidRDefault="008B4CDC" w:rsidP="008B4CDC">
      <w:pPr>
        <w:pStyle w:val="Ruller41"/>
        <w:rPr>
          <w:rStyle w:val="default"/>
          <w:rtl/>
        </w:rPr>
      </w:pPr>
    </w:p>
    <w:p w:rsidR="008B4CDC" w:rsidRPr="007844C8" w:rsidRDefault="008B4CDC" w:rsidP="008B4CDC">
      <w:pPr>
        <w:pStyle w:val="Ruller41"/>
        <w:rPr>
          <w:rtl/>
        </w:rPr>
      </w:pPr>
      <w:r>
        <w:rPr>
          <w:rStyle w:val="default"/>
          <w:rtl/>
        </w:rPr>
        <w:tab/>
      </w:r>
      <w:r>
        <w:rPr>
          <w:rStyle w:val="default"/>
          <w:rFonts w:hint="cs"/>
          <w:rtl/>
        </w:rPr>
        <w:t xml:space="preserve">בעניין </w:t>
      </w:r>
      <w:r w:rsidRPr="00E837B5">
        <w:rPr>
          <w:rStyle w:val="default"/>
          <w:rFonts w:ascii="Century" w:hAnsi="Century" w:cs="Miriam" w:hint="cs"/>
          <w:b/>
          <w:spacing w:val="0"/>
          <w:szCs w:val="24"/>
          <w:rtl/>
        </w:rPr>
        <w:t>גזית גלוב</w:t>
      </w:r>
      <w:r>
        <w:rPr>
          <w:rStyle w:val="default"/>
          <w:rFonts w:hint="cs"/>
          <w:rtl/>
        </w:rPr>
        <w:t>, הנשיאה</w:t>
      </w:r>
      <w:r w:rsidRPr="00FD54C6">
        <w:rPr>
          <w:rStyle w:val="default"/>
          <w:rFonts w:ascii="Century" w:hAnsi="Century" w:cs="Miriam" w:hint="cs"/>
          <w:b/>
          <w:spacing w:val="0"/>
          <w:szCs w:val="24"/>
          <w:rtl/>
        </w:rPr>
        <w:t xml:space="preserve"> נאור</w:t>
      </w:r>
      <w:r>
        <w:rPr>
          <w:rStyle w:val="default"/>
          <w:rFonts w:hint="cs"/>
          <w:rtl/>
        </w:rPr>
        <w:t xml:space="preserve"> עמדה על קבוצות מקרים שבהם נקבע כי נכסים מסוימים הינם חלק בלתי נפרד מהזכויות במקרקעין, נטמעים בהן או שלובים בהן. אחת מהקטגוריות שנזכרו כונתה "</w:t>
      </w:r>
      <w:r>
        <w:rPr>
          <w:rFonts w:ascii="Century" w:hAnsi="Century" w:cs="Miriam" w:hint="cs"/>
          <w:b/>
          <w:spacing w:val="0"/>
          <w:szCs w:val="24"/>
          <w:rtl/>
        </w:rPr>
        <w:t>זכויות ביחס למקרקעין שאינן 'זכויות במקרקעין'"</w:t>
      </w:r>
      <w:r>
        <w:rPr>
          <w:rFonts w:hint="cs"/>
          <w:rtl/>
        </w:rPr>
        <w:t xml:space="preserve">, ונקבע כי מאפיינים המשפיעים על אופן השימוש במקרקעין ועל שוויים נכללים בגדר הזכות במקרקעין ונבלעים בה. כן </w:t>
      </w:r>
      <w:r>
        <w:rPr>
          <w:rStyle w:val="default"/>
          <w:rFonts w:hint="cs"/>
          <w:rtl/>
        </w:rPr>
        <w:t xml:space="preserve">נזכרו דוגמאות שנדונו בפסיקה כגון זכויות בנייה, זכות לדיירות מוגנת </w:t>
      </w:r>
      <w:r>
        <w:rPr>
          <w:rFonts w:hint="cs"/>
          <w:rtl/>
        </w:rPr>
        <w:t xml:space="preserve">וזכויות מכוח ההסכמים למתן שירותים בקשר למקרקעין (עניין </w:t>
      </w:r>
      <w:r w:rsidRPr="00FD54C6">
        <w:rPr>
          <w:rFonts w:ascii="Century" w:hAnsi="Century" w:cs="Miriam" w:hint="cs"/>
          <w:b/>
          <w:spacing w:val="0"/>
          <w:szCs w:val="24"/>
          <w:rtl/>
        </w:rPr>
        <w:t>אספן</w:t>
      </w:r>
      <w:r>
        <w:rPr>
          <w:rFonts w:hint="cs"/>
          <w:rtl/>
        </w:rPr>
        <w:t xml:space="preserve">, </w:t>
      </w:r>
      <w:r w:rsidRPr="00FD54C6">
        <w:rPr>
          <w:rStyle w:val="default"/>
          <w:rtl/>
        </w:rPr>
        <w:lastRenderedPageBreak/>
        <w:t>ע</w:t>
      </w:r>
      <w:r w:rsidRPr="00FD54C6">
        <w:rPr>
          <w:rStyle w:val="default"/>
          <w:rFonts w:hint="cs"/>
          <w:rtl/>
        </w:rPr>
        <w:t>"</w:t>
      </w:r>
      <w:r w:rsidRPr="00FD54C6">
        <w:rPr>
          <w:rStyle w:val="default"/>
          <w:rtl/>
        </w:rPr>
        <w:t xml:space="preserve">א 6340/08 </w:t>
      </w:r>
      <w:r w:rsidRPr="00FD54C6">
        <w:rPr>
          <w:rFonts w:ascii="Century" w:hAnsi="Century" w:cs="Miriam"/>
          <w:b/>
          <w:spacing w:val="0"/>
          <w:szCs w:val="24"/>
          <w:rtl/>
        </w:rPr>
        <w:t>וילאר נכסים (1985) בע"מ נ' מנהל מיסוי מקרקעין חיפה</w:t>
      </w:r>
      <w:r>
        <w:rPr>
          <w:rStyle w:val="default"/>
          <w:rFonts w:hint="cs"/>
          <w:rtl/>
        </w:rPr>
        <w:t xml:space="preserve"> </w:t>
      </w:r>
      <w:r>
        <w:rPr>
          <w:rtl/>
        </w:rPr>
        <w:t>(10.6.2010)</w:t>
      </w:r>
      <w:r>
        <w:rPr>
          <w:rFonts w:hint="cs"/>
          <w:rtl/>
        </w:rPr>
        <w:t xml:space="preserve"> (להלן: עניין </w:t>
      </w:r>
      <w:r w:rsidRPr="00FD54C6">
        <w:rPr>
          <w:rFonts w:ascii="Century" w:hAnsi="Century" w:cs="Miriam" w:hint="cs"/>
          <w:b/>
          <w:spacing w:val="0"/>
          <w:szCs w:val="24"/>
          <w:rtl/>
        </w:rPr>
        <w:t>וילאר</w:t>
      </w:r>
      <w:r>
        <w:rPr>
          <w:rFonts w:hint="cs"/>
          <w:rtl/>
        </w:rPr>
        <w:t>))</w:t>
      </w:r>
      <w:r>
        <w:rPr>
          <w:rtl/>
        </w:rPr>
        <w:t>.</w:t>
      </w:r>
      <w:r>
        <w:rPr>
          <w:rStyle w:val="default"/>
          <w:rFonts w:hint="cs"/>
          <w:rtl/>
        </w:rPr>
        <w:t xml:space="preserve"> כך סיכמה את הדברים הנשיאה</w:t>
      </w:r>
      <w:r w:rsidRPr="007844C8">
        <w:rPr>
          <w:rStyle w:val="default"/>
          <w:rFonts w:ascii="Century" w:hAnsi="Century" w:cs="Miriam" w:hint="cs"/>
          <w:b/>
          <w:spacing w:val="0"/>
          <w:szCs w:val="24"/>
          <w:rtl/>
        </w:rPr>
        <w:t xml:space="preserve"> נאור</w:t>
      </w:r>
      <w:r>
        <w:rPr>
          <w:rStyle w:val="default"/>
          <w:rFonts w:hint="cs"/>
          <w:rtl/>
        </w:rPr>
        <w:t>, ואביא מדבריה שנזכרו אף בפסק דינה של ועדת הערר:</w:t>
      </w:r>
    </w:p>
    <w:p w:rsidR="008B4CDC" w:rsidRPr="007844C8" w:rsidRDefault="008B4CDC" w:rsidP="008B4CDC">
      <w:pPr>
        <w:pStyle w:val="Ruller41"/>
        <w:rPr>
          <w:rtl/>
        </w:rPr>
      </w:pPr>
    </w:p>
    <w:p w:rsidR="008B4CDC" w:rsidRDefault="008B4CDC" w:rsidP="008B4CDC">
      <w:pPr>
        <w:pStyle w:val="Ruller5"/>
        <w:rPr>
          <w:rtl/>
        </w:rPr>
      </w:pPr>
      <w:r>
        <w:rPr>
          <w:rFonts w:hint="cs"/>
          <w:rtl/>
        </w:rPr>
        <w:t>"</w:t>
      </w:r>
      <w:r w:rsidRPr="007844C8">
        <w:rPr>
          <w:rFonts w:hint="cs"/>
          <w:rtl/>
        </w:rPr>
        <w:t>מהפסיקה שנסקרה מזדקרת ההבנה ש</w:t>
      </w:r>
      <w:r>
        <w:rPr>
          <w:rFonts w:hint="cs"/>
          <w:rtl/>
        </w:rPr>
        <w:t>'</w:t>
      </w:r>
      <w:r w:rsidRPr="007844C8">
        <w:rPr>
          <w:rFonts w:hint="cs"/>
          <w:rtl/>
        </w:rPr>
        <w:t>זכות במקרקעין</w:t>
      </w:r>
      <w:r>
        <w:rPr>
          <w:rFonts w:hint="cs"/>
          <w:rtl/>
        </w:rPr>
        <w:t>'</w:t>
      </w:r>
      <w:r w:rsidRPr="007844C8">
        <w:rPr>
          <w:rFonts w:hint="cs"/>
          <w:rtl/>
        </w:rPr>
        <w:t xml:space="preserve"> היא נכס מורכב, שאופן הניצול שלו ושוויו מושפעים מגורמים חיצוניים ובהם זכויות בניה, הסכמי שכירות, מיקום, נכסים אחרים שבסביבה, נגישות </w:t>
      </w:r>
      <w:r w:rsidRPr="007844C8">
        <w:rPr>
          <w:rtl/>
        </w:rPr>
        <w:t>–</w:t>
      </w:r>
      <w:r w:rsidRPr="007844C8">
        <w:rPr>
          <w:rFonts w:hint="cs"/>
          <w:rtl/>
        </w:rPr>
        <w:t xml:space="preserve"> ועוד. </w:t>
      </w:r>
      <w:r w:rsidRPr="00BA0751">
        <w:rPr>
          <w:rFonts w:hint="cs"/>
          <w:rtl/>
        </w:rPr>
        <w:t>המונח 'זכות במקרקעין' חולש לא רק על הקרקע ועל הבנוי עליה, אלא גם על 'דברים המחוברים אליה חיבור של קבע' ועל זכויות אחרות, שניתן לומר כי הם נטמעו במקרקעין ומהווים חלק בלתי-נפרד מהם. יש לבחון זכויות במקרקעין ונכסים אחרים בהתאם למהות הכלכלית האמיתית שלהם. אין להפריד באופן מלאכותי בין נכסים שהם זכויות במקרקעין לבין נכסים אחרים הנבלעים בזכות במקרקעין או נטמעים בה ואשר משפיעים על שוויהּ.</w:t>
      </w:r>
      <w:r w:rsidRPr="007844C8">
        <w:rPr>
          <w:rFonts w:hint="cs"/>
          <w:rtl/>
        </w:rPr>
        <w:t xml:space="preserve"> </w:t>
      </w:r>
      <w:r w:rsidRPr="00BA0751">
        <w:rPr>
          <w:rFonts w:hint="cs"/>
          <w:rtl/>
        </w:rPr>
        <w:t>כוחם של דברים אלה יפה לשורה ארוכה של נכסים כגון מחוברים, זכויות ונכסים בלתי-מוחשיים אחרים.</w:t>
      </w:r>
      <w:r w:rsidRPr="007844C8">
        <w:rPr>
          <w:rFonts w:hint="cs"/>
          <w:rtl/>
        </w:rPr>
        <w:t xml:space="preserve"> באותה מידה אין להפריד גם נכסים אחרים באופן מלאכותי למספר חלקים או למספר רכיבים. אין מקום גם להכיר באופן מלאכותי בפעולות או במעשים שונים </w:t>
      </w:r>
      <w:r>
        <w:rPr>
          <w:rFonts w:hint="cs"/>
          <w:rtl/>
        </w:rPr>
        <w:t>כ'</w:t>
      </w:r>
      <w:r w:rsidRPr="007844C8">
        <w:rPr>
          <w:rFonts w:hint="cs"/>
          <w:rtl/>
        </w:rPr>
        <w:t>נכסים</w:t>
      </w:r>
      <w:r>
        <w:rPr>
          <w:rFonts w:hint="cs"/>
          <w:rtl/>
        </w:rPr>
        <w:t>'</w:t>
      </w:r>
      <w:r w:rsidRPr="007844C8">
        <w:rPr>
          <w:rFonts w:hint="cs"/>
          <w:rtl/>
        </w:rPr>
        <w:t>.</w:t>
      </w:r>
      <w:r>
        <w:rPr>
          <w:rFonts w:hint="cs"/>
          <w:rtl/>
        </w:rPr>
        <w:t xml:space="preserve"> </w:t>
      </w:r>
      <w:r w:rsidRPr="00C443A0">
        <w:rPr>
          <w:rFonts w:hint="cs"/>
          <w:rtl/>
        </w:rPr>
        <w:t>המסקנה כי נכס פלוני נבלע למעשה בזכות במקרקעין או בנכס אחר והוא חלק ממנו משמעהּ כי הוא אינו נכס עצמאי וכי אין להכלילו ברשימת הנכסים של האיגוד (בשלב הראשון). כתוצאה מכך אין צורך לסווגו במסגרת מיון הנכסים (בשלב השני) כזכות במקרקעין או כנכס אחר; וממילא אין גם מקום לבחון אותו בהתאם למבחניה של ההגדרה המרבה..."</w:t>
      </w:r>
      <w:r>
        <w:rPr>
          <w:rFonts w:hint="cs"/>
          <w:rtl/>
        </w:rPr>
        <w:t xml:space="preserve"> (שם, בפסקה 21).</w:t>
      </w:r>
      <w:r w:rsidRPr="00E644BF">
        <w:rPr>
          <w:rFonts w:hint="cs"/>
          <w:rtl/>
        </w:rPr>
        <w:t xml:space="preserve"> </w:t>
      </w:r>
    </w:p>
    <w:p w:rsidR="008B4CDC" w:rsidRDefault="008B4CDC" w:rsidP="008B4CDC">
      <w:pPr>
        <w:ind w:left="1642" w:right="1282"/>
        <w:jc w:val="both"/>
        <w:textAlignment w:val="auto"/>
        <w:rPr>
          <w:rFonts w:ascii="Arial TUR" w:hAnsi="Arial TUR"/>
          <w:sz w:val="22"/>
          <w:rtl/>
        </w:rPr>
      </w:pPr>
    </w:p>
    <w:p w:rsidR="00353C0D" w:rsidRDefault="00353C0D" w:rsidP="008B4CDC">
      <w:pPr>
        <w:pStyle w:val="Ruller41"/>
        <w:rPr>
          <w:rStyle w:val="default"/>
          <w:rtl/>
        </w:rPr>
      </w:pPr>
    </w:p>
    <w:p w:rsidR="008B4CDC" w:rsidRDefault="008B4CDC" w:rsidP="008B4CDC">
      <w:pPr>
        <w:pStyle w:val="Ruller41"/>
        <w:rPr>
          <w:rStyle w:val="default"/>
          <w:rtl/>
        </w:rPr>
      </w:pPr>
      <w:r>
        <w:rPr>
          <w:rStyle w:val="default"/>
          <w:rtl/>
        </w:rPr>
        <w:tab/>
      </w:r>
      <w:r w:rsidRPr="00346910">
        <w:rPr>
          <w:rStyle w:val="default"/>
          <w:rFonts w:hint="cs"/>
          <w:rtl/>
        </w:rPr>
        <w:t>על רקע קביעות אלה, לא די בטענה כי נכס מסוים כשלעצמו אינו בגדר זכות במקרקעין, ויש לבחון אם בהתחשב במהותו הכלכלית ובמאפייניו, ניתן לומר כי הוא שלוב ונטמע בזכויות במקרקעין</w:t>
      </w:r>
      <w:r>
        <w:rPr>
          <w:rStyle w:val="default"/>
          <w:rFonts w:hint="cs"/>
          <w:rtl/>
        </w:rPr>
        <w:t xml:space="preserve"> או אם לאו</w:t>
      </w:r>
      <w:r w:rsidRPr="00346910">
        <w:rPr>
          <w:rStyle w:val="default"/>
          <w:rFonts w:hint="cs"/>
          <w:rtl/>
        </w:rPr>
        <w:t>.</w:t>
      </w:r>
    </w:p>
    <w:p w:rsidR="008B4CDC" w:rsidRDefault="008B4CDC" w:rsidP="008B4CDC">
      <w:pPr>
        <w:pStyle w:val="Ruller41"/>
        <w:spacing w:line="240" w:lineRule="auto"/>
        <w:rPr>
          <w:rStyle w:val="default"/>
          <w:rtl/>
        </w:rPr>
      </w:pPr>
    </w:p>
    <w:p w:rsidR="008B4CDC" w:rsidRDefault="008B4CDC" w:rsidP="008B4CDC">
      <w:pPr>
        <w:pStyle w:val="Ruller41"/>
        <w:rPr>
          <w:rStyle w:val="default"/>
          <w:rtl/>
        </w:rPr>
      </w:pPr>
      <w:r>
        <w:rPr>
          <w:rStyle w:val="default"/>
          <w:rFonts w:hint="cs"/>
          <w:rtl/>
        </w:rPr>
        <w:t>12.</w:t>
      </w:r>
      <w:r>
        <w:rPr>
          <w:rStyle w:val="default"/>
          <w:rtl/>
        </w:rPr>
        <w:tab/>
      </w:r>
      <w:r>
        <w:rPr>
          <w:rStyle w:val="default"/>
          <w:rFonts w:hint="cs"/>
          <w:rtl/>
        </w:rPr>
        <w:t>המערערות ביקשו להבחין בין עניינם לבין הדוגמאות הנזכרות בעניין</w:t>
      </w:r>
      <w:r w:rsidRPr="001D532C">
        <w:rPr>
          <w:rFonts w:ascii="Century" w:hAnsi="Century" w:cs="Miriam" w:hint="cs"/>
          <w:b/>
          <w:spacing w:val="0"/>
          <w:szCs w:val="24"/>
          <w:rtl/>
        </w:rPr>
        <w:t xml:space="preserve"> גזית גלוב</w:t>
      </w:r>
      <w:r>
        <w:rPr>
          <w:rStyle w:val="default"/>
          <w:rFonts w:hint="cs"/>
          <w:rtl/>
        </w:rPr>
        <w:t xml:space="preserve">, </w:t>
      </w:r>
      <w:r w:rsidRPr="004A6A28">
        <w:rPr>
          <w:rStyle w:val="default"/>
          <w:rFonts w:ascii="Century" w:hAnsi="Century" w:cs="Miriam" w:hint="cs"/>
          <w:b/>
          <w:spacing w:val="0"/>
          <w:szCs w:val="24"/>
          <w:rtl/>
        </w:rPr>
        <w:t>אספן</w:t>
      </w:r>
      <w:r>
        <w:rPr>
          <w:rStyle w:val="default"/>
          <w:rFonts w:hint="cs"/>
          <w:rtl/>
        </w:rPr>
        <w:t xml:space="preserve"> ו-</w:t>
      </w:r>
      <w:r w:rsidRPr="004A6A28">
        <w:rPr>
          <w:rStyle w:val="default"/>
          <w:rFonts w:ascii="Century" w:hAnsi="Century" w:cs="Miriam" w:hint="cs"/>
          <w:b/>
          <w:spacing w:val="0"/>
          <w:szCs w:val="24"/>
          <w:rtl/>
        </w:rPr>
        <w:t>וילאר</w:t>
      </w:r>
      <w:r>
        <w:rPr>
          <w:rStyle w:val="default"/>
          <w:rFonts w:hint="cs"/>
          <w:rtl/>
        </w:rPr>
        <w:t>. לשיטתן, בניגוד לזכויות הנובעות מהסכמים או זכויות בנייה, הפקעה יוצרת ניתוק מוחלט בין המקרקעין לבעליהם, והזכות לפיצוים אינה קשורה לשימוש בקרקע שממילא הופקעה זה מכבר ואינה נמצאת בבעלות החברה מזה שנים. מכאן טענת המערערות שאין לראות בזכות לפיצויים כ"</w:t>
      </w:r>
      <w:r>
        <w:rPr>
          <w:rFonts w:hint="cs"/>
          <w:rtl/>
        </w:rPr>
        <w:t xml:space="preserve">חלק מאגד הזכויות המרכיבות את הבעלות" בקרקע כאמור </w:t>
      </w:r>
      <w:r>
        <w:rPr>
          <w:rStyle w:val="default"/>
          <w:rFonts w:hint="cs"/>
          <w:rtl/>
        </w:rPr>
        <w:t xml:space="preserve">בעניין </w:t>
      </w:r>
      <w:r w:rsidRPr="008A4F2A">
        <w:rPr>
          <w:rStyle w:val="default"/>
          <w:rFonts w:ascii="Century" w:hAnsi="Century" w:cs="Miriam" w:hint="cs"/>
          <w:b/>
          <w:spacing w:val="0"/>
          <w:szCs w:val="24"/>
          <w:rtl/>
        </w:rPr>
        <w:t>גזית גלוב</w:t>
      </w:r>
      <w:r>
        <w:rPr>
          <w:rStyle w:val="default"/>
          <w:rFonts w:hint="cs"/>
          <w:rtl/>
        </w:rPr>
        <w:t xml:space="preserve">. זאת, מאחר ששווי הזכות לפיצויים בגין המקרקעין שהופקעו עומד בפני עצמו ונאמד במנותק משווי המקרקעין שנותרו ברשות החברה; </w:t>
      </w:r>
      <w:r>
        <w:rPr>
          <w:rStyle w:val="default"/>
          <w:rFonts w:hint="cs"/>
          <w:rtl/>
        </w:rPr>
        <w:lastRenderedPageBreak/>
        <w:t>ניתן להמחות את זכות הפיצויים ולהעבירה לצד שלישי; ואין לראות באיגוד מקרקעין שכל קרקעותיו הופקעו והוא נותר אך עם זכות לפיצויים, כאיגוד מקרקעין.</w:t>
      </w:r>
    </w:p>
    <w:p w:rsidR="008B4CDC" w:rsidRDefault="008B4CDC" w:rsidP="008B4CDC">
      <w:pPr>
        <w:pStyle w:val="Ruller41"/>
        <w:spacing w:line="240" w:lineRule="auto"/>
        <w:rPr>
          <w:rStyle w:val="default"/>
          <w:rtl/>
        </w:rPr>
      </w:pPr>
    </w:p>
    <w:p w:rsidR="008B4CDC" w:rsidRDefault="008B4CDC" w:rsidP="008B4CDC">
      <w:pPr>
        <w:pStyle w:val="Ruller41"/>
        <w:rPr>
          <w:rStyle w:val="default"/>
          <w:rtl/>
        </w:rPr>
      </w:pPr>
      <w:r>
        <w:rPr>
          <w:rStyle w:val="default"/>
          <w:rtl/>
        </w:rPr>
        <w:tab/>
      </w:r>
      <w:r>
        <w:rPr>
          <w:rStyle w:val="default"/>
          <w:rFonts w:hint="cs"/>
          <w:rtl/>
        </w:rPr>
        <w:t>איני סבור כי בנסיבות המקרה שלפנינו, ההבחנות הנטענות מובילות לקבלת עמדתן של המערערות. כפי שנזכר בפסק הדין</w:t>
      </w:r>
      <w:r w:rsidRPr="0007430E">
        <w:rPr>
          <w:rStyle w:val="default"/>
          <w:rFonts w:hint="cs"/>
          <w:rtl/>
        </w:rPr>
        <w:t xml:space="preserve"> (פסקה 4</w:t>
      </w:r>
      <w:r>
        <w:rPr>
          <w:rStyle w:val="default"/>
          <w:rFonts w:hint="cs"/>
          <w:rtl/>
        </w:rPr>
        <w:t xml:space="preserve"> לחוות דעתו של השופט </w:t>
      </w:r>
      <w:r w:rsidRPr="001333BC">
        <w:rPr>
          <w:rStyle w:val="default"/>
          <w:rFonts w:ascii="Century" w:hAnsi="Century" w:cs="Miriam" w:hint="cs"/>
          <w:b/>
          <w:spacing w:val="0"/>
          <w:szCs w:val="24"/>
          <w:rtl/>
        </w:rPr>
        <w:t>קולה</w:t>
      </w:r>
      <w:r>
        <w:rPr>
          <w:rStyle w:val="default"/>
          <w:rFonts w:hint="cs"/>
          <w:rtl/>
        </w:rPr>
        <w:t xml:space="preserve">, </w:t>
      </w:r>
      <w:r w:rsidRPr="0007430E">
        <w:rPr>
          <w:rStyle w:val="default"/>
          <w:rFonts w:hint="cs"/>
          <w:rtl/>
        </w:rPr>
        <w:t>פסקה 4.14</w:t>
      </w:r>
      <w:r>
        <w:rPr>
          <w:rStyle w:val="default"/>
          <w:rFonts w:hint="cs"/>
          <w:rtl/>
        </w:rPr>
        <w:t xml:space="preserve"> לחוות דעתו של חבר הוועדה </w:t>
      </w:r>
      <w:r w:rsidRPr="008A4F2A">
        <w:rPr>
          <w:rStyle w:val="default"/>
          <w:rFonts w:ascii="Century" w:hAnsi="Century" w:cs="Miriam" w:hint="cs"/>
          <w:b/>
          <w:spacing w:val="0"/>
          <w:szCs w:val="24"/>
          <w:rtl/>
        </w:rPr>
        <w:t>שטרן</w:t>
      </w:r>
      <w:r>
        <w:rPr>
          <w:rStyle w:val="default"/>
          <w:rFonts w:hint="cs"/>
          <w:rtl/>
        </w:rPr>
        <w:t xml:space="preserve">), חוק מיסוי מקרקעין רואה </w:t>
      </w:r>
      <w:r w:rsidRPr="008830DB">
        <w:rPr>
          <w:rStyle w:val="default"/>
          <w:rFonts w:hint="cs"/>
          <w:rtl/>
        </w:rPr>
        <w:t xml:space="preserve">בהפקעת זכות במקרקעין </w:t>
      </w:r>
      <w:r>
        <w:rPr>
          <w:rStyle w:val="default"/>
          <w:rFonts w:hint="cs"/>
          <w:rtl/>
        </w:rPr>
        <w:t xml:space="preserve">שיש עמה תמורה </w:t>
      </w:r>
      <w:r w:rsidRPr="002649A1">
        <w:rPr>
          <w:rStyle w:val="default"/>
          <w:rFonts w:hint="cs"/>
          <w:rtl/>
        </w:rPr>
        <w:t>כמכירת</w:t>
      </w:r>
      <w:r>
        <w:rPr>
          <w:rStyle w:val="default"/>
          <w:rFonts w:hint="cs"/>
          <w:rtl/>
        </w:rPr>
        <w:t xml:space="preserve"> </w:t>
      </w:r>
      <w:r w:rsidRPr="002649A1">
        <w:rPr>
          <w:rStyle w:val="default"/>
          <w:rFonts w:hint="cs"/>
          <w:rtl/>
        </w:rPr>
        <w:t>זכות במקרקעין</w:t>
      </w:r>
      <w:r>
        <w:rPr>
          <w:rStyle w:val="default"/>
          <w:rFonts w:hint="cs"/>
          <w:rtl/>
        </w:rPr>
        <w:t xml:space="preserve"> או </w:t>
      </w:r>
      <w:r w:rsidRPr="002649A1">
        <w:rPr>
          <w:rStyle w:val="default"/>
          <w:rFonts w:hint="cs"/>
          <w:rtl/>
        </w:rPr>
        <w:t>פעולה באיגוד מקרקעין</w:t>
      </w:r>
      <w:r>
        <w:rPr>
          <w:rStyle w:val="default"/>
          <w:rFonts w:hint="cs"/>
          <w:rtl/>
        </w:rPr>
        <w:t xml:space="preserve"> (סעיף 5(א), וראו </w:t>
      </w:r>
      <w:r w:rsidRPr="009C2E51">
        <w:rPr>
          <w:rStyle w:val="default"/>
          <w:rFonts w:ascii="Century" w:hAnsi="Century" w:cs="Miriam" w:hint="cs"/>
          <w:b/>
          <w:spacing w:val="0"/>
          <w:szCs w:val="24"/>
          <w:rtl/>
        </w:rPr>
        <w:t>נמדר</w:t>
      </w:r>
      <w:r w:rsidRPr="009C2E51">
        <w:rPr>
          <w:rStyle w:val="default"/>
          <w:rFonts w:hint="cs"/>
          <w:rtl/>
        </w:rPr>
        <w:t>,</w:t>
      </w:r>
      <w:r>
        <w:rPr>
          <w:rStyle w:val="default"/>
          <w:rFonts w:hint="cs"/>
          <w:rtl/>
        </w:rPr>
        <w:t xml:space="preserve"> עמ' 401-400), ובמי שזכאי לפיצויי הפקעה, כמי שביצע את המכירה (יצחק הדרי</w:t>
      </w:r>
      <w:r w:rsidRPr="00DF7414">
        <w:rPr>
          <w:rStyle w:val="default"/>
          <w:rFonts w:ascii="Century" w:hAnsi="Century" w:cs="Miriam" w:hint="cs"/>
          <w:b/>
          <w:spacing w:val="0"/>
          <w:szCs w:val="24"/>
          <w:rtl/>
        </w:rPr>
        <w:t xml:space="preserve"> מיסוי מקרקעין</w:t>
      </w:r>
      <w:r>
        <w:rPr>
          <w:rStyle w:val="default"/>
          <w:rFonts w:hint="cs"/>
          <w:rtl/>
        </w:rPr>
        <w:t xml:space="preserve"> כרך א </w:t>
      </w:r>
      <w:r>
        <w:rPr>
          <w:rStyle w:val="default"/>
          <w:rtl/>
        </w:rPr>
        <w:t>–</w:t>
      </w:r>
      <w:r>
        <w:rPr>
          <w:rStyle w:val="default"/>
          <w:rFonts w:hint="cs"/>
          <w:rtl/>
        </w:rPr>
        <w:t xml:space="preserve">  חלק ראשון 302-301 (מהדורה שלישית, 2012)). לדידי, פשיטא כי כשם שקבלת כספי תמורה בגין מכירה לא שוללת את מהותה של העסקה ואת היות המוכר איגוד מקרקעין, כך גם קבלת פיצויים בגין הפקעה. לעניין זה, אין להבחין בין קבלת הפיצויים בפועל לבין זכות לפיצויים שטרם מומשה. פער הזמנים בין מסירת החזקה בקרקע (ההפקעה) לבין קבלת כספי הפיצויים לא מנתק את מהותה של הזכות לפיצויים ככזו הנובעת ממכירת המקרקעין, גם אם הייתה זו מכירה כפויה. </w:t>
      </w:r>
    </w:p>
    <w:p w:rsidR="008B4CDC" w:rsidRDefault="008B4CDC" w:rsidP="008B4CDC">
      <w:pPr>
        <w:pStyle w:val="Ruller41"/>
        <w:spacing w:line="240" w:lineRule="auto"/>
        <w:rPr>
          <w:rStyle w:val="default"/>
        </w:rPr>
      </w:pPr>
    </w:p>
    <w:p w:rsidR="008B4CDC" w:rsidRDefault="008B4CDC" w:rsidP="008B4CDC">
      <w:pPr>
        <w:pStyle w:val="Ruller41"/>
        <w:rPr>
          <w:rStyle w:val="default"/>
          <w:rtl/>
        </w:rPr>
      </w:pPr>
      <w:r>
        <w:rPr>
          <w:rStyle w:val="default"/>
          <w:rtl/>
        </w:rPr>
        <w:tab/>
      </w:r>
      <w:r>
        <w:rPr>
          <w:rStyle w:val="default"/>
          <w:rFonts w:hint="cs"/>
          <w:rtl/>
        </w:rPr>
        <w:t xml:space="preserve">הוא הדין ביחס לזכות לפיצויים בגין ירידת ערך של מקרקעין. הזכות לפיצוי בגין ירידת ערך מתייחסת לתקופה בה הטוען לזכות הוא בעלי המקרקעין. זאת, גם בנסיבות להן טוענות המערערות, שבהן ירידת הערך מיוחסת למקרקעין המופקעים בגין מעשה ההפקעה (למנגנון הפיצוי הדו-שלבי והבחנה בין </w:t>
      </w:r>
      <w:r>
        <w:rPr>
          <w:rFonts w:ascii="FrankRuehl" w:hAnsi="FrankRuehl"/>
          <w:color w:val="000000"/>
          <w:sz w:val="28"/>
          <w:rtl/>
        </w:rPr>
        <w:t>"פגיעה עקב תכנית" ו"פגיעה עקב הפקעה</w:t>
      </w:r>
      <w:r>
        <w:rPr>
          <w:rFonts w:ascii="FrankRuehl" w:hAnsi="FrankRuehl" w:hint="cs"/>
          <w:color w:val="000000"/>
          <w:sz w:val="28"/>
          <w:rtl/>
        </w:rPr>
        <w:t>"</w:t>
      </w:r>
      <w:r>
        <w:rPr>
          <w:rStyle w:val="default"/>
          <w:rFonts w:hint="cs"/>
          <w:rtl/>
        </w:rPr>
        <w:t xml:space="preserve"> ראו, למשל, </w:t>
      </w:r>
      <w:r w:rsidRPr="00750E88">
        <w:rPr>
          <w:rFonts w:ascii="FrankRuehl" w:hAnsi="FrankRuehl"/>
          <w:color w:val="000000"/>
          <w:sz w:val="28"/>
          <w:rtl/>
        </w:rPr>
        <w:t>ע</w:t>
      </w:r>
      <w:r w:rsidRPr="00750E88">
        <w:rPr>
          <w:rFonts w:ascii="FrankRuehl" w:hAnsi="FrankRuehl" w:hint="cs"/>
          <w:color w:val="000000"/>
          <w:sz w:val="28"/>
          <w:rtl/>
        </w:rPr>
        <w:t>"</w:t>
      </w:r>
      <w:r w:rsidRPr="00750E88">
        <w:rPr>
          <w:rFonts w:ascii="FrankRuehl" w:hAnsi="FrankRuehl"/>
          <w:color w:val="000000"/>
          <w:sz w:val="28"/>
          <w:rtl/>
        </w:rPr>
        <w:t>א 8622/07 ‏</w:t>
      </w:r>
      <w:r w:rsidRPr="00750E88">
        <w:rPr>
          <w:rStyle w:val="default"/>
          <w:rFonts w:ascii="Century" w:hAnsi="Century" w:cs="Miriam"/>
          <w:b/>
          <w:spacing w:val="0"/>
          <w:szCs w:val="24"/>
          <w:rtl/>
        </w:rPr>
        <w:t>רוטמן נ' מע"צ החברה הלאומית לדרכים בישראל בע"מ</w:t>
      </w:r>
      <w:r>
        <w:rPr>
          <w:rFonts w:ascii="FrankRuehl" w:hAnsi="FrankRuehl" w:hint="cs"/>
          <w:color w:val="000000"/>
          <w:sz w:val="28"/>
          <w:rtl/>
        </w:rPr>
        <w:t>, בפסקאות 27-25 (</w:t>
      </w:r>
      <w:r>
        <w:rPr>
          <w:rFonts w:ascii="FrankRuehl" w:hAnsi="FrankRuehl"/>
          <w:color w:val="000000"/>
          <w:sz w:val="28"/>
          <w:rtl/>
        </w:rPr>
        <w:t>‏14.5.2012</w:t>
      </w:r>
      <w:r>
        <w:rPr>
          <w:rFonts w:ascii="FrankRuehl" w:hAnsi="FrankRuehl" w:hint="cs"/>
          <w:color w:val="000000"/>
          <w:sz w:val="28"/>
          <w:rtl/>
        </w:rPr>
        <w:t xml:space="preserve">); </w:t>
      </w:r>
      <w:r w:rsidRPr="00750E88">
        <w:rPr>
          <w:rStyle w:val="default"/>
          <w:rtl/>
        </w:rPr>
        <w:t>ע</w:t>
      </w:r>
      <w:r w:rsidRPr="00750E88">
        <w:rPr>
          <w:rStyle w:val="default"/>
          <w:rFonts w:hint="cs"/>
          <w:rtl/>
        </w:rPr>
        <w:t>"</w:t>
      </w:r>
      <w:r>
        <w:rPr>
          <w:rStyle w:val="default"/>
          <w:rtl/>
        </w:rPr>
        <w:t xml:space="preserve">א 4955/13 </w:t>
      </w:r>
      <w:r w:rsidRPr="00750E88">
        <w:rPr>
          <w:rStyle w:val="default"/>
          <w:rFonts w:ascii="Century" w:hAnsi="Century" w:cs="Miriam"/>
          <w:b/>
          <w:spacing w:val="0"/>
          <w:szCs w:val="24"/>
          <w:rtl/>
        </w:rPr>
        <w:t>‏חגולי נ' עיריית ראשון לציון</w:t>
      </w:r>
      <w:r w:rsidRPr="00750E88">
        <w:rPr>
          <w:rStyle w:val="default"/>
          <w:rFonts w:hint="cs"/>
          <w:rtl/>
        </w:rPr>
        <w:t xml:space="preserve">, בפסקה 5 </w:t>
      </w:r>
      <w:r>
        <w:rPr>
          <w:rFonts w:ascii="FrankRuehl" w:hAnsi="FrankRuehl"/>
          <w:color w:val="000000"/>
          <w:sz w:val="28"/>
        </w:rPr>
        <w:t>(29.12.2014)</w:t>
      </w:r>
      <w:r>
        <w:rPr>
          <w:rFonts w:ascii="FrankRuehl" w:hAnsi="FrankRuehl" w:hint="cs"/>
          <w:color w:val="000000"/>
          <w:sz w:val="28"/>
          <w:rtl/>
        </w:rPr>
        <w:t>).</w:t>
      </w:r>
      <w:r>
        <w:rPr>
          <w:rStyle w:val="default"/>
          <w:rFonts w:hint="cs"/>
          <w:rtl/>
        </w:rPr>
        <w:t xml:space="preserve"> </w:t>
      </w:r>
    </w:p>
    <w:p w:rsidR="008B4CDC" w:rsidRDefault="008B4CDC" w:rsidP="008B4CDC">
      <w:pPr>
        <w:pStyle w:val="Ruller41"/>
        <w:rPr>
          <w:rStyle w:val="default"/>
          <w:rtl/>
        </w:rPr>
      </w:pPr>
    </w:p>
    <w:p w:rsidR="008B4CDC" w:rsidRDefault="008B4CDC" w:rsidP="008B4CDC">
      <w:pPr>
        <w:pStyle w:val="Ruller41"/>
        <w:rPr>
          <w:rStyle w:val="default"/>
          <w:rtl/>
        </w:rPr>
      </w:pPr>
      <w:r>
        <w:rPr>
          <w:rStyle w:val="default"/>
          <w:rFonts w:hint="cs"/>
          <w:rtl/>
        </w:rPr>
        <w:t>13.</w:t>
      </w:r>
      <w:r>
        <w:rPr>
          <w:rStyle w:val="default"/>
          <w:rtl/>
        </w:rPr>
        <w:tab/>
      </w:r>
      <w:r>
        <w:rPr>
          <w:rStyle w:val="default"/>
          <w:rFonts w:hint="cs"/>
          <w:rtl/>
        </w:rPr>
        <w:t>מקובלת עלי עמדת המשיב ולפיה חשיפה אפשרית להפקעה או לירידת ערך של מקרקעין עקב תכנית וכן קיום זכות לפיצויים עקב כך, היא חלק אינטגרלי ובלתי נפרד מהבעלות בנכסי מקרקעין ושלובה בה. לכן, בנסיבות כגון במקרה שלפנינו, כשהחברה מחזיקה בנכסי מקרקעין נוספים פרט לזכות הנטענת לפיצויים, אין לומר כי הזכות לפיצויים היא זכות נפרדת מזכויות במקרקעין המחריגה אותה מההגדרה.</w:t>
      </w:r>
    </w:p>
    <w:p w:rsidR="008B4CDC" w:rsidRDefault="008B4CDC" w:rsidP="008B4CDC">
      <w:pPr>
        <w:pStyle w:val="Ruller41"/>
        <w:rPr>
          <w:rStyle w:val="default"/>
          <w:rtl/>
        </w:rPr>
      </w:pPr>
    </w:p>
    <w:p w:rsidR="008B4CDC" w:rsidRDefault="008B4CDC" w:rsidP="008B4CDC">
      <w:pPr>
        <w:pStyle w:val="Ruller41"/>
        <w:rPr>
          <w:rStyle w:val="default"/>
          <w:rtl/>
        </w:rPr>
      </w:pPr>
      <w:r>
        <w:rPr>
          <w:rStyle w:val="default"/>
          <w:rtl/>
        </w:rPr>
        <w:tab/>
      </w:r>
      <w:r>
        <w:rPr>
          <w:rStyle w:val="default"/>
          <w:rFonts w:hint="cs"/>
          <w:rtl/>
        </w:rPr>
        <w:t xml:space="preserve">קבלת עמדת המערערות מביאה לתוצאות אבסורדיות ולהבחנות מלאכותית בין איגודי מקרקעין המחזיקים בנכסים זהים, לכאורה, על בסיס פעולות חיצוניות שאינן קשורות למצבת הנכסים של האיגוד. כפי שהדגים ב"כ המשיב במהלך הדיון שלפנינו, אילו אחזנו בשיטת המערערות, תאגיד מסוים יחשב לאיגוד מקרקעין בשל אחזקותיו, אך </w:t>
      </w:r>
      <w:r>
        <w:rPr>
          <w:rStyle w:val="default"/>
          <w:rFonts w:hint="cs"/>
          <w:rtl/>
        </w:rPr>
        <w:lastRenderedPageBreak/>
        <w:t xml:space="preserve">תאגיד אחר שנכסיו זהים ונמצאים בסמוך לא יחשב לאיגוד מקרקעין אך בשל קיומה של תכנית שפוגעת במקרקעין שברשותו. ודוגמא נוספת </w:t>
      </w:r>
      <w:r>
        <w:rPr>
          <w:rStyle w:val="default"/>
          <w:rtl/>
        </w:rPr>
        <w:t>–</w:t>
      </w:r>
      <w:r>
        <w:rPr>
          <w:rStyle w:val="default"/>
          <w:rFonts w:hint="cs"/>
          <w:rtl/>
        </w:rPr>
        <w:t xml:space="preserve"> איגוד מקרקעין שהגיש תביעה לפיצויים </w:t>
      </w:r>
      <w:r w:rsidRPr="001151A5">
        <w:rPr>
          <w:rStyle w:val="default"/>
          <w:rtl/>
        </w:rPr>
        <w:t>יוּצָא</w:t>
      </w:r>
      <w:r>
        <w:rPr>
          <w:rStyle w:val="default"/>
          <w:rFonts w:hint="cs"/>
          <w:rtl/>
        </w:rPr>
        <w:t xml:space="preserve"> באופן זמני</w:t>
      </w:r>
      <w:r w:rsidRPr="003502C2">
        <w:rPr>
          <w:rStyle w:val="default"/>
          <w:rFonts w:hint="cs"/>
          <w:rtl/>
        </w:rPr>
        <w:t xml:space="preserve"> </w:t>
      </w:r>
      <w:r>
        <w:rPr>
          <w:rStyle w:val="default"/>
          <w:rFonts w:hint="cs"/>
          <w:rtl/>
        </w:rPr>
        <w:t xml:space="preserve">בלבד ולמשך בירור תביעתו מהגדרתו כאיגוד מקרקעין. מנגד, איגוד מקרקעין שבאותן נסיבות וביחס לאותה זכות תביעה התפשר עם הרשויות וקיבל הפיצוי, </w:t>
      </w:r>
      <w:r w:rsidRPr="001151A5">
        <w:rPr>
          <w:rStyle w:val="default"/>
          <w:rtl/>
        </w:rPr>
        <w:t>יוּצָא</w:t>
      </w:r>
      <w:r>
        <w:rPr>
          <w:rStyle w:val="default"/>
          <w:rFonts w:hint="cs"/>
          <w:rtl/>
        </w:rPr>
        <w:t xml:space="preserve"> מהגדרת איגוד מקרקעין לפרק זמן קצר או לא </w:t>
      </w:r>
      <w:r w:rsidRPr="001151A5">
        <w:rPr>
          <w:rStyle w:val="default"/>
          <w:rtl/>
        </w:rPr>
        <w:t>יוּצָא</w:t>
      </w:r>
      <w:r>
        <w:rPr>
          <w:rStyle w:val="default"/>
          <w:rFonts w:hint="cs"/>
          <w:rtl/>
        </w:rPr>
        <w:t xml:space="preserve"> ממנה בכלל. התוצאה היא אפוא יצירת איגוד מקרקעין "מהבהב" כהגדרת המשיב, שסיווגו משתנה כתלות במיצוי זכות התביעה ואופן בירורה, מה שיכול להתפרס גם על פני שנים רבות (כפי שאכן אירע במקרה שלפנינו). מעבר לכך שבמצב דברים זה מתעוררות שאלות יישומיות עליהן יש לתת את הדעת (כגון מתי מתגבשת אותה זכות נטענת לפיצויים שבכוחה להחריג איגוד מקרקעין מההגדרה), מובן כי הבחנות אלה עומדות בניגוד לרוח הדברים כפי שנקבעו בעניין </w:t>
      </w:r>
      <w:r w:rsidRPr="00560367">
        <w:rPr>
          <w:rStyle w:val="default"/>
          <w:rFonts w:ascii="Century" w:hAnsi="Century" w:cs="Miriam" w:hint="cs"/>
          <w:b/>
          <w:spacing w:val="0"/>
          <w:szCs w:val="24"/>
          <w:rtl/>
        </w:rPr>
        <w:t>גזית גלוב</w:t>
      </w:r>
      <w:r>
        <w:rPr>
          <w:rStyle w:val="default"/>
          <w:rFonts w:hint="cs"/>
          <w:rtl/>
        </w:rPr>
        <w:t>. כאמור שם, "</w:t>
      </w:r>
      <w:r w:rsidRPr="004E19FE">
        <w:rPr>
          <w:rFonts w:hint="cs"/>
          <w:rtl/>
        </w:rPr>
        <w:t xml:space="preserve"> </w:t>
      </w:r>
      <w:r>
        <w:rPr>
          <w:rFonts w:hint="cs"/>
          <w:rtl/>
        </w:rPr>
        <w:t xml:space="preserve">[...] </w:t>
      </w:r>
      <w:r w:rsidRPr="007844C8">
        <w:rPr>
          <w:rFonts w:hint="cs"/>
          <w:rtl/>
        </w:rPr>
        <w:t xml:space="preserve">אין להפריד גם נכסים אחרים באופן מלאכותי למספר חלקים או למספר רכיבים. אין מקום גם להכיר באופן מלאכותי בפעולות או במעשים שונים </w:t>
      </w:r>
      <w:r>
        <w:rPr>
          <w:rFonts w:hint="cs"/>
          <w:rtl/>
        </w:rPr>
        <w:t>כ'</w:t>
      </w:r>
      <w:r w:rsidRPr="007844C8">
        <w:rPr>
          <w:rFonts w:hint="cs"/>
          <w:rtl/>
        </w:rPr>
        <w:t>נכסים</w:t>
      </w:r>
      <w:r>
        <w:rPr>
          <w:rFonts w:hint="cs"/>
          <w:rtl/>
        </w:rPr>
        <w:t>' [..]</w:t>
      </w:r>
      <w:r>
        <w:rPr>
          <w:rStyle w:val="default"/>
          <w:rFonts w:hint="cs"/>
          <w:rtl/>
        </w:rPr>
        <w:t>" (פסקה 21).</w:t>
      </w:r>
    </w:p>
    <w:p w:rsidR="008B4CDC" w:rsidRDefault="008B4CDC" w:rsidP="008B4CDC">
      <w:pPr>
        <w:pStyle w:val="Ruller41"/>
        <w:rPr>
          <w:rStyle w:val="default"/>
          <w:rtl/>
        </w:rPr>
      </w:pPr>
    </w:p>
    <w:p w:rsidR="008B4CDC" w:rsidRDefault="008B4CDC" w:rsidP="008B4CDC">
      <w:pPr>
        <w:pStyle w:val="Ruller41"/>
        <w:rPr>
          <w:rtl/>
        </w:rPr>
      </w:pPr>
      <w:r>
        <w:rPr>
          <w:rStyle w:val="default"/>
          <w:rFonts w:hint="cs"/>
          <w:rtl/>
        </w:rPr>
        <w:t>14.</w:t>
      </w:r>
      <w:r>
        <w:rPr>
          <w:rStyle w:val="default"/>
          <w:rtl/>
        </w:rPr>
        <w:tab/>
      </w:r>
      <w:r>
        <w:rPr>
          <w:rStyle w:val="default"/>
          <w:rFonts w:hint="cs"/>
          <w:rtl/>
        </w:rPr>
        <w:t xml:space="preserve">ודוק, מסקנה זו מתבקשת גם אם הזכות לפיצויים אינה בגדר "כספים" או "חוב" כעמדת המערערות. כל עוד הזכות לפיצויים (וגובה הפיצוי שיתקבל) היא ספקולטיבית וטעונה הכרעה, הרי שגם מבחינה זו אין לראות בה כנכס שיש בכוחו להוציא איגוד מסיווגו כאיגוד מקרקעין. </w:t>
      </w:r>
      <w:r>
        <w:rPr>
          <w:rFonts w:hint="cs"/>
          <w:rtl/>
        </w:rPr>
        <w:t>מקום שבו אין כל ודאות להצלחת התביעה, ואין כל הכרה מצד הרשויות בזכות לפיצויים, קביעה כי די בזכות נטענת לפיצויים שטרם התגבשה כדי להוציא איגוד מהגדרתו כאיגוד מקרקעין, עלולה להוות תמריץ להגשת תביעות לצורך התחמקות מעול תשלום המס</w:t>
      </w:r>
      <w:r>
        <w:rPr>
          <w:rStyle w:val="default"/>
          <w:rFonts w:hint="cs"/>
          <w:rtl/>
        </w:rPr>
        <w:t xml:space="preserve"> (השוו לעניין </w:t>
      </w:r>
      <w:r w:rsidRPr="00205FEE">
        <w:rPr>
          <w:rStyle w:val="default"/>
          <w:rFonts w:ascii="Century" w:hAnsi="Century" w:cs="Miriam" w:hint="cs"/>
          <w:b/>
          <w:spacing w:val="0"/>
          <w:szCs w:val="24"/>
          <w:rtl/>
        </w:rPr>
        <w:t>גזית גלוב</w:t>
      </w:r>
      <w:r>
        <w:rPr>
          <w:rStyle w:val="default"/>
          <w:rFonts w:hint="cs"/>
          <w:rtl/>
        </w:rPr>
        <w:t>, בפסקה 18). הדברים אמורים בפרט ביחס לפיצויים בגין ירידת ערך של מקרקעין, אך יכולים להיות רלוונטיים גם לתביעות לפיצויי הפקעה, למשל לאחר ששולם לאיגוד המקרקעין סכום פיצויים שאינו שנוי במחלוקת.</w:t>
      </w:r>
      <w:r>
        <w:rPr>
          <w:rFonts w:hint="cs"/>
          <w:rtl/>
        </w:rPr>
        <w:t xml:space="preserve"> בכך, קבלת עמדת המערערות חותרת תחת התכלית האנטי</w:t>
      </w:r>
      <w:r>
        <w:rPr>
          <w:rFonts w:hint="cs"/>
          <w:b/>
          <w:bCs/>
          <w:spacing w:val="0"/>
          <w:position w:val="4"/>
          <w:rtl/>
        </w:rPr>
        <w:t>-</w:t>
      </w:r>
      <w:r>
        <w:rPr>
          <w:rFonts w:hint="cs"/>
          <w:rtl/>
        </w:rPr>
        <w:t>תכנונית שביסוד ההסדר, גם אם ההפקעה או התכנית הפוגעת היא פרי החלטתן של הרשויות המוסמכות ולא תלויה במעשי הנישום.</w:t>
      </w:r>
    </w:p>
    <w:p w:rsidR="008B4CDC" w:rsidRDefault="008B4CDC" w:rsidP="008B4CDC">
      <w:pPr>
        <w:pStyle w:val="Ruller41"/>
        <w:rPr>
          <w:rStyle w:val="default"/>
          <w:rtl/>
        </w:rPr>
      </w:pPr>
    </w:p>
    <w:p w:rsidR="008B4CDC" w:rsidRDefault="008B4CDC" w:rsidP="008B4CDC">
      <w:pPr>
        <w:pStyle w:val="Ruller41"/>
        <w:rPr>
          <w:rFonts w:ascii="Century" w:hAnsi="Century"/>
          <w:rtl/>
        </w:rPr>
      </w:pPr>
      <w:r>
        <w:rPr>
          <w:rFonts w:hint="cs"/>
          <w:rtl/>
        </w:rPr>
        <w:t>15.</w:t>
      </w:r>
      <w:r>
        <w:rPr>
          <w:rtl/>
        </w:rPr>
        <w:tab/>
      </w:r>
      <w:r>
        <w:rPr>
          <w:rFonts w:hint="cs"/>
          <w:rtl/>
        </w:rPr>
        <w:t>די בכך לטעמי כדי לקבוע כי ארמון ההגמון עונה להגדרת "איגוד מקרקעין" בהיותה "איגוד שכל נכסיו, במישרין או בעקיפין, הם זכויות במקרקעין", ואיני נדרש ליתר טענות הצדדים באשר להתקיימות מבחני ההגדרה המרחיבה</w:t>
      </w:r>
      <w:r>
        <w:rPr>
          <w:rStyle w:val="default"/>
          <w:rFonts w:hint="cs"/>
          <w:rtl/>
        </w:rPr>
        <w:t xml:space="preserve"> (עניין </w:t>
      </w:r>
      <w:r w:rsidRPr="002B4F9F">
        <w:rPr>
          <w:rStyle w:val="default"/>
          <w:rFonts w:ascii="Century" w:hAnsi="Century" w:cs="Miriam" w:hint="cs"/>
          <w:b/>
          <w:spacing w:val="0"/>
          <w:szCs w:val="24"/>
          <w:rtl/>
        </w:rPr>
        <w:t>גזית גלוב</w:t>
      </w:r>
      <w:r>
        <w:rPr>
          <w:rStyle w:val="default"/>
          <w:rFonts w:hint="cs"/>
          <w:rtl/>
        </w:rPr>
        <w:t xml:space="preserve">, פסקה 21). בקצרה, אומר כי גם על פי מבחן הניטרליות אין ממש בטענת המערערות. כאמור בהגדרה " </w:t>
      </w:r>
      <w:r w:rsidRPr="00EE5EFB">
        <w:rPr>
          <w:rFonts w:ascii="Century" w:hAnsi="Century" w:cs="Miriam" w:hint="cs"/>
          <w:b/>
          <w:spacing w:val="0"/>
          <w:szCs w:val="24"/>
          <w:rtl/>
        </w:rPr>
        <w:t xml:space="preserve">לענין זה לא יראו כנכסיו של האיגוד </w:t>
      </w:r>
      <w:r w:rsidRPr="00EE5EFB">
        <w:rPr>
          <w:rFonts w:ascii="Century" w:hAnsi="Century" w:cs="Miriam"/>
          <w:b/>
          <w:spacing w:val="0"/>
          <w:szCs w:val="24"/>
          <w:rtl/>
        </w:rPr>
        <w:t>–</w:t>
      </w:r>
      <w:r w:rsidRPr="00EE5EFB">
        <w:rPr>
          <w:rFonts w:ascii="Century" w:hAnsi="Century" w:cs="Miriam" w:hint="cs"/>
          <w:b/>
          <w:spacing w:val="0"/>
          <w:szCs w:val="24"/>
          <w:rtl/>
        </w:rPr>
        <w:t xml:space="preserve"> מזומנים, מניות, איגרות חוב, ניירות ער</w:t>
      </w:r>
      <w:r w:rsidRPr="00EE5EFB">
        <w:rPr>
          <w:rFonts w:ascii="Century" w:hAnsi="Century" w:cs="Miriam"/>
          <w:b/>
          <w:spacing w:val="0"/>
          <w:szCs w:val="24"/>
          <w:rtl/>
        </w:rPr>
        <w:t>ך אח</w:t>
      </w:r>
      <w:r w:rsidRPr="00EE5EFB">
        <w:rPr>
          <w:rFonts w:ascii="Century" w:hAnsi="Century" w:cs="Miriam" w:hint="cs"/>
          <w:b/>
          <w:spacing w:val="0"/>
          <w:szCs w:val="24"/>
          <w:rtl/>
        </w:rPr>
        <w:t xml:space="preserve">רים, ומטלטלין, שאינם משמשים לאיגוד לייצור </w:t>
      </w:r>
      <w:r w:rsidRPr="00EE5EFB">
        <w:rPr>
          <w:rFonts w:ascii="Century" w:hAnsi="Century" w:cs="Miriam"/>
          <w:b/>
          <w:spacing w:val="0"/>
          <w:szCs w:val="24"/>
          <w:rtl/>
        </w:rPr>
        <w:t>ה</w:t>
      </w:r>
      <w:r w:rsidRPr="00EE5EFB">
        <w:rPr>
          <w:rFonts w:ascii="Century" w:hAnsi="Century" w:cs="Miriam" w:hint="cs"/>
          <w:b/>
          <w:spacing w:val="0"/>
          <w:szCs w:val="24"/>
          <w:rtl/>
        </w:rPr>
        <w:t>כנסתו</w:t>
      </w:r>
      <w:r>
        <w:rPr>
          <w:rFonts w:ascii="Century" w:hAnsi="Century" w:cs="Miriam" w:hint="cs"/>
          <w:b/>
          <w:spacing w:val="0"/>
          <w:szCs w:val="24"/>
          <w:rtl/>
        </w:rPr>
        <w:t>"</w:t>
      </w:r>
      <w:r w:rsidRPr="00CE3CA9">
        <w:rPr>
          <w:rFonts w:ascii="Century" w:hAnsi="Century" w:hint="cs"/>
          <w:rtl/>
        </w:rPr>
        <w:t>.</w:t>
      </w:r>
      <w:r>
        <w:rPr>
          <w:rFonts w:ascii="Century" w:hAnsi="Century" w:cs="Miriam" w:hint="cs"/>
          <w:b/>
          <w:spacing w:val="0"/>
          <w:szCs w:val="24"/>
          <w:rtl/>
        </w:rPr>
        <w:t xml:space="preserve"> </w:t>
      </w:r>
      <w:r w:rsidRPr="00C902D4">
        <w:rPr>
          <w:rFonts w:ascii="Century" w:hAnsi="Century" w:hint="cs"/>
          <w:rtl/>
        </w:rPr>
        <w:t>כפי שציין חבר ועדת הערר</w:t>
      </w:r>
      <w:r>
        <w:rPr>
          <w:rFonts w:ascii="Century" w:hAnsi="Century" w:hint="cs"/>
          <w:rtl/>
        </w:rPr>
        <w:t xml:space="preserve"> </w:t>
      </w:r>
      <w:r w:rsidRPr="00C902D4">
        <w:rPr>
          <w:rFonts w:ascii="Century" w:hAnsi="Century" w:cs="Miriam" w:hint="cs"/>
          <w:b/>
          <w:spacing w:val="0"/>
          <w:szCs w:val="24"/>
          <w:rtl/>
        </w:rPr>
        <w:t>ח' שטרן</w:t>
      </w:r>
      <w:r w:rsidRPr="00EE5EFB">
        <w:rPr>
          <w:rFonts w:ascii="Century" w:hAnsi="Century" w:hint="cs"/>
          <w:rtl/>
        </w:rPr>
        <w:t xml:space="preserve"> </w:t>
      </w:r>
      <w:r>
        <w:rPr>
          <w:rFonts w:ascii="Century" w:hAnsi="Century" w:hint="cs"/>
          <w:rtl/>
        </w:rPr>
        <w:t>בפסק הדין:</w:t>
      </w:r>
      <w:r w:rsidRPr="00C902D4">
        <w:rPr>
          <w:rFonts w:ascii="Century" w:hAnsi="Century" w:hint="cs"/>
          <w:rtl/>
        </w:rPr>
        <w:t xml:space="preserve"> </w:t>
      </w:r>
    </w:p>
    <w:p w:rsidR="008B4CDC" w:rsidRDefault="008B4CDC" w:rsidP="008B4CDC">
      <w:pPr>
        <w:pStyle w:val="Ruller41"/>
        <w:rPr>
          <w:rFonts w:ascii="Century" w:hAnsi="Century"/>
          <w:rtl/>
        </w:rPr>
      </w:pPr>
    </w:p>
    <w:p w:rsidR="008B4CDC" w:rsidRDefault="008B4CDC" w:rsidP="008B4CDC">
      <w:pPr>
        <w:pStyle w:val="Ruller5"/>
        <w:rPr>
          <w:rFonts w:ascii="David" w:hAnsi="David"/>
          <w:rtl/>
        </w:rPr>
      </w:pPr>
      <w:r>
        <w:rPr>
          <w:rFonts w:ascii="David" w:hAnsi="David" w:hint="cs"/>
          <w:rtl/>
        </w:rPr>
        <w:t>"</w:t>
      </w:r>
      <w:r w:rsidRPr="00523484">
        <w:rPr>
          <w:rFonts w:ascii="David" w:hAnsi="David" w:hint="eastAsia"/>
          <w:rtl/>
        </w:rPr>
        <w:t>לו</w:t>
      </w:r>
      <w:r w:rsidRPr="00523484">
        <w:rPr>
          <w:rFonts w:ascii="David" w:hAnsi="David"/>
          <w:rtl/>
        </w:rPr>
        <w:t xml:space="preserve"> </w:t>
      </w:r>
      <w:r w:rsidRPr="00523484">
        <w:rPr>
          <w:rFonts w:ascii="David" w:hAnsi="David" w:hint="eastAsia"/>
          <w:rtl/>
        </w:rPr>
        <w:t>המיטלטלין</w:t>
      </w:r>
      <w:r w:rsidRPr="00523484">
        <w:rPr>
          <w:rFonts w:ascii="David" w:hAnsi="David"/>
          <w:rtl/>
        </w:rPr>
        <w:t xml:space="preserve"> </w:t>
      </w:r>
      <w:r w:rsidRPr="00523484">
        <w:rPr>
          <w:rFonts w:ascii="David" w:hAnsi="David" w:hint="eastAsia"/>
          <w:rtl/>
        </w:rPr>
        <w:t>או</w:t>
      </w:r>
      <w:r w:rsidRPr="00523484">
        <w:rPr>
          <w:rFonts w:ascii="David" w:hAnsi="David"/>
          <w:rtl/>
        </w:rPr>
        <w:t xml:space="preserve"> </w:t>
      </w:r>
      <w:r w:rsidRPr="00523484">
        <w:rPr>
          <w:rFonts w:ascii="David" w:hAnsi="David" w:hint="eastAsia"/>
          <w:rtl/>
        </w:rPr>
        <w:t>הזכויות</w:t>
      </w:r>
      <w:r w:rsidRPr="00523484">
        <w:rPr>
          <w:rFonts w:ascii="David" w:hAnsi="David"/>
          <w:rtl/>
        </w:rPr>
        <w:t xml:space="preserve"> </w:t>
      </w:r>
      <w:r w:rsidRPr="00523484">
        <w:rPr>
          <w:rFonts w:ascii="David" w:hAnsi="David" w:hint="eastAsia"/>
          <w:rtl/>
        </w:rPr>
        <w:t>אשר</w:t>
      </w:r>
      <w:r w:rsidRPr="00523484">
        <w:rPr>
          <w:rFonts w:ascii="David" w:hAnsi="David"/>
          <w:rtl/>
        </w:rPr>
        <w:t xml:space="preserve"> </w:t>
      </w:r>
      <w:r w:rsidRPr="00523484">
        <w:rPr>
          <w:rFonts w:ascii="David" w:hAnsi="David" w:hint="eastAsia"/>
          <w:rtl/>
        </w:rPr>
        <w:t>בידי</w:t>
      </w:r>
      <w:r w:rsidRPr="00523484">
        <w:rPr>
          <w:rFonts w:ascii="David" w:hAnsi="David"/>
          <w:rtl/>
        </w:rPr>
        <w:t xml:space="preserve"> </w:t>
      </w:r>
      <w:r w:rsidRPr="00523484">
        <w:rPr>
          <w:rFonts w:ascii="David" w:hAnsi="David" w:hint="eastAsia"/>
          <w:rtl/>
        </w:rPr>
        <w:t>חברת</w:t>
      </w:r>
      <w:r w:rsidRPr="00523484">
        <w:rPr>
          <w:rFonts w:ascii="David" w:hAnsi="David"/>
          <w:rtl/>
        </w:rPr>
        <w:t xml:space="preserve"> </w:t>
      </w:r>
      <w:r w:rsidRPr="00523484">
        <w:rPr>
          <w:rFonts w:ascii="David" w:hAnsi="David" w:hint="eastAsia"/>
          <w:rtl/>
        </w:rPr>
        <w:t>ארמון</w:t>
      </w:r>
      <w:r w:rsidRPr="00523484">
        <w:rPr>
          <w:rFonts w:ascii="David" w:hAnsi="David"/>
          <w:rtl/>
        </w:rPr>
        <w:t xml:space="preserve"> </w:t>
      </w:r>
      <w:r w:rsidRPr="00523484">
        <w:rPr>
          <w:rFonts w:ascii="David" w:hAnsi="David" w:hint="eastAsia"/>
          <w:rtl/>
        </w:rPr>
        <w:t>ההגמון</w:t>
      </w:r>
      <w:r w:rsidRPr="00523484">
        <w:rPr>
          <w:rFonts w:ascii="David" w:hAnsi="David"/>
          <w:rtl/>
        </w:rPr>
        <w:t xml:space="preserve"> </w:t>
      </w:r>
      <w:r w:rsidRPr="00523484">
        <w:rPr>
          <w:rFonts w:ascii="David" w:hAnsi="David" w:hint="eastAsia"/>
          <w:rtl/>
        </w:rPr>
        <w:t>היו</w:t>
      </w:r>
      <w:r w:rsidRPr="00523484">
        <w:rPr>
          <w:rFonts w:ascii="David" w:hAnsi="David"/>
          <w:rtl/>
        </w:rPr>
        <w:t xml:space="preserve"> </w:t>
      </w:r>
      <w:r w:rsidRPr="00523484">
        <w:rPr>
          <w:rFonts w:ascii="David" w:hAnsi="David" w:hint="eastAsia"/>
          <w:rtl/>
        </w:rPr>
        <w:t>משמשים</w:t>
      </w:r>
      <w:r w:rsidRPr="00523484">
        <w:rPr>
          <w:rFonts w:ascii="David" w:hAnsi="David"/>
          <w:rtl/>
        </w:rPr>
        <w:t xml:space="preserve"> </w:t>
      </w:r>
      <w:r w:rsidRPr="00523484">
        <w:rPr>
          <w:rFonts w:ascii="David" w:hAnsi="David" w:hint="eastAsia"/>
          <w:rtl/>
        </w:rPr>
        <w:t>אותה</w:t>
      </w:r>
      <w:r w:rsidRPr="00523484">
        <w:rPr>
          <w:rFonts w:ascii="David" w:hAnsi="David"/>
          <w:rtl/>
        </w:rPr>
        <w:t xml:space="preserve"> </w:t>
      </w:r>
      <w:r w:rsidRPr="00523484">
        <w:rPr>
          <w:rFonts w:ascii="David" w:hAnsi="David" w:hint="eastAsia"/>
          <w:rtl/>
        </w:rPr>
        <w:t>לייצור</w:t>
      </w:r>
      <w:r w:rsidRPr="00523484">
        <w:rPr>
          <w:rFonts w:ascii="David" w:hAnsi="David"/>
          <w:rtl/>
        </w:rPr>
        <w:t xml:space="preserve"> </w:t>
      </w:r>
      <w:r w:rsidRPr="00523484">
        <w:rPr>
          <w:rFonts w:ascii="David" w:hAnsi="David" w:hint="eastAsia"/>
          <w:rtl/>
        </w:rPr>
        <w:t>הכנסה</w:t>
      </w:r>
      <w:r w:rsidRPr="00523484">
        <w:rPr>
          <w:rFonts w:ascii="David" w:hAnsi="David"/>
          <w:rtl/>
        </w:rPr>
        <w:t xml:space="preserve"> </w:t>
      </w:r>
      <w:r w:rsidRPr="00523484">
        <w:rPr>
          <w:rFonts w:ascii="David" w:hAnsi="David" w:hint="eastAsia"/>
          <w:rtl/>
        </w:rPr>
        <w:t>היה</w:t>
      </w:r>
      <w:r w:rsidRPr="00523484">
        <w:rPr>
          <w:rFonts w:ascii="David" w:hAnsi="David"/>
          <w:rtl/>
        </w:rPr>
        <w:t xml:space="preserve"> </w:t>
      </w:r>
      <w:r w:rsidRPr="00523484">
        <w:rPr>
          <w:rFonts w:ascii="David" w:hAnsi="David" w:hint="eastAsia"/>
          <w:rtl/>
        </w:rPr>
        <w:t>אולי</w:t>
      </w:r>
      <w:r w:rsidRPr="00523484">
        <w:rPr>
          <w:rFonts w:ascii="David" w:hAnsi="David"/>
          <w:rtl/>
        </w:rPr>
        <w:t xml:space="preserve"> </w:t>
      </w:r>
      <w:r w:rsidRPr="00523484">
        <w:rPr>
          <w:rFonts w:ascii="David" w:hAnsi="David" w:hint="eastAsia"/>
          <w:rtl/>
        </w:rPr>
        <w:t>טעם</w:t>
      </w:r>
      <w:r w:rsidRPr="00523484">
        <w:rPr>
          <w:rFonts w:ascii="David" w:hAnsi="David"/>
          <w:rtl/>
        </w:rPr>
        <w:t xml:space="preserve"> </w:t>
      </w:r>
      <w:r w:rsidRPr="00523484">
        <w:rPr>
          <w:rFonts w:ascii="David" w:hAnsi="David" w:hint="eastAsia"/>
          <w:rtl/>
        </w:rPr>
        <w:t>לקיום</w:t>
      </w:r>
      <w:r w:rsidRPr="00523484">
        <w:rPr>
          <w:rFonts w:ascii="David" w:hAnsi="David"/>
          <w:rtl/>
        </w:rPr>
        <w:t xml:space="preserve"> </w:t>
      </w:r>
      <w:r w:rsidRPr="00523484">
        <w:rPr>
          <w:rFonts w:ascii="David" w:hAnsi="David" w:hint="eastAsia"/>
          <w:rtl/>
        </w:rPr>
        <w:t>בחינה</w:t>
      </w:r>
      <w:r w:rsidRPr="00523484">
        <w:rPr>
          <w:rFonts w:ascii="David" w:hAnsi="David"/>
          <w:rtl/>
        </w:rPr>
        <w:t xml:space="preserve"> </w:t>
      </w:r>
      <w:r w:rsidRPr="00523484">
        <w:rPr>
          <w:rFonts w:ascii="David" w:hAnsi="David" w:hint="eastAsia"/>
          <w:rtl/>
        </w:rPr>
        <w:t>רצינית</w:t>
      </w:r>
      <w:r w:rsidRPr="00523484">
        <w:rPr>
          <w:rFonts w:ascii="David" w:hAnsi="David"/>
          <w:rtl/>
        </w:rPr>
        <w:t xml:space="preserve"> </w:t>
      </w:r>
      <w:r w:rsidRPr="00523484">
        <w:rPr>
          <w:rFonts w:ascii="David" w:hAnsi="David" w:hint="eastAsia"/>
          <w:rtl/>
        </w:rPr>
        <w:t>יותר</w:t>
      </w:r>
      <w:r w:rsidRPr="00523484">
        <w:rPr>
          <w:rFonts w:ascii="David" w:hAnsi="David"/>
          <w:rtl/>
        </w:rPr>
        <w:t xml:space="preserve"> </w:t>
      </w:r>
      <w:r w:rsidRPr="00523484">
        <w:rPr>
          <w:rFonts w:ascii="David" w:hAnsi="David" w:hint="eastAsia"/>
          <w:rtl/>
        </w:rPr>
        <w:t>של</w:t>
      </w:r>
      <w:r w:rsidRPr="00523484">
        <w:rPr>
          <w:rFonts w:ascii="David" w:hAnsi="David"/>
          <w:rtl/>
        </w:rPr>
        <w:t xml:space="preserve"> </w:t>
      </w:r>
      <w:r w:rsidRPr="00523484">
        <w:rPr>
          <w:rFonts w:ascii="David" w:hAnsi="David" w:hint="eastAsia"/>
          <w:rtl/>
        </w:rPr>
        <w:t>טענות</w:t>
      </w:r>
      <w:r w:rsidRPr="00523484">
        <w:rPr>
          <w:rFonts w:ascii="David" w:hAnsi="David"/>
          <w:rtl/>
        </w:rPr>
        <w:t xml:space="preserve"> </w:t>
      </w:r>
      <w:r w:rsidRPr="00523484">
        <w:rPr>
          <w:rFonts w:ascii="David" w:hAnsi="David" w:hint="eastAsia"/>
          <w:rtl/>
        </w:rPr>
        <w:t>העוררות</w:t>
      </w:r>
      <w:r w:rsidRPr="00523484">
        <w:rPr>
          <w:rFonts w:ascii="David" w:hAnsi="David"/>
          <w:rtl/>
        </w:rPr>
        <w:t xml:space="preserve">. </w:t>
      </w:r>
      <w:r w:rsidRPr="00523484">
        <w:rPr>
          <w:rFonts w:ascii="David" w:hAnsi="David" w:hint="eastAsia"/>
          <w:rtl/>
        </w:rPr>
        <w:t>ואולם</w:t>
      </w:r>
      <w:r w:rsidRPr="00523484">
        <w:rPr>
          <w:rFonts w:ascii="David" w:hAnsi="David"/>
          <w:rtl/>
        </w:rPr>
        <w:t xml:space="preserve"> </w:t>
      </w:r>
      <w:r w:rsidRPr="00523484">
        <w:rPr>
          <w:rFonts w:ascii="David" w:hAnsi="David" w:hint="eastAsia"/>
          <w:rtl/>
        </w:rPr>
        <w:t>נפלא</w:t>
      </w:r>
      <w:r w:rsidRPr="00523484">
        <w:rPr>
          <w:rFonts w:ascii="David" w:hAnsi="David"/>
          <w:rtl/>
        </w:rPr>
        <w:t xml:space="preserve"> </w:t>
      </w:r>
      <w:r w:rsidRPr="00523484">
        <w:rPr>
          <w:rFonts w:ascii="David" w:hAnsi="David" w:hint="eastAsia"/>
          <w:rtl/>
        </w:rPr>
        <w:t>מבינתי</w:t>
      </w:r>
      <w:r w:rsidRPr="00523484">
        <w:rPr>
          <w:rFonts w:ascii="David" w:hAnsi="David"/>
          <w:rtl/>
        </w:rPr>
        <w:t xml:space="preserve"> </w:t>
      </w:r>
      <w:r w:rsidRPr="00523484">
        <w:rPr>
          <w:rFonts w:ascii="David" w:hAnsi="David" w:hint="eastAsia"/>
          <w:rtl/>
        </w:rPr>
        <w:t>כיצד</w:t>
      </w:r>
      <w:r w:rsidRPr="00523484">
        <w:rPr>
          <w:rFonts w:ascii="David" w:hAnsi="David"/>
          <w:rtl/>
        </w:rPr>
        <w:t xml:space="preserve"> </w:t>
      </w:r>
      <w:r w:rsidRPr="00523484">
        <w:rPr>
          <w:rFonts w:ascii="David" w:hAnsi="David" w:hint="eastAsia"/>
          <w:rtl/>
        </w:rPr>
        <w:t>תביעות</w:t>
      </w:r>
      <w:r w:rsidRPr="00523484">
        <w:rPr>
          <w:rFonts w:ascii="David" w:hAnsi="David"/>
          <w:rtl/>
        </w:rPr>
        <w:t xml:space="preserve"> </w:t>
      </w:r>
      <w:r w:rsidRPr="00523484">
        <w:rPr>
          <w:rFonts w:ascii="David" w:hAnsi="David" w:hint="eastAsia"/>
          <w:rtl/>
        </w:rPr>
        <w:t>לפיצויים</w:t>
      </w:r>
      <w:r w:rsidRPr="00523484">
        <w:rPr>
          <w:rFonts w:ascii="David" w:hAnsi="David"/>
          <w:rtl/>
        </w:rPr>
        <w:t xml:space="preserve"> </w:t>
      </w:r>
      <w:r w:rsidRPr="00523484">
        <w:rPr>
          <w:rFonts w:ascii="David" w:hAnsi="David" w:hint="eastAsia"/>
          <w:rtl/>
        </w:rPr>
        <w:t>כספיים</w:t>
      </w:r>
      <w:r w:rsidRPr="00523484">
        <w:rPr>
          <w:rFonts w:ascii="David" w:hAnsi="David"/>
          <w:rtl/>
        </w:rPr>
        <w:t xml:space="preserve">, </w:t>
      </w:r>
      <w:r w:rsidRPr="00523484">
        <w:rPr>
          <w:rFonts w:ascii="David" w:hAnsi="David" w:hint="eastAsia"/>
          <w:rtl/>
        </w:rPr>
        <w:t>התלויות</w:t>
      </w:r>
      <w:r w:rsidRPr="00523484">
        <w:rPr>
          <w:rFonts w:ascii="David" w:hAnsi="David"/>
          <w:rtl/>
        </w:rPr>
        <w:t xml:space="preserve"> </w:t>
      </w:r>
      <w:r w:rsidRPr="00523484">
        <w:rPr>
          <w:rFonts w:ascii="David" w:hAnsi="David" w:hint="eastAsia"/>
          <w:rtl/>
        </w:rPr>
        <w:t>ועומדות</w:t>
      </w:r>
      <w:r w:rsidRPr="00523484">
        <w:rPr>
          <w:rFonts w:ascii="David" w:hAnsi="David"/>
          <w:rtl/>
        </w:rPr>
        <w:t xml:space="preserve"> </w:t>
      </w:r>
      <w:r w:rsidRPr="00523484">
        <w:rPr>
          <w:rFonts w:ascii="David" w:hAnsi="David" w:hint="eastAsia"/>
          <w:rtl/>
        </w:rPr>
        <w:t>ואינן</w:t>
      </w:r>
      <w:r w:rsidRPr="00523484">
        <w:rPr>
          <w:rFonts w:ascii="David" w:hAnsi="David"/>
          <w:rtl/>
        </w:rPr>
        <w:t xml:space="preserve"> </w:t>
      </w:r>
      <w:r w:rsidRPr="00523484">
        <w:rPr>
          <w:rFonts w:ascii="David" w:hAnsi="David" w:hint="eastAsia"/>
          <w:rtl/>
        </w:rPr>
        <w:t>מגובשות</w:t>
      </w:r>
      <w:r w:rsidRPr="00523484">
        <w:rPr>
          <w:rFonts w:ascii="David" w:hAnsi="David"/>
          <w:rtl/>
        </w:rPr>
        <w:t xml:space="preserve"> </w:t>
      </w:r>
      <w:r w:rsidRPr="00523484">
        <w:rPr>
          <w:rFonts w:ascii="David" w:hAnsi="David" w:hint="eastAsia"/>
          <w:rtl/>
        </w:rPr>
        <w:t>וקונקרטיות</w:t>
      </w:r>
      <w:r w:rsidRPr="00523484">
        <w:rPr>
          <w:rFonts w:ascii="David" w:hAnsi="David"/>
          <w:rtl/>
        </w:rPr>
        <w:t xml:space="preserve"> </w:t>
      </w:r>
      <w:r w:rsidRPr="00523484">
        <w:rPr>
          <w:rFonts w:ascii="David" w:hAnsi="David" w:hint="eastAsia"/>
          <w:rtl/>
        </w:rPr>
        <w:t>דיין</w:t>
      </w:r>
      <w:r w:rsidRPr="00523484">
        <w:rPr>
          <w:rFonts w:ascii="David" w:hAnsi="David"/>
          <w:rtl/>
        </w:rPr>
        <w:t xml:space="preserve"> </w:t>
      </w:r>
      <w:r w:rsidRPr="00523484">
        <w:rPr>
          <w:rFonts w:ascii="David" w:hAnsi="David" w:hint="eastAsia"/>
          <w:rtl/>
        </w:rPr>
        <w:t>ואשר</w:t>
      </w:r>
      <w:r w:rsidRPr="00523484">
        <w:rPr>
          <w:rFonts w:ascii="David" w:hAnsi="David"/>
          <w:rtl/>
        </w:rPr>
        <w:t xml:space="preserve"> </w:t>
      </w:r>
      <w:r w:rsidRPr="00523484">
        <w:rPr>
          <w:rFonts w:ascii="David" w:hAnsi="David" w:hint="eastAsia"/>
          <w:rtl/>
        </w:rPr>
        <w:t>לא</w:t>
      </w:r>
      <w:r w:rsidRPr="00523484">
        <w:rPr>
          <w:rFonts w:ascii="David" w:hAnsi="David"/>
          <w:rtl/>
        </w:rPr>
        <w:t xml:space="preserve"> </w:t>
      </w:r>
      <w:r w:rsidRPr="00523484">
        <w:rPr>
          <w:rFonts w:ascii="David" w:hAnsi="David" w:hint="eastAsia"/>
          <w:rtl/>
        </w:rPr>
        <w:t>הניבו</w:t>
      </w:r>
      <w:r w:rsidRPr="00523484">
        <w:rPr>
          <w:rFonts w:ascii="David" w:hAnsi="David"/>
          <w:rtl/>
        </w:rPr>
        <w:t xml:space="preserve"> </w:t>
      </w:r>
      <w:r w:rsidRPr="00523484">
        <w:rPr>
          <w:rFonts w:ascii="David" w:hAnsi="David" w:hint="eastAsia"/>
          <w:rtl/>
        </w:rPr>
        <w:t>לחברת</w:t>
      </w:r>
      <w:r w:rsidRPr="00523484">
        <w:rPr>
          <w:rFonts w:ascii="David" w:hAnsi="David"/>
          <w:rtl/>
        </w:rPr>
        <w:t xml:space="preserve"> </w:t>
      </w:r>
      <w:r w:rsidRPr="00523484">
        <w:rPr>
          <w:rFonts w:ascii="David" w:hAnsi="David" w:hint="eastAsia"/>
          <w:rtl/>
        </w:rPr>
        <w:t>ארמון</w:t>
      </w:r>
      <w:r w:rsidRPr="00523484">
        <w:rPr>
          <w:rFonts w:ascii="David" w:hAnsi="David"/>
          <w:rtl/>
        </w:rPr>
        <w:t xml:space="preserve"> </w:t>
      </w:r>
      <w:r w:rsidRPr="00523484">
        <w:rPr>
          <w:rFonts w:ascii="David" w:hAnsi="David" w:hint="eastAsia"/>
          <w:rtl/>
        </w:rPr>
        <w:t>ההגמון</w:t>
      </w:r>
      <w:r w:rsidRPr="00523484">
        <w:rPr>
          <w:rFonts w:ascii="David" w:hAnsi="David"/>
          <w:rtl/>
        </w:rPr>
        <w:t xml:space="preserve"> </w:t>
      </w:r>
      <w:r w:rsidRPr="00523484">
        <w:rPr>
          <w:rFonts w:ascii="David" w:hAnsi="David" w:hint="eastAsia"/>
          <w:rtl/>
        </w:rPr>
        <w:t>עד</w:t>
      </w:r>
      <w:r w:rsidRPr="00523484">
        <w:rPr>
          <w:rFonts w:ascii="David" w:hAnsi="David"/>
          <w:rtl/>
        </w:rPr>
        <w:t xml:space="preserve"> </w:t>
      </w:r>
      <w:r w:rsidRPr="00523484">
        <w:rPr>
          <w:rFonts w:ascii="David" w:hAnsi="David" w:hint="eastAsia"/>
          <w:rtl/>
        </w:rPr>
        <w:t>כה</w:t>
      </w:r>
      <w:r w:rsidRPr="00523484">
        <w:rPr>
          <w:rFonts w:ascii="David" w:hAnsi="David"/>
          <w:rtl/>
        </w:rPr>
        <w:t xml:space="preserve"> </w:t>
      </w:r>
      <w:r w:rsidRPr="00523484">
        <w:rPr>
          <w:rFonts w:ascii="David" w:hAnsi="David" w:hint="eastAsia"/>
          <w:rtl/>
        </w:rPr>
        <w:t>הכנסות</w:t>
      </w:r>
      <w:r w:rsidRPr="00523484">
        <w:rPr>
          <w:rFonts w:ascii="David" w:hAnsi="David"/>
          <w:rtl/>
        </w:rPr>
        <w:t xml:space="preserve">, </w:t>
      </w:r>
      <w:r w:rsidRPr="00523484">
        <w:rPr>
          <w:rFonts w:ascii="David" w:hAnsi="David" w:hint="eastAsia"/>
          <w:rtl/>
        </w:rPr>
        <w:t>כיצד</w:t>
      </w:r>
      <w:r w:rsidRPr="00523484">
        <w:rPr>
          <w:rFonts w:ascii="David" w:hAnsi="David"/>
          <w:rtl/>
        </w:rPr>
        <w:t xml:space="preserve"> </w:t>
      </w:r>
      <w:r w:rsidRPr="00523484">
        <w:rPr>
          <w:rFonts w:ascii="David" w:hAnsi="David" w:hint="eastAsia"/>
          <w:rtl/>
        </w:rPr>
        <w:t>אלו</w:t>
      </w:r>
      <w:r w:rsidRPr="00523484">
        <w:rPr>
          <w:rFonts w:ascii="David" w:hAnsi="David"/>
          <w:rtl/>
        </w:rPr>
        <w:t xml:space="preserve"> </w:t>
      </w:r>
      <w:r w:rsidRPr="00523484">
        <w:rPr>
          <w:rFonts w:ascii="David" w:hAnsi="David" w:hint="eastAsia"/>
          <w:rtl/>
        </w:rPr>
        <w:t>נופלים</w:t>
      </w:r>
      <w:r w:rsidRPr="00523484">
        <w:rPr>
          <w:rFonts w:ascii="David" w:hAnsi="David"/>
          <w:rtl/>
        </w:rPr>
        <w:t xml:space="preserve"> </w:t>
      </w:r>
      <w:r w:rsidRPr="00523484">
        <w:rPr>
          <w:rFonts w:ascii="David" w:hAnsi="David" w:hint="eastAsia"/>
          <w:rtl/>
        </w:rPr>
        <w:t>להגדרת</w:t>
      </w:r>
      <w:r w:rsidRPr="00523484">
        <w:rPr>
          <w:rFonts w:ascii="David" w:hAnsi="David"/>
          <w:rtl/>
        </w:rPr>
        <w:t xml:space="preserve"> </w:t>
      </w:r>
      <w:r w:rsidRPr="00523484">
        <w:rPr>
          <w:rFonts w:ascii="David" w:hAnsi="David" w:hint="eastAsia"/>
          <w:rtl/>
        </w:rPr>
        <w:t>נכסים</w:t>
      </w:r>
      <w:r w:rsidRPr="00523484">
        <w:rPr>
          <w:rFonts w:ascii="David" w:hAnsi="David"/>
          <w:rtl/>
        </w:rPr>
        <w:t xml:space="preserve"> </w:t>
      </w:r>
      <w:r w:rsidRPr="00523484">
        <w:rPr>
          <w:rFonts w:ascii="David" w:hAnsi="David" w:hint="eastAsia"/>
          <w:rtl/>
        </w:rPr>
        <w:t>המשמשים</w:t>
      </w:r>
      <w:r w:rsidRPr="00523484">
        <w:rPr>
          <w:rFonts w:ascii="David" w:hAnsi="David"/>
          <w:rtl/>
        </w:rPr>
        <w:t xml:space="preserve"> (</w:t>
      </w:r>
      <w:r w:rsidRPr="00523484">
        <w:rPr>
          <w:rFonts w:ascii="David" w:hAnsi="David" w:hint="eastAsia"/>
          <w:rtl/>
        </w:rPr>
        <w:t>בלשון</w:t>
      </w:r>
      <w:r w:rsidRPr="00523484">
        <w:rPr>
          <w:rFonts w:ascii="David" w:hAnsi="David"/>
          <w:rtl/>
        </w:rPr>
        <w:t xml:space="preserve"> </w:t>
      </w:r>
      <w:r w:rsidRPr="00523484">
        <w:rPr>
          <w:rFonts w:ascii="David" w:hAnsi="David" w:hint="eastAsia"/>
          <w:rtl/>
        </w:rPr>
        <w:t>הווה</w:t>
      </w:r>
      <w:r w:rsidRPr="00523484">
        <w:rPr>
          <w:rFonts w:ascii="David" w:hAnsi="David"/>
          <w:rtl/>
        </w:rPr>
        <w:t xml:space="preserve">!!) </w:t>
      </w:r>
      <w:r w:rsidRPr="00523484">
        <w:rPr>
          <w:rFonts w:ascii="David" w:hAnsi="David" w:hint="eastAsia"/>
          <w:rtl/>
        </w:rPr>
        <w:t>את</w:t>
      </w:r>
      <w:r w:rsidRPr="00523484">
        <w:rPr>
          <w:rFonts w:ascii="David" w:hAnsi="David"/>
          <w:rtl/>
        </w:rPr>
        <w:t xml:space="preserve"> </w:t>
      </w:r>
      <w:r w:rsidRPr="00523484">
        <w:rPr>
          <w:rFonts w:ascii="David" w:hAnsi="David" w:hint="eastAsia"/>
          <w:rtl/>
        </w:rPr>
        <w:t>חברת</w:t>
      </w:r>
      <w:r w:rsidRPr="00523484">
        <w:rPr>
          <w:rFonts w:ascii="David" w:hAnsi="David"/>
          <w:rtl/>
        </w:rPr>
        <w:t xml:space="preserve"> </w:t>
      </w:r>
      <w:r w:rsidRPr="00523484">
        <w:rPr>
          <w:rFonts w:ascii="David" w:hAnsi="David" w:hint="eastAsia"/>
          <w:rtl/>
        </w:rPr>
        <w:t>ארמון</w:t>
      </w:r>
      <w:r w:rsidRPr="00523484">
        <w:rPr>
          <w:rFonts w:ascii="David" w:hAnsi="David"/>
          <w:rtl/>
        </w:rPr>
        <w:t xml:space="preserve"> </w:t>
      </w:r>
      <w:r w:rsidRPr="00523484">
        <w:rPr>
          <w:rFonts w:ascii="David" w:hAnsi="David" w:hint="eastAsia"/>
          <w:rtl/>
        </w:rPr>
        <w:t>ההגמון</w:t>
      </w:r>
      <w:r w:rsidRPr="00523484">
        <w:rPr>
          <w:rFonts w:ascii="David" w:hAnsi="David"/>
          <w:rtl/>
        </w:rPr>
        <w:t xml:space="preserve"> </w:t>
      </w:r>
      <w:r w:rsidRPr="00523484">
        <w:rPr>
          <w:rFonts w:ascii="David" w:hAnsi="David" w:hint="eastAsia"/>
          <w:rtl/>
        </w:rPr>
        <w:t>לשם</w:t>
      </w:r>
      <w:r w:rsidRPr="00523484">
        <w:rPr>
          <w:rFonts w:ascii="David" w:hAnsi="David"/>
          <w:rtl/>
        </w:rPr>
        <w:t xml:space="preserve"> </w:t>
      </w:r>
      <w:r w:rsidRPr="00523484">
        <w:rPr>
          <w:rFonts w:ascii="David" w:hAnsi="David" w:hint="eastAsia"/>
          <w:rtl/>
        </w:rPr>
        <w:t>ייצור</w:t>
      </w:r>
      <w:r w:rsidRPr="00523484">
        <w:rPr>
          <w:rFonts w:ascii="David" w:hAnsi="David"/>
          <w:rtl/>
        </w:rPr>
        <w:t xml:space="preserve"> </w:t>
      </w:r>
      <w:r w:rsidRPr="00523484">
        <w:rPr>
          <w:rFonts w:ascii="David" w:hAnsi="David" w:hint="eastAsia"/>
          <w:rtl/>
        </w:rPr>
        <w:t>הכנסתו</w:t>
      </w:r>
      <w:r w:rsidRPr="00523484">
        <w:rPr>
          <w:rFonts w:ascii="David" w:hAnsi="David"/>
          <w:rtl/>
        </w:rPr>
        <w:t xml:space="preserve"> </w:t>
      </w:r>
      <w:r w:rsidRPr="00523484">
        <w:rPr>
          <w:rFonts w:ascii="David" w:hAnsi="David" w:hint="eastAsia"/>
          <w:rtl/>
        </w:rPr>
        <w:t>במועד</w:t>
      </w:r>
      <w:r w:rsidRPr="00523484">
        <w:rPr>
          <w:rFonts w:ascii="David" w:hAnsi="David"/>
          <w:rtl/>
        </w:rPr>
        <w:t xml:space="preserve"> </w:t>
      </w:r>
      <w:r w:rsidRPr="00523484">
        <w:rPr>
          <w:rFonts w:ascii="David" w:hAnsi="David" w:hint="eastAsia"/>
          <w:rtl/>
        </w:rPr>
        <w:t>ביצוע</w:t>
      </w:r>
      <w:r w:rsidRPr="00523484">
        <w:rPr>
          <w:rFonts w:ascii="David" w:hAnsi="David"/>
          <w:rtl/>
        </w:rPr>
        <w:t xml:space="preserve"> </w:t>
      </w:r>
      <w:r w:rsidRPr="00523484">
        <w:rPr>
          <w:rFonts w:ascii="David" w:hAnsi="David" w:hint="eastAsia"/>
          <w:rtl/>
        </w:rPr>
        <w:t>העסקה</w:t>
      </w:r>
      <w:r w:rsidRPr="00523484">
        <w:rPr>
          <w:rFonts w:ascii="David" w:hAnsi="David"/>
          <w:rtl/>
        </w:rPr>
        <w:t xml:space="preserve"> </w:t>
      </w:r>
      <w:r w:rsidRPr="00523484">
        <w:rPr>
          <w:rFonts w:ascii="David" w:hAnsi="David" w:hint="eastAsia"/>
          <w:rtl/>
        </w:rPr>
        <w:t>נשוא</w:t>
      </w:r>
      <w:r w:rsidRPr="00523484">
        <w:rPr>
          <w:rFonts w:ascii="David" w:hAnsi="David"/>
          <w:rtl/>
        </w:rPr>
        <w:t xml:space="preserve"> </w:t>
      </w:r>
      <w:r w:rsidRPr="00523484">
        <w:rPr>
          <w:rFonts w:ascii="David" w:hAnsi="David" w:hint="eastAsia"/>
          <w:rtl/>
        </w:rPr>
        <w:t>השומה</w:t>
      </w:r>
      <w:r w:rsidRPr="00523484">
        <w:rPr>
          <w:rFonts w:ascii="David" w:hAnsi="David"/>
          <w:rtl/>
        </w:rPr>
        <w:t xml:space="preserve">, </w:t>
      </w:r>
      <w:r w:rsidRPr="00523484">
        <w:rPr>
          <w:rFonts w:ascii="David" w:hAnsi="David" w:hint="eastAsia"/>
          <w:rtl/>
        </w:rPr>
        <w:t>או</w:t>
      </w:r>
      <w:r w:rsidRPr="00523484">
        <w:rPr>
          <w:rFonts w:ascii="David" w:hAnsi="David"/>
          <w:rtl/>
        </w:rPr>
        <w:t xml:space="preserve"> </w:t>
      </w:r>
      <w:r w:rsidRPr="00523484">
        <w:rPr>
          <w:rFonts w:ascii="David" w:hAnsi="David" w:hint="eastAsia"/>
          <w:rtl/>
        </w:rPr>
        <w:t>אף</w:t>
      </w:r>
      <w:r w:rsidRPr="00523484">
        <w:rPr>
          <w:rFonts w:ascii="David" w:hAnsi="David"/>
          <w:rtl/>
        </w:rPr>
        <w:t xml:space="preserve"> </w:t>
      </w:r>
      <w:r w:rsidRPr="00523484">
        <w:rPr>
          <w:rFonts w:ascii="David" w:hAnsi="David" w:hint="eastAsia"/>
          <w:rtl/>
        </w:rPr>
        <w:t>לפני</w:t>
      </w:r>
      <w:r w:rsidRPr="00523484">
        <w:rPr>
          <w:rFonts w:ascii="David" w:hAnsi="David"/>
          <w:rtl/>
        </w:rPr>
        <w:t xml:space="preserve"> </w:t>
      </w:r>
      <w:r w:rsidRPr="00523484">
        <w:rPr>
          <w:rFonts w:ascii="David" w:hAnsi="David" w:hint="eastAsia"/>
          <w:rtl/>
        </w:rPr>
        <w:t>כן</w:t>
      </w:r>
      <w:r>
        <w:rPr>
          <w:rFonts w:ascii="David" w:hAnsi="David" w:hint="cs"/>
          <w:rtl/>
        </w:rPr>
        <w:t>"</w:t>
      </w:r>
      <w:r w:rsidRPr="00523484">
        <w:rPr>
          <w:rFonts w:ascii="David" w:hAnsi="David"/>
          <w:rtl/>
        </w:rPr>
        <w:t>.</w:t>
      </w:r>
    </w:p>
    <w:p w:rsidR="008B4CDC" w:rsidRDefault="008B4CDC" w:rsidP="008B4CDC">
      <w:pPr>
        <w:pStyle w:val="Ruller5"/>
        <w:spacing w:line="360" w:lineRule="auto"/>
        <w:rPr>
          <w:rFonts w:ascii="David" w:hAnsi="David"/>
          <w:rtl/>
        </w:rPr>
      </w:pPr>
    </w:p>
    <w:p w:rsidR="00353C0D" w:rsidRDefault="00353C0D" w:rsidP="008B4CDC">
      <w:pPr>
        <w:pStyle w:val="Ruller41"/>
        <w:rPr>
          <w:rtl/>
        </w:rPr>
      </w:pPr>
    </w:p>
    <w:p w:rsidR="008B4CDC" w:rsidRDefault="008B4CDC" w:rsidP="008B4CDC">
      <w:pPr>
        <w:pStyle w:val="Ruller41"/>
        <w:rPr>
          <w:rFonts w:ascii="FrankRuehl" w:hAnsi="FrankRuehl"/>
          <w:color w:val="000000"/>
          <w:sz w:val="28"/>
          <w:rtl/>
        </w:rPr>
      </w:pPr>
      <w:r>
        <w:rPr>
          <w:rtl/>
        </w:rPr>
        <w:tab/>
      </w:r>
      <w:r>
        <w:rPr>
          <w:rFonts w:hint="cs"/>
          <w:rtl/>
        </w:rPr>
        <w:t xml:space="preserve">מבלי לקבוע מסמרות, דומה כי יש יסוד לטענת המשיב כי בפני המערערות עומד גם מבחן הטפלות שהוא מבחן מהותי, כשטפלות הנכסים נבחנת ביחס למטרותיו העיקריות של האיגוד (ראו והשוו לעניין </w:t>
      </w:r>
      <w:r w:rsidRPr="00D111A8">
        <w:rPr>
          <w:rFonts w:ascii="Century" w:hAnsi="Century" w:cs="Miriam" w:hint="cs"/>
          <w:b/>
          <w:spacing w:val="0"/>
          <w:szCs w:val="24"/>
          <w:rtl/>
        </w:rPr>
        <w:t>גזית גלוב</w:t>
      </w:r>
      <w:r>
        <w:rPr>
          <w:rFonts w:hint="cs"/>
          <w:rtl/>
        </w:rPr>
        <w:t xml:space="preserve">, בפסקה 22; </w:t>
      </w:r>
      <w:r w:rsidRPr="00D111A8">
        <w:rPr>
          <w:rFonts w:ascii="Century" w:hAnsi="Century" w:cs="Miriam" w:hint="cs"/>
          <w:b/>
          <w:spacing w:val="0"/>
          <w:szCs w:val="24"/>
          <w:rtl/>
        </w:rPr>
        <w:t>נמדר</w:t>
      </w:r>
      <w:r>
        <w:rPr>
          <w:rFonts w:hint="cs"/>
          <w:rtl/>
        </w:rPr>
        <w:t xml:space="preserve">, בעמ' 602-599; </w:t>
      </w:r>
      <w:r w:rsidRPr="00834368">
        <w:rPr>
          <w:rFonts w:ascii="Century" w:hAnsi="Century" w:cs="Miriam" w:hint="cs"/>
          <w:b/>
          <w:spacing w:val="0"/>
          <w:szCs w:val="24"/>
          <w:rtl/>
        </w:rPr>
        <w:t>הדרי</w:t>
      </w:r>
      <w:r>
        <w:rPr>
          <w:rFonts w:ascii="Century" w:hAnsi="Century" w:cs="Miriam" w:hint="cs"/>
          <w:b/>
          <w:spacing w:val="0"/>
          <w:szCs w:val="24"/>
          <w:rtl/>
        </w:rPr>
        <w:t>,</w:t>
      </w:r>
      <w:r w:rsidRPr="00834368">
        <w:rPr>
          <w:rFonts w:ascii="Century" w:hAnsi="Century" w:cs="Miriam" w:hint="cs"/>
          <w:b/>
          <w:spacing w:val="0"/>
          <w:szCs w:val="24"/>
          <w:rtl/>
        </w:rPr>
        <w:t xml:space="preserve"> כרך ב </w:t>
      </w:r>
      <w:r w:rsidRPr="00834368">
        <w:rPr>
          <w:rFonts w:ascii="Century" w:hAnsi="Century" w:cs="Miriam"/>
          <w:b/>
          <w:spacing w:val="0"/>
          <w:szCs w:val="24"/>
          <w:rtl/>
        </w:rPr>
        <w:t>–</w:t>
      </w:r>
      <w:r w:rsidRPr="00834368">
        <w:rPr>
          <w:rFonts w:ascii="Century" w:hAnsi="Century" w:cs="Miriam" w:hint="cs"/>
          <w:b/>
          <w:spacing w:val="0"/>
          <w:szCs w:val="24"/>
          <w:rtl/>
        </w:rPr>
        <w:t xml:space="preserve"> חלק ראשון</w:t>
      </w:r>
      <w:r>
        <w:rPr>
          <w:rFonts w:ascii="Century" w:hAnsi="Century" w:hint="cs"/>
          <w:rtl/>
        </w:rPr>
        <w:t>, בעמ' 325)</w:t>
      </w:r>
      <w:r>
        <w:rPr>
          <w:rFonts w:hint="cs"/>
          <w:rtl/>
        </w:rPr>
        <w:t xml:space="preserve">. </w:t>
      </w:r>
    </w:p>
    <w:p w:rsidR="008B4CDC" w:rsidRDefault="008B4CDC" w:rsidP="008B4CDC">
      <w:pPr>
        <w:pStyle w:val="Ruller41"/>
        <w:rPr>
          <w:rFonts w:ascii="FrankRuehl" w:hAnsi="FrankRuehl"/>
          <w:color w:val="000000"/>
          <w:sz w:val="28"/>
          <w:rtl/>
        </w:rPr>
      </w:pPr>
    </w:p>
    <w:p w:rsidR="008B4CDC" w:rsidRDefault="008B4CDC" w:rsidP="008B4CDC">
      <w:pPr>
        <w:pStyle w:val="Ruller41"/>
        <w:rPr>
          <w:rtl/>
        </w:rPr>
      </w:pPr>
      <w:r>
        <w:rPr>
          <w:rFonts w:ascii="FrankRuehl" w:hAnsi="FrankRuehl"/>
          <w:color w:val="000000"/>
          <w:sz w:val="28"/>
          <w:rtl/>
        </w:rPr>
        <w:tab/>
        <w:t>אף איני רואה להידרש לבקש</w:t>
      </w:r>
      <w:r>
        <w:rPr>
          <w:rFonts w:ascii="FrankRuehl" w:hAnsi="FrankRuehl" w:hint="cs"/>
          <w:color w:val="000000"/>
          <w:sz w:val="28"/>
          <w:rtl/>
        </w:rPr>
        <w:t>ו</w:t>
      </w:r>
      <w:r>
        <w:rPr>
          <w:rFonts w:ascii="FrankRuehl" w:hAnsi="FrankRuehl"/>
          <w:color w:val="000000"/>
          <w:sz w:val="28"/>
          <w:rtl/>
        </w:rPr>
        <w:t>ת המערערות</w:t>
      </w:r>
      <w:r>
        <w:rPr>
          <w:rFonts w:ascii="FrankRuehl" w:hAnsi="FrankRuehl" w:hint="cs"/>
          <w:color w:val="000000"/>
          <w:sz w:val="28"/>
          <w:rtl/>
        </w:rPr>
        <w:t xml:space="preserve"> להוספת ראיות בשלב האמור, שאין בהן כדי להעלות או להוריד מהמסקנה אליה הגעתי.</w:t>
      </w:r>
      <w:r>
        <w:rPr>
          <w:rtl/>
        </w:rPr>
        <w:t xml:space="preserve"> </w:t>
      </w:r>
    </w:p>
    <w:p w:rsidR="008B4CDC" w:rsidRDefault="008B4CDC" w:rsidP="008B4CDC">
      <w:pPr>
        <w:pStyle w:val="Ruller41"/>
        <w:rPr>
          <w:rStyle w:val="default"/>
          <w:rtl/>
        </w:rPr>
      </w:pPr>
    </w:p>
    <w:p w:rsidR="008B4CDC" w:rsidRDefault="008B4CDC" w:rsidP="008B4CDC">
      <w:pPr>
        <w:pStyle w:val="Ruller41"/>
        <w:rPr>
          <w:rStyle w:val="default"/>
          <w:rtl/>
        </w:rPr>
      </w:pPr>
      <w:r>
        <w:rPr>
          <w:rStyle w:val="default"/>
          <w:rtl/>
        </w:rPr>
        <w:tab/>
      </w:r>
      <w:r>
        <w:rPr>
          <w:rStyle w:val="default"/>
          <w:rFonts w:hint="cs"/>
          <w:rtl/>
        </w:rPr>
        <w:t>נוכח כל האמור, טענות המערערות הנוגעות לסיווגה של חברת ארמון ההגמון כאיגוד מקרקעין, דינן להידחות.</w:t>
      </w:r>
    </w:p>
    <w:p w:rsidR="008B4CDC" w:rsidRDefault="008B4CDC" w:rsidP="008B4CDC">
      <w:pPr>
        <w:pStyle w:val="Ruller41"/>
        <w:rPr>
          <w:rStyle w:val="default"/>
          <w:rtl/>
        </w:rPr>
      </w:pPr>
    </w:p>
    <w:p w:rsidR="008B4CDC" w:rsidRDefault="008B4CDC" w:rsidP="008B4CDC">
      <w:pPr>
        <w:pStyle w:val="Ruller41"/>
        <w:rPr>
          <w:rtl/>
        </w:rPr>
      </w:pPr>
      <w:r>
        <w:rPr>
          <w:rStyle w:val="default"/>
          <w:rFonts w:hint="cs"/>
          <w:rtl/>
        </w:rPr>
        <w:t>16.</w:t>
      </w:r>
      <w:r>
        <w:rPr>
          <w:rStyle w:val="default"/>
          <w:rtl/>
        </w:rPr>
        <w:tab/>
      </w:r>
      <w:r>
        <w:rPr>
          <w:rStyle w:val="default"/>
          <w:rFonts w:hint="cs"/>
          <w:rtl/>
        </w:rPr>
        <w:t xml:space="preserve">איני סבור כי יש להיעתר לבקשתן החלופית של המערערות להחזיר את הדיון בשווי המכירה לוועדת הערר, ולאפשר את הגשת חוות דעת השמאי מטעמן לצורך זה. </w:t>
      </w:r>
      <w:r w:rsidRPr="00560297">
        <w:rPr>
          <w:rStyle w:val="default"/>
          <w:rFonts w:hint="cs"/>
          <w:rtl/>
        </w:rPr>
        <w:t>סעיף 90 לחוק מיסוי מקרקעין קובע כי על החלטת ועדת ערר</w:t>
      </w:r>
      <w:r>
        <w:rPr>
          <w:rStyle w:val="default"/>
          <w:rFonts w:hint="cs"/>
          <w:rtl/>
        </w:rPr>
        <w:t xml:space="preserve"> ניתן לערער בבעיה משפטית בלבד (ראו: </w:t>
      </w:r>
      <w:r w:rsidRPr="002B4F9F">
        <w:rPr>
          <w:rStyle w:val="default"/>
          <w:rtl/>
        </w:rPr>
        <w:t xml:space="preserve">ע"א 266/97‏ </w:t>
      </w:r>
      <w:r w:rsidRPr="002B4F9F">
        <w:rPr>
          <w:rStyle w:val="default"/>
          <w:rFonts w:ascii="Century" w:hAnsi="Century" w:cs="Miriam"/>
          <w:b/>
          <w:spacing w:val="0"/>
          <w:szCs w:val="24"/>
          <w:rtl/>
        </w:rPr>
        <w:t>מנהל מס שבח מקרקעין חיפה נ' ווייסמן</w:t>
      </w:r>
      <w:r w:rsidRPr="002B4F9F">
        <w:rPr>
          <w:rStyle w:val="default"/>
          <w:rtl/>
        </w:rPr>
        <w:t>, פ</w:t>
      </w:r>
      <w:r w:rsidRPr="002B4F9F">
        <w:rPr>
          <w:rStyle w:val="default"/>
          <w:rFonts w:hint="cs"/>
          <w:rtl/>
        </w:rPr>
        <w:t>"</w:t>
      </w:r>
      <w:r w:rsidRPr="002B4F9F">
        <w:rPr>
          <w:rStyle w:val="default"/>
          <w:rtl/>
        </w:rPr>
        <w:t>ד נז(3) 207</w:t>
      </w:r>
      <w:r w:rsidRPr="002B4F9F">
        <w:rPr>
          <w:rStyle w:val="default"/>
          <w:rFonts w:hint="cs"/>
          <w:rtl/>
        </w:rPr>
        <w:t xml:space="preserve"> (2003)</w:t>
      </w:r>
      <w:r>
        <w:rPr>
          <w:rStyle w:val="default"/>
          <w:rFonts w:hint="cs"/>
          <w:rtl/>
        </w:rPr>
        <w:t>)</w:t>
      </w:r>
      <w:r>
        <w:rPr>
          <w:rFonts w:ascii="FrankRuehl" w:hAnsi="FrankRuehl" w:hint="cs"/>
          <w:color w:val="000000"/>
          <w:sz w:val="28"/>
          <w:rtl/>
        </w:rPr>
        <w:t>.</w:t>
      </w:r>
      <w:r>
        <w:rPr>
          <w:rFonts w:ascii="FrankRuehl" w:hAnsi="FrankRuehl"/>
          <w:color w:val="000000"/>
          <w:sz w:val="28"/>
          <w:rtl/>
        </w:rPr>
        <w:t xml:space="preserve"> </w:t>
      </w:r>
      <w:r>
        <w:rPr>
          <w:rFonts w:ascii="FrankRuehl" w:hAnsi="FrankRuehl" w:hint="cs"/>
          <w:color w:val="000000"/>
          <w:sz w:val="28"/>
          <w:rtl/>
        </w:rPr>
        <w:t>שאלת</w:t>
      </w:r>
      <w:r>
        <w:rPr>
          <w:rFonts w:ascii="FrankRuehl" w:hAnsi="FrankRuehl"/>
          <w:color w:val="000000"/>
          <w:sz w:val="28"/>
          <w:rtl/>
        </w:rPr>
        <w:t xml:space="preserve"> שווי </w:t>
      </w:r>
      <w:r>
        <w:rPr>
          <w:rFonts w:ascii="FrankRuehl" w:hAnsi="FrankRuehl" w:hint="cs"/>
          <w:color w:val="000000"/>
          <w:sz w:val="28"/>
          <w:rtl/>
        </w:rPr>
        <w:t xml:space="preserve">המכירה, כמו גם העדפת חוות דעת של שמאי אחד על משנהו לצורך קביעת השווי, אינה מעוררת </w:t>
      </w:r>
      <w:r>
        <w:rPr>
          <w:rFonts w:ascii="FrankRuehl" w:hAnsi="FrankRuehl"/>
          <w:color w:val="000000"/>
          <w:sz w:val="28"/>
          <w:rtl/>
        </w:rPr>
        <w:t>כשלעצמ</w:t>
      </w:r>
      <w:r>
        <w:rPr>
          <w:rFonts w:ascii="FrankRuehl" w:hAnsi="FrankRuehl" w:hint="cs"/>
          <w:color w:val="000000"/>
          <w:sz w:val="28"/>
          <w:rtl/>
        </w:rPr>
        <w:t>ה</w:t>
      </w:r>
      <w:r>
        <w:rPr>
          <w:rFonts w:ascii="FrankRuehl" w:hAnsi="FrankRuehl"/>
          <w:color w:val="000000"/>
          <w:sz w:val="28"/>
          <w:rtl/>
        </w:rPr>
        <w:t xml:space="preserve"> בעיה משפטי</w:t>
      </w:r>
      <w:r>
        <w:rPr>
          <w:rFonts w:ascii="FrankRuehl" w:hAnsi="FrankRuehl" w:hint="cs"/>
          <w:color w:val="000000"/>
          <w:sz w:val="28"/>
          <w:rtl/>
        </w:rPr>
        <w:t>ת (</w:t>
      </w:r>
      <w:r>
        <w:rPr>
          <w:rFonts w:ascii="FrankRuehl" w:hAnsi="FrankRuehl"/>
          <w:color w:val="000000"/>
          <w:sz w:val="28"/>
          <w:rtl/>
        </w:rPr>
        <w:t xml:space="preserve">ע"א 3433/00 </w:t>
      </w:r>
      <w:r w:rsidRPr="00750E88">
        <w:rPr>
          <w:rStyle w:val="default"/>
          <w:rFonts w:ascii="Century" w:hAnsi="Century" w:cs="Miriam"/>
          <w:b/>
          <w:spacing w:val="0"/>
          <w:szCs w:val="24"/>
          <w:rtl/>
        </w:rPr>
        <w:t>ליטנפלד נ' מנהל מס שבח מקרקעין חיפה</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נו(5) 241</w:t>
      </w:r>
      <w:r>
        <w:rPr>
          <w:rFonts w:ascii="FrankRuehl" w:hAnsi="FrankRuehl" w:hint="cs"/>
          <w:color w:val="000000"/>
          <w:sz w:val="28"/>
          <w:rtl/>
        </w:rPr>
        <w:t>, 246-245 (2002);</w:t>
      </w:r>
      <w:r>
        <w:rPr>
          <w:rStyle w:val="default"/>
          <w:rFonts w:hint="cs"/>
          <w:rtl/>
        </w:rPr>
        <w:t xml:space="preserve"> </w:t>
      </w:r>
      <w:r w:rsidRPr="002B4F9F">
        <w:rPr>
          <w:rStyle w:val="default"/>
          <w:rtl/>
        </w:rPr>
        <w:t>ע</w:t>
      </w:r>
      <w:r w:rsidRPr="002B4F9F">
        <w:rPr>
          <w:rStyle w:val="default"/>
          <w:rFonts w:hint="cs"/>
          <w:rtl/>
        </w:rPr>
        <w:t>"</w:t>
      </w:r>
      <w:r w:rsidRPr="002B4F9F">
        <w:rPr>
          <w:rStyle w:val="default"/>
          <w:rtl/>
        </w:rPr>
        <w:t xml:space="preserve">א 4861/05 </w:t>
      </w:r>
      <w:r w:rsidRPr="002B4F9F">
        <w:rPr>
          <w:rStyle w:val="default"/>
          <w:rFonts w:ascii="Century" w:hAnsi="Century" w:cs="Miriam"/>
          <w:b/>
          <w:spacing w:val="0"/>
          <w:szCs w:val="24"/>
          <w:rtl/>
        </w:rPr>
        <w:t>שיכון עובדים בע"מ נ' מנהל מיסוי מקרקעין - איזור רחובות</w:t>
      </w:r>
      <w:r w:rsidRPr="002B4F9F">
        <w:rPr>
          <w:rStyle w:val="default"/>
          <w:rtl/>
        </w:rPr>
        <w:t>‏</w:t>
      </w:r>
      <w:r w:rsidRPr="002B4F9F">
        <w:rPr>
          <w:rStyle w:val="default"/>
          <w:rFonts w:hint="cs"/>
          <w:rtl/>
        </w:rPr>
        <w:t>, בפסק</w:t>
      </w:r>
      <w:r>
        <w:rPr>
          <w:rStyle w:val="default"/>
          <w:rFonts w:hint="cs"/>
          <w:rtl/>
        </w:rPr>
        <w:t>אות 10-9 (11.8.2008)</w:t>
      </w:r>
      <w:r>
        <w:rPr>
          <w:rFonts w:hint="cs"/>
          <w:rtl/>
        </w:rPr>
        <w:t xml:space="preserve">). זאת גם בנסיבות בהן עסקינן, כשברקע לקביעת השווי מחלוקת הנוגעת לעצם הגשת חוות דעת שמאית, והרי מדובר בשאלה שבסדרי דין המסורה לערכאה המבררת. מכל מקום, משמצאה ועדת הערר לדחות את טענות המערערות בהעדר חוות דעת התומכת בטענותיה מחד גיסא, וכן דחתה את בקשת המשיב להגדלת השומה מאידך גיסא, איני סבור כי קביעותיה נופלות בגדר המקרים המקנים זכות ערעור כאמור בסעיף 90 לחוק. </w:t>
      </w:r>
    </w:p>
    <w:p w:rsidR="008B4CDC" w:rsidRDefault="008B4CDC" w:rsidP="008B4CDC">
      <w:pPr>
        <w:pStyle w:val="Ruller41"/>
        <w:rPr>
          <w:rFonts w:ascii="Century" w:hAnsi="Century"/>
          <w:rtl/>
        </w:rPr>
      </w:pPr>
    </w:p>
    <w:p w:rsidR="008B4CDC" w:rsidRDefault="008B4CDC" w:rsidP="008B4CDC">
      <w:pPr>
        <w:pStyle w:val="Ruller41"/>
        <w:rPr>
          <w:rFonts w:ascii="Century" w:hAnsi="Century"/>
          <w:rtl/>
        </w:rPr>
      </w:pPr>
      <w:r>
        <w:rPr>
          <w:rFonts w:ascii="Century" w:hAnsi="Century" w:hint="cs"/>
          <w:rtl/>
        </w:rPr>
        <w:lastRenderedPageBreak/>
        <w:t>17.</w:t>
      </w:r>
      <w:r>
        <w:rPr>
          <w:rFonts w:ascii="Century" w:hAnsi="Century"/>
          <w:rtl/>
        </w:rPr>
        <w:tab/>
      </w:r>
      <w:r>
        <w:rPr>
          <w:rFonts w:ascii="Century" w:hAnsi="Century" w:hint="cs"/>
          <w:rtl/>
        </w:rPr>
        <w:t xml:space="preserve">אי לכך, הערעור נדחה על כל חלקיו. המערערות יישאו בהוצאות המשיב בסך של 10,000 </w:t>
      </w:r>
      <w:r>
        <w:rPr>
          <w:rFonts w:ascii="Century" w:hAnsi="Century" w:hint="eastAsia"/>
          <w:rtl/>
        </w:rPr>
        <w:t>₪</w:t>
      </w:r>
      <w:r>
        <w:rPr>
          <w:rFonts w:ascii="Century" w:hAnsi="Century" w:hint="cs"/>
          <w:rtl/>
        </w:rPr>
        <w:t>.</w:t>
      </w:r>
    </w:p>
    <w:p w:rsidR="00353C0D" w:rsidRDefault="00353C0D" w:rsidP="008B4CDC">
      <w:pPr>
        <w:pStyle w:val="Ruller41"/>
        <w:rPr>
          <w:rFonts w:ascii="Century" w:hAnsi="Century"/>
          <w:rtl/>
        </w:rPr>
      </w:pPr>
    </w:p>
    <w:p w:rsidR="00353C0D" w:rsidRDefault="00353C0D" w:rsidP="00353C0D">
      <w:pPr>
        <w:pStyle w:val="Ruller41"/>
        <w:jc w:val="right"/>
        <w:rPr>
          <w:rFonts w:ascii="Century" w:hAnsi="Century"/>
          <w:rtl/>
        </w:rPr>
      </w:pPr>
      <w:r>
        <w:rPr>
          <w:rFonts w:ascii="Century" w:hAnsi="Century" w:hint="cs"/>
          <w:rtl/>
        </w:rPr>
        <w:t>ש ו פ ט</w:t>
      </w:r>
    </w:p>
    <w:p w:rsidR="00353C0D" w:rsidRDefault="00353C0D" w:rsidP="00353C0D">
      <w:pPr>
        <w:pStyle w:val="Ruller41"/>
        <w:rPr>
          <w:rtl/>
        </w:rPr>
      </w:pPr>
    </w:p>
    <w:p w:rsidR="00353C0D" w:rsidRPr="00353C0D" w:rsidRDefault="00353C0D" w:rsidP="00353C0D">
      <w:pPr>
        <w:pStyle w:val="Ruller41"/>
        <w:rPr>
          <w:rFonts w:ascii="Century" w:hAnsi="Century" w:cs="Miriam"/>
          <w:b/>
          <w:spacing w:val="0"/>
          <w:szCs w:val="24"/>
          <w:rtl/>
        </w:rPr>
      </w:pPr>
      <w:r w:rsidRPr="00353C0D">
        <w:rPr>
          <w:rFonts w:ascii="Century" w:hAnsi="Century" w:cs="Miriam" w:hint="cs"/>
          <w:b/>
          <w:spacing w:val="0"/>
          <w:szCs w:val="24"/>
          <w:u w:val="single"/>
          <w:rtl/>
        </w:rPr>
        <w:t>השופט י' אלרון</w:t>
      </w:r>
      <w:r w:rsidRPr="00353C0D">
        <w:rPr>
          <w:rFonts w:ascii="Century" w:hAnsi="Century" w:cs="Miriam" w:hint="cs"/>
          <w:b/>
          <w:spacing w:val="0"/>
          <w:szCs w:val="24"/>
          <w:rtl/>
        </w:rPr>
        <w:t>:</w:t>
      </w:r>
    </w:p>
    <w:p w:rsidR="00353C0D" w:rsidRDefault="00353C0D" w:rsidP="00353C0D">
      <w:pPr>
        <w:pStyle w:val="Ruller41"/>
        <w:rPr>
          <w:rFonts w:hint="cs"/>
          <w:rtl/>
        </w:rPr>
      </w:pPr>
      <w:r>
        <w:rPr>
          <w:rtl/>
        </w:rPr>
        <w:tab/>
      </w:r>
      <w:r>
        <w:rPr>
          <w:rFonts w:hint="cs"/>
          <w:rtl/>
        </w:rPr>
        <w:t>אני מסכים.</w:t>
      </w:r>
    </w:p>
    <w:p w:rsidR="00353C0D" w:rsidRDefault="00353C0D" w:rsidP="00353C0D">
      <w:pPr>
        <w:pStyle w:val="Ruller41"/>
        <w:jc w:val="right"/>
        <w:rPr>
          <w:rFonts w:hint="cs"/>
          <w:rtl/>
        </w:rPr>
      </w:pPr>
      <w:r>
        <w:rPr>
          <w:rFonts w:hint="cs"/>
          <w:rtl/>
        </w:rPr>
        <w:t>ש ו פ ט</w:t>
      </w:r>
    </w:p>
    <w:p w:rsidR="00353C0D" w:rsidRDefault="00353C0D" w:rsidP="00353C0D">
      <w:pPr>
        <w:pStyle w:val="Ruller41"/>
        <w:rPr>
          <w:rtl/>
        </w:rPr>
      </w:pPr>
    </w:p>
    <w:p w:rsidR="00D24C93" w:rsidRDefault="00D24C93" w:rsidP="00D24C93">
      <w:pPr>
        <w:pStyle w:val="Ruller4"/>
        <w:numPr>
          <w:ilvl w:val="0"/>
          <w:numId w:val="0"/>
        </w:numPr>
        <w:rPr>
          <w:rtl/>
        </w:rPr>
      </w:pPr>
      <w:r w:rsidRPr="00ED555E">
        <w:rPr>
          <w:rFonts w:ascii="Times New Roman" w:hAnsi="Times New Roman" w:cs="Miriam" w:hint="cs"/>
          <w:szCs w:val="24"/>
          <w:u w:val="single"/>
          <w:rtl/>
        </w:rPr>
        <w:t>השופט ע' גרוסקופף</w:t>
      </w:r>
      <w:r>
        <w:rPr>
          <w:rFonts w:hint="cs"/>
          <w:rtl/>
        </w:rPr>
        <w:t xml:space="preserve">: </w:t>
      </w:r>
    </w:p>
    <w:p w:rsidR="00D24C93" w:rsidRDefault="00D24C93" w:rsidP="00D24C93">
      <w:pPr>
        <w:pStyle w:val="Ruller4"/>
        <w:numPr>
          <w:ilvl w:val="0"/>
          <w:numId w:val="0"/>
        </w:numPr>
        <w:rPr>
          <w:rtl/>
        </w:rPr>
      </w:pPr>
    </w:p>
    <w:p w:rsidR="00D24C93" w:rsidRDefault="00D24C93" w:rsidP="00D24C93">
      <w:pPr>
        <w:pStyle w:val="Ruller4"/>
        <w:numPr>
          <w:ilvl w:val="0"/>
          <w:numId w:val="0"/>
        </w:numPr>
        <w:rPr>
          <w:rtl/>
        </w:rPr>
      </w:pPr>
      <w:r>
        <w:rPr>
          <w:rtl/>
        </w:rPr>
        <w:tab/>
      </w:r>
      <w:r>
        <w:rPr>
          <w:rFonts w:hint="cs"/>
          <w:rtl/>
        </w:rPr>
        <w:t>אני מסכים.</w:t>
      </w:r>
    </w:p>
    <w:p w:rsidR="00D24C93" w:rsidRDefault="00D24C93" w:rsidP="00D24C93">
      <w:pPr>
        <w:pStyle w:val="Ruller4"/>
        <w:numPr>
          <w:ilvl w:val="0"/>
          <w:numId w:val="0"/>
        </w:numPr>
        <w:rPr>
          <w:rtl/>
        </w:rPr>
      </w:pPr>
    </w:p>
    <w:p w:rsidR="00D24C93" w:rsidRDefault="00D24C93" w:rsidP="00D24C93">
      <w:pPr>
        <w:pStyle w:val="Ruller4"/>
        <w:numPr>
          <w:ilvl w:val="0"/>
          <w:numId w:val="0"/>
        </w:numPr>
        <w:ind w:firstLine="720"/>
        <w:rPr>
          <w:rtl/>
        </w:rPr>
      </w:pPr>
      <w:r>
        <w:rPr>
          <w:rFonts w:hint="cs"/>
          <w:rtl/>
        </w:rPr>
        <w:t>ההגדרה הבסיסית של "</w:t>
      </w:r>
      <w:r w:rsidRPr="00ED555E">
        <w:rPr>
          <w:rFonts w:ascii="Century" w:hAnsi="Century" w:cs="Miriam" w:hint="cs"/>
          <w:b/>
          <w:spacing w:val="0"/>
          <w:sz w:val="22"/>
          <w:szCs w:val="24"/>
          <w:rtl/>
        </w:rPr>
        <w:t>איגוד מקרקעין</w:t>
      </w:r>
      <w:r>
        <w:rPr>
          <w:rFonts w:hint="cs"/>
          <w:rtl/>
        </w:rPr>
        <w:t xml:space="preserve">" בסעיף 1 לחוק מיסוי מקרקעין (שבח ורכישה), התשכ"ג </w:t>
      </w:r>
      <w:r w:rsidRPr="00ED555E">
        <w:rPr>
          <w:rtl/>
        </w:rPr>
        <w:t>–</w:t>
      </w:r>
      <w:r>
        <w:rPr>
          <w:rFonts w:hint="cs"/>
          <w:rtl/>
        </w:rPr>
        <w:t xml:space="preserve"> 1963 (להלן: </w:t>
      </w:r>
      <w:r w:rsidRPr="00ED555E">
        <w:rPr>
          <w:rFonts w:ascii="Century" w:hAnsi="Century" w:cs="Miriam" w:hint="cs"/>
          <w:b/>
          <w:spacing w:val="0"/>
          <w:sz w:val="22"/>
          <w:szCs w:val="24"/>
          <w:rtl/>
        </w:rPr>
        <w:t>חוק מיסוי מקרקעין</w:t>
      </w:r>
      <w:r>
        <w:rPr>
          <w:rFonts w:hint="cs"/>
          <w:rtl/>
        </w:rPr>
        <w:t>) היא "</w:t>
      </w:r>
      <w:r w:rsidRPr="00ED555E">
        <w:rPr>
          <w:rFonts w:ascii="Century" w:hAnsi="Century" w:cs="Miriam" w:hint="cs"/>
          <w:b/>
          <w:spacing w:val="0"/>
          <w:sz w:val="22"/>
          <w:szCs w:val="24"/>
          <w:rtl/>
        </w:rPr>
        <w:t>איגוד שכל נכסיו, במישרין או בעקיפין, הם זכויות במקרקעין</w:t>
      </w:r>
      <w:r>
        <w:rPr>
          <w:rFonts w:hint="cs"/>
          <w:rtl/>
        </w:rPr>
        <w:t>". לכך הוסיף המחוקק בסיפא הגדרה מרחיבה, לפיה "</w:t>
      </w:r>
      <w:r w:rsidRPr="00ED555E">
        <w:rPr>
          <w:rFonts w:ascii="Century" w:hAnsi="Century" w:cs="Miriam" w:hint="cs"/>
          <w:b/>
          <w:spacing w:val="0"/>
          <w:sz w:val="22"/>
          <w:szCs w:val="24"/>
          <w:rtl/>
        </w:rPr>
        <w:t>מזומנים, מניות, איגרות חוב, ניירות ערך אחרים, ומטלטלין</w:t>
      </w:r>
      <w:r>
        <w:rPr>
          <w:rFonts w:hint="cs"/>
          <w:rtl/>
        </w:rPr>
        <w:t xml:space="preserve">" שהם נכסי האיגוד לא יביאו להוצאתו מגדר "איגוד מקרקעין", ובלבד שאין הם משמשים לייצור הכנסתו או שהם טפלים למטרות העיקריות של האיגוד. </w:t>
      </w:r>
    </w:p>
    <w:p w:rsidR="00D24C93" w:rsidRPr="00ED555E" w:rsidRDefault="00D24C93" w:rsidP="00D24C93">
      <w:pPr>
        <w:rPr>
          <w:rtl/>
        </w:rPr>
      </w:pPr>
    </w:p>
    <w:p w:rsidR="00D24C93" w:rsidRDefault="00D24C93" w:rsidP="00D24C93">
      <w:pPr>
        <w:pStyle w:val="Ruller4"/>
        <w:numPr>
          <w:ilvl w:val="0"/>
          <w:numId w:val="0"/>
        </w:numPr>
        <w:rPr>
          <w:rtl/>
        </w:rPr>
      </w:pPr>
      <w:r>
        <w:rPr>
          <w:rtl/>
        </w:rPr>
        <w:tab/>
      </w:r>
      <w:r>
        <w:rPr>
          <w:rFonts w:hint="cs"/>
          <w:rtl/>
        </w:rPr>
        <w:t xml:space="preserve">לוז טענת המערערות היא שכאשר כתחליף לאחת מהזכויות במקרקעין קמה לאיגוד מקרקעין זכות תביעה כספית (להלן: </w:t>
      </w:r>
      <w:r w:rsidRPr="00ED555E">
        <w:rPr>
          <w:rFonts w:ascii="Century" w:hAnsi="Century" w:cs="Miriam" w:hint="cs"/>
          <w:b/>
          <w:spacing w:val="0"/>
          <w:sz w:val="22"/>
          <w:szCs w:val="24"/>
          <w:rtl/>
        </w:rPr>
        <w:t>חוב</w:t>
      </w:r>
      <w:r w:rsidRPr="00ED555E">
        <w:rPr>
          <w:rFonts w:hint="cs"/>
          <w:rtl/>
        </w:rPr>
        <w:t>)</w:t>
      </w:r>
      <w:r>
        <w:rPr>
          <w:rFonts w:hint="cs"/>
          <w:rtl/>
        </w:rPr>
        <w:t>, הרי שלפחות חלק מנכסי האיגוד אינם עוד זכויות במקרקעין, ועל כן אין הוא נופל עוד לגדר ההגדרה הבסיסית של "איגוד מקרקעין". זאת ועוד, מאחר ש"חוב" אינו בא לשיטת המערערות בגדר "</w:t>
      </w:r>
      <w:r w:rsidRPr="00ED555E">
        <w:rPr>
          <w:rFonts w:ascii="Century" w:hAnsi="Century" w:cs="Miriam" w:hint="cs"/>
          <w:b/>
          <w:spacing w:val="0"/>
          <w:sz w:val="22"/>
          <w:szCs w:val="24"/>
          <w:rtl/>
        </w:rPr>
        <w:t>מזומנים, מניות, איגרות חוב, ניירות ערך אחרים, ומטלטלין</w:t>
      </w:r>
      <w:r>
        <w:rPr>
          <w:rFonts w:hint="cs"/>
          <w:rtl/>
        </w:rPr>
        <w:t>", אין לטעון בענייננו לקיומו של איגוד מקרקעין אף מכוח ההגדרה המרחיבה של המונח.</w:t>
      </w:r>
    </w:p>
    <w:p w:rsidR="00D24C93" w:rsidRDefault="00D24C93" w:rsidP="00D24C93">
      <w:pPr>
        <w:pStyle w:val="Ruller4"/>
        <w:numPr>
          <w:ilvl w:val="0"/>
          <w:numId w:val="0"/>
        </w:numPr>
        <w:rPr>
          <w:rtl/>
        </w:rPr>
      </w:pPr>
      <w:r>
        <w:rPr>
          <w:rFonts w:hint="cs"/>
          <w:rtl/>
        </w:rPr>
        <w:t xml:space="preserve"> </w:t>
      </w:r>
    </w:p>
    <w:p w:rsidR="00D24C93" w:rsidRDefault="00D24C93" w:rsidP="00D24C93">
      <w:pPr>
        <w:pStyle w:val="Ruller4"/>
        <w:numPr>
          <w:ilvl w:val="0"/>
          <w:numId w:val="0"/>
        </w:numPr>
        <w:rPr>
          <w:rtl/>
        </w:rPr>
      </w:pPr>
      <w:r>
        <w:rPr>
          <w:rtl/>
        </w:rPr>
        <w:tab/>
      </w:r>
      <w:r>
        <w:rPr>
          <w:rFonts w:hint="cs"/>
          <w:rtl/>
        </w:rPr>
        <w:t>משמעות קבלת טענות אלה היא שבכל מקרה בו תאגיד מקרקעין מממש נכס מקרקעין, בין אם באופן כפוי (בעקבות הפקעה או פגיעה תכנונית המקימות זכות לפיצויים) ובין אם באופן רצוני (בעקבות מכירה המקימה זכות לתמורה החוזית), הוא מפסיק באותו רגע לשמש כאיגוד מקרקעין, וזאת לפחות עד למועד בו מתקבל פירעון של החוב, והנכס הופך לכדי "</w:t>
      </w:r>
      <w:r w:rsidRPr="00ED555E">
        <w:rPr>
          <w:rFonts w:ascii="Century" w:hAnsi="Century" w:cs="Miriam" w:hint="cs"/>
          <w:b/>
          <w:spacing w:val="0"/>
          <w:sz w:val="22"/>
          <w:szCs w:val="24"/>
          <w:rtl/>
        </w:rPr>
        <w:t>מזומנים</w:t>
      </w:r>
      <w:r>
        <w:rPr>
          <w:rFonts w:hint="cs"/>
          <w:rtl/>
        </w:rPr>
        <w:t xml:space="preserve">" בידיו. היטיב המשיב לאפיין גישה זו כמייצרת "איגוד מקרקעין מהבהב". </w:t>
      </w:r>
    </w:p>
    <w:p w:rsidR="00D24C93" w:rsidRDefault="00D24C93" w:rsidP="00D24C93">
      <w:pPr>
        <w:pStyle w:val="Ruller4"/>
        <w:numPr>
          <w:ilvl w:val="0"/>
          <w:numId w:val="0"/>
        </w:numPr>
        <w:rPr>
          <w:rtl/>
        </w:rPr>
      </w:pPr>
    </w:p>
    <w:p w:rsidR="00D24C93" w:rsidRDefault="00D24C93" w:rsidP="00D24C93">
      <w:pPr>
        <w:pStyle w:val="Ruller4"/>
        <w:numPr>
          <w:ilvl w:val="0"/>
          <w:numId w:val="0"/>
        </w:numPr>
        <w:rPr>
          <w:rtl/>
        </w:rPr>
      </w:pPr>
      <w:r>
        <w:rPr>
          <w:rtl/>
        </w:rPr>
        <w:tab/>
      </w:r>
      <w:r>
        <w:rPr>
          <w:rFonts w:hint="cs"/>
          <w:rtl/>
        </w:rPr>
        <w:t>דומני כי די בהעמדת הדברים בצורה זו על מנת להצביע על מופרכות הפרשנות המוצעת מבחינת תכליות חוק מיסוי מקרקעין. מבחינה דוקטרינרית ניתן להגיע לתוצאה הרצויה באחת משתי דרכים: פרשנות מרחיבה למונח "</w:t>
      </w:r>
      <w:r w:rsidRPr="00ED555E">
        <w:rPr>
          <w:rFonts w:ascii="Century" w:hAnsi="Century" w:cs="Miriam" w:hint="cs"/>
          <w:b/>
          <w:spacing w:val="0"/>
          <w:sz w:val="22"/>
          <w:szCs w:val="24"/>
          <w:rtl/>
        </w:rPr>
        <w:t>זכויות במקרקעין</w:t>
      </w:r>
      <w:r>
        <w:rPr>
          <w:rFonts w:hint="cs"/>
          <w:rtl/>
        </w:rPr>
        <w:t xml:space="preserve">", כך שיכלול גם חוב אשר נוצר חלף זכות במקרקעין. זו דרכו של חברי; ופרשנות מרחיבה לרשימת הנכסים עליהם חלה ההגדרה המרחיבה, כך שתכלול גם חוב שאינו משמש לייצור הכנסה או שהוא טפל למטרות העיקריות של האיגוד. זו הדרך לה אני נוטה (וראו פסקה 24 לפסק </w:t>
      </w:r>
      <w:r>
        <w:rPr>
          <w:rFonts w:hint="cs"/>
          <w:rtl/>
        </w:rPr>
        <w:lastRenderedPageBreak/>
        <w:t xml:space="preserve">דינה של הנשיאה (בדימ') </w:t>
      </w:r>
      <w:r w:rsidRPr="00823477">
        <w:rPr>
          <w:rFonts w:ascii="Century" w:hAnsi="Century" w:cs="Miriam" w:hint="cs"/>
          <w:b/>
          <w:spacing w:val="0"/>
          <w:sz w:val="22"/>
          <w:szCs w:val="24"/>
          <w:rtl/>
        </w:rPr>
        <w:t xml:space="preserve">מרים נאור </w:t>
      </w:r>
      <w:r>
        <w:rPr>
          <w:rFonts w:hint="cs"/>
          <w:rtl/>
        </w:rPr>
        <w:t xml:space="preserve">בע"א 74/15 </w:t>
      </w:r>
      <w:r w:rsidRPr="00ED555E">
        <w:rPr>
          <w:rFonts w:ascii="Century" w:hAnsi="Century" w:cs="Miriam" w:hint="cs"/>
          <w:b/>
          <w:spacing w:val="0"/>
          <w:sz w:val="22"/>
          <w:szCs w:val="24"/>
          <w:rtl/>
        </w:rPr>
        <w:t>מנהל מיסוי מקרקעין רחובות נ' גזית גלוב ישראל (פיתוח) בע"מ</w:t>
      </w:r>
      <w:r>
        <w:rPr>
          <w:rFonts w:hint="cs"/>
          <w:rtl/>
        </w:rPr>
        <w:t xml:space="preserve"> (14.12.2017), בה מובהר כי המונח "</w:t>
      </w:r>
      <w:r w:rsidRPr="00823477">
        <w:rPr>
          <w:rFonts w:ascii="Century" w:hAnsi="Century" w:cs="Miriam" w:hint="cs"/>
          <w:b/>
          <w:spacing w:val="0"/>
          <w:sz w:val="22"/>
          <w:szCs w:val="24"/>
          <w:rtl/>
        </w:rPr>
        <w:t>מטלטלין</w:t>
      </w:r>
      <w:r>
        <w:rPr>
          <w:rFonts w:hint="cs"/>
          <w:rtl/>
        </w:rPr>
        <w:t>", לעניין ההגדרה המרחיבה של "</w:t>
      </w:r>
      <w:r w:rsidRPr="00823477">
        <w:rPr>
          <w:rFonts w:ascii="Century" w:hAnsi="Century" w:cs="Miriam" w:hint="cs"/>
          <w:b/>
          <w:spacing w:val="0"/>
          <w:sz w:val="22"/>
          <w:szCs w:val="24"/>
          <w:rtl/>
        </w:rPr>
        <w:t>איגוד מקרקעין</w:t>
      </w:r>
      <w:r>
        <w:rPr>
          <w:rFonts w:hint="cs"/>
          <w:rtl/>
        </w:rPr>
        <w:t xml:space="preserve">" בחוק מיסוי מקרקעין כולל גם נכסים בלתי מוחשיים, וזאת לאור פרשנות מונח זה במועד בו נחקקה ההגדרה האמורה). </w:t>
      </w:r>
    </w:p>
    <w:p w:rsidR="00D24C93" w:rsidRPr="00ED555E" w:rsidRDefault="00D24C93" w:rsidP="00D24C93">
      <w:pPr>
        <w:rPr>
          <w:rtl/>
        </w:rPr>
      </w:pPr>
    </w:p>
    <w:p w:rsidR="00D24C93" w:rsidRDefault="00D24C93" w:rsidP="00D24C93">
      <w:pPr>
        <w:pStyle w:val="Ruller4"/>
        <w:numPr>
          <w:ilvl w:val="0"/>
          <w:numId w:val="0"/>
        </w:numPr>
        <w:rPr>
          <w:rtl/>
        </w:rPr>
      </w:pPr>
      <w:r>
        <w:rPr>
          <w:rtl/>
        </w:rPr>
        <w:tab/>
      </w:r>
      <w:r>
        <w:rPr>
          <w:rFonts w:hint="cs"/>
          <w:rtl/>
        </w:rPr>
        <w:t xml:space="preserve">בין כך ובין כך </w:t>
      </w:r>
      <w:r w:rsidRPr="00ED555E">
        <w:rPr>
          <w:rtl/>
        </w:rPr>
        <w:t>–</w:t>
      </w:r>
      <w:r>
        <w:rPr>
          <w:rFonts w:hint="cs"/>
          <w:rtl/>
        </w:rPr>
        <w:t xml:space="preserve"> וככל הנראה, גם כך וגם כך </w:t>
      </w:r>
      <w:r w:rsidRPr="00ED555E">
        <w:rPr>
          <w:rtl/>
        </w:rPr>
        <w:t>–</w:t>
      </w:r>
      <w:r>
        <w:rPr>
          <w:rFonts w:hint="cs"/>
          <w:rtl/>
        </w:rPr>
        <w:t xml:space="preserve"> דין הערעור שלפנינו להידחות. </w:t>
      </w:r>
    </w:p>
    <w:p w:rsidR="00353C0D" w:rsidRDefault="00353C0D" w:rsidP="00353C0D">
      <w:pPr>
        <w:pStyle w:val="Ruller41"/>
        <w:rPr>
          <w:rtl/>
        </w:rPr>
      </w:pPr>
    </w:p>
    <w:p w:rsidR="00353C0D" w:rsidRDefault="00353C0D" w:rsidP="00BB7E02">
      <w:pPr>
        <w:pStyle w:val="Ruller41"/>
        <w:rPr>
          <w:rFonts w:ascii="Century" w:hAnsi="Century"/>
          <w:rtl/>
        </w:rPr>
      </w:pPr>
    </w:p>
    <w:p w:rsidR="00353C0D" w:rsidRDefault="00353C0D" w:rsidP="00BB7E02">
      <w:pPr>
        <w:pStyle w:val="Ruller41"/>
        <w:jc w:val="right"/>
        <w:rPr>
          <w:rFonts w:ascii="Century" w:hAnsi="Century"/>
          <w:rtl/>
        </w:rPr>
      </w:pPr>
      <w:r>
        <w:rPr>
          <w:rFonts w:ascii="Century" w:hAnsi="Century" w:hint="cs"/>
          <w:rtl/>
        </w:rPr>
        <w:t>ש ו פ ט</w:t>
      </w:r>
    </w:p>
    <w:p w:rsidR="00353C0D" w:rsidRDefault="00353C0D" w:rsidP="00BB7E02">
      <w:pPr>
        <w:pStyle w:val="Ruller41"/>
        <w:rPr>
          <w:rFonts w:ascii="Century" w:hAnsi="Century"/>
          <w:rtl/>
        </w:rPr>
      </w:pPr>
    </w:p>
    <w:p w:rsidR="00353C0D" w:rsidRDefault="00353C0D" w:rsidP="00BB7E02">
      <w:pPr>
        <w:pStyle w:val="Ruller41"/>
        <w:rPr>
          <w:rFonts w:ascii="Century" w:hAnsi="Century"/>
          <w:rtl/>
        </w:rPr>
      </w:pPr>
      <w:r>
        <w:rPr>
          <w:rFonts w:ascii="Century" w:hAnsi="Century"/>
          <w:rtl/>
        </w:rPr>
        <w:tab/>
      </w:r>
      <w:r>
        <w:rPr>
          <w:rFonts w:ascii="Century" w:hAnsi="Century" w:hint="cs"/>
          <w:rtl/>
        </w:rPr>
        <w:t xml:space="preserve">הוחלט כאמור בפסק דינו של השופט </w:t>
      </w:r>
      <w:r w:rsidRPr="00F13F6F">
        <w:rPr>
          <w:rFonts w:ascii="Century" w:hAnsi="Century" w:cs="Miriam" w:hint="cs"/>
          <w:b/>
          <w:spacing w:val="0"/>
          <w:szCs w:val="24"/>
          <w:rtl/>
        </w:rPr>
        <w:t>י' עמית</w:t>
      </w:r>
      <w:r>
        <w:rPr>
          <w:rFonts w:ascii="Century" w:hAnsi="Century" w:hint="cs"/>
          <w:rtl/>
        </w:rPr>
        <w:t>.</w:t>
      </w:r>
    </w:p>
    <w:p w:rsidR="00353C0D" w:rsidRDefault="00353C0D" w:rsidP="00BB7E02">
      <w:pPr>
        <w:pStyle w:val="Ruller41"/>
        <w:rPr>
          <w:rFonts w:ascii="Century" w:hAnsi="Century"/>
          <w:rtl/>
        </w:rPr>
      </w:pPr>
    </w:p>
    <w:p w:rsidR="00353C0D" w:rsidRDefault="00353C0D" w:rsidP="00353C0D">
      <w:pPr>
        <w:pStyle w:val="Ruller41"/>
        <w:rPr>
          <w:rFonts w:ascii="Century" w:hAnsi="Century"/>
          <w:rtl/>
        </w:rPr>
      </w:pPr>
      <w:r>
        <w:rPr>
          <w:rFonts w:ascii="Century" w:hAnsi="Century"/>
          <w:rtl/>
        </w:rPr>
        <w:tab/>
      </w:r>
      <w:r>
        <w:rPr>
          <w:rFonts w:ascii="Century" w:hAnsi="Century" w:hint="eastAsia"/>
          <w:rtl/>
        </w:rPr>
        <w:t>נית</w:t>
      </w:r>
      <w:r>
        <w:rPr>
          <w:rFonts w:ascii="Century" w:hAnsi="Century" w:hint="cs"/>
          <w:rtl/>
        </w:rPr>
        <w:t>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‏כ</w:t>
      </w:r>
      <w:r>
        <w:rPr>
          <w:rFonts w:ascii="Century" w:hAnsi="Century"/>
          <w:rtl/>
        </w:rPr>
        <w:t>"</w:t>
      </w:r>
      <w:r>
        <w:rPr>
          <w:rFonts w:ascii="Century" w:hAnsi="Century" w:hint="eastAsia"/>
          <w:rtl/>
        </w:rPr>
        <w:t>ב</w:t>
      </w:r>
      <w:r>
        <w:rPr>
          <w:rFonts w:ascii="Century" w:hAnsi="Century"/>
          <w:rtl/>
        </w:rPr>
        <w:t xml:space="preserve"> </w:t>
      </w:r>
      <w:r>
        <w:rPr>
          <w:rFonts w:ascii="Century" w:hAnsi="Century" w:hint="eastAsia"/>
          <w:rtl/>
        </w:rPr>
        <w:t>בניסן</w:t>
      </w:r>
      <w:r>
        <w:rPr>
          <w:rFonts w:ascii="Century" w:hAnsi="Century"/>
          <w:rtl/>
        </w:rPr>
        <w:t xml:space="preserve"> </w:t>
      </w:r>
      <w:r>
        <w:rPr>
          <w:rFonts w:ascii="Century" w:hAnsi="Century" w:hint="eastAsia"/>
          <w:rtl/>
        </w:rPr>
        <w:t>התשפ</w:t>
      </w:r>
      <w:r>
        <w:rPr>
          <w:rFonts w:ascii="Century" w:hAnsi="Century"/>
          <w:rtl/>
        </w:rPr>
        <w:t>"</w:t>
      </w:r>
      <w:r>
        <w:rPr>
          <w:rFonts w:ascii="Century" w:hAnsi="Century" w:hint="eastAsia"/>
          <w:rtl/>
        </w:rPr>
        <w:t>א</w:t>
      </w:r>
      <w:r>
        <w:rPr>
          <w:rFonts w:ascii="Century" w:hAnsi="Century"/>
          <w:rtl/>
        </w:rPr>
        <w:t xml:space="preserve"> (</w:t>
      </w:r>
      <w:r>
        <w:rPr>
          <w:rFonts w:ascii="Century" w:hAnsi="Century" w:hint="eastAsia"/>
          <w:rtl/>
        </w:rPr>
        <w:t>‏</w:t>
      </w:r>
      <w:r>
        <w:rPr>
          <w:rFonts w:ascii="Century" w:hAnsi="Century"/>
          <w:rtl/>
        </w:rPr>
        <w:t>4.4.2021).</w:t>
      </w:r>
    </w:p>
    <w:p w:rsidR="00353C0D" w:rsidRDefault="00353C0D" w:rsidP="00BB7E02">
      <w:pPr>
        <w:pStyle w:val="Ruller41"/>
        <w:rPr>
          <w:rFonts w:ascii="Century" w:hAnsi="Century"/>
          <w:rtl/>
        </w:rPr>
      </w:pPr>
    </w:p>
    <w:p w:rsidR="004A7EF0" w:rsidRDefault="004A7EF0" w:rsidP="00BB7E02">
      <w:pPr>
        <w:pStyle w:val="Ruller41"/>
        <w:rPr>
          <w:rFonts w:ascii="Century" w:hAnsi="Century"/>
          <w:rtl/>
        </w:rPr>
      </w:pPr>
    </w:p>
    <w:p w:rsidR="004A7EF0" w:rsidRDefault="004A7EF0" w:rsidP="00BB7E02">
      <w:pPr>
        <w:pStyle w:val="Ruller41"/>
        <w:rPr>
          <w:rFonts w:ascii="Century" w:hAnsi="Century"/>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7"/>
        <w:gridCol w:w="2768"/>
      </w:tblGrid>
      <w:tr w:rsidR="004A7EF0" w:rsidTr="004A7EF0">
        <w:tc>
          <w:tcPr>
            <w:tcW w:w="2767" w:type="dxa"/>
          </w:tcPr>
          <w:p w:rsidR="004A7EF0" w:rsidRDefault="004A7EF0" w:rsidP="004A7EF0">
            <w:pPr>
              <w:pStyle w:val="Ruller41"/>
              <w:jc w:val="center"/>
              <w:rPr>
                <w:rFonts w:ascii="Century" w:hAnsi="Century"/>
                <w:rtl/>
              </w:rPr>
            </w:pPr>
            <w:r>
              <w:rPr>
                <w:rFonts w:ascii="Century" w:hAnsi="Century" w:hint="cs"/>
                <w:rtl/>
              </w:rPr>
              <w:t>ש ו פ ט</w:t>
            </w:r>
          </w:p>
        </w:tc>
        <w:tc>
          <w:tcPr>
            <w:tcW w:w="2767" w:type="dxa"/>
          </w:tcPr>
          <w:p w:rsidR="004A7EF0" w:rsidRDefault="004A7EF0" w:rsidP="004A7EF0">
            <w:pPr>
              <w:pStyle w:val="Ruller41"/>
              <w:jc w:val="center"/>
              <w:rPr>
                <w:rFonts w:ascii="Century" w:hAnsi="Century"/>
                <w:rtl/>
              </w:rPr>
            </w:pPr>
            <w:r>
              <w:rPr>
                <w:rFonts w:ascii="Century" w:hAnsi="Century" w:hint="cs"/>
                <w:rtl/>
              </w:rPr>
              <w:t>ש ו פ ט</w:t>
            </w:r>
          </w:p>
        </w:tc>
        <w:tc>
          <w:tcPr>
            <w:tcW w:w="2768" w:type="dxa"/>
          </w:tcPr>
          <w:p w:rsidR="004A7EF0" w:rsidRDefault="004A7EF0" w:rsidP="004A7EF0">
            <w:pPr>
              <w:pStyle w:val="Ruller41"/>
              <w:jc w:val="center"/>
              <w:rPr>
                <w:rFonts w:ascii="Century" w:hAnsi="Century"/>
                <w:rtl/>
              </w:rPr>
            </w:pPr>
            <w:r>
              <w:rPr>
                <w:rFonts w:ascii="Century" w:hAnsi="Century" w:hint="cs"/>
                <w:rtl/>
              </w:rPr>
              <w:t>ש ו פ ט</w:t>
            </w:r>
          </w:p>
        </w:tc>
      </w:tr>
    </w:tbl>
    <w:p w:rsidR="00353C0D" w:rsidRDefault="00353C0D" w:rsidP="00BB7E02">
      <w:pPr>
        <w:pStyle w:val="Ruller41"/>
        <w:rPr>
          <w:rFonts w:ascii="Century" w:hAnsi="Century"/>
          <w:rtl/>
        </w:rPr>
      </w:pPr>
    </w:p>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4A7EF0">
      <w:pPr>
        <w:pStyle w:val="Ruller38"/>
        <w:rPr>
          <w:rtl/>
        </w:rPr>
      </w:pPr>
      <w:r>
        <w:rPr>
          <w:sz w:val="16"/>
        </w:rPr>
        <w:t xml:space="preserve"> </w:t>
      </w:r>
      <w:r w:rsidR="00A12E0F">
        <w:rPr>
          <w:sz w:val="16"/>
        </w:rPr>
        <w:t xml:space="preserve">  </w:t>
      </w:r>
      <w:r w:rsidR="00552FB9">
        <w:rPr>
          <w:sz w:val="16"/>
        </w:rPr>
        <w:t xml:space="preserve">19049000_E13.docx   </w:t>
      </w:r>
      <w:r w:rsidR="008B4CDC" w:rsidRPr="008B4CDC">
        <w:rPr>
          <w:rFonts w:hint="cs"/>
          <w:sz w:val="18"/>
          <w:szCs w:val="18"/>
          <w:rtl/>
        </w:rPr>
        <w:t>מפ</w:t>
      </w:r>
      <w:r w:rsidR="00353C0D">
        <w:rPr>
          <w:rFonts w:hint="cs"/>
          <w:rtl/>
        </w:rPr>
        <w:t>+עכב</w:t>
      </w:r>
    </w:p>
    <w:p w:rsidR="003F1F97" w:rsidRDefault="00591983" w:rsidP="00353C0D">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B9" w:rsidRDefault="00552FB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4A7EF0">
      <w:rPr>
        <w:rStyle w:val="a5"/>
        <w:noProof/>
        <w:rtl/>
      </w:rPr>
      <w:t>15</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4559C"/>
    <w:multiLevelType w:val="multilevel"/>
    <w:tmpl w:val="19E00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A6001B"/>
    <w:multiLevelType w:val="hybridMultilevel"/>
    <w:tmpl w:val="B2C4B5E4"/>
    <w:lvl w:ilvl="0" w:tplc="251E3504">
      <w:start w:val="1"/>
      <w:numFmt w:val="decimal"/>
      <w:pStyle w:val="Ruller4"/>
      <w:lvlText w:val="%1."/>
      <w:lvlJc w:val="left"/>
      <w:pPr>
        <w:tabs>
          <w:tab w:val="num" w:pos="907"/>
        </w:tabs>
        <w:ind w:left="0" w:firstLine="0"/>
      </w:pPr>
      <w:rPr>
        <w:rFonts w:hint="default"/>
      </w:rPr>
    </w:lvl>
    <w:lvl w:ilvl="1" w:tplc="384C036C" w:tentative="1">
      <w:start w:val="1"/>
      <w:numFmt w:val="lowerLetter"/>
      <w:lvlText w:val="%2."/>
      <w:lvlJc w:val="left"/>
      <w:pPr>
        <w:tabs>
          <w:tab w:val="num" w:pos="1440"/>
        </w:tabs>
        <w:ind w:left="1440" w:hanging="360"/>
      </w:pPr>
    </w:lvl>
    <w:lvl w:ilvl="2" w:tplc="822EB69E" w:tentative="1">
      <w:start w:val="1"/>
      <w:numFmt w:val="lowerRoman"/>
      <w:lvlText w:val="%3."/>
      <w:lvlJc w:val="right"/>
      <w:pPr>
        <w:tabs>
          <w:tab w:val="num" w:pos="2160"/>
        </w:tabs>
        <w:ind w:left="2160" w:hanging="180"/>
      </w:pPr>
    </w:lvl>
    <w:lvl w:ilvl="3" w:tplc="5748BAE8" w:tentative="1">
      <w:start w:val="1"/>
      <w:numFmt w:val="decimal"/>
      <w:lvlText w:val="%4."/>
      <w:lvlJc w:val="left"/>
      <w:pPr>
        <w:tabs>
          <w:tab w:val="num" w:pos="2880"/>
        </w:tabs>
        <w:ind w:left="2880" w:hanging="360"/>
      </w:pPr>
    </w:lvl>
    <w:lvl w:ilvl="4" w:tplc="06ECC972" w:tentative="1">
      <w:start w:val="1"/>
      <w:numFmt w:val="lowerLetter"/>
      <w:lvlText w:val="%5."/>
      <w:lvlJc w:val="left"/>
      <w:pPr>
        <w:tabs>
          <w:tab w:val="num" w:pos="3600"/>
        </w:tabs>
        <w:ind w:left="3600" w:hanging="360"/>
      </w:pPr>
    </w:lvl>
    <w:lvl w:ilvl="5" w:tplc="A35E0044" w:tentative="1">
      <w:start w:val="1"/>
      <w:numFmt w:val="lowerRoman"/>
      <w:lvlText w:val="%6."/>
      <w:lvlJc w:val="right"/>
      <w:pPr>
        <w:tabs>
          <w:tab w:val="num" w:pos="4320"/>
        </w:tabs>
        <w:ind w:left="4320" w:hanging="180"/>
      </w:pPr>
    </w:lvl>
    <w:lvl w:ilvl="6" w:tplc="799E03A8" w:tentative="1">
      <w:start w:val="1"/>
      <w:numFmt w:val="decimal"/>
      <w:lvlText w:val="%7."/>
      <w:lvlJc w:val="left"/>
      <w:pPr>
        <w:tabs>
          <w:tab w:val="num" w:pos="5040"/>
        </w:tabs>
        <w:ind w:left="5040" w:hanging="360"/>
      </w:pPr>
    </w:lvl>
    <w:lvl w:ilvl="7" w:tplc="B90EEC2A" w:tentative="1">
      <w:start w:val="1"/>
      <w:numFmt w:val="lowerLetter"/>
      <w:lvlText w:val="%8."/>
      <w:lvlJc w:val="left"/>
      <w:pPr>
        <w:tabs>
          <w:tab w:val="num" w:pos="5760"/>
        </w:tabs>
        <w:ind w:left="5760" w:hanging="360"/>
      </w:pPr>
    </w:lvl>
    <w:lvl w:ilvl="8" w:tplc="9BE8C09A" w:tentative="1">
      <w:start w:val="1"/>
      <w:numFmt w:val="lowerRoman"/>
      <w:lvlText w:val="%9."/>
      <w:lvlJc w:val="right"/>
      <w:pPr>
        <w:tabs>
          <w:tab w:val="num" w:pos="6480"/>
        </w:tabs>
        <w:ind w:left="6480" w:hanging="180"/>
      </w:pPr>
    </w:lvl>
  </w:abstractNum>
  <w:abstractNum w:abstractNumId="12" w15:restartNumberingAfterBreak="0">
    <w:nsid w:val="156458C7"/>
    <w:multiLevelType w:val="hybridMultilevel"/>
    <w:tmpl w:val="72E09F06"/>
    <w:lvl w:ilvl="0" w:tplc="1DCEBFAE">
      <w:start w:val="1"/>
      <w:numFmt w:val="decimal"/>
      <w:lvlText w:val="%1."/>
      <w:lvlJc w:val="left"/>
      <w:pPr>
        <w:ind w:left="720" w:hanging="360"/>
      </w:pPr>
      <w:rPr>
        <w:rFonts w:hint="default"/>
      </w:rPr>
    </w:lvl>
    <w:lvl w:ilvl="1" w:tplc="255815B4" w:tentative="1">
      <w:start w:val="1"/>
      <w:numFmt w:val="lowerLetter"/>
      <w:lvlText w:val="%2."/>
      <w:lvlJc w:val="left"/>
      <w:pPr>
        <w:ind w:left="1440" w:hanging="360"/>
      </w:pPr>
    </w:lvl>
    <w:lvl w:ilvl="2" w:tplc="E08E3984" w:tentative="1">
      <w:start w:val="1"/>
      <w:numFmt w:val="lowerRoman"/>
      <w:lvlText w:val="%3."/>
      <w:lvlJc w:val="right"/>
      <w:pPr>
        <w:ind w:left="2160" w:hanging="180"/>
      </w:pPr>
    </w:lvl>
    <w:lvl w:ilvl="3" w:tplc="EE8E876A" w:tentative="1">
      <w:start w:val="1"/>
      <w:numFmt w:val="decimal"/>
      <w:lvlText w:val="%4."/>
      <w:lvlJc w:val="left"/>
      <w:pPr>
        <w:ind w:left="2880" w:hanging="360"/>
      </w:pPr>
    </w:lvl>
    <w:lvl w:ilvl="4" w:tplc="525ABD58" w:tentative="1">
      <w:start w:val="1"/>
      <w:numFmt w:val="lowerLetter"/>
      <w:lvlText w:val="%5."/>
      <w:lvlJc w:val="left"/>
      <w:pPr>
        <w:ind w:left="3600" w:hanging="360"/>
      </w:pPr>
    </w:lvl>
    <w:lvl w:ilvl="5" w:tplc="8480C5C0" w:tentative="1">
      <w:start w:val="1"/>
      <w:numFmt w:val="lowerRoman"/>
      <w:lvlText w:val="%6."/>
      <w:lvlJc w:val="right"/>
      <w:pPr>
        <w:ind w:left="4320" w:hanging="180"/>
      </w:pPr>
    </w:lvl>
    <w:lvl w:ilvl="6" w:tplc="FDC2A9D0" w:tentative="1">
      <w:start w:val="1"/>
      <w:numFmt w:val="decimal"/>
      <w:lvlText w:val="%7."/>
      <w:lvlJc w:val="left"/>
      <w:pPr>
        <w:ind w:left="5040" w:hanging="360"/>
      </w:pPr>
    </w:lvl>
    <w:lvl w:ilvl="7" w:tplc="2C38B40E" w:tentative="1">
      <w:start w:val="1"/>
      <w:numFmt w:val="lowerLetter"/>
      <w:lvlText w:val="%8."/>
      <w:lvlJc w:val="left"/>
      <w:pPr>
        <w:ind w:left="5760" w:hanging="360"/>
      </w:pPr>
    </w:lvl>
    <w:lvl w:ilvl="8" w:tplc="EB76B32C" w:tentative="1">
      <w:start w:val="1"/>
      <w:numFmt w:val="lowerRoman"/>
      <w:lvlText w:val="%9."/>
      <w:lvlJc w:val="right"/>
      <w:pPr>
        <w:ind w:left="6480" w:hanging="180"/>
      </w:pPr>
    </w:lvl>
  </w:abstractNum>
  <w:abstractNum w:abstractNumId="13" w15:restartNumberingAfterBreak="0">
    <w:nsid w:val="19F92B44"/>
    <w:multiLevelType w:val="hybridMultilevel"/>
    <w:tmpl w:val="0D34C658"/>
    <w:lvl w:ilvl="0" w:tplc="FBC088A0">
      <w:start w:val="1"/>
      <w:numFmt w:val="decimal"/>
      <w:lvlText w:val="%1."/>
      <w:lvlJc w:val="left"/>
      <w:pPr>
        <w:ind w:left="720" w:hanging="360"/>
      </w:pPr>
      <w:rPr>
        <w:rFonts w:hint="default"/>
      </w:rPr>
    </w:lvl>
    <w:lvl w:ilvl="1" w:tplc="D2EAE156" w:tentative="1">
      <w:start w:val="1"/>
      <w:numFmt w:val="lowerLetter"/>
      <w:lvlText w:val="%2."/>
      <w:lvlJc w:val="left"/>
      <w:pPr>
        <w:ind w:left="1440" w:hanging="360"/>
      </w:pPr>
    </w:lvl>
    <w:lvl w:ilvl="2" w:tplc="2D20AA7C" w:tentative="1">
      <w:start w:val="1"/>
      <w:numFmt w:val="lowerRoman"/>
      <w:lvlText w:val="%3."/>
      <w:lvlJc w:val="right"/>
      <w:pPr>
        <w:ind w:left="2160" w:hanging="180"/>
      </w:pPr>
    </w:lvl>
    <w:lvl w:ilvl="3" w:tplc="EA320962" w:tentative="1">
      <w:start w:val="1"/>
      <w:numFmt w:val="decimal"/>
      <w:lvlText w:val="%4."/>
      <w:lvlJc w:val="left"/>
      <w:pPr>
        <w:ind w:left="2880" w:hanging="360"/>
      </w:pPr>
    </w:lvl>
    <w:lvl w:ilvl="4" w:tplc="787A6316" w:tentative="1">
      <w:start w:val="1"/>
      <w:numFmt w:val="lowerLetter"/>
      <w:lvlText w:val="%5."/>
      <w:lvlJc w:val="left"/>
      <w:pPr>
        <w:ind w:left="3600" w:hanging="360"/>
      </w:pPr>
    </w:lvl>
    <w:lvl w:ilvl="5" w:tplc="CDD88B52" w:tentative="1">
      <w:start w:val="1"/>
      <w:numFmt w:val="lowerRoman"/>
      <w:lvlText w:val="%6."/>
      <w:lvlJc w:val="right"/>
      <w:pPr>
        <w:ind w:left="4320" w:hanging="180"/>
      </w:pPr>
    </w:lvl>
    <w:lvl w:ilvl="6" w:tplc="6D1C6BBC" w:tentative="1">
      <w:start w:val="1"/>
      <w:numFmt w:val="decimal"/>
      <w:lvlText w:val="%7."/>
      <w:lvlJc w:val="left"/>
      <w:pPr>
        <w:ind w:left="5040" w:hanging="360"/>
      </w:pPr>
    </w:lvl>
    <w:lvl w:ilvl="7" w:tplc="849A6B24" w:tentative="1">
      <w:start w:val="1"/>
      <w:numFmt w:val="lowerLetter"/>
      <w:lvlText w:val="%8."/>
      <w:lvlJc w:val="left"/>
      <w:pPr>
        <w:ind w:left="5760" w:hanging="360"/>
      </w:pPr>
    </w:lvl>
    <w:lvl w:ilvl="8" w:tplc="E0B887C6" w:tentative="1">
      <w:start w:val="1"/>
      <w:numFmt w:val="lowerRoman"/>
      <w:lvlText w:val="%9."/>
      <w:lvlJc w:val="right"/>
      <w:pPr>
        <w:ind w:left="6480" w:hanging="180"/>
      </w:pPr>
    </w:lvl>
  </w:abstractNum>
  <w:abstractNum w:abstractNumId="14" w15:restartNumberingAfterBreak="0">
    <w:nsid w:val="1FD74509"/>
    <w:multiLevelType w:val="hybridMultilevel"/>
    <w:tmpl w:val="DC80C87E"/>
    <w:lvl w:ilvl="0" w:tplc="6ED68A1C">
      <w:start w:val="1"/>
      <w:numFmt w:val="hebrew1"/>
      <w:lvlText w:val="%1."/>
      <w:lvlJc w:val="left"/>
      <w:pPr>
        <w:ind w:left="720" w:hanging="360"/>
      </w:pPr>
      <w:rPr>
        <w:rFonts w:hint="default"/>
      </w:rPr>
    </w:lvl>
    <w:lvl w:ilvl="1" w:tplc="C9C06BC2" w:tentative="1">
      <w:start w:val="1"/>
      <w:numFmt w:val="lowerLetter"/>
      <w:lvlText w:val="%2."/>
      <w:lvlJc w:val="left"/>
      <w:pPr>
        <w:ind w:left="1440" w:hanging="360"/>
      </w:pPr>
    </w:lvl>
    <w:lvl w:ilvl="2" w:tplc="73FCE6EE" w:tentative="1">
      <w:start w:val="1"/>
      <w:numFmt w:val="lowerRoman"/>
      <w:lvlText w:val="%3."/>
      <w:lvlJc w:val="right"/>
      <w:pPr>
        <w:ind w:left="2160" w:hanging="180"/>
      </w:pPr>
    </w:lvl>
    <w:lvl w:ilvl="3" w:tplc="F6269746" w:tentative="1">
      <w:start w:val="1"/>
      <w:numFmt w:val="decimal"/>
      <w:lvlText w:val="%4."/>
      <w:lvlJc w:val="left"/>
      <w:pPr>
        <w:ind w:left="2880" w:hanging="360"/>
      </w:pPr>
    </w:lvl>
    <w:lvl w:ilvl="4" w:tplc="E586C1F8" w:tentative="1">
      <w:start w:val="1"/>
      <w:numFmt w:val="lowerLetter"/>
      <w:lvlText w:val="%5."/>
      <w:lvlJc w:val="left"/>
      <w:pPr>
        <w:ind w:left="3600" w:hanging="360"/>
      </w:pPr>
    </w:lvl>
    <w:lvl w:ilvl="5" w:tplc="CFBE31E0" w:tentative="1">
      <w:start w:val="1"/>
      <w:numFmt w:val="lowerRoman"/>
      <w:lvlText w:val="%6."/>
      <w:lvlJc w:val="right"/>
      <w:pPr>
        <w:ind w:left="4320" w:hanging="180"/>
      </w:pPr>
    </w:lvl>
    <w:lvl w:ilvl="6" w:tplc="B72C9594" w:tentative="1">
      <w:start w:val="1"/>
      <w:numFmt w:val="decimal"/>
      <w:lvlText w:val="%7."/>
      <w:lvlJc w:val="left"/>
      <w:pPr>
        <w:ind w:left="5040" w:hanging="360"/>
      </w:pPr>
    </w:lvl>
    <w:lvl w:ilvl="7" w:tplc="D1567D0E" w:tentative="1">
      <w:start w:val="1"/>
      <w:numFmt w:val="lowerLetter"/>
      <w:lvlText w:val="%8."/>
      <w:lvlJc w:val="left"/>
      <w:pPr>
        <w:ind w:left="5760" w:hanging="360"/>
      </w:pPr>
    </w:lvl>
    <w:lvl w:ilvl="8" w:tplc="FD3EC492" w:tentative="1">
      <w:start w:val="1"/>
      <w:numFmt w:val="lowerRoman"/>
      <w:lvlText w:val="%9."/>
      <w:lvlJc w:val="right"/>
      <w:pPr>
        <w:ind w:left="6480" w:hanging="180"/>
      </w:pPr>
    </w:lvl>
  </w:abstractNum>
  <w:abstractNum w:abstractNumId="15" w15:restartNumberingAfterBreak="0">
    <w:nsid w:val="2BBC0C92"/>
    <w:multiLevelType w:val="hybridMultilevel"/>
    <w:tmpl w:val="6D0E0CBE"/>
    <w:lvl w:ilvl="0" w:tplc="286C10EC">
      <w:start w:val="1"/>
      <w:numFmt w:val="decimal"/>
      <w:lvlText w:val="%1."/>
      <w:lvlJc w:val="left"/>
      <w:pPr>
        <w:ind w:left="720" w:hanging="360"/>
      </w:pPr>
      <w:rPr>
        <w:rFonts w:hint="default"/>
        <w:sz w:val="28"/>
      </w:rPr>
    </w:lvl>
    <w:lvl w:ilvl="1" w:tplc="7FCAE762" w:tentative="1">
      <w:start w:val="1"/>
      <w:numFmt w:val="lowerLetter"/>
      <w:lvlText w:val="%2."/>
      <w:lvlJc w:val="left"/>
      <w:pPr>
        <w:ind w:left="1440" w:hanging="360"/>
      </w:pPr>
    </w:lvl>
    <w:lvl w:ilvl="2" w:tplc="392A665A" w:tentative="1">
      <w:start w:val="1"/>
      <w:numFmt w:val="lowerRoman"/>
      <w:lvlText w:val="%3."/>
      <w:lvlJc w:val="right"/>
      <w:pPr>
        <w:ind w:left="2160" w:hanging="180"/>
      </w:pPr>
    </w:lvl>
    <w:lvl w:ilvl="3" w:tplc="0D861E72" w:tentative="1">
      <w:start w:val="1"/>
      <w:numFmt w:val="decimal"/>
      <w:lvlText w:val="%4."/>
      <w:lvlJc w:val="left"/>
      <w:pPr>
        <w:ind w:left="2880" w:hanging="360"/>
      </w:pPr>
    </w:lvl>
    <w:lvl w:ilvl="4" w:tplc="75A25E7E" w:tentative="1">
      <w:start w:val="1"/>
      <w:numFmt w:val="lowerLetter"/>
      <w:lvlText w:val="%5."/>
      <w:lvlJc w:val="left"/>
      <w:pPr>
        <w:ind w:left="3600" w:hanging="360"/>
      </w:pPr>
    </w:lvl>
    <w:lvl w:ilvl="5" w:tplc="93409978" w:tentative="1">
      <w:start w:val="1"/>
      <w:numFmt w:val="lowerRoman"/>
      <w:lvlText w:val="%6."/>
      <w:lvlJc w:val="right"/>
      <w:pPr>
        <w:ind w:left="4320" w:hanging="180"/>
      </w:pPr>
    </w:lvl>
    <w:lvl w:ilvl="6" w:tplc="1632ED1A" w:tentative="1">
      <w:start w:val="1"/>
      <w:numFmt w:val="decimal"/>
      <w:lvlText w:val="%7."/>
      <w:lvlJc w:val="left"/>
      <w:pPr>
        <w:ind w:left="5040" w:hanging="360"/>
      </w:pPr>
    </w:lvl>
    <w:lvl w:ilvl="7" w:tplc="B5E0FA38" w:tentative="1">
      <w:start w:val="1"/>
      <w:numFmt w:val="lowerLetter"/>
      <w:lvlText w:val="%8."/>
      <w:lvlJc w:val="left"/>
      <w:pPr>
        <w:ind w:left="5760" w:hanging="360"/>
      </w:pPr>
    </w:lvl>
    <w:lvl w:ilvl="8" w:tplc="F6BAF8DE" w:tentative="1">
      <w:start w:val="1"/>
      <w:numFmt w:val="lowerRoman"/>
      <w:lvlText w:val="%9."/>
      <w:lvlJc w:val="right"/>
      <w:pPr>
        <w:ind w:left="6480" w:hanging="180"/>
      </w:pPr>
    </w:lvl>
  </w:abstractNum>
  <w:abstractNum w:abstractNumId="16" w15:restartNumberingAfterBreak="0">
    <w:nsid w:val="3D5761DD"/>
    <w:multiLevelType w:val="multilevel"/>
    <w:tmpl w:val="6DE8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FE70B62"/>
    <w:multiLevelType w:val="hybridMultilevel"/>
    <w:tmpl w:val="ADA8711E"/>
    <w:lvl w:ilvl="0" w:tplc="9580D108">
      <w:start w:val="1"/>
      <w:numFmt w:val="hebrew1"/>
      <w:pStyle w:val="Ruller40"/>
      <w:lvlText w:val="%1."/>
      <w:lvlJc w:val="left"/>
      <w:pPr>
        <w:tabs>
          <w:tab w:val="num" w:pos="907"/>
        </w:tabs>
        <w:ind w:left="0" w:firstLine="0"/>
      </w:pPr>
      <w:rPr>
        <w:rFonts w:hint="default"/>
      </w:rPr>
    </w:lvl>
    <w:lvl w:ilvl="1" w:tplc="957E8B56" w:tentative="1">
      <w:start w:val="1"/>
      <w:numFmt w:val="lowerLetter"/>
      <w:lvlText w:val="%2."/>
      <w:lvlJc w:val="left"/>
      <w:pPr>
        <w:tabs>
          <w:tab w:val="num" w:pos="1440"/>
        </w:tabs>
        <w:ind w:left="1440" w:hanging="360"/>
      </w:pPr>
    </w:lvl>
    <w:lvl w:ilvl="2" w:tplc="D73CBD8E" w:tentative="1">
      <w:start w:val="1"/>
      <w:numFmt w:val="lowerRoman"/>
      <w:lvlText w:val="%3."/>
      <w:lvlJc w:val="right"/>
      <w:pPr>
        <w:tabs>
          <w:tab w:val="num" w:pos="2160"/>
        </w:tabs>
        <w:ind w:left="2160" w:hanging="180"/>
      </w:pPr>
    </w:lvl>
    <w:lvl w:ilvl="3" w:tplc="7BF00834" w:tentative="1">
      <w:start w:val="1"/>
      <w:numFmt w:val="decimal"/>
      <w:lvlText w:val="%4."/>
      <w:lvlJc w:val="left"/>
      <w:pPr>
        <w:tabs>
          <w:tab w:val="num" w:pos="2880"/>
        </w:tabs>
        <w:ind w:left="2880" w:hanging="360"/>
      </w:pPr>
    </w:lvl>
    <w:lvl w:ilvl="4" w:tplc="1444CCEA" w:tentative="1">
      <w:start w:val="1"/>
      <w:numFmt w:val="lowerLetter"/>
      <w:lvlText w:val="%5."/>
      <w:lvlJc w:val="left"/>
      <w:pPr>
        <w:tabs>
          <w:tab w:val="num" w:pos="3600"/>
        </w:tabs>
        <w:ind w:left="3600" w:hanging="360"/>
      </w:pPr>
    </w:lvl>
    <w:lvl w:ilvl="5" w:tplc="C768665C" w:tentative="1">
      <w:start w:val="1"/>
      <w:numFmt w:val="lowerRoman"/>
      <w:lvlText w:val="%6."/>
      <w:lvlJc w:val="right"/>
      <w:pPr>
        <w:tabs>
          <w:tab w:val="num" w:pos="4320"/>
        </w:tabs>
        <w:ind w:left="4320" w:hanging="180"/>
      </w:pPr>
    </w:lvl>
    <w:lvl w:ilvl="6" w:tplc="5A04A55C" w:tentative="1">
      <w:start w:val="1"/>
      <w:numFmt w:val="decimal"/>
      <w:lvlText w:val="%7."/>
      <w:lvlJc w:val="left"/>
      <w:pPr>
        <w:tabs>
          <w:tab w:val="num" w:pos="5040"/>
        </w:tabs>
        <w:ind w:left="5040" w:hanging="360"/>
      </w:pPr>
    </w:lvl>
    <w:lvl w:ilvl="7" w:tplc="30C0A9B8" w:tentative="1">
      <w:start w:val="1"/>
      <w:numFmt w:val="lowerLetter"/>
      <w:lvlText w:val="%8."/>
      <w:lvlJc w:val="left"/>
      <w:pPr>
        <w:tabs>
          <w:tab w:val="num" w:pos="5760"/>
        </w:tabs>
        <w:ind w:left="5760" w:hanging="360"/>
      </w:pPr>
    </w:lvl>
    <w:lvl w:ilvl="8" w:tplc="6C5C6F72" w:tentative="1">
      <w:start w:val="1"/>
      <w:numFmt w:val="lowerRoman"/>
      <w:lvlText w:val="%9."/>
      <w:lvlJc w:val="right"/>
      <w:pPr>
        <w:tabs>
          <w:tab w:val="num" w:pos="6480"/>
        </w:tabs>
        <w:ind w:left="6480" w:hanging="180"/>
      </w:pPr>
    </w:lvl>
  </w:abstractNum>
  <w:abstractNum w:abstractNumId="18" w15:restartNumberingAfterBreak="0">
    <w:nsid w:val="51DB0346"/>
    <w:multiLevelType w:val="hybridMultilevel"/>
    <w:tmpl w:val="4D9CD9CC"/>
    <w:lvl w:ilvl="0" w:tplc="690092B6">
      <w:start w:val="1"/>
      <w:numFmt w:val="decimal"/>
      <w:lvlText w:val="%1."/>
      <w:lvlJc w:val="left"/>
      <w:pPr>
        <w:ind w:left="1155" w:hanging="795"/>
      </w:pPr>
      <w:rPr>
        <w:rFonts w:hint="default"/>
      </w:rPr>
    </w:lvl>
    <w:lvl w:ilvl="1" w:tplc="E1F4F040" w:tentative="1">
      <w:start w:val="1"/>
      <w:numFmt w:val="lowerLetter"/>
      <w:lvlText w:val="%2."/>
      <w:lvlJc w:val="left"/>
      <w:pPr>
        <w:ind w:left="1440" w:hanging="360"/>
      </w:pPr>
    </w:lvl>
    <w:lvl w:ilvl="2" w:tplc="7CB0D3E0" w:tentative="1">
      <w:start w:val="1"/>
      <w:numFmt w:val="lowerRoman"/>
      <w:lvlText w:val="%3."/>
      <w:lvlJc w:val="right"/>
      <w:pPr>
        <w:ind w:left="2160" w:hanging="180"/>
      </w:pPr>
    </w:lvl>
    <w:lvl w:ilvl="3" w:tplc="CDEED3A4" w:tentative="1">
      <w:start w:val="1"/>
      <w:numFmt w:val="decimal"/>
      <w:lvlText w:val="%4."/>
      <w:lvlJc w:val="left"/>
      <w:pPr>
        <w:ind w:left="2880" w:hanging="360"/>
      </w:pPr>
    </w:lvl>
    <w:lvl w:ilvl="4" w:tplc="E61C6E96" w:tentative="1">
      <w:start w:val="1"/>
      <w:numFmt w:val="lowerLetter"/>
      <w:lvlText w:val="%5."/>
      <w:lvlJc w:val="left"/>
      <w:pPr>
        <w:ind w:left="3600" w:hanging="360"/>
      </w:pPr>
    </w:lvl>
    <w:lvl w:ilvl="5" w:tplc="FAA64032" w:tentative="1">
      <w:start w:val="1"/>
      <w:numFmt w:val="lowerRoman"/>
      <w:lvlText w:val="%6."/>
      <w:lvlJc w:val="right"/>
      <w:pPr>
        <w:ind w:left="4320" w:hanging="180"/>
      </w:pPr>
    </w:lvl>
    <w:lvl w:ilvl="6" w:tplc="39A4C516" w:tentative="1">
      <w:start w:val="1"/>
      <w:numFmt w:val="decimal"/>
      <w:lvlText w:val="%7."/>
      <w:lvlJc w:val="left"/>
      <w:pPr>
        <w:ind w:left="5040" w:hanging="360"/>
      </w:pPr>
    </w:lvl>
    <w:lvl w:ilvl="7" w:tplc="6E6ECF72" w:tentative="1">
      <w:start w:val="1"/>
      <w:numFmt w:val="lowerLetter"/>
      <w:lvlText w:val="%8."/>
      <w:lvlJc w:val="left"/>
      <w:pPr>
        <w:ind w:left="5760" w:hanging="360"/>
      </w:pPr>
    </w:lvl>
    <w:lvl w:ilvl="8" w:tplc="C0EA8D7E" w:tentative="1">
      <w:start w:val="1"/>
      <w:numFmt w:val="lowerRoman"/>
      <w:lvlText w:val="%9."/>
      <w:lvlJc w:val="right"/>
      <w:pPr>
        <w:ind w:left="6480" w:hanging="180"/>
      </w:pPr>
    </w:lvl>
  </w:abstractNum>
  <w:abstractNum w:abstractNumId="19" w15:restartNumberingAfterBreak="0">
    <w:nsid w:val="609E4856"/>
    <w:multiLevelType w:val="hybridMultilevel"/>
    <w:tmpl w:val="A3C89F4A"/>
    <w:lvl w:ilvl="0" w:tplc="0B424CDC">
      <w:start w:val="1"/>
      <w:numFmt w:val="decimal"/>
      <w:lvlText w:val="%1."/>
      <w:lvlJc w:val="left"/>
      <w:pPr>
        <w:ind w:left="720" w:hanging="360"/>
      </w:pPr>
      <w:rPr>
        <w:rFonts w:ascii="FrankRuehl" w:hAnsi="FrankRuehl" w:hint="default"/>
      </w:rPr>
    </w:lvl>
    <w:lvl w:ilvl="1" w:tplc="E4A8BCBE" w:tentative="1">
      <w:start w:val="1"/>
      <w:numFmt w:val="lowerLetter"/>
      <w:lvlText w:val="%2."/>
      <w:lvlJc w:val="left"/>
      <w:pPr>
        <w:ind w:left="1440" w:hanging="360"/>
      </w:pPr>
    </w:lvl>
    <w:lvl w:ilvl="2" w:tplc="6988E556" w:tentative="1">
      <w:start w:val="1"/>
      <w:numFmt w:val="lowerRoman"/>
      <w:lvlText w:val="%3."/>
      <w:lvlJc w:val="right"/>
      <w:pPr>
        <w:ind w:left="2160" w:hanging="180"/>
      </w:pPr>
    </w:lvl>
    <w:lvl w:ilvl="3" w:tplc="B7EEB93C" w:tentative="1">
      <w:start w:val="1"/>
      <w:numFmt w:val="decimal"/>
      <w:lvlText w:val="%4."/>
      <w:lvlJc w:val="left"/>
      <w:pPr>
        <w:ind w:left="2880" w:hanging="360"/>
      </w:pPr>
    </w:lvl>
    <w:lvl w:ilvl="4" w:tplc="C674FF04" w:tentative="1">
      <w:start w:val="1"/>
      <w:numFmt w:val="lowerLetter"/>
      <w:lvlText w:val="%5."/>
      <w:lvlJc w:val="left"/>
      <w:pPr>
        <w:ind w:left="3600" w:hanging="360"/>
      </w:pPr>
    </w:lvl>
    <w:lvl w:ilvl="5" w:tplc="E3DC109C" w:tentative="1">
      <w:start w:val="1"/>
      <w:numFmt w:val="lowerRoman"/>
      <w:lvlText w:val="%6."/>
      <w:lvlJc w:val="right"/>
      <w:pPr>
        <w:ind w:left="4320" w:hanging="180"/>
      </w:pPr>
    </w:lvl>
    <w:lvl w:ilvl="6" w:tplc="76BEB908" w:tentative="1">
      <w:start w:val="1"/>
      <w:numFmt w:val="decimal"/>
      <w:lvlText w:val="%7."/>
      <w:lvlJc w:val="left"/>
      <w:pPr>
        <w:ind w:left="5040" w:hanging="360"/>
      </w:pPr>
    </w:lvl>
    <w:lvl w:ilvl="7" w:tplc="F9585502" w:tentative="1">
      <w:start w:val="1"/>
      <w:numFmt w:val="lowerLetter"/>
      <w:lvlText w:val="%8."/>
      <w:lvlJc w:val="left"/>
      <w:pPr>
        <w:ind w:left="5760" w:hanging="360"/>
      </w:pPr>
    </w:lvl>
    <w:lvl w:ilvl="8" w:tplc="8AD6CBAE"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7"/>
  </w:num>
  <w:num w:numId="13">
    <w:abstractNumId w:val="16"/>
  </w:num>
  <w:num w:numId="14">
    <w:abstractNumId w:val="13"/>
  </w:num>
  <w:num w:numId="15">
    <w:abstractNumId w:val="12"/>
  </w:num>
  <w:num w:numId="16">
    <w:abstractNumId w:val="15"/>
  </w:num>
  <w:num w:numId="17">
    <w:abstractNumId w:val="19"/>
  </w:num>
  <w:num w:numId="18">
    <w:abstractNumId w:val="1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A0164"/>
    <w:rsid w:val="00200D6B"/>
    <w:rsid w:val="00265F6E"/>
    <w:rsid w:val="00277FB5"/>
    <w:rsid w:val="002876BF"/>
    <w:rsid w:val="002A4A7A"/>
    <w:rsid w:val="002A4BF3"/>
    <w:rsid w:val="002F7BB6"/>
    <w:rsid w:val="003448B2"/>
    <w:rsid w:val="00353C0D"/>
    <w:rsid w:val="00361DB2"/>
    <w:rsid w:val="0037008A"/>
    <w:rsid w:val="0037622E"/>
    <w:rsid w:val="00377102"/>
    <w:rsid w:val="0039709B"/>
    <w:rsid w:val="003D72DA"/>
    <w:rsid w:val="003F1F97"/>
    <w:rsid w:val="0041048F"/>
    <w:rsid w:val="00437D59"/>
    <w:rsid w:val="004610A4"/>
    <w:rsid w:val="004A7EF0"/>
    <w:rsid w:val="004B29FF"/>
    <w:rsid w:val="004C7868"/>
    <w:rsid w:val="00503A3E"/>
    <w:rsid w:val="00527F02"/>
    <w:rsid w:val="00552FB9"/>
    <w:rsid w:val="005803E2"/>
    <w:rsid w:val="0058440A"/>
    <w:rsid w:val="00591983"/>
    <w:rsid w:val="00624A42"/>
    <w:rsid w:val="0065522F"/>
    <w:rsid w:val="006A30F7"/>
    <w:rsid w:val="006C42AD"/>
    <w:rsid w:val="006E0635"/>
    <w:rsid w:val="00725345"/>
    <w:rsid w:val="00741CC0"/>
    <w:rsid w:val="007B512F"/>
    <w:rsid w:val="007F7512"/>
    <w:rsid w:val="00810894"/>
    <w:rsid w:val="008143AB"/>
    <w:rsid w:val="0083345F"/>
    <w:rsid w:val="00836667"/>
    <w:rsid w:val="00866D0F"/>
    <w:rsid w:val="008B4CDC"/>
    <w:rsid w:val="008C2F11"/>
    <w:rsid w:val="008D78B9"/>
    <w:rsid w:val="008E3F85"/>
    <w:rsid w:val="009051E8"/>
    <w:rsid w:val="00914156"/>
    <w:rsid w:val="00916FF8"/>
    <w:rsid w:val="00922093"/>
    <w:rsid w:val="00930C85"/>
    <w:rsid w:val="009B38DA"/>
    <w:rsid w:val="009B5B8A"/>
    <w:rsid w:val="009F2F53"/>
    <w:rsid w:val="009F4187"/>
    <w:rsid w:val="00A12E0F"/>
    <w:rsid w:val="00A51FAE"/>
    <w:rsid w:val="00A80845"/>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A13AF"/>
    <w:rsid w:val="00CA1444"/>
    <w:rsid w:val="00CB1590"/>
    <w:rsid w:val="00CB7600"/>
    <w:rsid w:val="00CC0E9D"/>
    <w:rsid w:val="00CC3639"/>
    <w:rsid w:val="00CE4EE0"/>
    <w:rsid w:val="00D00B1D"/>
    <w:rsid w:val="00D00CB7"/>
    <w:rsid w:val="00D24C93"/>
    <w:rsid w:val="00D25F16"/>
    <w:rsid w:val="00E21CA9"/>
    <w:rsid w:val="00E31063"/>
    <w:rsid w:val="00E36FE9"/>
    <w:rsid w:val="00E73E98"/>
    <w:rsid w:val="00E75223"/>
    <w:rsid w:val="00E90D72"/>
    <w:rsid w:val="00EA0BE1"/>
    <w:rsid w:val="00EC23AC"/>
    <w:rsid w:val="00EC2992"/>
    <w:rsid w:val="00ED46A4"/>
    <w:rsid w:val="00ED6FD9"/>
    <w:rsid w:val="00EE3810"/>
    <w:rsid w:val="00F63C3B"/>
    <w:rsid w:val="00F959DB"/>
    <w:rsid w:val="00FB4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9D8A8"/>
  <w15:chartTrackingRefBased/>
  <w15:docId w15:val="{9658A570-C565-4922-ABF6-414C1785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3">
    <w:name w:val="heading 3"/>
    <w:basedOn w:val="a"/>
    <w:link w:val="30"/>
    <w:uiPriority w:val="9"/>
    <w:qFormat/>
    <w:rsid w:val="008B4CDC"/>
    <w:pPr>
      <w:overflowPunct/>
      <w:autoSpaceDE/>
      <w:autoSpaceDN/>
      <w:bidi w:val="0"/>
      <w:adjustRightInd/>
      <w:spacing w:before="100" w:beforeAutospacing="1" w:after="100" w:afterAutospacing="1"/>
      <w:textAlignment w:val="auto"/>
      <w:outlineLvl w:val="2"/>
    </w:pPr>
    <w:rPr>
      <w:rFonts w:cs="Times New Roman"/>
      <w:b/>
      <w:bCs/>
      <w:sz w:val="27"/>
      <w:szCs w:val="27"/>
    </w:rPr>
  </w:style>
  <w:style w:type="paragraph" w:styleId="5">
    <w:name w:val="heading 5"/>
    <w:basedOn w:val="a"/>
    <w:next w:val="a"/>
    <w:link w:val="50"/>
    <w:semiHidden/>
    <w:unhideWhenUsed/>
    <w:qFormat/>
    <w:rsid w:val="008B4CDC"/>
    <w:pPr>
      <w:spacing w:before="240" w:after="60" w:line="360" w:lineRule="auto"/>
      <w:outlineLvl w:val="4"/>
    </w:pPr>
    <w:rPr>
      <w:rFonts w:ascii="Calibri" w:hAnsi="Calibri" w:cs="Arial"/>
      <w:b/>
      <w:bCs/>
      <w:i/>
      <w:iCs/>
      <w:spacing w:val="1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30">
    <w:name w:val="כותרת 3 תו"/>
    <w:basedOn w:val="a0"/>
    <w:link w:val="3"/>
    <w:uiPriority w:val="9"/>
    <w:rsid w:val="008B4CDC"/>
    <w:rPr>
      <w:b/>
      <w:bCs/>
      <w:sz w:val="27"/>
      <w:szCs w:val="27"/>
    </w:rPr>
  </w:style>
  <w:style w:type="character" w:customStyle="1" w:styleId="50">
    <w:name w:val="כותרת 5 תו"/>
    <w:basedOn w:val="a0"/>
    <w:link w:val="5"/>
    <w:semiHidden/>
    <w:rsid w:val="008B4CDC"/>
    <w:rPr>
      <w:rFonts w:ascii="Calibri" w:hAnsi="Calibri" w:cs="Arial"/>
      <w:b/>
      <w:bCs/>
      <w:i/>
      <w:iCs/>
      <w:spacing w:val="10"/>
      <w:sz w:val="26"/>
      <w:szCs w:val="26"/>
    </w:rPr>
  </w:style>
  <w:style w:type="character" w:customStyle="1" w:styleId="a4">
    <w:name w:val="כותרת תחתונה תו"/>
    <w:basedOn w:val="a0"/>
    <w:link w:val="a3"/>
    <w:rsid w:val="008B4CDC"/>
    <w:rPr>
      <w:rFonts w:cs="David"/>
      <w:szCs w:val="24"/>
    </w:rPr>
  </w:style>
  <w:style w:type="character" w:customStyle="1" w:styleId="a7">
    <w:name w:val="כותרת עליונה תו"/>
    <w:basedOn w:val="a0"/>
    <w:link w:val="a6"/>
    <w:rsid w:val="008B4CDC"/>
    <w:rPr>
      <w:rFonts w:cs="David"/>
      <w:szCs w:val="24"/>
    </w:rPr>
  </w:style>
  <w:style w:type="paragraph" w:customStyle="1" w:styleId="Ruller4">
    <w:name w:val="Ruller 4 ממוספר"/>
    <w:basedOn w:val="Ruller41"/>
    <w:next w:val="Ruller41"/>
    <w:rsid w:val="008B4CDC"/>
    <w:pPr>
      <w:numPr>
        <w:numId w:val="11"/>
      </w:numPr>
    </w:pPr>
    <w:rPr>
      <w:rFonts w:ascii="Garamond" w:hAnsi="Garamond"/>
      <w:sz w:val="24"/>
    </w:rPr>
  </w:style>
  <w:style w:type="paragraph" w:customStyle="1" w:styleId="Ruller40">
    <w:name w:val="Ruller4 אלפביתי"/>
    <w:basedOn w:val="Ruller41"/>
    <w:next w:val="Ruller41"/>
    <w:rsid w:val="008B4CDC"/>
    <w:pPr>
      <w:numPr>
        <w:numId w:val="12"/>
      </w:numPr>
    </w:pPr>
  </w:style>
  <w:style w:type="character" w:customStyle="1" w:styleId="Ruller42">
    <w:name w:val="Ruller4 תו"/>
    <w:link w:val="Ruller41"/>
    <w:locked/>
    <w:rsid w:val="008B4CDC"/>
    <w:rPr>
      <w:rFonts w:ascii="Arial TUR" w:hAnsi="Arial TUR" w:cs="FrankRuehl"/>
      <w:spacing w:val="10"/>
      <w:sz w:val="22"/>
      <w:szCs w:val="28"/>
    </w:rPr>
  </w:style>
  <w:style w:type="paragraph" w:customStyle="1" w:styleId="big-header">
    <w:name w:val="big-header"/>
    <w:basedOn w:val="a"/>
    <w:rsid w:val="008B4CDC"/>
    <w:pPr>
      <w:keepNext/>
      <w:keepLines/>
      <w:widowControl w:val="0"/>
      <w:tabs>
        <w:tab w:val="left" w:pos="624"/>
        <w:tab w:val="left" w:pos="1021"/>
        <w:tab w:val="left" w:pos="1474"/>
        <w:tab w:val="left" w:pos="1928"/>
        <w:tab w:val="left" w:pos="2381"/>
        <w:tab w:val="left" w:pos="2835"/>
      </w:tabs>
      <w:suppressAutoHyphens/>
      <w:overflowPunct/>
      <w:adjustRightInd/>
      <w:spacing w:before="440" w:after="120" w:line="360" w:lineRule="auto"/>
      <w:ind w:left="2835"/>
      <w:jc w:val="center"/>
      <w:textAlignment w:val="auto"/>
    </w:pPr>
    <w:rPr>
      <w:noProof/>
      <w:szCs w:val="32"/>
      <w:lang w:eastAsia="he-IL"/>
    </w:rPr>
  </w:style>
  <w:style w:type="paragraph" w:customStyle="1" w:styleId="filenumber00">
    <w:name w:val="filenumber0"/>
    <w:basedOn w:val="a"/>
    <w:rsid w:val="008B4CDC"/>
    <w:pPr>
      <w:adjustRightInd/>
      <w:spacing w:line="360" w:lineRule="auto"/>
      <w:textAlignment w:val="auto"/>
    </w:pPr>
    <w:rPr>
      <w:rFonts w:cs="Times New Roman"/>
      <w:szCs w:val="20"/>
    </w:rPr>
  </w:style>
  <w:style w:type="paragraph" w:styleId="af0">
    <w:name w:val="footnote text"/>
    <w:basedOn w:val="a"/>
    <w:link w:val="af1"/>
    <w:unhideWhenUsed/>
    <w:rsid w:val="008B4CDC"/>
    <w:pPr>
      <w:spacing w:line="360" w:lineRule="auto"/>
    </w:pPr>
    <w:rPr>
      <w:rFonts w:ascii="Century" w:hAnsi="Century" w:cs="FrankRuehl"/>
      <w:spacing w:val="10"/>
      <w:szCs w:val="20"/>
    </w:rPr>
  </w:style>
  <w:style w:type="character" w:customStyle="1" w:styleId="af1">
    <w:name w:val="טקסט הערת שוליים תו"/>
    <w:basedOn w:val="a0"/>
    <w:link w:val="af0"/>
    <w:rsid w:val="008B4CDC"/>
    <w:rPr>
      <w:rFonts w:ascii="Century" w:hAnsi="Century" w:cs="FrankRuehl"/>
      <w:spacing w:val="10"/>
    </w:rPr>
  </w:style>
  <w:style w:type="character" w:styleId="af2">
    <w:name w:val="footnote reference"/>
    <w:unhideWhenUsed/>
    <w:rsid w:val="008B4CDC"/>
    <w:rPr>
      <w:vertAlign w:val="superscript"/>
    </w:rPr>
  </w:style>
  <w:style w:type="character" w:customStyle="1" w:styleId="notbold1">
    <w:name w:val="notbold1"/>
    <w:rsid w:val="008B4CDC"/>
    <w:rPr>
      <w:b w:val="0"/>
      <w:bCs w:val="0"/>
    </w:rPr>
  </w:style>
  <w:style w:type="character" w:customStyle="1" w:styleId="default">
    <w:name w:val="default"/>
    <w:rsid w:val="008B4CDC"/>
  </w:style>
  <w:style w:type="character" w:customStyle="1" w:styleId="big-number">
    <w:name w:val="big-number"/>
    <w:rsid w:val="008B4CDC"/>
  </w:style>
  <w:style w:type="paragraph" w:customStyle="1" w:styleId="P02">
    <w:name w:val="P02"/>
    <w:basedOn w:val="a"/>
    <w:rsid w:val="008B4CDC"/>
    <w:pPr>
      <w:widowControl w:val="0"/>
      <w:tabs>
        <w:tab w:val="left" w:pos="624"/>
        <w:tab w:val="left" w:pos="1021"/>
        <w:tab w:val="left" w:pos="1474"/>
        <w:tab w:val="left" w:pos="1928"/>
        <w:tab w:val="left" w:pos="2381"/>
        <w:tab w:val="left" w:pos="2835"/>
        <w:tab w:val="right" w:leader="dot" w:pos="6259"/>
      </w:tabs>
      <w:suppressAutoHyphens/>
      <w:overflowPunct/>
      <w:adjustRightInd/>
      <w:spacing w:before="60"/>
      <w:ind w:left="2835" w:right="1021" w:hanging="1021"/>
      <w:jc w:val="both"/>
      <w:textAlignment w:val="auto"/>
    </w:pPr>
    <w:rPr>
      <w:rFonts w:cs="Times New Roman"/>
      <w:noProof/>
      <w:szCs w:val="26"/>
      <w:lang w:eastAsia="he-IL"/>
    </w:rPr>
  </w:style>
  <w:style w:type="paragraph" w:customStyle="1" w:styleId="P00">
    <w:name w:val="P00"/>
    <w:link w:val="P000"/>
    <w:rsid w:val="008B4CD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P000">
    <w:name w:val="P00 תו"/>
    <w:link w:val="P00"/>
    <w:rsid w:val="008B4CDC"/>
    <w:rPr>
      <w:noProof/>
      <w:szCs w:val="26"/>
      <w:lang w:eastAsia="he-IL"/>
    </w:rPr>
  </w:style>
  <w:style w:type="character" w:customStyle="1" w:styleId="hatama">
    <w:name w:val="hatama"/>
    <w:rsid w:val="008B4CDC"/>
  </w:style>
  <w:style w:type="paragraph" w:customStyle="1" w:styleId="p001">
    <w:name w:val="p00"/>
    <w:basedOn w:val="a"/>
    <w:rsid w:val="008B4CDC"/>
    <w:pPr>
      <w:overflowPunct/>
      <w:autoSpaceDE/>
      <w:autoSpaceDN/>
      <w:bidi w:val="0"/>
      <w:adjustRightInd/>
      <w:spacing w:before="100" w:beforeAutospacing="1" w:after="100" w:afterAutospacing="1"/>
      <w:textAlignment w:val="auto"/>
    </w:pPr>
    <w:rPr>
      <w:rFonts w:cs="Times New Roman"/>
      <w:sz w:val="24"/>
    </w:rPr>
  </w:style>
  <w:style w:type="paragraph" w:customStyle="1" w:styleId="a30">
    <w:name w:val="a3"/>
    <w:basedOn w:val="a"/>
    <w:rsid w:val="008B4CDC"/>
    <w:pPr>
      <w:overflowPunct/>
      <w:autoSpaceDE/>
      <w:autoSpaceDN/>
      <w:bidi w:val="0"/>
      <w:adjustRightInd/>
      <w:spacing w:before="100" w:beforeAutospacing="1" w:after="100" w:afterAutospacing="1"/>
      <w:textAlignment w:val="auto"/>
    </w:pPr>
    <w:rPr>
      <w:rFonts w:cs="Times New Roman"/>
      <w:sz w:val="24"/>
    </w:rPr>
  </w:style>
  <w:style w:type="paragraph" w:customStyle="1" w:styleId="ruller43">
    <w:name w:val="ruller4"/>
    <w:basedOn w:val="a"/>
    <w:rsid w:val="008B4CDC"/>
    <w:pPr>
      <w:overflowPunct/>
      <w:autoSpaceDE/>
      <w:autoSpaceDN/>
      <w:bidi w:val="0"/>
      <w:adjustRightInd/>
      <w:spacing w:before="100" w:beforeAutospacing="1" w:after="100" w:afterAutospacing="1"/>
      <w:textAlignment w:val="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4617</Words>
  <Characters>23091</Characters>
  <Application>Microsoft Office Word</Application>
  <DocSecurity>0</DocSecurity>
  <Lines>549</Lines>
  <Paragraphs>113</Paragraphs>
  <ScaleCrop>false</ScaleCrop>
  <HeadingPairs>
    <vt:vector size="2" baseType="variant">
      <vt:variant>
        <vt:lpstr>שם</vt:lpstr>
      </vt:variant>
      <vt:variant>
        <vt:i4>1</vt:i4>
      </vt:variant>
    </vt:vector>
  </HeadingPairs>
  <TitlesOfParts>
    <vt:vector size="1" baseType="lpstr">
      <vt:lpstr>פסק-דין בתיק ע"א  4900/19</vt:lpstr>
    </vt:vector>
  </TitlesOfParts>
  <Company/>
  <LinksUpToDate>false</LinksUpToDate>
  <CharactersWithSpaces>27595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2021-04-04T11:36:06Z</cp:lastPrinted>
  <dcterms:created xsi:type="dcterms:W3CDTF">2021-04-04T11:36:06Z</dcterms:created>
  <dcterms:modified xsi:type="dcterms:W3CDTF">2021-04-04T11:36:06Z</dcterms:modified>
</cp:coreProperties>
</file>