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68B1A" w14:textId="5E9E4442" w:rsidR="00F125D1" w:rsidRDefault="00F125D1" w:rsidP="00F125D1">
      <w:pPr>
        <w:jc w:val="right"/>
        <w:rPr>
          <w:rFonts w:cs="Miriam" w:hint="cs"/>
          <w:b/>
          <w:bCs/>
          <w:sz w:val="16"/>
          <w:szCs w:val="16"/>
          <w:u w:val="single"/>
          <w:rtl/>
        </w:rPr>
      </w:pPr>
    </w:p>
    <w:p w14:paraId="78AD788E" w14:textId="1ECE3509" w:rsidR="001821FB" w:rsidRDefault="001821FB" w:rsidP="00F125D1">
      <w:pPr>
        <w:jc w:val="right"/>
        <w:rPr>
          <w:rFonts w:cs="Miriam"/>
          <w:b/>
          <w:bCs/>
          <w:sz w:val="16"/>
          <w:szCs w:val="16"/>
          <w:u w:val="single"/>
          <w:rtl/>
        </w:rPr>
      </w:pPr>
    </w:p>
    <w:p w14:paraId="67D56472" w14:textId="77777777" w:rsidR="001821FB" w:rsidRPr="00377102" w:rsidRDefault="001821FB" w:rsidP="00F125D1">
      <w:pPr>
        <w:jc w:val="right"/>
        <w:rPr>
          <w:rFonts w:cs="Miriam"/>
          <w:b/>
          <w:bCs/>
          <w:sz w:val="16"/>
          <w:szCs w:val="16"/>
          <w:u w:val="single"/>
        </w:rPr>
      </w:pPr>
    </w:p>
    <w:tbl>
      <w:tblPr>
        <w:bidiVisual/>
        <w:tblW w:w="8363" w:type="dxa"/>
        <w:tblInd w:w="9" w:type="dxa"/>
        <w:tblLook w:val="0000" w:firstRow="0" w:lastRow="0" w:firstColumn="0" w:lastColumn="0" w:noHBand="0" w:noVBand="0"/>
      </w:tblPr>
      <w:tblGrid>
        <w:gridCol w:w="8363"/>
      </w:tblGrid>
      <w:tr w:rsidR="00F125D1" w14:paraId="7846DE8C" w14:textId="77777777" w:rsidTr="009D4515">
        <w:tc>
          <w:tcPr>
            <w:tcW w:w="7848" w:type="dxa"/>
          </w:tcPr>
          <w:p w14:paraId="1EF3566A" w14:textId="77777777" w:rsidR="00F125D1" w:rsidRPr="00624A42" w:rsidRDefault="00F125D1" w:rsidP="009D4515">
            <w:pPr>
              <w:pStyle w:val="FileNumber0"/>
              <w:rPr>
                <w:sz w:val="28"/>
                <w:u w:val="single"/>
                <w:rtl/>
              </w:rPr>
            </w:pPr>
            <w:r>
              <w:rPr>
                <w:u w:val="single"/>
                <w:rtl/>
              </w:rPr>
              <w:t>בבית המשפט העליון בשבתו כבית משפט גבוה לצדק</w:t>
            </w:r>
          </w:p>
        </w:tc>
      </w:tr>
    </w:tbl>
    <w:p w14:paraId="51D489FC" w14:textId="77777777" w:rsidR="00F125D1" w:rsidRDefault="00F125D1" w:rsidP="00F125D1">
      <w:pPr>
        <w:jc w:val="right"/>
        <w:rPr>
          <w:rFonts w:cs="Miriam"/>
          <w:b/>
          <w:bCs/>
          <w:u w:val="single"/>
        </w:rPr>
      </w:pPr>
    </w:p>
    <w:tbl>
      <w:tblPr>
        <w:bidiVisual/>
        <w:tblW w:w="8363" w:type="dxa"/>
        <w:tblLook w:val="0000" w:firstRow="0" w:lastRow="0" w:firstColumn="0" w:lastColumn="0" w:noHBand="0" w:noVBand="0"/>
      </w:tblPr>
      <w:tblGrid>
        <w:gridCol w:w="8363"/>
      </w:tblGrid>
      <w:tr w:rsidR="00F125D1" w14:paraId="5EEB4BFB" w14:textId="77777777" w:rsidTr="009D4515">
        <w:trPr>
          <w:trHeight w:val="342"/>
        </w:trPr>
        <w:tc>
          <w:tcPr>
            <w:tcW w:w="9828" w:type="dxa"/>
          </w:tcPr>
          <w:p w14:paraId="61BE5C64" w14:textId="77777777" w:rsidR="00F125D1" w:rsidRPr="00810894" w:rsidRDefault="00F125D1" w:rsidP="009D4515">
            <w:pPr>
              <w:pStyle w:val="FileNumber"/>
              <w:rPr>
                <w:sz w:val="28"/>
                <w:szCs w:val="28"/>
              </w:rPr>
            </w:pPr>
            <w:bookmarkStart w:id="0" w:name="casename_body"/>
            <w:r>
              <w:rPr>
                <w:sz w:val="28"/>
                <w:szCs w:val="28"/>
                <w:rtl/>
              </w:rPr>
              <w:t>בג"ץ 5604/19</w:t>
            </w:r>
          </w:p>
        </w:tc>
      </w:tr>
      <w:tr w:rsidR="00F125D1" w14:paraId="2F826F50" w14:textId="77777777" w:rsidTr="009D4515">
        <w:trPr>
          <w:trHeight w:val="342"/>
        </w:trPr>
        <w:tc>
          <w:tcPr>
            <w:tcW w:w="9828" w:type="dxa"/>
          </w:tcPr>
          <w:p w14:paraId="03CECC5B" w14:textId="77777777" w:rsidR="00F125D1" w:rsidRPr="00810894" w:rsidRDefault="00F125D1" w:rsidP="009D4515">
            <w:pPr>
              <w:pStyle w:val="FileNumber"/>
              <w:rPr>
                <w:sz w:val="28"/>
                <w:szCs w:val="28"/>
              </w:rPr>
            </w:pPr>
            <w:r>
              <w:rPr>
                <w:sz w:val="28"/>
                <w:szCs w:val="28"/>
                <w:rtl/>
              </w:rPr>
              <w:t>בג"ץ 6061/19</w:t>
            </w:r>
          </w:p>
        </w:tc>
      </w:tr>
      <w:tr w:rsidR="00F125D1" w14:paraId="0D32D625" w14:textId="77777777" w:rsidTr="009D4515">
        <w:trPr>
          <w:trHeight w:val="342"/>
        </w:trPr>
        <w:tc>
          <w:tcPr>
            <w:tcW w:w="9828" w:type="dxa"/>
          </w:tcPr>
          <w:p w14:paraId="39F52901" w14:textId="77777777" w:rsidR="00F125D1" w:rsidRDefault="00F125D1" w:rsidP="009D4515">
            <w:pPr>
              <w:pStyle w:val="FileNumber"/>
              <w:rPr>
                <w:sz w:val="28"/>
                <w:szCs w:val="28"/>
                <w:rtl/>
              </w:rPr>
            </w:pPr>
            <w:r>
              <w:rPr>
                <w:sz w:val="28"/>
                <w:szCs w:val="28"/>
                <w:rtl/>
              </w:rPr>
              <w:t>בג"ץ 6651/19</w:t>
            </w:r>
          </w:p>
        </w:tc>
      </w:tr>
      <w:bookmarkEnd w:id="0"/>
    </w:tbl>
    <w:p w14:paraId="724E078E" w14:textId="77777777" w:rsidR="00F125D1" w:rsidRDefault="00F125D1" w:rsidP="00F125D1">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F125D1" w14:paraId="4D5040FB" w14:textId="77777777" w:rsidTr="009D4515">
        <w:trPr>
          <w:trHeight w:val="287"/>
        </w:trPr>
        <w:tc>
          <w:tcPr>
            <w:tcW w:w="3261" w:type="dxa"/>
          </w:tcPr>
          <w:p w14:paraId="3684C2AE" w14:textId="77777777" w:rsidR="00F125D1" w:rsidRDefault="00F125D1" w:rsidP="009D4515">
            <w:pPr>
              <w:pStyle w:val="BodyRuller"/>
              <w:rPr>
                <w:rFonts w:cs="Miriam"/>
                <w:b/>
                <w:bCs/>
                <w:u w:val="single"/>
              </w:rPr>
            </w:pPr>
            <w:r>
              <w:rPr>
                <w:rFonts w:hint="cs"/>
                <w:rtl/>
              </w:rPr>
              <w:t>ל</w:t>
            </w:r>
            <w:r>
              <w:rPr>
                <w:rtl/>
              </w:rPr>
              <w:t>פני:</w:t>
            </w:r>
            <w:r>
              <w:rPr>
                <w:rtl/>
              </w:rPr>
              <w:tab/>
            </w:r>
          </w:p>
        </w:tc>
        <w:tc>
          <w:tcPr>
            <w:tcW w:w="5239" w:type="dxa"/>
          </w:tcPr>
          <w:p w14:paraId="1E2D5CDD" w14:textId="77777777" w:rsidR="00F125D1" w:rsidRDefault="00F125D1" w:rsidP="009D4515">
            <w:pPr>
              <w:pStyle w:val="BodyRuller"/>
            </w:pPr>
            <w:r>
              <w:rPr>
                <w:rtl/>
              </w:rPr>
              <w:t>כבוד הנשיאה א' חיות</w:t>
            </w:r>
          </w:p>
        </w:tc>
      </w:tr>
      <w:tr w:rsidR="00F125D1" w14:paraId="22894121" w14:textId="77777777" w:rsidTr="009D4515">
        <w:trPr>
          <w:trHeight w:val="287"/>
        </w:trPr>
        <w:tc>
          <w:tcPr>
            <w:tcW w:w="3261" w:type="dxa"/>
          </w:tcPr>
          <w:p w14:paraId="1AD9CDF4" w14:textId="77777777" w:rsidR="00F125D1" w:rsidRDefault="00F125D1" w:rsidP="009D4515">
            <w:pPr>
              <w:pStyle w:val="BodyRuller"/>
              <w:rPr>
                <w:rtl/>
              </w:rPr>
            </w:pPr>
          </w:p>
        </w:tc>
        <w:tc>
          <w:tcPr>
            <w:tcW w:w="5239" w:type="dxa"/>
          </w:tcPr>
          <w:p w14:paraId="30BECB47" w14:textId="77777777" w:rsidR="00F125D1" w:rsidRDefault="00F125D1" w:rsidP="009D4515">
            <w:pPr>
              <w:pStyle w:val="BodyRuller"/>
              <w:rPr>
                <w:rtl/>
              </w:rPr>
            </w:pPr>
            <w:r>
              <w:rPr>
                <w:rtl/>
              </w:rPr>
              <w:t>כבוד המשנה לנשיאה ע' פוגלמן</w:t>
            </w:r>
          </w:p>
        </w:tc>
      </w:tr>
      <w:tr w:rsidR="00F125D1" w14:paraId="11A2C6EF" w14:textId="77777777" w:rsidTr="009D4515">
        <w:trPr>
          <w:trHeight w:val="287"/>
        </w:trPr>
        <w:tc>
          <w:tcPr>
            <w:tcW w:w="3261" w:type="dxa"/>
          </w:tcPr>
          <w:p w14:paraId="06945CC5" w14:textId="77777777" w:rsidR="00F125D1" w:rsidRDefault="00F125D1" w:rsidP="009D4515">
            <w:pPr>
              <w:pStyle w:val="BodyRuller"/>
              <w:rPr>
                <w:rtl/>
              </w:rPr>
            </w:pPr>
          </w:p>
        </w:tc>
        <w:tc>
          <w:tcPr>
            <w:tcW w:w="5239" w:type="dxa"/>
          </w:tcPr>
          <w:p w14:paraId="04B79383" w14:textId="77777777" w:rsidR="00F125D1" w:rsidRDefault="00F125D1" w:rsidP="009D4515">
            <w:pPr>
              <w:pStyle w:val="BodyRuller"/>
              <w:rPr>
                <w:rtl/>
              </w:rPr>
            </w:pPr>
            <w:r>
              <w:rPr>
                <w:rtl/>
              </w:rPr>
              <w:t>כבוד השופטת ד' ברק-ארז</w:t>
            </w:r>
          </w:p>
        </w:tc>
      </w:tr>
    </w:tbl>
    <w:p w14:paraId="2CB67719" w14:textId="77777777" w:rsidR="00F125D1" w:rsidRDefault="00F125D1" w:rsidP="00F125D1">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F125D1" w:rsidRPr="005E23F9" w14:paraId="599D521F" w14:textId="77777777" w:rsidTr="009D4515">
        <w:trPr>
          <w:trHeight w:val="287"/>
        </w:trPr>
        <w:tc>
          <w:tcPr>
            <w:tcW w:w="3210" w:type="dxa"/>
          </w:tcPr>
          <w:p w14:paraId="6F03BD5D" w14:textId="77777777" w:rsidR="00F125D1" w:rsidRPr="00F136C8" w:rsidRDefault="00F125D1" w:rsidP="009D4515">
            <w:pPr>
              <w:pStyle w:val="BodyRuller"/>
            </w:pPr>
            <w:r w:rsidRPr="00F136C8">
              <w:rPr>
                <w:rtl/>
              </w:rPr>
              <w:t>העותר</w:t>
            </w:r>
            <w:r w:rsidRPr="00F136C8">
              <w:rPr>
                <w:rFonts w:hint="cs"/>
                <w:rtl/>
              </w:rPr>
              <w:t>ת בבג"ץ 5604/19 ובבג"ץ 6651/19:</w:t>
            </w:r>
          </w:p>
        </w:tc>
        <w:tc>
          <w:tcPr>
            <w:tcW w:w="5154" w:type="dxa"/>
          </w:tcPr>
          <w:p w14:paraId="7D849D54" w14:textId="77777777" w:rsidR="00F125D1" w:rsidRPr="005E23F9" w:rsidRDefault="00F125D1" w:rsidP="009D4515">
            <w:pPr>
              <w:pStyle w:val="BodyRuller"/>
              <w:rPr>
                <w:rtl/>
              </w:rPr>
            </w:pPr>
          </w:p>
          <w:p w14:paraId="6394AC27" w14:textId="77777777" w:rsidR="00F125D1" w:rsidRPr="005E23F9" w:rsidRDefault="00F125D1" w:rsidP="009D4515">
            <w:pPr>
              <w:pStyle w:val="BodyRuller"/>
            </w:pPr>
            <w:r w:rsidRPr="005E23F9">
              <w:rPr>
                <w:rtl/>
              </w:rPr>
              <w:t>התנועה לטוהר המידות</w:t>
            </w:r>
          </w:p>
        </w:tc>
      </w:tr>
      <w:tr w:rsidR="00F125D1" w:rsidRPr="005E23F9" w14:paraId="1B85B360" w14:textId="77777777" w:rsidTr="009D4515">
        <w:trPr>
          <w:trHeight w:val="287"/>
        </w:trPr>
        <w:tc>
          <w:tcPr>
            <w:tcW w:w="3210" w:type="dxa"/>
          </w:tcPr>
          <w:p w14:paraId="03645611" w14:textId="77777777" w:rsidR="00F125D1" w:rsidRPr="00F136C8" w:rsidRDefault="00F125D1" w:rsidP="009D4515">
            <w:pPr>
              <w:pStyle w:val="BodyRuller"/>
              <w:rPr>
                <w:rtl/>
              </w:rPr>
            </w:pPr>
          </w:p>
        </w:tc>
        <w:tc>
          <w:tcPr>
            <w:tcW w:w="5154" w:type="dxa"/>
          </w:tcPr>
          <w:p w14:paraId="3B4685BF" w14:textId="77777777" w:rsidR="00F125D1" w:rsidRPr="005E23F9" w:rsidRDefault="00F125D1" w:rsidP="009D4515">
            <w:pPr>
              <w:pStyle w:val="BodyRuller"/>
              <w:rPr>
                <w:rtl/>
              </w:rPr>
            </w:pPr>
          </w:p>
        </w:tc>
      </w:tr>
      <w:tr w:rsidR="00F125D1" w:rsidRPr="005E23F9" w14:paraId="5DA9F0E3" w14:textId="77777777" w:rsidTr="009D4515">
        <w:trPr>
          <w:trHeight w:val="287"/>
        </w:trPr>
        <w:tc>
          <w:tcPr>
            <w:tcW w:w="3210" w:type="dxa"/>
          </w:tcPr>
          <w:p w14:paraId="733F2C2F" w14:textId="77777777" w:rsidR="00F125D1" w:rsidRPr="00F136C8" w:rsidRDefault="00F125D1" w:rsidP="009D4515">
            <w:pPr>
              <w:pStyle w:val="BodyRuller"/>
              <w:rPr>
                <w:rtl/>
              </w:rPr>
            </w:pPr>
            <w:r w:rsidRPr="00F136C8">
              <w:rPr>
                <w:rFonts w:hint="cs"/>
                <w:rtl/>
              </w:rPr>
              <w:t>העותרת בבג"ץ 6061/19:</w:t>
            </w:r>
          </w:p>
        </w:tc>
        <w:tc>
          <w:tcPr>
            <w:tcW w:w="5154" w:type="dxa"/>
          </w:tcPr>
          <w:p w14:paraId="598EFDC2" w14:textId="77777777" w:rsidR="00F125D1" w:rsidRPr="005E23F9" w:rsidRDefault="00F125D1" w:rsidP="009D4515">
            <w:pPr>
              <w:pStyle w:val="BodyRuller"/>
              <w:rPr>
                <w:rtl/>
              </w:rPr>
            </w:pPr>
            <w:r w:rsidRPr="005E23F9">
              <w:rPr>
                <w:rFonts w:hint="cs"/>
                <w:rtl/>
              </w:rPr>
              <w:t>התנועה למען איכות השלטון בישראל</w:t>
            </w:r>
          </w:p>
        </w:tc>
      </w:tr>
    </w:tbl>
    <w:p w14:paraId="5B8B2681" w14:textId="77777777" w:rsidR="00F125D1" w:rsidRPr="00F136C8" w:rsidRDefault="00F125D1" w:rsidP="00F125D1">
      <w:pPr>
        <w:pStyle w:val="BodyRuller"/>
        <w:rPr>
          <w:rtl/>
        </w:rPr>
      </w:pPr>
    </w:p>
    <w:tbl>
      <w:tblPr>
        <w:bidiVisual/>
        <w:tblW w:w="8363" w:type="dxa"/>
        <w:tblLook w:val="0000" w:firstRow="0" w:lastRow="0" w:firstColumn="0" w:lastColumn="0" w:noHBand="0" w:noVBand="0"/>
      </w:tblPr>
      <w:tblGrid>
        <w:gridCol w:w="3222"/>
        <w:gridCol w:w="5141"/>
      </w:tblGrid>
      <w:tr w:rsidR="00F125D1" w:rsidRPr="005E23F9" w14:paraId="5EA4A49E" w14:textId="77777777" w:rsidTr="009D4515">
        <w:tc>
          <w:tcPr>
            <w:tcW w:w="3222" w:type="dxa"/>
          </w:tcPr>
          <w:p w14:paraId="04510E3D" w14:textId="77777777" w:rsidR="00F125D1" w:rsidRPr="005E23F9" w:rsidRDefault="00F125D1" w:rsidP="009D4515">
            <w:pPr>
              <w:pStyle w:val="BodyRuller"/>
            </w:pPr>
          </w:p>
        </w:tc>
        <w:tc>
          <w:tcPr>
            <w:tcW w:w="5141" w:type="dxa"/>
          </w:tcPr>
          <w:p w14:paraId="349BF8CD" w14:textId="77777777" w:rsidR="00F125D1" w:rsidRPr="005E23F9" w:rsidRDefault="00F125D1" w:rsidP="009D4515">
            <w:pPr>
              <w:pStyle w:val="BodyRuller"/>
            </w:pPr>
            <w:r w:rsidRPr="005E23F9">
              <w:rPr>
                <w:rFonts w:hint="cs"/>
                <w:rtl/>
              </w:rPr>
              <w:t>נ</w:t>
            </w:r>
            <w:r w:rsidRPr="005E23F9">
              <w:t xml:space="preserve">  </w:t>
            </w:r>
            <w:r w:rsidRPr="005E23F9">
              <w:rPr>
                <w:rFonts w:hint="cs"/>
                <w:rtl/>
              </w:rPr>
              <w:t>ג</w:t>
            </w:r>
            <w:r w:rsidRPr="005E23F9">
              <w:t xml:space="preserve">  </w:t>
            </w:r>
            <w:r w:rsidRPr="005E23F9">
              <w:rPr>
                <w:rFonts w:hint="cs"/>
                <w:rtl/>
              </w:rPr>
              <w:t>ד</w:t>
            </w:r>
          </w:p>
        </w:tc>
      </w:tr>
    </w:tbl>
    <w:p w14:paraId="6D4C1A90" w14:textId="77777777" w:rsidR="00F125D1" w:rsidRDefault="00F125D1" w:rsidP="00F125D1">
      <w:pPr>
        <w:pStyle w:val="BodyRuller"/>
        <w:rPr>
          <w:rtl/>
        </w:rPr>
      </w:pPr>
    </w:p>
    <w:tbl>
      <w:tblPr>
        <w:bidiVisual/>
        <w:tblW w:w="0" w:type="dxa"/>
        <w:tblCellMar>
          <w:left w:w="0" w:type="dxa"/>
          <w:right w:w="0" w:type="dxa"/>
        </w:tblCellMar>
        <w:tblLook w:val="04A0" w:firstRow="1" w:lastRow="0" w:firstColumn="1" w:lastColumn="0" w:noHBand="0" w:noVBand="1"/>
      </w:tblPr>
      <w:tblGrid>
        <w:gridCol w:w="3192"/>
        <w:gridCol w:w="5120"/>
      </w:tblGrid>
      <w:tr w:rsidR="00F125D1" w:rsidRPr="00C91C6F" w14:paraId="23FA5755" w14:textId="77777777" w:rsidTr="009D4515">
        <w:trPr>
          <w:trHeight w:val="287"/>
        </w:trPr>
        <w:tc>
          <w:tcPr>
            <w:tcW w:w="3210" w:type="dxa"/>
            <w:tcMar>
              <w:top w:w="0" w:type="dxa"/>
              <w:left w:w="108" w:type="dxa"/>
              <w:bottom w:w="0" w:type="dxa"/>
              <w:right w:w="108" w:type="dxa"/>
            </w:tcMar>
            <w:hideMark/>
          </w:tcPr>
          <w:p w14:paraId="1BA3E600" w14:textId="77777777" w:rsidR="00F125D1" w:rsidRPr="00C91C6F" w:rsidRDefault="00F125D1" w:rsidP="009D4515">
            <w:pPr>
              <w:rPr>
                <w:sz w:val="22"/>
                <w:szCs w:val="28"/>
              </w:rPr>
            </w:pPr>
            <w:r w:rsidRPr="00C91C6F">
              <w:rPr>
                <w:rFonts w:hint="cs"/>
                <w:sz w:val="22"/>
                <w:szCs w:val="28"/>
                <w:rtl/>
              </w:rPr>
              <w:t>המשיבים בבג"ץ 5604/19:</w:t>
            </w:r>
          </w:p>
        </w:tc>
        <w:tc>
          <w:tcPr>
            <w:tcW w:w="5154" w:type="dxa"/>
            <w:tcMar>
              <w:top w:w="0" w:type="dxa"/>
              <w:left w:w="108" w:type="dxa"/>
              <w:bottom w:w="0" w:type="dxa"/>
              <w:right w:w="108" w:type="dxa"/>
            </w:tcMar>
            <w:hideMark/>
          </w:tcPr>
          <w:p w14:paraId="79BB3FD3" w14:textId="77777777" w:rsidR="00F125D1" w:rsidRPr="00C91C6F" w:rsidRDefault="00F125D1" w:rsidP="009D4515">
            <w:pPr>
              <w:rPr>
                <w:sz w:val="22"/>
                <w:szCs w:val="28"/>
              </w:rPr>
            </w:pPr>
            <w:r w:rsidRPr="00C91C6F">
              <w:rPr>
                <w:rFonts w:hint="cs"/>
                <w:sz w:val="22"/>
                <w:szCs w:val="28"/>
                <w:rtl/>
              </w:rPr>
              <w:t xml:space="preserve">1. </w:t>
            </w:r>
            <w:r>
              <w:rPr>
                <w:rFonts w:hint="cs"/>
                <w:sz w:val="22"/>
                <w:szCs w:val="28"/>
                <w:rtl/>
              </w:rPr>
              <w:t>חבר הכנסת בנימין נתניהו</w:t>
            </w:r>
          </w:p>
          <w:p w14:paraId="1F8C79D7" w14:textId="77777777" w:rsidR="00F125D1" w:rsidRPr="00C91C6F" w:rsidRDefault="00F125D1" w:rsidP="009D4515">
            <w:pPr>
              <w:rPr>
                <w:sz w:val="22"/>
                <w:szCs w:val="28"/>
                <w:rtl/>
              </w:rPr>
            </w:pPr>
            <w:r w:rsidRPr="00C91C6F">
              <w:rPr>
                <w:rFonts w:hint="cs"/>
                <w:sz w:val="22"/>
                <w:szCs w:val="28"/>
                <w:rtl/>
              </w:rPr>
              <w:t>2. היוע</w:t>
            </w:r>
            <w:r>
              <w:rPr>
                <w:rFonts w:hint="cs"/>
                <w:sz w:val="22"/>
                <w:szCs w:val="28"/>
                <w:rtl/>
              </w:rPr>
              <w:t>צת</w:t>
            </w:r>
            <w:r w:rsidRPr="00C91C6F">
              <w:rPr>
                <w:rFonts w:hint="cs"/>
                <w:sz w:val="22"/>
                <w:szCs w:val="28"/>
                <w:rtl/>
              </w:rPr>
              <w:t xml:space="preserve"> המשפטי</w:t>
            </w:r>
            <w:r>
              <w:rPr>
                <w:rFonts w:hint="cs"/>
                <w:sz w:val="22"/>
                <w:szCs w:val="28"/>
                <w:rtl/>
              </w:rPr>
              <w:t>ת</w:t>
            </w:r>
            <w:r w:rsidRPr="00C91C6F">
              <w:rPr>
                <w:rFonts w:hint="cs"/>
                <w:sz w:val="22"/>
                <w:szCs w:val="28"/>
                <w:rtl/>
              </w:rPr>
              <w:t xml:space="preserve"> לממשלה</w:t>
            </w:r>
          </w:p>
          <w:p w14:paraId="6B2AEE11" w14:textId="77777777" w:rsidR="00F125D1" w:rsidRPr="00C91C6F" w:rsidRDefault="00F125D1" w:rsidP="009D4515">
            <w:pPr>
              <w:rPr>
                <w:sz w:val="22"/>
                <w:szCs w:val="28"/>
              </w:rPr>
            </w:pPr>
            <w:r w:rsidRPr="00C91C6F">
              <w:rPr>
                <w:rFonts w:hint="cs"/>
                <w:sz w:val="22"/>
                <w:szCs w:val="28"/>
                <w:rtl/>
              </w:rPr>
              <w:t>3. מבקר המדינה</w:t>
            </w:r>
          </w:p>
          <w:p w14:paraId="68FBEE85" w14:textId="77777777" w:rsidR="00F125D1" w:rsidRPr="00C91C6F" w:rsidRDefault="00F125D1" w:rsidP="009D4515">
            <w:pPr>
              <w:rPr>
                <w:sz w:val="22"/>
                <w:szCs w:val="28"/>
                <w:rtl/>
              </w:rPr>
            </w:pPr>
            <w:r w:rsidRPr="00C91C6F">
              <w:rPr>
                <w:rFonts w:hint="cs"/>
                <w:sz w:val="22"/>
                <w:szCs w:val="28"/>
                <w:rtl/>
              </w:rPr>
              <w:t>4. הוועדה למתן היתרים לפי פרק ד' להודעה בדבר הכללים למניעת ניגוד עניינים של שרים וסגני שרים, התשס"ג-2003</w:t>
            </w:r>
          </w:p>
        </w:tc>
      </w:tr>
    </w:tbl>
    <w:p w14:paraId="55F52AC0" w14:textId="77777777" w:rsidR="00F125D1" w:rsidRDefault="00F125D1" w:rsidP="00F125D1">
      <w:pPr>
        <w:pStyle w:val="BodyRuller"/>
        <w:rPr>
          <w:rtl/>
        </w:rPr>
      </w:pPr>
    </w:p>
    <w:p w14:paraId="3975DD8B" w14:textId="77777777" w:rsidR="00F125D1" w:rsidRDefault="00F125D1" w:rsidP="00F125D1">
      <w:pPr>
        <w:pStyle w:val="BodyRuller"/>
        <w:rPr>
          <w:rtl/>
        </w:rPr>
      </w:pPr>
    </w:p>
    <w:tbl>
      <w:tblPr>
        <w:bidiVisual/>
        <w:tblW w:w="0" w:type="dxa"/>
        <w:tblCellMar>
          <w:left w:w="0" w:type="dxa"/>
          <w:right w:w="0" w:type="dxa"/>
        </w:tblCellMar>
        <w:tblLook w:val="04A0" w:firstRow="1" w:lastRow="0" w:firstColumn="1" w:lastColumn="0" w:noHBand="0" w:noVBand="1"/>
      </w:tblPr>
      <w:tblGrid>
        <w:gridCol w:w="3192"/>
        <w:gridCol w:w="5120"/>
      </w:tblGrid>
      <w:tr w:rsidR="00F125D1" w:rsidRPr="00C91C6F" w14:paraId="3A631DB8" w14:textId="77777777" w:rsidTr="009D4515">
        <w:trPr>
          <w:trHeight w:val="369"/>
        </w:trPr>
        <w:tc>
          <w:tcPr>
            <w:tcW w:w="3210" w:type="dxa"/>
            <w:tcMar>
              <w:top w:w="0" w:type="dxa"/>
              <w:left w:w="108" w:type="dxa"/>
              <w:bottom w:w="0" w:type="dxa"/>
              <w:right w:w="108" w:type="dxa"/>
            </w:tcMar>
            <w:hideMark/>
          </w:tcPr>
          <w:p w14:paraId="79C0F682" w14:textId="77777777" w:rsidR="00F125D1" w:rsidRPr="00C91C6F" w:rsidRDefault="00F125D1" w:rsidP="009D4515">
            <w:pPr>
              <w:rPr>
                <w:sz w:val="22"/>
                <w:szCs w:val="28"/>
                <w:rtl/>
              </w:rPr>
            </w:pPr>
            <w:r w:rsidRPr="00C91C6F">
              <w:rPr>
                <w:rFonts w:hint="cs"/>
                <w:sz w:val="22"/>
                <w:szCs w:val="28"/>
                <w:rtl/>
              </w:rPr>
              <w:t>המשיבים בבג"ץ 6061/19:</w:t>
            </w:r>
          </w:p>
        </w:tc>
        <w:tc>
          <w:tcPr>
            <w:tcW w:w="5154" w:type="dxa"/>
            <w:tcMar>
              <w:top w:w="0" w:type="dxa"/>
              <w:left w:w="108" w:type="dxa"/>
              <w:bottom w:w="0" w:type="dxa"/>
              <w:right w:w="108" w:type="dxa"/>
            </w:tcMar>
            <w:hideMark/>
          </w:tcPr>
          <w:p w14:paraId="7ABDD155" w14:textId="77777777" w:rsidR="00F125D1" w:rsidRPr="00C91C6F" w:rsidRDefault="00F125D1" w:rsidP="009D4515">
            <w:pPr>
              <w:rPr>
                <w:sz w:val="22"/>
                <w:szCs w:val="28"/>
                <w:rtl/>
              </w:rPr>
            </w:pPr>
            <w:r w:rsidRPr="00C91C6F">
              <w:rPr>
                <w:rFonts w:hint="cs"/>
                <w:sz w:val="22"/>
                <w:szCs w:val="28"/>
                <w:rtl/>
              </w:rPr>
              <w:t xml:space="preserve">1. </w:t>
            </w:r>
            <w:r>
              <w:rPr>
                <w:rFonts w:hint="cs"/>
                <w:sz w:val="22"/>
                <w:szCs w:val="28"/>
                <w:rtl/>
              </w:rPr>
              <w:t>חבר הכנסת בנימין נתניהו</w:t>
            </w:r>
          </w:p>
          <w:p w14:paraId="5F14B0AC" w14:textId="77777777" w:rsidR="00F125D1" w:rsidRPr="00C91C6F" w:rsidRDefault="00F125D1" w:rsidP="009D4515">
            <w:pPr>
              <w:rPr>
                <w:sz w:val="22"/>
                <w:szCs w:val="28"/>
                <w:rtl/>
              </w:rPr>
            </w:pPr>
            <w:r w:rsidRPr="00C91C6F">
              <w:rPr>
                <w:rFonts w:hint="cs"/>
                <w:sz w:val="22"/>
                <w:szCs w:val="28"/>
                <w:rtl/>
              </w:rPr>
              <w:t>2. הוועדה למתן היתרים לפי פרק ד' להודעה בדבר הכללים למניעת ניגוד עניינים של שרים וסגני שרים, התשס"ג-2003</w:t>
            </w:r>
          </w:p>
          <w:p w14:paraId="37CAADFF" w14:textId="77777777" w:rsidR="00F125D1" w:rsidRPr="00C91C6F" w:rsidRDefault="00F125D1" w:rsidP="009D4515">
            <w:pPr>
              <w:rPr>
                <w:sz w:val="22"/>
                <w:szCs w:val="28"/>
                <w:rtl/>
              </w:rPr>
            </w:pPr>
            <w:r w:rsidRPr="00C91C6F">
              <w:rPr>
                <w:rFonts w:hint="cs"/>
                <w:sz w:val="22"/>
                <w:szCs w:val="28"/>
                <w:rtl/>
              </w:rPr>
              <w:t>3. מבקר המדינה</w:t>
            </w:r>
          </w:p>
          <w:p w14:paraId="7581DE9C" w14:textId="77777777" w:rsidR="00F125D1" w:rsidRPr="00C91C6F" w:rsidRDefault="00F125D1" w:rsidP="009D4515">
            <w:pPr>
              <w:rPr>
                <w:sz w:val="22"/>
                <w:szCs w:val="28"/>
                <w:rtl/>
              </w:rPr>
            </w:pPr>
            <w:r w:rsidRPr="00C91C6F">
              <w:rPr>
                <w:rFonts w:hint="cs"/>
                <w:sz w:val="22"/>
                <w:szCs w:val="28"/>
                <w:rtl/>
              </w:rPr>
              <w:t>4. היוע</w:t>
            </w:r>
            <w:r>
              <w:rPr>
                <w:rFonts w:hint="cs"/>
                <w:sz w:val="22"/>
                <w:szCs w:val="28"/>
                <w:rtl/>
              </w:rPr>
              <w:t>צת</w:t>
            </w:r>
            <w:r w:rsidRPr="00C91C6F">
              <w:rPr>
                <w:rFonts w:hint="cs"/>
                <w:sz w:val="22"/>
                <w:szCs w:val="28"/>
                <w:rtl/>
              </w:rPr>
              <w:t xml:space="preserve"> המשפטי</w:t>
            </w:r>
            <w:r>
              <w:rPr>
                <w:rFonts w:hint="cs"/>
                <w:sz w:val="22"/>
                <w:szCs w:val="28"/>
                <w:rtl/>
              </w:rPr>
              <w:t>ת</w:t>
            </w:r>
            <w:r w:rsidRPr="00C91C6F">
              <w:rPr>
                <w:rFonts w:hint="cs"/>
                <w:sz w:val="22"/>
                <w:szCs w:val="28"/>
                <w:rtl/>
              </w:rPr>
              <w:t xml:space="preserve"> לממשלה</w:t>
            </w:r>
          </w:p>
          <w:p w14:paraId="1245F1BF" w14:textId="77777777" w:rsidR="00F125D1" w:rsidRPr="00C91C6F" w:rsidRDefault="00F125D1" w:rsidP="009D4515">
            <w:pPr>
              <w:rPr>
                <w:sz w:val="22"/>
                <w:szCs w:val="28"/>
                <w:rtl/>
              </w:rPr>
            </w:pPr>
            <w:r w:rsidRPr="00C91C6F">
              <w:rPr>
                <w:rFonts w:hint="cs"/>
                <w:sz w:val="22"/>
                <w:szCs w:val="28"/>
                <w:rtl/>
              </w:rPr>
              <w:t>5. היועצת המשפטית למשרד ראש הממשלה</w:t>
            </w:r>
          </w:p>
          <w:p w14:paraId="2057F598" w14:textId="77777777" w:rsidR="00F125D1" w:rsidRPr="00C91C6F" w:rsidRDefault="00F125D1" w:rsidP="009D4515">
            <w:pPr>
              <w:rPr>
                <w:sz w:val="22"/>
                <w:szCs w:val="28"/>
                <w:rtl/>
              </w:rPr>
            </w:pPr>
            <w:r w:rsidRPr="00C91C6F">
              <w:rPr>
                <w:rFonts w:hint="cs"/>
                <w:sz w:val="22"/>
                <w:szCs w:val="28"/>
                <w:rtl/>
              </w:rPr>
              <w:t>6. מנהל הכספים במשרד ראש הממשלה</w:t>
            </w:r>
          </w:p>
          <w:p w14:paraId="69758D73" w14:textId="77777777" w:rsidR="00F125D1" w:rsidRPr="00C91C6F" w:rsidRDefault="00F125D1" w:rsidP="009D4515">
            <w:pPr>
              <w:rPr>
                <w:sz w:val="22"/>
                <w:szCs w:val="28"/>
                <w:rtl/>
              </w:rPr>
            </w:pPr>
            <w:r w:rsidRPr="00C91C6F">
              <w:rPr>
                <w:rFonts w:hint="cs"/>
                <w:sz w:val="22"/>
                <w:szCs w:val="28"/>
                <w:rtl/>
              </w:rPr>
              <w:t>7. נתן מיליקובסקי</w:t>
            </w:r>
          </w:p>
          <w:p w14:paraId="5DC06EAF" w14:textId="77777777" w:rsidR="00F125D1" w:rsidRPr="00C91C6F" w:rsidRDefault="00F125D1" w:rsidP="009D4515">
            <w:pPr>
              <w:rPr>
                <w:sz w:val="22"/>
                <w:szCs w:val="28"/>
              </w:rPr>
            </w:pPr>
            <w:r w:rsidRPr="00C91C6F">
              <w:rPr>
                <w:rFonts w:hint="cs"/>
                <w:sz w:val="22"/>
                <w:szCs w:val="28"/>
                <w:rtl/>
              </w:rPr>
              <w:t>8. ספנסר פרטרידג'</w:t>
            </w:r>
          </w:p>
        </w:tc>
      </w:tr>
    </w:tbl>
    <w:p w14:paraId="0777F623" w14:textId="77777777" w:rsidR="00F125D1" w:rsidRPr="00C91C6F" w:rsidRDefault="00F125D1" w:rsidP="00F125D1">
      <w:pPr>
        <w:rPr>
          <w:sz w:val="22"/>
          <w:szCs w:val="28"/>
          <w:rtl/>
        </w:rPr>
      </w:pPr>
    </w:p>
    <w:p w14:paraId="202A4B79" w14:textId="77777777" w:rsidR="00F125D1" w:rsidRDefault="00F125D1" w:rsidP="00F125D1">
      <w:pPr>
        <w:pStyle w:val="BodyRuller"/>
        <w:rPr>
          <w:rtl/>
        </w:rPr>
      </w:pPr>
    </w:p>
    <w:tbl>
      <w:tblPr>
        <w:bidiVisual/>
        <w:tblW w:w="8312" w:type="dxa"/>
        <w:tblCellMar>
          <w:left w:w="0" w:type="dxa"/>
          <w:right w:w="0" w:type="dxa"/>
        </w:tblCellMar>
        <w:tblLook w:val="04A0" w:firstRow="1" w:lastRow="0" w:firstColumn="1" w:lastColumn="0" w:noHBand="0" w:noVBand="1"/>
      </w:tblPr>
      <w:tblGrid>
        <w:gridCol w:w="3192"/>
        <w:gridCol w:w="17"/>
        <w:gridCol w:w="5103"/>
      </w:tblGrid>
      <w:tr w:rsidR="00F125D1" w14:paraId="0818A27A" w14:textId="77777777" w:rsidTr="009D4515">
        <w:trPr>
          <w:trHeight w:val="287"/>
        </w:trPr>
        <w:tc>
          <w:tcPr>
            <w:tcW w:w="3192" w:type="dxa"/>
            <w:tcMar>
              <w:top w:w="0" w:type="dxa"/>
              <w:left w:w="108" w:type="dxa"/>
              <w:bottom w:w="0" w:type="dxa"/>
              <w:right w:w="108" w:type="dxa"/>
            </w:tcMar>
            <w:hideMark/>
          </w:tcPr>
          <w:p w14:paraId="119E21A0" w14:textId="77777777" w:rsidR="00F125D1" w:rsidRPr="00C91C6F" w:rsidRDefault="00F125D1" w:rsidP="009D4515">
            <w:pPr>
              <w:rPr>
                <w:sz w:val="22"/>
                <w:szCs w:val="28"/>
                <w:rtl/>
              </w:rPr>
            </w:pPr>
            <w:r w:rsidRPr="00C91C6F">
              <w:rPr>
                <w:rFonts w:hint="cs"/>
                <w:sz w:val="22"/>
                <w:szCs w:val="28"/>
                <w:rtl/>
              </w:rPr>
              <w:t>המשיבים בבג"ץ 6651/19:</w:t>
            </w:r>
          </w:p>
        </w:tc>
        <w:tc>
          <w:tcPr>
            <w:tcW w:w="5120" w:type="dxa"/>
            <w:gridSpan w:val="2"/>
            <w:tcMar>
              <w:top w:w="0" w:type="dxa"/>
              <w:left w:w="108" w:type="dxa"/>
              <w:bottom w:w="0" w:type="dxa"/>
              <w:right w:w="108" w:type="dxa"/>
            </w:tcMar>
            <w:hideMark/>
          </w:tcPr>
          <w:p w14:paraId="7A7CA13B" w14:textId="77777777" w:rsidR="00F125D1" w:rsidRPr="00C91C6F" w:rsidRDefault="00F125D1" w:rsidP="009D4515">
            <w:pPr>
              <w:rPr>
                <w:sz w:val="22"/>
                <w:szCs w:val="28"/>
                <w:rtl/>
              </w:rPr>
            </w:pPr>
            <w:r w:rsidRPr="00C91C6F">
              <w:rPr>
                <w:rFonts w:hint="cs"/>
                <w:sz w:val="22"/>
                <w:szCs w:val="28"/>
                <w:rtl/>
              </w:rPr>
              <w:t xml:space="preserve">1. </w:t>
            </w:r>
            <w:r>
              <w:rPr>
                <w:rFonts w:hint="cs"/>
                <w:sz w:val="22"/>
                <w:szCs w:val="28"/>
                <w:rtl/>
              </w:rPr>
              <w:t>חבר הכנסת בנימין נתניהו</w:t>
            </w:r>
          </w:p>
          <w:p w14:paraId="1A4257C9" w14:textId="77777777" w:rsidR="00F125D1" w:rsidRPr="00C91C6F" w:rsidRDefault="00F125D1" w:rsidP="009D4515">
            <w:pPr>
              <w:rPr>
                <w:sz w:val="22"/>
                <w:szCs w:val="28"/>
                <w:rtl/>
              </w:rPr>
            </w:pPr>
            <w:r w:rsidRPr="00C91C6F">
              <w:rPr>
                <w:rFonts w:hint="cs"/>
                <w:sz w:val="22"/>
                <w:szCs w:val="28"/>
                <w:rtl/>
              </w:rPr>
              <w:t>2. היוע</w:t>
            </w:r>
            <w:r>
              <w:rPr>
                <w:rFonts w:hint="cs"/>
                <w:sz w:val="22"/>
                <w:szCs w:val="28"/>
                <w:rtl/>
              </w:rPr>
              <w:t>צת</w:t>
            </w:r>
            <w:r w:rsidRPr="00C91C6F">
              <w:rPr>
                <w:rFonts w:hint="cs"/>
                <w:sz w:val="22"/>
                <w:szCs w:val="28"/>
                <w:rtl/>
              </w:rPr>
              <w:t xml:space="preserve"> המשפטי</w:t>
            </w:r>
            <w:r>
              <w:rPr>
                <w:rFonts w:hint="cs"/>
                <w:sz w:val="22"/>
                <w:szCs w:val="28"/>
                <w:rtl/>
              </w:rPr>
              <w:t>ת</w:t>
            </w:r>
            <w:r w:rsidRPr="00C91C6F">
              <w:rPr>
                <w:rFonts w:hint="cs"/>
                <w:sz w:val="22"/>
                <w:szCs w:val="28"/>
                <w:rtl/>
              </w:rPr>
              <w:t xml:space="preserve"> לממשלה</w:t>
            </w:r>
          </w:p>
          <w:p w14:paraId="7E2E7D87" w14:textId="77777777" w:rsidR="00F125D1" w:rsidRPr="00C91C6F" w:rsidRDefault="00F125D1" w:rsidP="009D4515">
            <w:pPr>
              <w:rPr>
                <w:sz w:val="22"/>
                <w:szCs w:val="28"/>
                <w:rtl/>
              </w:rPr>
            </w:pPr>
            <w:r w:rsidRPr="00C91C6F">
              <w:rPr>
                <w:rFonts w:hint="cs"/>
                <w:sz w:val="22"/>
                <w:szCs w:val="28"/>
                <w:rtl/>
              </w:rPr>
              <w:t>3. מבקר המדינה</w:t>
            </w:r>
          </w:p>
          <w:p w14:paraId="58929722" w14:textId="77777777" w:rsidR="00F125D1" w:rsidRPr="00C91C6F" w:rsidRDefault="00F125D1" w:rsidP="009D4515">
            <w:pPr>
              <w:rPr>
                <w:sz w:val="22"/>
                <w:szCs w:val="28"/>
                <w:rtl/>
              </w:rPr>
            </w:pPr>
            <w:r w:rsidRPr="00C91C6F">
              <w:rPr>
                <w:rFonts w:hint="cs"/>
                <w:sz w:val="22"/>
                <w:szCs w:val="28"/>
                <w:rtl/>
              </w:rPr>
              <w:t>4. הוועדה למתן היתרים לפי פרק ד' להודעה בדבר הכללים למניעת ניגוד עניינים של שרים וסגני שרים, התשס"ג-2003</w:t>
            </w:r>
          </w:p>
          <w:p w14:paraId="0ABCCD32" w14:textId="77777777" w:rsidR="00F125D1" w:rsidRPr="00C91C6F" w:rsidRDefault="00F125D1" w:rsidP="009D4515">
            <w:pPr>
              <w:rPr>
                <w:sz w:val="22"/>
                <w:szCs w:val="28"/>
                <w:rtl/>
              </w:rPr>
            </w:pPr>
            <w:r w:rsidRPr="00C91C6F">
              <w:rPr>
                <w:rFonts w:hint="cs"/>
                <w:sz w:val="22"/>
                <w:szCs w:val="28"/>
                <w:rtl/>
              </w:rPr>
              <w:t>5. ספנסר פרטרידג'</w:t>
            </w:r>
          </w:p>
        </w:tc>
      </w:tr>
      <w:tr w:rsidR="00F125D1" w14:paraId="5D23E771" w14:textId="77777777" w:rsidTr="009D4515">
        <w:tblPrEx>
          <w:tblCellMar>
            <w:left w:w="108" w:type="dxa"/>
            <w:right w:w="108" w:type="dxa"/>
          </w:tblCellMar>
          <w:tblLook w:val="0000" w:firstRow="0" w:lastRow="0" w:firstColumn="0" w:lastColumn="0" w:noHBand="0" w:noVBand="0"/>
        </w:tblPrEx>
        <w:trPr>
          <w:gridBefore w:val="2"/>
          <w:wBefore w:w="3209" w:type="dxa"/>
        </w:trPr>
        <w:tc>
          <w:tcPr>
            <w:tcW w:w="5103" w:type="dxa"/>
          </w:tcPr>
          <w:p w14:paraId="341DD559" w14:textId="77777777" w:rsidR="00F125D1" w:rsidRDefault="00F125D1" w:rsidP="009D4515">
            <w:pPr>
              <w:pStyle w:val="BodyRuller"/>
              <w:rPr>
                <w:rFonts w:ascii="Century" w:hAnsi="Century" w:cs="Miriam"/>
                <w:b/>
                <w:rtl/>
              </w:rPr>
            </w:pPr>
          </w:p>
          <w:p w14:paraId="778E858E" w14:textId="77777777" w:rsidR="00F125D1" w:rsidRDefault="00F125D1" w:rsidP="009D4515">
            <w:pPr>
              <w:pStyle w:val="BodyRuller"/>
              <w:rPr>
                <w:rFonts w:ascii="Century" w:hAnsi="Century" w:cs="Miriam"/>
                <w:b/>
                <w:rtl/>
              </w:rPr>
            </w:pPr>
          </w:p>
          <w:p w14:paraId="31A68AB4" w14:textId="77777777" w:rsidR="00F125D1" w:rsidRPr="00265F6E" w:rsidRDefault="00F125D1" w:rsidP="009D4515">
            <w:pPr>
              <w:pStyle w:val="BodyRuller"/>
              <w:rPr>
                <w:sz w:val="24"/>
                <w:szCs w:val="24"/>
              </w:rPr>
            </w:pPr>
            <w:r w:rsidRPr="00C91C6F">
              <w:rPr>
                <w:rFonts w:ascii="Century" w:hAnsi="Century" w:cs="Miriam" w:hint="cs"/>
                <w:b/>
                <w:sz w:val="20"/>
                <w:szCs w:val="24"/>
                <w:rtl/>
              </w:rPr>
              <w:t>התנגדות ל</w:t>
            </w:r>
            <w:r>
              <w:rPr>
                <w:rFonts w:ascii="Century" w:hAnsi="Century" w:cs="Miriam" w:hint="cs"/>
                <w:b/>
                <w:sz w:val="20"/>
                <w:szCs w:val="24"/>
                <w:rtl/>
              </w:rPr>
              <w:t>עשיית</w:t>
            </w:r>
            <w:r w:rsidRPr="00C91C6F">
              <w:rPr>
                <w:rFonts w:ascii="Century" w:hAnsi="Century" w:cs="Miriam" w:hint="cs"/>
                <w:b/>
                <w:sz w:val="20"/>
                <w:szCs w:val="24"/>
                <w:rtl/>
              </w:rPr>
              <w:t xml:space="preserve"> </w:t>
            </w:r>
            <w:r>
              <w:rPr>
                <w:rFonts w:ascii="Century" w:hAnsi="Century" w:cs="Miriam" w:hint="cs"/>
                <w:b/>
                <w:sz w:val="20"/>
                <w:szCs w:val="24"/>
                <w:rtl/>
              </w:rPr>
              <w:t>ה</w:t>
            </w:r>
            <w:r w:rsidRPr="00C91C6F">
              <w:rPr>
                <w:rFonts w:ascii="Century" w:hAnsi="Century" w:cs="Miriam" w:hint="cs"/>
                <w:b/>
                <w:sz w:val="20"/>
                <w:szCs w:val="24"/>
                <w:rtl/>
              </w:rPr>
              <w:t>צו על תנאי</w:t>
            </w:r>
            <w:r>
              <w:rPr>
                <w:rFonts w:ascii="Century" w:hAnsi="Century" w:cs="Miriam" w:hint="cs"/>
                <w:b/>
                <w:sz w:val="20"/>
                <w:szCs w:val="24"/>
                <w:rtl/>
              </w:rPr>
              <w:t xml:space="preserve"> לצו מוחלט</w:t>
            </w:r>
            <w:r w:rsidRPr="00C91C6F">
              <w:rPr>
                <w:rFonts w:ascii="Century" w:hAnsi="Century" w:cs="Miriam" w:hint="cs"/>
                <w:b/>
                <w:sz w:val="20"/>
                <w:szCs w:val="24"/>
                <w:rtl/>
              </w:rPr>
              <w:t xml:space="preserve"> </w:t>
            </w:r>
          </w:p>
        </w:tc>
      </w:tr>
    </w:tbl>
    <w:p w14:paraId="4572C1E7" w14:textId="77777777" w:rsidR="00F125D1" w:rsidRDefault="00F125D1" w:rsidP="00F125D1">
      <w:pPr>
        <w:pStyle w:val="Ruller3"/>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2423"/>
        <w:gridCol w:w="2710"/>
      </w:tblGrid>
      <w:tr w:rsidR="00F125D1" w:rsidRPr="002100AB" w14:paraId="1F5739D8" w14:textId="77777777" w:rsidTr="009D4515">
        <w:tc>
          <w:tcPr>
            <w:tcW w:w="3230" w:type="dxa"/>
            <w:tcBorders>
              <w:top w:val="nil"/>
              <w:left w:val="nil"/>
              <w:bottom w:val="nil"/>
              <w:right w:val="nil"/>
            </w:tcBorders>
          </w:tcPr>
          <w:p w14:paraId="5E858B51" w14:textId="77777777" w:rsidR="00F125D1" w:rsidRPr="002100AB" w:rsidRDefault="00F125D1" w:rsidP="009D4515">
            <w:pPr>
              <w:pStyle w:val="BodyRuller"/>
              <w:rPr>
                <w:sz w:val="24"/>
                <w:szCs w:val="24"/>
              </w:rPr>
            </w:pPr>
            <w:r w:rsidRPr="002100AB">
              <w:rPr>
                <w:sz w:val="24"/>
                <w:szCs w:val="24"/>
                <w:rtl/>
              </w:rPr>
              <w:t>תארי</w:t>
            </w:r>
            <w:r w:rsidRPr="002100AB">
              <w:rPr>
                <w:rFonts w:hint="cs"/>
                <w:sz w:val="24"/>
                <w:szCs w:val="24"/>
                <w:rtl/>
              </w:rPr>
              <w:t>כי</w:t>
            </w:r>
            <w:r w:rsidRPr="002100AB">
              <w:rPr>
                <w:sz w:val="24"/>
                <w:szCs w:val="24"/>
                <w:rtl/>
              </w:rPr>
              <w:t xml:space="preserve"> הישיב</w:t>
            </w:r>
            <w:r w:rsidRPr="002100AB">
              <w:rPr>
                <w:rFonts w:hint="cs"/>
                <w:sz w:val="24"/>
                <w:szCs w:val="24"/>
                <w:rtl/>
              </w:rPr>
              <w:t>ות</w:t>
            </w:r>
            <w:r w:rsidRPr="002100AB">
              <w:rPr>
                <w:sz w:val="24"/>
                <w:szCs w:val="24"/>
                <w:rtl/>
              </w:rPr>
              <w:t>:</w:t>
            </w:r>
          </w:p>
        </w:tc>
        <w:tc>
          <w:tcPr>
            <w:tcW w:w="2423" w:type="dxa"/>
            <w:tcBorders>
              <w:top w:val="nil"/>
              <w:left w:val="nil"/>
              <w:bottom w:val="nil"/>
              <w:right w:val="nil"/>
            </w:tcBorders>
          </w:tcPr>
          <w:p w14:paraId="443E7872" w14:textId="77777777" w:rsidR="00F125D1" w:rsidRPr="002100AB" w:rsidRDefault="00F125D1" w:rsidP="009D4515">
            <w:pPr>
              <w:pStyle w:val="BodyRuller"/>
              <w:rPr>
                <w:rFonts w:ascii="David" w:hAnsi="David"/>
                <w:sz w:val="24"/>
                <w:szCs w:val="24"/>
                <w:rtl/>
              </w:rPr>
            </w:pPr>
            <w:r>
              <w:rPr>
                <w:rFonts w:ascii="David" w:hAnsi="David" w:hint="cs"/>
                <w:sz w:val="24"/>
                <w:szCs w:val="24"/>
                <w:rtl/>
              </w:rPr>
              <w:t>י"ז</w:t>
            </w:r>
            <w:r w:rsidRPr="00C87F83">
              <w:rPr>
                <w:rFonts w:ascii="David" w:hAnsi="David"/>
                <w:sz w:val="24"/>
                <w:szCs w:val="24"/>
                <w:rtl/>
              </w:rPr>
              <w:t xml:space="preserve"> באייר התש"ף</w:t>
            </w:r>
          </w:p>
        </w:tc>
        <w:tc>
          <w:tcPr>
            <w:tcW w:w="2710" w:type="dxa"/>
            <w:tcBorders>
              <w:top w:val="nil"/>
              <w:left w:val="nil"/>
              <w:bottom w:val="nil"/>
              <w:right w:val="nil"/>
            </w:tcBorders>
          </w:tcPr>
          <w:p w14:paraId="2B9F74F9" w14:textId="77777777" w:rsidR="00F125D1" w:rsidRPr="002100AB" w:rsidRDefault="00F125D1" w:rsidP="009D4515">
            <w:pPr>
              <w:pStyle w:val="BodyRuller"/>
              <w:rPr>
                <w:rFonts w:ascii="David" w:hAnsi="David"/>
                <w:sz w:val="24"/>
                <w:szCs w:val="24"/>
                <w:rtl/>
              </w:rPr>
            </w:pPr>
            <w:r w:rsidRPr="00C87F83">
              <w:rPr>
                <w:rFonts w:ascii="David" w:hAnsi="David"/>
                <w:sz w:val="24"/>
                <w:szCs w:val="24"/>
                <w:rtl/>
              </w:rPr>
              <w:t>(11.5.2020)</w:t>
            </w:r>
          </w:p>
        </w:tc>
      </w:tr>
      <w:tr w:rsidR="00F125D1" w:rsidRPr="002100AB" w14:paraId="55162302" w14:textId="77777777" w:rsidTr="009D4515">
        <w:tc>
          <w:tcPr>
            <w:tcW w:w="3230" w:type="dxa"/>
            <w:tcBorders>
              <w:top w:val="nil"/>
              <w:left w:val="nil"/>
              <w:bottom w:val="nil"/>
              <w:right w:val="nil"/>
            </w:tcBorders>
          </w:tcPr>
          <w:p w14:paraId="7052CE96" w14:textId="77777777" w:rsidR="00F125D1" w:rsidRPr="002100AB" w:rsidRDefault="00F125D1" w:rsidP="009D4515">
            <w:pPr>
              <w:pStyle w:val="BodyRuller"/>
              <w:rPr>
                <w:sz w:val="24"/>
                <w:szCs w:val="24"/>
                <w:rtl/>
              </w:rPr>
            </w:pPr>
          </w:p>
        </w:tc>
        <w:tc>
          <w:tcPr>
            <w:tcW w:w="2423" w:type="dxa"/>
            <w:tcBorders>
              <w:top w:val="nil"/>
              <w:left w:val="nil"/>
              <w:bottom w:val="nil"/>
              <w:right w:val="nil"/>
            </w:tcBorders>
          </w:tcPr>
          <w:p w14:paraId="33CC3665" w14:textId="77777777" w:rsidR="00F125D1" w:rsidRPr="002100AB" w:rsidRDefault="00F125D1" w:rsidP="009D4515">
            <w:pPr>
              <w:pStyle w:val="BodyRuller"/>
              <w:rPr>
                <w:rtl/>
              </w:rPr>
            </w:pPr>
            <w:r w:rsidRPr="00C87F83">
              <w:rPr>
                <w:sz w:val="24"/>
                <w:szCs w:val="24"/>
                <w:rtl/>
              </w:rPr>
              <w:t>י"ב באב התשפ"א</w:t>
            </w:r>
          </w:p>
        </w:tc>
        <w:tc>
          <w:tcPr>
            <w:tcW w:w="2710" w:type="dxa"/>
            <w:tcBorders>
              <w:top w:val="nil"/>
              <w:left w:val="nil"/>
              <w:bottom w:val="nil"/>
              <w:right w:val="nil"/>
            </w:tcBorders>
          </w:tcPr>
          <w:p w14:paraId="3C4F9BBB" w14:textId="77777777" w:rsidR="00F125D1" w:rsidRPr="002100AB" w:rsidRDefault="00F125D1" w:rsidP="009D4515">
            <w:pPr>
              <w:pStyle w:val="BodyRuller"/>
              <w:rPr>
                <w:sz w:val="24"/>
                <w:szCs w:val="24"/>
                <w:rtl/>
              </w:rPr>
            </w:pPr>
            <w:r w:rsidRPr="00C87F83">
              <w:rPr>
                <w:rFonts w:ascii="David" w:hAnsi="David"/>
                <w:sz w:val="24"/>
                <w:szCs w:val="24"/>
                <w:rtl/>
              </w:rPr>
              <w:t>(21.7.2021)</w:t>
            </w:r>
          </w:p>
        </w:tc>
      </w:tr>
      <w:tr w:rsidR="00F125D1" w:rsidRPr="002100AB" w14:paraId="3F5E136A" w14:textId="77777777" w:rsidTr="009D4515">
        <w:tc>
          <w:tcPr>
            <w:tcW w:w="3230" w:type="dxa"/>
            <w:tcBorders>
              <w:top w:val="nil"/>
              <w:left w:val="nil"/>
              <w:bottom w:val="nil"/>
              <w:right w:val="nil"/>
            </w:tcBorders>
          </w:tcPr>
          <w:p w14:paraId="4D49E7E8" w14:textId="77777777" w:rsidR="00F125D1" w:rsidRPr="002100AB" w:rsidRDefault="00F125D1" w:rsidP="009D4515">
            <w:pPr>
              <w:pStyle w:val="BodyRuller"/>
              <w:rPr>
                <w:sz w:val="24"/>
                <w:szCs w:val="24"/>
                <w:rtl/>
              </w:rPr>
            </w:pPr>
          </w:p>
        </w:tc>
        <w:tc>
          <w:tcPr>
            <w:tcW w:w="2423" w:type="dxa"/>
            <w:tcBorders>
              <w:top w:val="nil"/>
              <w:left w:val="nil"/>
              <w:bottom w:val="nil"/>
              <w:right w:val="nil"/>
            </w:tcBorders>
          </w:tcPr>
          <w:p w14:paraId="27528381" w14:textId="77777777" w:rsidR="00F125D1" w:rsidRPr="002100AB" w:rsidRDefault="00F125D1" w:rsidP="009D4515">
            <w:pPr>
              <w:pStyle w:val="BodyRuller"/>
              <w:rPr>
                <w:sz w:val="24"/>
                <w:szCs w:val="24"/>
                <w:rtl/>
              </w:rPr>
            </w:pPr>
            <w:r w:rsidRPr="00C87F83">
              <w:rPr>
                <w:sz w:val="24"/>
                <w:szCs w:val="24"/>
                <w:rtl/>
              </w:rPr>
              <w:t>י"ב בתמוז התשפ"ב</w:t>
            </w:r>
          </w:p>
        </w:tc>
        <w:tc>
          <w:tcPr>
            <w:tcW w:w="2710" w:type="dxa"/>
            <w:tcBorders>
              <w:top w:val="nil"/>
              <w:left w:val="nil"/>
              <w:bottom w:val="nil"/>
              <w:right w:val="nil"/>
            </w:tcBorders>
          </w:tcPr>
          <w:p w14:paraId="238BA5A3" w14:textId="77777777" w:rsidR="00F125D1" w:rsidRPr="0018052D" w:rsidRDefault="00F125D1" w:rsidP="009D4515">
            <w:pPr>
              <w:pStyle w:val="BodyRuller"/>
              <w:rPr>
                <w:sz w:val="24"/>
                <w:szCs w:val="24"/>
              </w:rPr>
            </w:pPr>
            <w:r w:rsidRPr="0018052D">
              <w:rPr>
                <w:rFonts w:hint="cs"/>
                <w:sz w:val="24"/>
                <w:szCs w:val="24"/>
                <w:rtl/>
              </w:rPr>
              <w:t>(11.</w:t>
            </w:r>
            <w:r>
              <w:rPr>
                <w:rFonts w:hint="cs"/>
                <w:sz w:val="24"/>
                <w:szCs w:val="24"/>
                <w:rtl/>
              </w:rPr>
              <w:t>7</w:t>
            </w:r>
            <w:r w:rsidRPr="0018052D">
              <w:rPr>
                <w:rFonts w:hint="cs"/>
                <w:sz w:val="24"/>
                <w:szCs w:val="24"/>
                <w:rtl/>
              </w:rPr>
              <w:t>.2022)</w:t>
            </w:r>
          </w:p>
        </w:tc>
      </w:tr>
    </w:tbl>
    <w:p w14:paraId="171BA200" w14:textId="77777777" w:rsidR="00F125D1" w:rsidRDefault="00F125D1" w:rsidP="00F125D1">
      <w:pPr>
        <w:pStyle w:val="Ruller3"/>
        <w:rPr>
          <w:rtl/>
        </w:rPr>
      </w:pPr>
    </w:p>
    <w:tbl>
      <w:tblPr>
        <w:bidiVisual/>
        <w:tblW w:w="83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5215"/>
      </w:tblGrid>
      <w:tr w:rsidR="00F125D1" w:rsidRPr="00F136C8" w14:paraId="1634D629" w14:textId="77777777" w:rsidTr="009D4515">
        <w:tc>
          <w:tcPr>
            <w:tcW w:w="3150" w:type="dxa"/>
            <w:tcBorders>
              <w:top w:val="nil"/>
              <w:left w:val="nil"/>
              <w:bottom w:val="nil"/>
              <w:right w:val="nil"/>
            </w:tcBorders>
          </w:tcPr>
          <w:p w14:paraId="1A22A156" w14:textId="77777777" w:rsidR="00F125D1" w:rsidRPr="00F136C8" w:rsidRDefault="00F125D1" w:rsidP="009D4515">
            <w:pPr>
              <w:pStyle w:val="BodyRuller"/>
              <w:rPr>
                <w:rtl/>
              </w:rPr>
            </w:pPr>
            <w:r w:rsidRPr="00F136C8">
              <w:rPr>
                <w:rtl/>
              </w:rPr>
              <w:t>בשם העותר</w:t>
            </w:r>
            <w:r w:rsidRPr="00F136C8">
              <w:rPr>
                <w:rFonts w:hint="cs"/>
                <w:rtl/>
              </w:rPr>
              <w:t xml:space="preserve">ת בבג"ץ 5604/19 ובבג"ץ </w:t>
            </w:r>
            <w:r>
              <w:rPr>
                <w:rFonts w:hint="cs"/>
                <w:rtl/>
              </w:rPr>
              <w:t>6651/19:</w:t>
            </w:r>
          </w:p>
        </w:tc>
        <w:tc>
          <w:tcPr>
            <w:tcW w:w="5215" w:type="dxa"/>
            <w:tcBorders>
              <w:top w:val="nil"/>
              <w:left w:val="nil"/>
              <w:bottom w:val="nil"/>
              <w:right w:val="nil"/>
            </w:tcBorders>
          </w:tcPr>
          <w:p w14:paraId="3D9410B9" w14:textId="77777777" w:rsidR="00F125D1" w:rsidRDefault="00F125D1" w:rsidP="009D4515">
            <w:pPr>
              <w:pStyle w:val="BodyRuller"/>
              <w:rPr>
                <w:rtl/>
              </w:rPr>
            </w:pPr>
          </w:p>
          <w:p w14:paraId="745250B0" w14:textId="77777777" w:rsidR="00F125D1" w:rsidRDefault="00F125D1" w:rsidP="009D4515">
            <w:pPr>
              <w:pStyle w:val="BodyRuller"/>
              <w:rPr>
                <w:rtl/>
              </w:rPr>
            </w:pPr>
            <w:r w:rsidRPr="00F136C8">
              <w:rPr>
                <w:rFonts w:hint="cs"/>
                <w:rtl/>
              </w:rPr>
              <w:t>עו"ד בעז ארד; עו"ד עומר מקייס</w:t>
            </w:r>
            <w:r>
              <w:rPr>
                <w:rFonts w:hint="cs"/>
                <w:rtl/>
              </w:rPr>
              <w:t xml:space="preserve">; </w:t>
            </w:r>
          </w:p>
          <w:p w14:paraId="14EE54B8" w14:textId="77777777" w:rsidR="00F125D1" w:rsidRDefault="00F125D1" w:rsidP="009D4515">
            <w:pPr>
              <w:pStyle w:val="BodyRuller"/>
              <w:rPr>
                <w:rtl/>
              </w:rPr>
            </w:pPr>
            <w:r>
              <w:rPr>
                <w:rFonts w:hint="cs"/>
                <w:rtl/>
              </w:rPr>
              <w:t>עו"ד אביה אלף</w:t>
            </w:r>
            <w:r w:rsidRPr="00F136C8">
              <w:rPr>
                <w:rtl/>
              </w:rPr>
              <w:tab/>
            </w:r>
          </w:p>
        </w:tc>
      </w:tr>
      <w:tr w:rsidR="00F125D1" w:rsidRPr="00F136C8" w14:paraId="3DCB060D" w14:textId="77777777" w:rsidTr="009D4515">
        <w:tc>
          <w:tcPr>
            <w:tcW w:w="3150" w:type="dxa"/>
            <w:tcBorders>
              <w:top w:val="nil"/>
              <w:left w:val="nil"/>
              <w:bottom w:val="nil"/>
              <w:right w:val="nil"/>
            </w:tcBorders>
          </w:tcPr>
          <w:p w14:paraId="0408A908" w14:textId="77777777" w:rsidR="00F125D1" w:rsidRPr="00F136C8" w:rsidRDefault="00F125D1" w:rsidP="009D4515">
            <w:pPr>
              <w:pStyle w:val="BodyRuller"/>
              <w:rPr>
                <w:rtl/>
              </w:rPr>
            </w:pPr>
          </w:p>
          <w:p w14:paraId="5B494BFB" w14:textId="77777777" w:rsidR="00F125D1" w:rsidRDefault="00F125D1" w:rsidP="009D4515">
            <w:pPr>
              <w:pStyle w:val="BodyRuller"/>
              <w:rPr>
                <w:rtl/>
              </w:rPr>
            </w:pPr>
          </w:p>
          <w:p w14:paraId="25F4BF3E" w14:textId="77777777" w:rsidR="00F125D1" w:rsidRPr="00F136C8" w:rsidRDefault="00F125D1" w:rsidP="009D4515">
            <w:pPr>
              <w:pStyle w:val="BodyRuller"/>
            </w:pPr>
            <w:r w:rsidRPr="00F136C8">
              <w:rPr>
                <w:rtl/>
              </w:rPr>
              <w:t>בשם העותר</w:t>
            </w:r>
            <w:r w:rsidRPr="00F136C8">
              <w:rPr>
                <w:rFonts w:hint="cs"/>
                <w:rtl/>
              </w:rPr>
              <w:t>ת בבג"ץ 6061/19</w:t>
            </w:r>
            <w:r w:rsidRPr="00F136C8">
              <w:rPr>
                <w:rtl/>
              </w:rPr>
              <w:t>:</w:t>
            </w:r>
          </w:p>
        </w:tc>
        <w:tc>
          <w:tcPr>
            <w:tcW w:w="5215" w:type="dxa"/>
            <w:tcBorders>
              <w:top w:val="nil"/>
              <w:left w:val="nil"/>
              <w:bottom w:val="nil"/>
              <w:right w:val="nil"/>
            </w:tcBorders>
          </w:tcPr>
          <w:p w14:paraId="395965F2" w14:textId="77777777" w:rsidR="00F125D1" w:rsidRDefault="00F125D1" w:rsidP="009D4515">
            <w:pPr>
              <w:pStyle w:val="BodyRuller"/>
              <w:rPr>
                <w:rtl/>
              </w:rPr>
            </w:pPr>
          </w:p>
          <w:p w14:paraId="35A8C623" w14:textId="77777777" w:rsidR="00F125D1" w:rsidRPr="00F136C8" w:rsidRDefault="00F125D1" w:rsidP="009D4515">
            <w:pPr>
              <w:pStyle w:val="BodyRuller"/>
              <w:rPr>
                <w:rtl/>
              </w:rPr>
            </w:pPr>
          </w:p>
          <w:p w14:paraId="26C602A9" w14:textId="77777777" w:rsidR="00F125D1" w:rsidRDefault="00F125D1" w:rsidP="009D4515">
            <w:pPr>
              <w:pStyle w:val="BodyRuller"/>
              <w:rPr>
                <w:rtl/>
              </w:rPr>
            </w:pPr>
          </w:p>
          <w:p w14:paraId="1560CDFC" w14:textId="77777777" w:rsidR="00F125D1" w:rsidRPr="00F136C8" w:rsidRDefault="00F125D1" w:rsidP="009D4515">
            <w:pPr>
              <w:pStyle w:val="BodyRuller"/>
            </w:pPr>
            <w:r w:rsidRPr="00F136C8">
              <w:rPr>
                <w:rFonts w:hint="cs"/>
                <w:rtl/>
              </w:rPr>
              <w:t>עו"ד תומר נאור</w:t>
            </w:r>
            <w:r>
              <w:rPr>
                <w:rFonts w:hint="cs"/>
                <w:rtl/>
              </w:rPr>
              <w:t>; עו"ד רותם בבלי דביר</w:t>
            </w:r>
            <w:r w:rsidRPr="00F136C8">
              <w:rPr>
                <w:rtl/>
              </w:rPr>
              <w:tab/>
            </w:r>
          </w:p>
        </w:tc>
      </w:tr>
      <w:tr w:rsidR="00F125D1" w:rsidRPr="00F136C8" w14:paraId="388BA29E" w14:textId="77777777" w:rsidTr="009D4515">
        <w:tc>
          <w:tcPr>
            <w:tcW w:w="3150" w:type="dxa"/>
            <w:tcBorders>
              <w:top w:val="nil"/>
              <w:left w:val="nil"/>
              <w:bottom w:val="nil"/>
              <w:right w:val="nil"/>
            </w:tcBorders>
          </w:tcPr>
          <w:p w14:paraId="30B401D5" w14:textId="77777777" w:rsidR="00F125D1" w:rsidRPr="00F136C8" w:rsidRDefault="00F125D1" w:rsidP="009D4515">
            <w:pPr>
              <w:pStyle w:val="BodyRuller"/>
              <w:rPr>
                <w:rtl/>
              </w:rPr>
            </w:pPr>
            <w:bookmarkStart w:id="1" w:name="lawyers_b_title"/>
          </w:p>
          <w:p w14:paraId="04B70B72" w14:textId="77777777" w:rsidR="00F125D1" w:rsidRPr="00F136C8" w:rsidRDefault="00F125D1" w:rsidP="009D4515">
            <w:pPr>
              <w:pStyle w:val="BodyRuller"/>
              <w:rPr>
                <w:rtl/>
              </w:rPr>
            </w:pPr>
          </w:p>
          <w:p w14:paraId="7D3EB754" w14:textId="77777777" w:rsidR="00F125D1" w:rsidRPr="00F136C8" w:rsidRDefault="00F125D1" w:rsidP="009D4515">
            <w:pPr>
              <w:pStyle w:val="BodyRuller"/>
            </w:pPr>
            <w:r w:rsidRPr="00F136C8">
              <w:rPr>
                <w:rtl/>
              </w:rPr>
              <w:t>בשם המשיב</w:t>
            </w:r>
            <w:r w:rsidRPr="00F136C8">
              <w:rPr>
                <w:rFonts w:hint="cs"/>
                <w:rtl/>
              </w:rPr>
              <w:t xml:space="preserve"> 1 בבג"ץ 5604/19, בבג"ץ 6061/19 ובבג"ץ 6651/19</w:t>
            </w:r>
            <w:r w:rsidRPr="00F136C8">
              <w:rPr>
                <w:rtl/>
              </w:rPr>
              <w:t>:</w:t>
            </w:r>
          </w:p>
        </w:tc>
        <w:tc>
          <w:tcPr>
            <w:tcW w:w="5215" w:type="dxa"/>
            <w:tcBorders>
              <w:top w:val="nil"/>
              <w:left w:val="nil"/>
              <w:bottom w:val="nil"/>
              <w:right w:val="nil"/>
            </w:tcBorders>
          </w:tcPr>
          <w:p w14:paraId="6A0C0414" w14:textId="77777777" w:rsidR="00F125D1" w:rsidRDefault="00F125D1" w:rsidP="009D4515">
            <w:pPr>
              <w:pStyle w:val="BodyRuller"/>
              <w:rPr>
                <w:rtl/>
              </w:rPr>
            </w:pPr>
          </w:p>
          <w:p w14:paraId="6A056920" w14:textId="77777777" w:rsidR="00F125D1" w:rsidRPr="00F136C8" w:rsidRDefault="00F125D1" w:rsidP="009D4515">
            <w:pPr>
              <w:pStyle w:val="BodyRuller"/>
              <w:rPr>
                <w:rtl/>
              </w:rPr>
            </w:pPr>
          </w:p>
          <w:p w14:paraId="6C9EE61C" w14:textId="77777777" w:rsidR="00F125D1" w:rsidRPr="00F136C8" w:rsidRDefault="00F125D1" w:rsidP="009D4515">
            <w:pPr>
              <w:pStyle w:val="BodyRuller"/>
              <w:rPr>
                <w:rtl/>
              </w:rPr>
            </w:pPr>
          </w:p>
          <w:p w14:paraId="26EEB92F" w14:textId="77777777" w:rsidR="00F125D1" w:rsidRPr="00F136C8" w:rsidRDefault="00F125D1" w:rsidP="009D4515">
            <w:pPr>
              <w:pStyle w:val="BodyRuller"/>
              <w:rPr>
                <w:rtl/>
              </w:rPr>
            </w:pPr>
          </w:p>
          <w:p w14:paraId="2F43010A" w14:textId="77777777" w:rsidR="00F125D1" w:rsidRPr="00F136C8" w:rsidRDefault="00F125D1" w:rsidP="009D4515">
            <w:pPr>
              <w:pStyle w:val="BodyRuller"/>
            </w:pPr>
            <w:r w:rsidRPr="00F136C8">
              <w:rPr>
                <w:rFonts w:hint="cs"/>
                <w:rtl/>
              </w:rPr>
              <w:t>עו"ד יוסי כהן</w:t>
            </w:r>
            <w:r>
              <w:rPr>
                <w:rFonts w:hint="cs"/>
                <w:rtl/>
              </w:rPr>
              <w:t>; עו"ד מיכאל ראבילו</w:t>
            </w:r>
          </w:p>
        </w:tc>
      </w:tr>
      <w:bookmarkEnd w:id="1"/>
      <w:tr w:rsidR="00F125D1" w:rsidRPr="00F136C8" w14:paraId="7C208BBD" w14:textId="77777777" w:rsidTr="009D4515">
        <w:tc>
          <w:tcPr>
            <w:tcW w:w="3150" w:type="dxa"/>
            <w:tcBorders>
              <w:top w:val="nil"/>
              <w:left w:val="nil"/>
              <w:bottom w:val="nil"/>
              <w:right w:val="nil"/>
            </w:tcBorders>
          </w:tcPr>
          <w:p w14:paraId="5FEA53E6" w14:textId="77777777" w:rsidR="00F125D1" w:rsidRPr="00F136C8" w:rsidRDefault="00F125D1" w:rsidP="009D4515">
            <w:pPr>
              <w:pStyle w:val="BodyRuller"/>
              <w:rPr>
                <w:rtl/>
              </w:rPr>
            </w:pPr>
          </w:p>
          <w:p w14:paraId="3BA189DA" w14:textId="77777777" w:rsidR="00F125D1" w:rsidRPr="00F136C8" w:rsidRDefault="00F125D1" w:rsidP="009D4515">
            <w:pPr>
              <w:pStyle w:val="BodyRuller"/>
              <w:rPr>
                <w:rtl/>
              </w:rPr>
            </w:pPr>
          </w:p>
          <w:p w14:paraId="3F324E3B" w14:textId="77777777" w:rsidR="00F125D1" w:rsidRPr="00F136C8" w:rsidRDefault="00F125D1" w:rsidP="009D4515">
            <w:pPr>
              <w:pStyle w:val="BodyRuller"/>
              <w:rPr>
                <w:rtl/>
              </w:rPr>
            </w:pPr>
          </w:p>
          <w:p w14:paraId="07F005B4" w14:textId="77777777" w:rsidR="00F125D1" w:rsidRPr="00F136C8" w:rsidRDefault="00F125D1" w:rsidP="009D4515">
            <w:pPr>
              <w:pStyle w:val="BodyRuller"/>
            </w:pPr>
            <w:r w:rsidRPr="00F136C8">
              <w:rPr>
                <w:rtl/>
              </w:rPr>
              <w:t>בשם המשיב</w:t>
            </w:r>
            <w:r w:rsidRPr="00F136C8">
              <w:rPr>
                <w:rFonts w:hint="cs"/>
                <w:rtl/>
              </w:rPr>
              <w:t>ים 4-3 בבג"ץ 5604/19</w:t>
            </w:r>
            <w:r>
              <w:rPr>
                <w:rFonts w:hint="cs"/>
                <w:rtl/>
              </w:rPr>
              <w:t xml:space="preserve"> </w:t>
            </w:r>
            <w:r w:rsidRPr="00F136C8">
              <w:rPr>
                <w:rFonts w:hint="cs"/>
                <w:rtl/>
              </w:rPr>
              <w:t>ובבג"ץ 6651/19</w:t>
            </w:r>
            <w:r>
              <w:rPr>
                <w:rFonts w:hint="cs"/>
                <w:rtl/>
              </w:rPr>
              <w:t xml:space="preserve"> והמשיבים 3-2 בבג"ץ 6061/19</w:t>
            </w:r>
            <w:r w:rsidRPr="00F136C8">
              <w:rPr>
                <w:rtl/>
              </w:rPr>
              <w:t>:</w:t>
            </w:r>
          </w:p>
        </w:tc>
        <w:tc>
          <w:tcPr>
            <w:tcW w:w="5215" w:type="dxa"/>
            <w:tcBorders>
              <w:top w:val="nil"/>
              <w:left w:val="nil"/>
              <w:bottom w:val="nil"/>
              <w:right w:val="nil"/>
            </w:tcBorders>
          </w:tcPr>
          <w:p w14:paraId="1E177CD2" w14:textId="77777777" w:rsidR="00F125D1" w:rsidRPr="00F136C8" w:rsidRDefault="00F125D1" w:rsidP="009D4515">
            <w:pPr>
              <w:pStyle w:val="BodyRuller"/>
              <w:rPr>
                <w:rtl/>
              </w:rPr>
            </w:pPr>
          </w:p>
          <w:p w14:paraId="061C4122" w14:textId="77777777" w:rsidR="00F125D1" w:rsidRPr="00F136C8" w:rsidRDefault="00F125D1" w:rsidP="009D4515">
            <w:pPr>
              <w:pStyle w:val="BodyRuller"/>
              <w:rPr>
                <w:rtl/>
              </w:rPr>
            </w:pPr>
          </w:p>
          <w:p w14:paraId="04FB7BB7" w14:textId="77777777" w:rsidR="00F125D1" w:rsidRPr="00F136C8" w:rsidRDefault="00F125D1" w:rsidP="009D4515">
            <w:pPr>
              <w:pStyle w:val="BodyRuller"/>
              <w:rPr>
                <w:rtl/>
              </w:rPr>
            </w:pPr>
          </w:p>
          <w:p w14:paraId="3EC5BE19" w14:textId="77777777" w:rsidR="00F125D1" w:rsidRPr="00F136C8" w:rsidRDefault="00F125D1" w:rsidP="009D4515">
            <w:pPr>
              <w:pStyle w:val="BodyRuller"/>
              <w:rPr>
                <w:rtl/>
              </w:rPr>
            </w:pPr>
          </w:p>
          <w:p w14:paraId="431A9BC6" w14:textId="77777777" w:rsidR="00F125D1" w:rsidRDefault="00F125D1" w:rsidP="009D4515">
            <w:pPr>
              <w:pStyle w:val="BodyRuller"/>
              <w:rPr>
                <w:rtl/>
              </w:rPr>
            </w:pPr>
          </w:p>
          <w:p w14:paraId="6ED6DAD6" w14:textId="77777777" w:rsidR="00F125D1" w:rsidRDefault="00F125D1" w:rsidP="009D4515">
            <w:pPr>
              <w:pStyle w:val="BodyRuller"/>
              <w:rPr>
                <w:rtl/>
              </w:rPr>
            </w:pPr>
          </w:p>
          <w:p w14:paraId="439630C3" w14:textId="77777777" w:rsidR="00F125D1" w:rsidRDefault="00F125D1" w:rsidP="009D4515">
            <w:pPr>
              <w:pStyle w:val="BodyRuller"/>
              <w:rPr>
                <w:rtl/>
              </w:rPr>
            </w:pPr>
            <w:r w:rsidRPr="00F136C8">
              <w:rPr>
                <w:rFonts w:hint="cs"/>
                <w:rtl/>
              </w:rPr>
              <w:t xml:space="preserve">עו"ד אליה צונץ-קולר; עו"ד אוריאל פרינץ; </w:t>
            </w:r>
          </w:p>
          <w:p w14:paraId="73D98DC4" w14:textId="77777777" w:rsidR="00F125D1" w:rsidRPr="00F136C8" w:rsidRDefault="00F125D1" w:rsidP="009D4515">
            <w:pPr>
              <w:pStyle w:val="BodyRuller"/>
            </w:pPr>
            <w:r w:rsidRPr="00F136C8">
              <w:rPr>
                <w:rFonts w:hint="cs"/>
                <w:rtl/>
              </w:rPr>
              <w:t>עו"ד ישראל קליין</w:t>
            </w:r>
            <w:r w:rsidRPr="00F136C8">
              <w:rPr>
                <w:rtl/>
              </w:rPr>
              <w:tab/>
            </w:r>
          </w:p>
        </w:tc>
      </w:tr>
      <w:tr w:rsidR="00F125D1" w:rsidRPr="00F136C8" w14:paraId="0EE79269" w14:textId="77777777" w:rsidTr="009D4515">
        <w:tc>
          <w:tcPr>
            <w:tcW w:w="3150" w:type="dxa"/>
            <w:tcBorders>
              <w:top w:val="nil"/>
              <w:left w:val="nil"/>
              <w:bottom w:val="nil"/>
              <w:right w:val="nil"/>
            </w:tcBorders>
          </w:tcPr>
          <w:p w14:paraId="079DD576" w14:textId="77777777" w:rsidR="00F125D1" w:rsidRPr="00F136C8" w:rsidRDefault="00F125D1" w:rsidP="009D4515">
            <w:pPr>
              <w:pStyle w:val="BodyRuller"/>
              <w:rPr>
                <w:rtl/>
              </w:rPr>
            </w:pPr>
          </w:p>
          <w:p w14:paraId="4D12D6D3" w14:textId="77777777" w:rsidR="00F125D1" w:rsidRPr="00F136C8" w:rsidRDefault="00F125D1" w:rsidP="009D4515">
            <w:pPr>
              <w:pStyle w:val="BodyRuller"/>
              <w:rPr>
                <w:rtl/>
              </w:rPr>
            </w:pPr>
          </w:p>
          <w:p w14:paraId="66C83704" w14:textId="77777777" w:rsidR="00F125D1" w:rsidRPr="00F136C8" w:rsidRDefault="00F125D1" w:rsidP="009D4515">
            <w:pPr>
              <w:pStyle w:val="BodyRuller"/>
            </w:pPr>
            <w:r w:rsidRPr="00F136C8">
              <w:rPr>
                <w:rtl/>
              </w:rPr>
              <w:t>בשם המשי</w:t>
            </w:r>
            <w:r w:rsidRPr="00F136C8">
              <w:rPr>
                <w:rFonts w:hint="cs"/>
                <w:rtl/>
              </w:rPr>
              <w:t>ב</w:t>
            </w:r>
            <w:r>
              <w:rPr>
                <w:rFonts w:hint="cs"/>
                <w:rtl/>
              </w:rPr>
              <w:t>ה</w:t>
            </w:r>
            <w:r w:rsidRPr="00F136C8">
              <w:rPr>
                <w:rFonts w:hint="cs"/>
                <w:rtl/>
              </w:rPr>
              <w:t xml:space="preserve"> 2 בבג"ץ 5604/19 ובבג"ץ 6651/19; והמשיבים 6-4 בבג"ץ </w:t>
            </w:r>
            <w:r>
              <w:rPr>
                <w:rFonts w:hint="cs"/>
                <w:rtl/>
              </w:rPr>
              <w:t>6061</w:t>
            </w:r>
            <w:r w:rsidRPr="00F136C8">
              <w:rPr>
                <w:rFonts w:hint="cs"/>
                <w:rtl/>
              </w:rPr>
              <w:t>/19</w:t>
            </w:r>
            <w:r w:rsidRPr="00F136C8">
              <w:rPr>
                <w:rtl/>
              </w:rPr>
              <w:t>:</w:t>
            </w:r>
          </w:p>
        </w:tc>
        <w:tc>
          <w:tcPr>
            <w:tcW w:w="5215" w:type="dxa"/>
            <w:tcBorders>
              <w:top w:val="nil"/>
              <w:left w:val="nil"/>
              <w:bottom w:val="nil"/>
              <w:right w:val="nil"/>
            </w:tcBorders>
          </w:tcPr>
          <w:p w14:paraId="29F3708B" w14:textId="77777777" w:rsidR="00F125D1" w:rsidRPr="00F136C8" w:rsidRDefault="00F125D1" w:rsidP="009D4515">
            <w:pPr>
              <w:pStyle w:val="BodyRuller"/>
              <w:rPr>
                <w:rtl/>
              </w:rPr>
            </w:pPr>
          </w:p>
          <w:p w14:paraId="7B314109" w14:textId="77777777" w:rsidR="00F125D1" w:rsidRPr="00F136C8" w:rsidRDefault="00F125D1" w:rsidP="009D4515">
            <w:pPr>
              <w:pStyle w:val="BodyRuller"/>
              <w:rPr>
                <w:rtl/>
              </w:rPr>
            </w:pPr>
          </w:p>
          <w:p w14:paraId="2B98ED7B" w14:textId="77777777" w:rsidR="00F125D1" w:rsidRDefault="00F125D1" w:rsidP="009D4515">
            <w:pPr>
              <w:pStyle w:val="BodyRuller"/>
              <w:rPr>
                <w:rtl/>
              </w:rPr>
            </w:pPr>
          </w:p>
          <w:p w14:paraId="24DB613A" w14:textId="77777777" w:rsidR="00F125D1" w:rsidRPr="00F136C8" w:rsidRDefault="00F125D1" w:rsidP="009D4515">
            <w:pPr>
              <w:pStyle w:val="BodyRuller"/>
              <w:rPr>
                <w:rtl/>
              </w:rPr>
            </w:pPr>
          </w:p>
          <w:p w14:paraId="0F2DA3DF" w14:textId="77777777" w:rsidR="00F125D1" w:rsidRPr="00F136C8" w:rsidRDefault="00F125D1" w:rsidP="009D4515">
            <w:pPr>
              <w:pStyle w:val="BodyRuller"/>
              <w:rPr>
                <w:rtl/>
              </w:rPr>
            </w:pPr>
          </w:p>
          <w:p w14:paraId="64F46585" w14:textId="77777777" w:rsidR="00F125D1" w:rsidRPr="00F136C8" w:rsidRDefault="00F125D1" w:rsidP="009D4515">
            <w:pPr>
              <w:pStyle w:val="BodyRuller"/>
            </w:pPr>
            <w:r>
              <w:rPr>
                <w:rFonts w:hint="cs"/>
                <w:rtl/>
              </w:rPr>
              <w:t>עו"ד רן רוזנברג; עו"ד שרון רוטשנקר</w:t>
            </w:r>
          </w:p>
        </w:tc>
      </w:tr>
    </w:tbl>
    <w:p w14:paraId="64E8799E" w14:textId="77777777" w:rsidR="00F125D1" w:rsidRPr="00C91C6F" w:rsidRDefault="00F125D1" w:rsidP="00F125D1">
      <w:pPr>
        <w:tabs>
          <w:tab w:val="left" w:pos="2552"/>
        </w:tabs>
        <w:rPr>
          <w:rtl/>
        </w:rPr>
      </w:pPr>
    </w:p>
    <w:p w14:paraId="458E9A6F" w14:textId="77777777" w:rsidR="00F125D1" w:rsidRDefault="00F125D1" w:rsidP="00F125D1">
      <w:pPr>
        <w:tabs>
          <w:tab w:val="left" w:pos="2552"/>
        </w:tabs>
        <w:rPr>
          <w:rtl/>
        </w:rPr>
      </w:pPr>
    </w:p>
    <w:p w14:paraId="0AC76DB8" w14:textId="77777777" w:rsidR="00F125D1" w:rsidRDefault="00F125D1" w:rsidP="00F125D1">
      <w:pPr>
        <w:tabs>
          <w:tab w:val="left" w:pos="2552"/>
        </w:tabs>
      </w:pPr>
    </w:p>
    <w:tbl>
      <w:tblPr>
        <w:bidiVisual/>
        <w:tblW w:w="8363" w:type="dxa"/>
        <w:tblLook w:val="0000" w:firstRow="0" w:lastRow="0" w:firstColumn="0" w:lastColumn="0" w:noHBand="0" w:noVBand="0"/>
      </w:tblPr>
      <w:tblGrid>
        <w:gridCol w:w="8363"/>
      </w:tblGrid>
      <w:tr w:rsidR="00F125D1" w14:paraId="766E9281" w14:textId="77777777" w:rsidTr="009D4515">
        <w:tc>
          <w:tcPr>
            <w:tcW w:w="9837" w:type="dxa"/>
          </w:tcPr>
          <w:p w14:paraId="1FC8D3B5" w14:textId="77777777" w:rsidR="00F125D1" w:rsidRDefault="00F125D1" w:rsidP="009D4515">
            <w:pPr>
              <w:pStyle w:val="DocumentHead"/>
            </w:pPr>
            <w:bookmarkStart w:id="2" w:name="secretary"/>
            <w:bookmarkStart w:id="3" w:name="BeginProtocol"/>
            <w:bookmarkEnd w:id="2"/>
            <w:bookmarkEnd w:id="3"/>
            <w:r>
              <w:rPr>
                <w:rtl/>
              </w:rPr>
              <w:t>פסק-דין</w:t>
            </w:r>
          </w:p>
        </w:tc>
      </w:tr>
    </w:tbl>
    <w:p w14:paraId="0AF75135" w14:textId="77777777" w:rsidR="00F125D1" w:rsidRDefault="00F125D1" w:rsidP="00F125D1">
      <w:pPr>
        <w:pStyle w:val="BODYVERDICT"/>
      </w:pPr>
    </w:p>
    <w:p w14:paraId="4CF318EC" w14:textId="77777777" w:rsidR="00F125D1" w:rsidRPr="00503A3E" w:rsidRDefault="00F125D1" w:rsidP="00F125D1">
      <w:pPr>
        <w:pStyle w:val="BODYVERDICT"/>
        <w:rPr>
          <w:rFonts w:cs="Miriam"/>
          <w:sz w:val="24"/>
          <w:szCs w:val="24"/>
          <w:u w:val="single"/>
          <w:rtl/>
        </w:rPr>
      </w:pPr>
      <w:bookmarkStart w:id="4" w:name="Writer_Name"/>
      <w:bookmarkEnd w:id="4"/>
      <w:r>
        <w:rPr>
          <w:rFonts w:cs="Miriam"/>
          <w:sz w:val="24"/>
          <w:szCs w:val="24"/>
          <w:u w:val="single"/>
          <w:rtl/>
        </w:rPr>
        <w:t>הנשיאה א' חיות:</w:t>
      </w:r>
    </w:p>
    <w:p w14:paraId="250FF831" w14:textId="77777777" w:rsidR="00F125D1" w:rsidRDefault="00F125D1" w:rsidP="00F125D1">
      <w:pPr>
        <w:pStyle w:val="Ruller41"/>
        <w:rPr>
          <w:rtl/>
        </w:rPr>
      </w:pPr>
      <w:bookmarkStart w:id="5" w:name="Start_Write"/>
      <w:bookmarkEnd w:id="5"/>
    </w:p>
    <w:p w14:paraId="70B13D33" w14:textId="77777777" w:rsidR="00F125D1" w:rsidRPr="00C80F42" w:rsidRDefault="00F125D1" w:rsidP="00F125D1">
      <w:pPr>
        <w:pStyle w:val="Ruller41"/>
        <w:rPr>
          <w:rFonts w:ascii="Century" w:hAnsi="Century"/>
        </w:rPr>
      </w:pPr>
      <w:r w:rsidRPr="00714538">
        <w:rPr>
          <w:rFonts w:ascii="Times New Roman" w:hAnsi="Times New Roman"/>
          <w:rtl/>
        </w:rPr>
        <w:tab/>
      </w:r>
      <w:r>
        <w:rPr>
          <w:rFonts w:ascii="Times New Roman" w:hAnsi="Times New Roman" w:hint="cs"/>
          <w:rtl/>
        </w:rPr>
        <w:t>שלוש העתירות שלפנינו עניינ</w:t>
      </w:r>
      <w:r>
        <w:rPr>
          <w:rFonts w:ascii="Times New Roman" w:hAnsi="Times New Roman" w:hint="eastAsia"/>
          <w:rtl/>
        </w:rPr>
        <w:t>ן</w:t>
      </w:r>
      <w:r>
        <w:rPr>
          <w:rFonts w:ascii="Times New Roman" w:hAnsi="Times New Roman" w:hint="cs"/>
          <w:rtl/>
        </w:rPr>
        <w:t xml:space="preserve"> בדרישת העותרות כי חבר הכנסת בנימין נתניהו (להלן: </w:t>
      </w:r>
      <w:r>
        <w:rPr>
          <w:rFonts w:ascii="Century" w:hAnsi="Century" w:cs="Miriam" w:hint="cs"/>
          <w:b/>
          <w:spacing w:val="0"/>
          <w:szCs w:val="24"/>
          <w:rtl/>
        </w:rPr>
        <w:t>ח</w:t>
      </w:r>
      <w:r>
        <w:rPr>
          <w:rFonts w:ascii="Century" w:hAnsi="Century" w:cs="Miriam"/>
          <w:b/>
          <w:spacing w:val="0"/>
          <w:szCs w:val="24"/>
          <w:rtl/>
        </w:rPr>
        <w:t>"</w:t>
      </w:r>
      <w:r>
        <w:rPr>
          <w:rFonts w:ascii="Century" w:hAnsi="Century" w:cs="Miriam" w:hint="cs"/>
          <w:b/>
          <w:spacing w:val="0"/>
          <w:szCs w:val="24"/>
          <w:rtl/>
        </w:rPr>
        <w:t>כ נתניהו</w:t>
      </w:r>
      <w:r>
        <w:rPr>
          <w:rFonts w:ascii="Times New Roman" w:hAnsi="Times New Roman" w:hint="cs"/>
          <w:rtl/>
        </w:rPr>
        <w:t xml:space="preserve">) ישיב כספים שקיבלו הוא ורעייתו לצורך </w:t>
      </w:r>
      <w:r>
        <w:rPr>
          <w:rFonts w:ascii="Century" w:hAnsi="Century" w:hint="cs"/>
          <w:rtl/>
        </w:rPr>
        <w:t>מימון הוצאותיהם המשפטיות בתקופת כהונתו כראש הממשלה: סכום של 300,000 דולר שקיבלו ח</w:t>
      </w:r>
      <w:r>
        <w:rPr>
          <w:rFonts w:ascii="Century" w:hAnsi="Century"/>
          <w:rtl/>
        </w:rPr>
        <w:t>"</w:t>
      </w:r>
      <w:r>
        <w:rPr>
          <w:rFonts w:ascii="Century" w:hAnsi="Century" w:hint="cs"/>
          <w:rtl/>
        </w:rPr>
        <w:t xml:space="preserve">כ נתניהו ורעייתו מבן דודו, מר נתן מיליקובסקי ז"ל (להלן: </w:t>
      </w:r>
      <w:r w:rsidRPr="000A32A9">
        <w:rPr>
          <w:rFonts w:ascii="Century" w:hAnsi="Century" w:cs="Miriam" w:hint="cs"/>
          <w:b/>
          <w:spacing w:val="0"/>
          <w:szCs w:val="24"/>
          <w:rtl/>
        </w:rPr>
        <w:t>מיליקובסקי</w:t>
      </w:r>
      <w:r w:rsidRPr="000A32A9">
        <w:rPr>
          <w:rFonts w:ascii="Century" w:hAnsi="Century" w:hint="cs"/>
          <w:rtl/>
        </w:rPr>
        <w:t xml:space="preserve">); </w:t>
      </w:r>
      <w:r w:rsidRPr="00DC79F4">
        <w:rPr>
          <w:rFonts w:ascii="Century" w:hAnsi="Century" w:hint="eastAsia"/>
          <w:rtl/>
        </w:rPr>
        <w:t>ו</w:t>
      </w:r>
      <w:r w:rsidRPr="000A32A9">
        <w:rPr>
          <w:rFonts w:ascii="Century" w:hAnsi="Century" w:hint="cs"/>
          <w:rtl/>
        </w:rPr>
        <w:t>כן הלוואה</w:t>
      </w:r>
      <w:r>
        <w:rPr>
          <w:rFonts w:ascii="Century" w:hAnsi="Century" w:hint="cs"/>
          <w:rtl/>
        </w:rPr>
        <w:t xml:space="preserve"> שנטל ח</w:t>
      </w:r>
      <w:r>
        <w:rPr>
          <w:rFonts w:ascii="Century" w:hAnsi="Century"/>
          <w:rtl/>
        </w:rPr>
        <w:t>"</w:t>
      </w:r>
      <w:r>
        <w:rPr>
          <w:rFonts w:ascii="Century" w:hAnsi="Century" w:hint="cs"/>
          <w:rtl/>
        </w:rPr>
        <w:t xml:space="preserve">כ נתניהו ממר ספנסר פרטרידג' (להלן: </w:t>
      </w:r>
      <w:r w:rsidRPr="00646615">
        <w:rPr>
          <w:rFonts w:ascii="Century" w:hAnsi="Century" w:cs="Miriam" w:hint="cs"/>
          <w:b/>
          <w:spacing w:val="0"/>
          <w:szCs w:val="24"/>
          <w:rtl/>
        </w:rPr>
        <w:t>פרטרידג'</w:t>
      </w:r>
      <w:r>
        <w:rPr>
          <w:rFonts w:ascii="Century" w:hAnsi="Century" w:hint="cs"/>
          <w:rtl/>
        </w:rPr>
        <w:t>).</w:t>
      </w:r>
    </w:p>
    <w:p w14:paraId="5A85BFB7" w14:textId="33FB262A" w:rsidR="00F125D1" w:rsidRDefault="00F125D1" w:rsidP="00F125D1">
      <w:pPr>
        <w:pStyle w:val="Ruller41"/>
        <w:rPr>
          <w:rFonts w:ascii="Century" w:hAnsi="Century" w:cs="Miriam"/>
          <w:b/>
          <w:spacing w:val="0"/>
          <w:szCs w:val="24"/>
          <w:rtl/>
        </w:rPr>
      </w:pPr>
    </w:p>
    <w:p w14:paraId="0A873291" w14:textId="7C9668EE" w:rsidR="001821FB" w:rsidRDefault="001821FB" w:rsidP="00F125D1">
      <w:pPr>
        <w:pStyle w:val="Ruller41"/>
        <w:rPr>
          <w:rFonts w:ascii="Century" w:hAnsi="Century" w:cs="Miriam"/>
          <w:b/>
          <w:spacing w:val="0"/>
          <w:szCs w:val="24"/>
          <w:rtl/>
        </w:rPr>
      </w:pPr>
    </w:p>
    <w:p w14:paraId="5818C8CA" w14:textId="77777777" w:rsidR="00F125D1" w:rsidRDefault="00F125D1" w:rsidP="00F125D1">
      <w:pPr>
        <w:pStyle w:val="Ruller41"/>
        <w:rPr>
          <w:rFonts w:ascii="Century" w:hAnsi="Century" w:cs="Miriam"/>
          <w:b/>
          <w:spacing w:val="0"/>
          <w:szCs w:val="24"/>
          <w:rtl/>
        </w:rPr>
      </w:pPr>
      <w:r>
        <w:rPr>
          <w:rFonts w:ascii="Century" w:hAnsi="Century" w:cs="Miriam" w:hint="cs"/>
          <w:b/>
          <w:spacing w:val="0"/>
          <w:szCs w:val="24"/>
          <w:rtl/>
        </w:rPr>
        <w:lastRenderedPageBreak/>
        <w:t>רקע הדברים</w:t>
      </w:r>
    </w:p>
    <w:p w14:paraId="49DBCA25" w14:textId="77777777" w:rsidR="00F125D1" w:rsidRDefault="00F125D1" w:rsidP="00F125D1">
      <w:pPr>
        <w:pStyle w:val="Ruller41"/>
        <w:rPr>
          <w:rFonts w:ascii="Century" w:hAnsi="Century" w:cs="Miriam"/>
          <w:b/>
          <w:spacing w:val="0"/>
          <w:szCs w:val="24"/>
          <w:rtl/>
        </w:rPr>
      </w:pPr>
    </w:p>
    <w:p w14:paraId="0FE6C257" w14:textId="77777777" w:rsidR="00F125D1" w:rsidRPr="007C649F" w:rsidRDefault="00F125D1" w:rsidP="00F125D1">
      <w:pPr>
        <w:pStyle w:val="Ruller4"/>
        <w:rPr>
          <w:rFonts w:ascii="Century" w:hAnsi="Century"/>
          <w:rtl/>
        </w:rPr>
      </w:pPr>
      <w:r>
        <w:rPr>
          <w:rFonts w:hint="cs"/>
          <w:rtl/>
        </w:rPr>
        <w:t xml:space="preserve">המקורות הנורמטיביים העיקריים הרלוונטיים לדיון הם חוק שירות הציבור (מתנות), התש"ם-1979 (להלן: </w:t>
      </w:r>
      <w:r w:rsidRPr="00D70F09">
        <w:rPr>
          <w:rFonts w:ascii="Century" w:hAnsi="Century" w:cs="Miriam" w:hint="cs"/>
          <w:b/>
          <w:spacing w:val="0"/>
          <w:sz w:val="22"/>
          <w:szCs w:val="24"/>
          <w:rtl/>
        </w:rPr>
        <w:t>חוק המתנות</w:t>
      </w:r>
      <w:r>
        <w:rPr>
          <w:rFonts w:hint="cs"/>
          <w:rtl/>
        </w:rPr>
        <w:t xml:space="preserve"> או </w:t>
      </w:r>
      <w:r w:rsidRPr="001540CF">
        <w:rPr>
          <w:rFonts w:ascii="Century" w:hAnsi="Century" w:cs="Miriam" w:hint="cs"/>
          <w:b/>
          <w:spacing w:val="0"/>
          <w:sz w:val="22"/>
          <w:szCs w:val="24"/>
          <w:rtl/>
        </w:rPr>
        <w:t>החוק</w:t>
      </w:r>
      <w:r>
        <w:rPr>
          <w:rFonts w:hint="cs"/>
          <w:rtl/>
        </w:rPr>
        <w:t>); וה</w:t>
      </w:r>
      <w:r w:rsidRPr="00D70F09">
        <w:rPr>
          <w:rFonts w:hint="eastAsia"/>
          <w:rtl/>
        </w:rPr>
        <w:t>כללים</w:t>
      </w:r>
      <w:r w:rsidRPr="00D70F09">
        <w:rPr>
          <w:rtl/>
        </w:rPr>
        <w:t xml:space="preserve"> </w:t>
      </w:r>
      <w:r w:rsidRPr="00D70F09">
        <w:rPr>
          <w:rFonts w:hint="eastAsia"/>
          <w:rtl/>
        </w:rPr>
        <w:t>למניעת</w:t>
      </w:r>
      <w:r w:rsidRPr="00D70F09">
        <w:rPr>
          <w:rtl/>
        </w:rPr>
        <w:t xml:space="preserve"> </w:t>
      </w:r>
      <w:r w:rsidRPr="00D70F09">
        <w:rPr>
          <w:rFonts w:hint="eastAsia"/>
          <w:rtl/>
        </w:rPr>
        <w:t>ניגוד</w:t>
      </w:r>
      <w:r w:rsidRPr="00D70F09">
        <w:rPr>
          <w:rtl/>
        </w:rPr>
        <w:t xml:space="preserve"> </w:t>
      </w:r>
      <w:r w:rsidRPr="00D70F09">
        <w:rPr>
          <w:rFonts w:hint="eastAsia"/>
          <w:rtl/>
        </w:rPr>
        <w:t>עניינים</w:t>
      </w:r>
      <w:r w:rsidRPr="00D70F09">
        <w:rPr>
          <w:rtl/>
        </w:rPr>
        <w:t xml:space="preserve"> </w:t>
      </w:r>
      <w:r w:rsidRPr="00D70F09">
        <w:rPr>
          <w:rFonts w:hint="eastAsia"/>
          <w:rtl/>
        </w:rPr>
        <w:t>של</w:t>
      </w:r>
      <w:r w:rsidRPr="00D70F09">
        <w:rPr>
          <w:rtl/>
        </w:rPr>
        <w:t xml:space="preserve"> </w:t>
      </w:r>
      <w:r w:rsidRPr="00D70F09">
        <w:rPr>
          <w:rFonts w:hint="eastAsia"/>
          <w:rtl/>
        </w:rPr>
        <w:t>שרים</w:t>
      </w:r>
      <w:r w:rsidRPr="00D70F09">
        <w:rPr>
          <w:rtl/>
        </w:rPr>
        <w:t xml:space="preserve"> </w:t>
      </w:r>
      <w:r w:rsidRPr="00D70F09">
        <w:rPr>
          <w:rFonts w:hint="eastAsia"/>
          <w:rtl/>
        </w:rPr>
        <w:t>וסגני</w:t>
      </w:r>
      <w:r w:rsidRPr="00D70F09">
        <w:rPr>
          <w:rtl/>
        </w:rPr>
        <w:t xml:space="preserve"> </w:t>
      </w:r>
      <w:r w:rsidRPr="00D70F09">
        <w:rPr>
          <w:rFonts w:hint="eastAsia"/>
          <w:rtl/>
        </w:rPr>
        <w:t>שרים</w:t>
      </w:r>
      <w:r w:rsidRPr="00D70F09">
        <w:rPr>
          <w:rtl/>
        </w:rPr>
        <w:t xml:space="preserve">, </w:t>
      </w:r>
      <w:r w:rsidRPr="00D70F09">
        <w:rPr>
          <w:rFonts w:hint="eastAsia"/>
          <w:rtl/>
        </w:rPr>
        <w:t>י</w:t>
      </w:r>
      <w:r w:rsidRPr="00D70F09">
        <w:rPr>
          <w:rtl/>
        </w:rPr>
        <w:t>"</w:t>
      </w:r>
      <w:r w:rsidRPr="00D70F09">
        <w:rPr>
          <w:rFonts w:hint="eastAsia"/>
          <w:rtl/>
        </w:rPr>
        <w:t>פ</w:t>
      </w:r>
      <w:r w:rsidRPr="00D70F09">
        <w:rPr>
          <w:rtl/>
        </w:rPr>
        <w:t xml:space="preserve"> </w:t>
      </w:r>
      <w:r w:rsidRPr="00D70F09">
        <w:rPr>
          <w:rFonts w:hint="eastAsia"/>
          <w:rtl/>
        </w:rPr>
        <w:t>התשס</w:t>
      </w:r>
      <w:r w:rsidRPr="00D70F09">
        <w:rPr>
          <w:rtl/>
        </w:rPr>
        <w:t>"</w:t>
      </w:r>
      <w:r w:rsidRPr="00D70F09">
        <w:rPr>
          <w:rFonts w:hint="eastAsia"/>
          <w:rtl/>
        </w:rPr>
        <w:t>ג</w:t>
      </w:r>
      <w:r w:rsidRPr="00D70F09">
        <w:rPr>
          <w:rtl/>
        </w:rPr>
        <w:t xml:space="preserve"> 5147, </w:t>
      </w:r>
      <w:r w:rsidRPr="00D70F09">
        <w:rPr>
          <w:rFonts w:hint="eastAsia"/>
          <w:rtl/>
        </w:rPr>
        <w:t>עמ</w:t>
      </w:r>
      <w:r w:rsidRPr="00D70F09">
        <w:rPr>
          <w:rtl/>
        </w:rPr>
        <w:t>' 1136 (</w:t>
      </w:r>
      <w:r w:rsidRPr="00D70F09">
        <w:rPr>
          <w:rFonts w:hint="eastAsia"/>
          <w:rtl/>
        </w:rPr>
        <w:t>להלן</w:t>
      </w:r>
      <w:r w:rsidRPr="00D70F09">
        <w:rPr>
          <w:rtl/>
        </w:rPr>
        <w:t xml:space="preserve">: </w:t>
      </w:r>
      <w:r w:rsidRPr="00D70F09">
        <w:rPr>
          <w:rFonts w:ascii="Century" w:hAnsi="Century" w:cs="Miriam" w:hint="eastAsia"/>
          <w:b/>
          <w:spacing w:val="0"/>
          <w:sz w:val="22"/>
          <w:szCs w:val="24"/>
          <w:rtl/>
        </w:rPr>
        <w:t>כללי</w:t>
      </w:r>
      <w:r w:rsidRPr="00D70F09">
        <w:rPr>
          <w:rFonts w:ascii="Century" w:hAnsi="Century" w:cs="Miriam"/>
          <w:b/>
          <w:spacing w:val="0"/>
          <w:sz w:val="22"/>
          <w:szCs w:val="24"/>
          <w:rtl/>
        </w:rPr>
        <w:t xml:space="preserve"> </w:t>
      </w:r>
      <w:r w:rsidRPr="00D70F09">
        <w:rPr>
          <w:rFonts w:ascii="Century" w:hAnsi="Century" w:cs="Miriam" w:hint="eastAsia"/>
          <w:b/>
          <w:spacing w:val="0"/>
          <w:sz w:val="22"/>
          <w:szCs w:val="24"/>
          <w:rtl/>
        </w:rPr>
        <w:t>אשר</w:t>
      </w:r>
      <w:r>
        <w:rPr>
          <w:rFonts w:hint="cs"/>
          <w:rtl/>
        </w:rPr>
        <w:t xml:space="preserve"> או </w:t>
      </w:r>
      <w:r w:rsidRPr="00D70F09">
        <w:rPr>
          <w:rFonts w:ascii="Century" w:hAnsi="Century" w:cs="Miriam" w:hint="cs"/>
          <w:b/>
          <w:spacing w:val="0"/>
          <w:sz w:val="22"/>
          <w:szCs w:val="24"/>
          <w:rtl/>
        </w:rPr>
        <w:t>הכללים</w:t>
      </w:r>
      <w:r w:rsidRPr="00D70F09">
        <w:rPr>
          <w:rtl/>
        </w:rPr>
        <w:t>)</w:t>
      </w:r>
      <w:r>
        <w:rPr>
          <w:rFonts w:hint="cs"/>
          <w:rtl/>
        </w:rPr>
        <w:t xml:space="preserve">. סעיף 2(א) לחוק המתנות קובע </w:t>
      </w:r>
      <w:r w:rsidRPr="00375F86">
        <w:rPr>
          <w:rFonts w:hint="cs"/>
          <w:rtl/>
        </w:rPr>
        <w:t xml:space="preserve">"ניתנה לעובד הציבור </w:t>
      </w:r>
      <w:r w:rsidRPr="007C649F">
        <w:rPr>
          <w:rFonts w:ascii="Century" w:hAnsi="Century" w:cs="Miriam" w:hint="cs"/>
          <w:b/>
          <w:spacing w:val="0"/>
          <w:szCs w:val="24"/>
          <w:rtl/>
        </w:rPr>
        <w:t>באשר הוא עובד הציבור</w:t>
      </w:r>
      <w:r w:rsidRPr="00375F86">
        <w:rPr>
          <w:rFonts w:hint="cs"/>
          <w:rtl/>
        </w:rPr>
        <w:t xml:space="preserve"> מתנה – בין בישראל ובין בחוץ לארץ, בין שניתנה לו עצמו ובין שניתנה לבן זוגו החי עמו או לילדו הסמוך על שולחנו – ועובד הציבור לא סירב לקבלה ולא החזירה לנותנה לאלתר, תקום המתנה לקנין המדינה; ובמתנה שאין בה קנין חייב עובד הציבור לשלם לאוצר המדינה את שוויה</w:t>
      </w:r>
      <w:r w:rsidRPr="00375F86">
        <w:t>"</w:t>
      </w:r>
      <w:r>
        <w:rPr>
          <w:rFonts w:hint="cs"/>
          <w:rtl/>
        </w:rPr>
        <w:t xml:space="preserve"> (ההדגשה הוספה). לעניין זה, </w:t>
      </w:r>
      <w:r w:rsidRPr="007C649F">
        <w:rPr>
          <w:rFonts w:ascii="Century" w:hAnsi="Century" w:hint="cs"/>
          <w:rtl/>
        </w:rPr>
        <w:t xml:space="preserve">"עובד ציבור" הוא </w:t>
      </w:r>
      <w:r w:rsidRPr="007C649F">
        <w:rPr>
          <w:rStyle w:val="default"/>
          <w:rFonts w:ascii="Century" w:hAnsi="Century" w:hint="cs"/>
          <w:rtl/>
        </w:rPr>
        <w:t>מי ש</w:t>
      </w:r>
      <w:r>
        <w:rPr>
          <w:rStyle w:val="default"/>
          <w:rFonts w:ascii="Century" w:hAnsi="Century" w:hint="cs"/>
          <w:rtl/>
        </w:rPr>
        <w:t>"</w:t>
      </w:r>
      <w:r w:rsidRPr="007C649F">
        <w:rPr>
          <w:rStyle w:val="default"/>
          <w:rFonts w:ascii="Century" w:hAnsi="Century" w:hint="cs"/>
          <w:rtl/>
        </w:rPr>
        <w:t>נושא משרה או תפקיד מטעם המדינה</w:t>
      </w:r>
      <w:r>
        <w:rPr>
          <w:rStyle w:val="default"/>
          <w:rFonts w:ascii="Century" w:hAnsi="Century" w:hint="cs"/>
          <w:rtl/>
        </w:rPr>
        <w:t xml:space="preserve">"; ואילו </w:t>
      </w:r>
      <w:r w:rsidRPr="007C649F">
        <w:rPr>
          <w:rFonts w:ascii="Century" w:hAnsi="Century" w:hint="cs"/>
          <w:rtl/>
        </w:rPr>
        <w:t>"מתנה" מוגדרת כ"</w:t>
      </w:r>
      <w:r w:rsidRPr="007C649F">
        <w:rPr>
          <w:rFonts w:ascii="Century" w:hAnsi="Century" w:hint="eastAsia"/>
          <w:rtl/>
        </w:rPr>
        <w:t>הקניית</w:t>
      </w:r>
      <w:r w:rsidRPr="007C649F">
        <w:rPr>
          <w:rFonts w:ascii="Century" w:hAnsi="Century"/>
          <w:rtl/>
        </w:rPr>
        <w:t xml:space="preserve"> </w:t>
      </w:r>
      <w:r w:rsidRPr="007C649F">
        <w:rPr>
          <w:rFonts w:ascii="Century" w:hAnsi="Century" w:hint="eastAsia"/>
          <w:rtl/>
        </w:rPr>
        <w:t>נכס</w:t>
      </w:r>
      <w:r w:rsidRPr="007C649F">
        <w:rPr>
          <w:rFonts w:ascii="Century" w:hAnsi="Century"/>
          <w:rtl/>
        </w:rPr>
        <w:t xml:space="preserve"> </w:t>
      </w:r>
      <w:r w:rsidRPr="007C649F">
        <w:rPr>
          <w:rFonts w:ascii="Century" w:hAnsi="Century" w:hint="eastAsia"/>
          <w:rtl/>
        </w:rPr>
        <w:t>שלא</w:t>
      </w:r>
      <w:r w:rsidRPr="007C649F">
        <w:rPr>
          <w:rFonts w:ascii="Century" w:hAnsi="Century"/>
          <w:rtl/>
        </w:rPr>
        <w:t xml:space="preserve"> </w:t>
      </w:r>
      <w:r w:rsidRPr="007C649F">
        <w:rPr>
          <w:rFonts w:ascii="Century" w:hAnsi="Century" w:hint="eastAsia"/>
          <w:rtl/>
        </w:rPr>
        <w:t>בתמורה</w:t>
      </w:r>
      <w:r w:rsidRPr="007C649F">
        <w:rPr>
          <w:rFonts w:ascii="Century" w:hAnsi="Century"/>
          <w:rtl/>
        </w:rPr>
        <w:t xml:space="preserve"> </w:t>
      </w:r>
      <w:r w:rsidRPr="007C649F">
        <w:rPr>
          <w:rFonts w:ascii="Century" w:hAnsi="Century" w:hint="eastAsia"/>
          <w:rtl/>
        </w:rPr>
        <w:t>או</w:t>
      </w:r>
      <w:r w:rsidRPr="007C649F">
        <w:rPr>
          <w:rFonts w:ascii="Century" w:hAnsi="Century"/>
          <w:rtl/>
        </w:rPr>
        <w:t xml:space="preserve"> </w:t>
      </w:r>
      <w:r w:rsidRPr="007C649F">
        <w:rPr>
          <w:rFonts w:ascii="Century" w:hAnsi="Century" w:hint="eastAsia"/>
          <w:rtl/>
        </w:rPr>
        <w:t>מתן</w:t>
      </w:r>
      <w:r w:rsidRPr="007C649F">
        <w:rPr>
          <w:rFonts w:ascii="Century" w:hAnsi="Century"/>
          <w:rtl/>
        </w:rPr>
        <w:t xml:space="preserve"> </w:t>
      </w:r>
      <w:r w:rsidRPr="007C649F">
        <w:rPr>
          <w:rFonts w:ascii="Century" w:hAnsi="Century" w:hint="eastAsia"/>
          <w:rtl/>
        </w:rPr>
        <w:t>שירות</w:t>
      </w:r>
      <w:r w:rsidRPr="007C649F">
        <w:rPr>
          <w:rFonts w:ascii="Century" w:hAnsi="Century"/>
          <w:rtl/>
        </w:rPr>
        <w:t xml:space="preserve"> </w:t>
      </w:r>
      <w:r w:rsidRPr="007C649F">
        <w:rPr>
          <w:rFonts w:ascii="Century" w:hAnsi="Century" w:hint="eastAsia"/>
          <w:rtl/>
        </w:rPr>
        <w:t>או</w:t>
      </w:r>
      <w:r w:rsidRPr="007C649F">
        <w:rPr>
          <w:rFonts w:ascii="Century" w:hAnsi="Century"/>
          <w:rtl/>
        </w:rPr>
        <w:t xml:space="preserve"> </w:t>
      </w:r>
      <w:r w:rsidRPr="007C649F">
        <w:rPr>
          <w:rFonts w:ascii="Century" w:hAnsi="Century" w:hint="eastAsia"/>
          <w:rtl/>
        </w:rPr>
        <w:t>טובת</w:t>
      </w:r>
      <w:r w:rsidRPr="007C649F">
        <w:rPr>
          <w:rFonts w:ascii="Century" w:hAnsi="Century"/>
          <w:rtl/>
        </w:rPr>
        <w:t xml:space="preserve"> </w:t>
      </w:r>
      <w:r w:rsidRPr="007C649F">
        <w:rPr>
          <w:rFonts w:ascii="Century" w:hAnsi="Century" w:hint="eastAsia"/>
          <w:rtl/>
        </w:rPr>
        <w:t>הנאה</w:t>
      </w:r>
      <w:r w:rsidRPr="007C649F">
        <w:rPr>
          <w:rFonts w:ascii="Century" w:hAnsi="Century"/>
          <w:rtl/>
        </w:rPr>
        <w:t xml:space="preserve"> </w:t>
      </w:r>
      <w:r w:rsidRPr="007C649F">
        <w:rPr>
          <w:rFonts w:ascii="Century" w:hAnsi="Century" w:hint="eastAsia"/>
          <w:rtl/>
        </w:rPr>
        <w:t>אחרת</w:t>
      </w:r>
      <w:r w:rsidRPr="007C649F">
        <w:rPr>
          <w:rFonts w:ascii="Century" w:hAnsi="Century"/>
          <w:rtl/>
        </w:rPr>
        <w:t xml:space="preserve"> </w:t>
      </w:r>
      <w:r w:rsidRPr="007C649F">
        <w:rPr>
          <w:rFonts w:ascii="Century" w:hAnsi="Century" w:hint="eastAsia"/>
          <w:rtl/>
        </w:rPr>
        <w:t>שלא</w:t>
      </w:r>
      <w:r w:rsidRPr="007C649F">
        <w:rPr>
          <w:rFonts w:ascii="Century" w:hAnsi="Century"/>
          <w:rtl/>
        </w:rPr>
        <w:t xml:space="preserve"> </w:t>
      </w:r>
      <w:r w:rsidRPr="007C649F">
        <w:rPr>
          <w:rFonts w:ascii="Century" w:hAnsi="Century" w:hint="eastAsia"/>
          <w:rtl/>
        </w:rPr>
        <w:t>בתמורה</w:t>
      </w:r>
      <w:r w:rsidRPr="007C649F">
        <w:rPr>
          <w:rFonts w:ascii="Century" w:hAnsi="Century" w:hint="cs"/>
          <w:rtl/>
        </w:rPr>
        <w:t>" (סעיף 1 לחוק המתנות)</w:t>
      </w:r>
      <w:r>
        <w:rPr>
          <w:rFonts w:ascii="Century" w:hAnsi="Century" w:hint="cs"/>
          <w:rtl/>
        </w:rPr>
        <w:t>.</w:t>
      </w:r>
    </w:p>
    <w:p w14:paraId="22BA2F5E" w14:textId="77777777" w:rsidR="00F125D1" w:rsidRPr="00D70F09" w:rsidRDefault="00F125D1" w:rsidP="00F125D1">
      <w:pPr>
        <w:pStyle w:val="Ruller41"/>
        <w:rPr>
          <w:rtl/>
        </w:rPr>
      </w:pPr>
    </w:p>
    <w:p w14:paraId="5BB7DF9F" w14:textId="688A24E4" w:rsidR="00F125D1" w:rsidRDefault="00F125D1" w:rsidP="00F125D1">
      <w:pPr>
        <w:pStyle w:val="Ruller4"/>
        <w:numPr>
          <w:ilvl w:val="0"/>
          <w:numId w:val="0"/>
        </w:numPr>
        <w:rPr>
          <w:rtl/>
        </w:rPr>
      </w:pPr>
      <w:r>
        <w:rPr>
          <w:rtl/>
        </w:rPr>
        <w:tab/>
      </w:r>
      <w:r>
        <w:rPr>
          <w:rFonts w:hint="cs"/>
          <w:rtl/>
        </w:rPr>
        <w:t>כללי אשר, שהם כללי אתיקה שאומצו בהחלטת ממשלה, מטילים חובות נוספות על שרים (</w:t>
      </w:r>
      <w:r w:rsidRPr="00711EF7">
        <w:rPr>
          <w:rFonts w:hint="cs"/>
          <w:rtl/>
        </w:rPr>
        <w:t>לרבות ראש הממשלה) וסגני</w:t>
      </w:r>
      <w:r>
        <w:rPr>
          <w:rFonts w:hint="cs"/>
          <w:rtl/>
        </w:rPr>
        <w:t xml:space="preserve"> שרים, והם חלים גם כאשר חוק המתנות לא חל (כלל 2 לכללים קובע כי הם יחולו "בנוסף</w:t>
      </w:r>
      <w:r w:rsidR="0088115A">
        <w:rPr>
          <w:rFonts w:hint="cs"/>
          <w:rtl/>
        </w:rPr>
        <w:t xml:space="preserve"> על האמור</w:t>
      </w:r>
      <w:r>
        <w:rPr>
          <w:rFonts w:hint="cs"/>
          <w:rtl/>
        </w:rPr>
        <w:t xml:space="preserve"> </w:t>
      </w:r>
      <w:r w:rsidR="0088115A">
        <w:rPr>
          <w:rFonts w:hint="cs"/>
          <w:rtl/>
        </w:rPr>
        <w:t>ב</w:t>
      </w:r>
      <w:r>
        <w:rPr>
          <w:rFonts w:hint="cs"/>
          <w:rtl/>
        </w:rPr>
        <w:t xml:space="preserve">כל דין"). כלל 6(3)(א) לכללי אשר </w:t>
      </w:r>
      <w:r>
        <w:rPr>
          <w:rtl/>
        </w:rPr>
        <w:t>–</w:t>
      </w:r>
      <w:r>
        <w:rPr>
          <w:rFonts w:hint="cs"/>
          <w:rtl/>
        </w:rPr>
        <w:t xml:space="preserve"> שהוא הכלל הרלוונטי בענייננו </w:t>
      </w:r>
      <w:r>
        <w:rPr>
          <w:rtl/>
        </w:rPr>
        <w:t>–</w:t>
      </w:r>
      <w:r>
        <w:rPr>
          <w:rFonts w:hint="cs"/>
          <w:rtl/>
        </w:rPr>
        <w:t xml:space="preserve"> קובע כי</w:t>
      </w:r>
      <w:r w:rsidRPr="00845108">
        <w:rPr>
          <w:rFonts w:ascii="Century" w:hAnsi="Century" w:hint="eastAsia"/>
          <w:rtl/>
        </w:rPr>
        <w:t xml:space="preserve"> </w:t>
      </w:r>
      <w:r>
        <w:rPr>
          <w:rFonts w:ascii="Century" w:hAnsi="Century" w:hint="cs"/>
          <w:rtl/>
        </w:rPr>
        <w:t>"</w:t>
      </w:r>
      <w:r w:rsidRPr="009F0733">
        <w:rPr>
          <w:rFonts w:ascii="Century" w:hAnsi="Century" w:hint="eastAsia"/>
          <w:rtl/>
        </w:rPr>
        <w:t>שר</w:t>
      </w:r>
      <w:r w:rsidRPr="009F0733">
        <w:rPr>
          <w:rFonts w:ascii="Century" w:hAnsi="Century"/>
          <w:rtl/>
        </w:rPr>
        <w:t xml:space="preserve"> </w:t>
      </w:r>
      <w:r w:rsidRPr="009F0733">
        <w:rPr>
          <w:rFonts w:ascii="Century" w:hAnsi="Century" w:hint="eastAsia"/>
          <w:rtl/>
        </w:rPr>
        <w:t>לא</w:t>
      </w:r>
      <w:r w:rsidRPr="009F0733">
        <w:rPr>
          <w:rFonts w:ascii="Century" w:hAnsi="Century"/>
          <w:rtl/>
        </w:rPr>
        <w:t xml:space="preserve"> </w:t>
      </w:r>
      <w:r w:rsidRPr="009F0733">
        <w:rPr>
          <w:rFonts w:ascii="Century" w:hAnsi="Century" w:hint="eastAsia"/>
          <w:rtl/>
        </w:rPr>
        <w:t>יקבל</w:t>
      </w:r>
      <w:r w:rsidRPr="009F0733">
        <w:rPr>
          <w:rFonts w:ascii="Century" w:hAnsi="Century"/>
          <w:rtl/>
        </w:rPr>
        <w:t xml:space="preserve"> </w:t>
      </w:r>
      <w:r w:rsidRPr="009F0733">
        <w:rPr>
          <w:rFonts w:ascii="Century" w:hAnsi="Century" w:hint="eastAsia"/>
          <w:rtl/>
        </w:rPr>
        <w:t>שכר</w:t>
      </w:r>
      <w:r w:rsidRPr="009F0733">
        <w:rPr>
          <w:rFonts w:ascii="Century" w:hAnsi="Century"/>
          <w:rtl/>
        </w:rPr>
        <w:t xml:space="preserve"> </w:t>
      </w:r>
      <w:r w:rsidRPr="009F0733">
        <w:rPr>
          <w:rFonts w:ascii="Century" w:hAnsi="Century" w:hint="eastAsia"/>
          <w:rtl/>
        </w:rPr>
        <w:t>או</w:t>
      </w:r>
      <w:r w:rsidRPr="009F0733">
        <w:rPr>
          <w:rFonts w:ascii="Century" w:hAnsi="Century"/>
          <w:rtl/>
        </w:rPr>
        <w:t xml:space="preserve"> </w:t>
      </w:r>
      <w:r w:rsidRPr="001E49F1">
        <w:rPr>
          <w:rFonts w:ascii="Century" w:hAnsi="Century" w:cs="Miriam" w:hint="eastAsia"/>
          <w:b/>
          <w:spacing w:val="0"/>
          <w:sz w:val="22"/>
          <w:szCs w:val="24"/>
          <w:rtl/>
        </w:rPr>
        <w:t>טובת</w:t>
      </w:r>
      <w:r w:rsidRPr="001E49F1">
        <w:rPr>
          <w:rFonts w:ascii="Century" w:hAnsi="Century" w:cs="Miriam"/>
          <w:b/>
          <w:spacing w:val="0"/>
          <w:sz w:val="22"/>
          <w:szCs w:val="24"/>
          <w:rtl/>
        </w:rPr>
        <w:t xml:space="preserve"> </w:t>
      </w:r>
      <w:r w:rsidRPr="001E49F1">
        <w:rPr>
          <w:rFonts w:ascii="Century" w:hAnsi="Century" w:cs="Miriam" w:hint="eastAsia"/>
          <w:b/>
          <w:spacing w:val="0"/>
          <w:sz w:val="22"/>
          <w:szCs w:val="24"/>
          <w:rtl/>
        </w:rPr>
        <w:t>הנאה</w:t>
      </w:r>
      <w:r w:rsidRPr="009F0733">
        <w:rPr>
          <w:rFonts w:ascii="Century" w:hAnsi="Century"/>
          <w:rtl/>
        </w:rPr>
        <w:t xml:space="preserve">, </w:t>
      </w:r>
      <w:r w:rsidRPr="009F0733">
        <w:rPr>
          <w:rFonts w:ascii="Century" w:hAnsi="Century" w:hint="eastAsia"/>
          <w:rtl/>
        </w:rPr>
        <w:t>זולת</w:t>
      </w:r>
      <w:r w:rsidRPr="009F0733">
        <w:rPr>
          <w:rFonts w:ascii="Century" w:hAnsi="Century"/>
          <w:rtl/>
        </w:rPr>
        <w:t xml:space="preserve"> </w:t>
      </w:r>
      <w:r w:rsidRPr="009F0733">
        <w:rPr>
          <w:rFonts w:ascii="Century" w:hAnsi="Century" w:hint="eastAsia"/>
          <w:rtl/>
        </w:rPr>
        <w:t>שכרו</w:t>
      </w:r>
      <w:r w:rsidRPr="009F0733">
        <w:rPr>
          <w:rFonts w:ascii="Century" w:hAnsi="Century"/>
          <w:rtl/>
        </w:rPr>
        <w:t xml:space="preserve"> </w:t>
      </w:r>
      <w:r w:rsidRPr="009F0733">
        <w:rPr>
          <w:rFonts w:ascii="Century" w:hAnsi="Century" w:hint="eastAsia"/>
          <w:rtl/>
        </w:rPr>
        <w:t>שמשלמת</w:t>
      </w:r>
      <w:r w:rsidRPr="009F0733">
        <w:rPr>
          <w:rFonts w:ascii="Century" w:hAnsi="Century"/>
          <w:rtl/>
        </w:rPr>
        <w:t xml:space="preserve"> </w:t>
      </w:r>
      <w:r w:rsidRPr="009F0733">
        <w:rPr>
          <w:rFonts w:ascii="Century" w:hAnsi="Century" w:hint="eastAsia"/>
          <w:rtl/>
        </w:rPr>
        <w:t>לו</w:t>
      </w:r>
      <w:r w:rsidRPr="009F0733">
        <w:rPr>
          <w:rFonts w:ascii="Century" w:hAnsi="Century"/>
          <w:rtl/>
        </w:rPr>
        <w:t xml:space="preserve"> </w:t>
      </w:r>
      <w:r w:rsidRPr="009F0733">
        <w:rPr>
          <w:rFonts w:ascii="Century" w:hAnsi="Century" w:hint="eastAsia"/>
          <w:rtl/>
        </w:rPr>
        <w:t>המדינה</w:t>
      </w:r>
      <w:r w:rsidRPr="009F0733">
        <w:rPr>
          <w:rFonts w:ascii="Century" w:hAnsi="Century"/>
          <w:rtl/>
        </w:rPr>
        <w:t>"</w:t>
      </w:r>
      <w:r>
        <w:rPr>
          <w:rFonts w:ascii="Century" w:hAnsi="Century" w:hint="cs"/>
          <w:rtl/>
        </w:rPr>
        <w:t xml:space="preserve"> (ההדגשה הוספה)</w:t>
      </w:r>
      <w:r w:rsidRPr="009F0733">
        <w:rPr>
          <w:rFonts w:ascii="Century" w:hAnsi="Century" w:hint="cs"/>
          <w:rtl/>
        </w:rPr>
        <w:t>.</w:t>
      </w:r>
      <w:r>
        <w:rPr>
          <w:rFonts w:ascii="Century" w:hAnsi="Century" w:hint="cs"/>
          <w:rtl/>
        </w:rPr>
        <w:t xml:space="preserve"> בשונה מחוק המתנות, כלל זה אוסר, אפוא, גם על קבלת טובות הנאה שניתנו לשר </w:t>
      </w:r>
      <w:r w:rsidRPr="00094803">
        <w:rPr>
          <w:rFonts w:ascii="Century" w:hAnsi="Century" w:cs="Miriam" w:hint="cs"/>
          <w:b/>
          <w:spacing w:val="0"/>
          <w:sz w:val="22"/>
          <w:szCs w:val="24"/>
          <w:rtl/>
        </w:rPr>
        <w:t>ללא</w:t>
      </w:r>
      <w:r>
        <w:rPr>
          <w:rFonts w:ascii="Century" w:hAnsi="Century" w:hint="cs"/>
          <w:rtl/>
        </w:rPr>
        <w:t xml:space="preserve"> קשר להיותו עובד ציבור.</w:t>
      </w:r>
      <w:r>
        <w:rPr>
          <w:rFonts w:hint="cs"/>
          <w:rtl/>
        </w:rPr>
        <w:t xml:space="preserve"> פרק ד' לכללי אשר מסדיר את מינויה ואת אופן פעילותה של הוועדה למתן היתרים (להלן: </w:t>
      </w:r>
      <w:r>
        <w:rPr>
          <w:rFonts w:ascii="Century" w:hAnsi="Century" w:cs="Miriam" w:hint="cs"/>
          <w:b/>
          <w:spacing w:val="0"/>
          <w:sz w:val="22"/>
          <w:szCs w:val="24"/>
          <w:rtl/>
        </w:rPr>
        <w:t xml:space="preserve">ועדת ההיתרים </w:t>
      </w:r>
      <w:r w:rsidRPr="005B74E4">
        <w:rPr>
          <w:rFonts w:ascii="Century" w:hAnsi="Century" w:hint="cs"/>
          <w:sz w:val="22"/>
          <w:rtl/>
        </w:rPr>
        <w:t xml:space="preserve">או </w:t>
      </w:r>
      <w:r>
        <w:rPr>
          <w:rFonts w:ascii="Century" w:hAnsi="Century" w:cs="Miriam" w:hint="cs"/>
          <w:b/>
          <w:spacing w:val="0"/>
          <w:sz w:val="22"/>
          <w:szCs w:val="24"/>
          <w:rtl/>
        </w:rPr>
        <w:t>הוועדה</w:t>
      </w:r>
      <w:r>
        <w:rPr>
          <w:rFonts w:hint="cs"/>
          <w:rtl/>
        </w:rPr>
        <w:t xml:space="preserve">), הממונה על ידי מבקר המדינה (להלן גם: </w:t>
      </w:r>
      <w:r w:rsidRPr="00094803">
        <w:rPr>
          <w:rFonts w:ascii="Century" w:hAnsi="Century" w:cs="Miriam" w:hint="cs"/>
          <w:b/>
          <w:spacing w:val="0"/>
          <w:sz w:val="22"/>
          <w:szCs w:val="24"/>
          <w:rtl/>
        </w:rPr>
        <w:t>המבקר</w:t>
      </w:r>
      <w:r>
        <w:rPr>
          <w:rFonts w:hint="cs"/>
          <w:rtl/>
        </w:rPr>
        <w:t xml:space="preserve">) והמוסמכת לדון בבקשה לקבלת היתר לחריגה מההוראות הקבועות בכללי אשר. לפי כלל 19(ב) לכללי אשר, הוועדה רשאית לסרב ליתן היתר, לתתו או לתתו בתנאים "אם הדבר נראה לה מוצדק בנסיבות המקרה ותקין מבחינה ציבורית". </w:t>
      </w:r>
    </w:p>
    <w:p w14:paraId="380AB2A0" w14:textId="77777777" w:rsidR="00F125D1" w:rsidRDefault="00F125D1" w:rsidP="00F125D1">
      <w:pPr>
        <w:pStyle w:val="Ruller41"/>
        <w:rPr>
          <w:rtl/>
        </w:rPr>
      </w:pPr>
    </w:p>
    <w:p w14:paraId="0D737221" w14:textId="77777777" w:rsidR="00F125D1" w:rsidRDefault="00F125D1" w:rsidP="00F125D1">
      <w:pPr>
        <w:pStyle w:val="Ruller4"/>
        <w:rPr>
          <w:rtl/>
        </w:rPr>
      </w:pPr>
      <w:r>
        <w:rPr>
          <w:rFonts w:hint="cs"/>
          <w:rtl/>
        </w:rPr>
        <w:t>ביום 18.3.2018 פנה בא כוחו של ח</w:t>
      </w:r>
      <w:r>
        <w:rPr>
          <w:rtl/>
        </w:rPr>
        <w:t>"</w:t>
      </w:r>
      <w:r>
        <w:rPr>
          <w:rFonts w:hint="cs"/>
          <w:rtl/>
        </w:rPr>
        <w:t xml:space="preserve">כ נתניהו, שכיהן אז כראש הממשלה, </w:t>
      </w:r>
      <w:r w:rsidRPr="00871B49">
        <w:rPr>
          <w:rFonts w:ascii="Century" w:hAnsi="Century" w:hint="cs"/>
          <w:sz w:val="22"/>
          <w:rtl/>
        </w:rPr>
        <w:t xml:space="preserve">ליועצת המשפטית </w:t>
      </w:r>
      <w:r w:rsidRPr="00711EF7">
        <w:rPr>
          <w:rFonts w:ascii="Century" w:hAnsi="Century" w:hint="cs"/>
          <w:sz w:val="22"/>
          <w:rtl/>
        </w:rPr>
        <w:t xml:space="preserve">של משרד ראש הממשלה </w:t>
      </w:r>
      <w:r w:rsidRPr="00711EF7">
        <w:rPr>
          <w:rFonts w:ascii="Century" w:hAnsi="Century"/>
          <w:sz w:val="22"/>
          <w:rtl/>
        </w:rPr>
        <w:t>(</w:t>
      </w:r>
      <w:r w:rsidRPr="00711EF7">
        <w:rPr>
          <w:rFonts w:ascii="Century" w:hAnsi="Century" w:hint="eastAsia"/>
          <w:sz w:val="22"/>
          <w:rtl/>
        </w:rPr>
        <w:t>להלן</w:t>
      </w:r>
      <w:r w:rsidRPr="00711EF7">
        <w:rPr>
          <w:rFonts w:ascii="Century" w:hAnsi="Century"/>
          <w:sz w:val="22"/>
          <w:rtl/>
        </w:rPr>
        <w:t xml:space="preserve">: </w:t>
      </w:r>
      <w:r w:rsidRPr="00711EF7">
        <w:rPr>
          <w:rFonts w:ascii="Century" w:hAnsi="Century" w:cs="Miriam" w:hint="cs"/>
          <w:b/>
          <w:spacing w:val="0"/>
          <w:sz w:val="22"/>
          <w:szCs w:val="24"/>
          <w:rtl/>
        </w:rPr>
        <w:t>יועמ"</w:t>
      </w:r>
      <w:r>
        <w:rPr>
          <w:rFonts w:ascii="Century" w:hAnsi="Century" w:cs="Miriam" w:hint="cs"/>
          <w:b/>
          <w:spacing w:val="0"/>
          <w:sz w:val="22"/>
          <w:szCs w:val="24"/>
          <w:rtl/>
        </w:rPr>
        <w:t>ש ר</w:t>
      </w:r>
      <w:r w:rsidRPr="00871B49">
        <w:rPr>
          <w:rFonts w:ascii="Century" w:hAnsi="Century" w:cs="Miriam" w:hint="cs"/>
          <w:b/>
          <w:spacing w:val="0"/>
          <w:sz w:val="22"/>
          <w:szCs w:val="24"/>
          <w:rtl/>
        </w:rPr>
        <w:t>ה"מ</w:t>
      </w:r>
      <w:r w:rsidRPr="00871B49">
        <w:rPr>
          <w:rFonts w:ascii="Century" w:hAnsi="Century" w:hint="cs"/>
          <w:sz w:val="22"/>
          <w:rtl/>
        </w:rPr>
        <w:t>)</w:t>
      </w:r>
      <w:r>
        <w:rPr>
          <w:rFonts w:hint="cs"/>
          <w:rtl/>
        </w:rPr>
        <w:t xml:space="preserve"> </w:t>
      </w:r>
      <w:r w:rsidRPr="00871B49">
        <w:rPr>
          <w:rFonts w:ascii="Century" w:hAnsi="Century" w:hint="cs"/>
          <w:sz w:val="22"/>
          <w:rtl/>
        </w:rPr>
        <w:t>בבקשה לבחון את האפשרות ש</w:t>
      </w:r>
      <w:r>
        <w:rPr>
          <w:rFonts w:ascii="Century" w:hAnsi="Century" w:hint="cs"/>
          <w:sz w:val="22"/>
          <w:rtl/>
        </w:rPr>
        <w:t>ח</w:t>
      </w:r>
      <w:r>
        <w:rPr>
          <w:rFonts w:ascii="Century" w:hAnsi="Century"/>
          <w:sz w:val="22"/>
          <w:rtl/>
        </w:rPr>
        <w:t>"</w:t>
      </w:r>
      <w:r>
        <w:rPr>
          <w:rFonts w:ascii="Century" w:hAnsi="Century" w:hint="cs"/>
          <w:sz w:val="22"/>
          <w:rtl/>
        </w:rPr>
        <w:t>כ נתניהו</w:t>
      </w:r>
      <w:r w:rsidRPr="00871B49">
        <w:rPr>
          <w:rFonts w:ascii="Century" w:hAnsi="Century" w:hint="cs"/>
          <w:sz w:val="22"/>
          <w:rtl/>
        </w:rPr>
        <w:t xml:space="preserve"> יסתייע במיליקובסקי ופרטרידג' לצורך מימון הוצאותיו המשפטיות</w:t>
      </w:r>
      <w:r>
        <w:rPr>
          <w:rFonts w:ascii="Century" w:hAnsi="Century" w:hint="cs"/>
          <w:sz w:val="22"/>
          <w:rtl/>
        </w:rPr>
        <w:t>, על רקע המלצת המשטרה להעמידו לדין</w:t>
      </w:r>
      <w:r>
        <w:rPr>
          <w:rFonts w:hint="cs"/>
          <w:rtl/>
        </w:rPr>
        <w:t xml:space="preserve">. </w:t>
      </w:r>
      <w:r w:rsidRPr="007C649F">
        <w:rPr>
          <w:rFonts w:ascii="Century" w:hAnsi="Century" w:hint="cs"/>
          <w:rtl/>
        </w:rPr>
        <w:t xml:space="preserve">לאחר תהליך של בירור טיב הקשר </w:t>
      </w:r>
      <w:r>
        <w:rPr>
          <w:rFonts w:ascii="Century" w:hAnsi="Century" w:hint="cs"/>
          <w:rtl/>
        </w:rPr>
        <w:t>בין</w:t>
      </w:r>
      <w:r w:rsidRPr="007C649F">
        <w:rPr>
          <w:rFonts w:ascii="Century" w:hAnsi="Century" w:hint="cs"/>
          <w:rtl/>
        </w:rPr>
        <w:t xml:space="preserve"> ח</w:t>
      </w:r>
      <w:r w:rsidRPr="007C649F">
        <w:rPr>
          <w:rFonts w:ascii="Century" w:hAnsi="Century"/>
          <w:rtl/>
        </w:rPr>
        <w:t>"</w:t>
      </w:r>
      <w:r w:rsidRPr="007C649F">
        <w:rPr>
          <w:rFonts w:ascii="Century" w:hAnsi="Century" w:hint="cs"/>
          <w:rtl/>
        </w:rPr>
        <w:t xml:space="preserve">כ נתניהו </w:t>
      </w:r>
      <w:r>
        <w:rPr>
          <w:rFonts w:ascii="Century" w:hAnsi="Century" w:hint="cs"/>
          <w:rtl/>
        </w:rPr>
        <w:t>ובין</w:t>
      </w:r>
      <w:r w:rsidRPr="007C649F">
        <w:rPr>
          <w:rFonts w:ascii="Century" w:hAnsi="Century" w:hint="cs"/>
          <w:rtl/>
        </w:rPr>
        <w:t xml:space="preserve"> פרטרידג' ומיליקובסקי ו</w:t>
      </w:r>
      <w:r>
        <w:rPr>
          <w:rFonts w:ascii="Century" w:hAnsi="Century" w:hint="cs"/>
          <w:rtl/>
        </w:rPr>
        <w:t>לאחר בחינת הנושא על ידי</w:t>
      </w:r>
      <w:r w:rsidRPr="007C649F">
        <w:rPr>
          <w:rFonts w:ascii="Century" w:hAnsi="Century" w:hint="cs"/>
          <w:rtl/>
        </w:rPr>
        <w:t xml:space="preserve"> מחלקת ייעוץ וחקיקה </w:t>
      </w:r>
      <w:r>
        <w:rPr>
          <w:rFonts w:ascii="Century" w:hAnsi="Century" w:hint="cs"/>
          <w:rtl/>
        </w:rPr>
        <w:t>במשרד המשפטים, השיבה יועמ"ש ר</w:t>
      </w:r>
      <w:r w:rsidRPr="007C649F">
        <w:rPr>
          <w:rFonts w:ascii="Century" w:hAnsi="Century" w:hint="cs"/>
          <w:rtl/>
        </w:rPr>
        <w:t>ה"מ</w:t>
      </w:r>
      <w:r w:rsidRPr="0097766C">
        <w:rPr>
          <w:rFonts w:ascii="Century" w:hAnsi="Century" w:hint="cs"/>
          <w:rtl/>
        </w:rPr>
        <w:t xml:space="preserve"> </w:t>
      </w:r>
      <w:r>
        <w:rPr>
          <w:rFonts w:ascii="Century" w:hAnsi="Century" w:hint="cs"/>
          <w:rtl/>
        </w:rPr>
        <w:t>ביום 14.6.2018</w:t>
      </w:r>
      <w:r w:rsidRPr="007C649F">
        <w:rPr>
          <w:rFonts w:ascii="Century" w:hAnsi="Century" w:hint="cs"/>
          <w:rtl/>
        </w:rPr>
        <w:t xml:space="preserve"> לבא כוחו של ח</w:t>
      </w:r>
      <w:r w:rsidRPr="007C649F">
        <w:rPr>
          <w:rFonts w:ascii="Century" w:hAnsi="Century"/>
          <w:rtl/>
        </w:rPr>
        <w:t>"</w:t>
      </w:r>
      <w:r w:rsidRPr="007C649F">
        <w:rPr>
          <w:rFonts w:ascii="Century" w:hAnsi="Century" w:hint="cs"/>
          <w:rtl/>
        </w:rPr>
        <w:t xml:space="preserve">כ נתניהו, על דעת היועץ המשפטי לממשלה (להלן גם: </w:t>
      </w:r>
      <w:r w:rsidRPr="007C649F">
        <w:rPr>
          <w:rFonts w:ascii="Century" w:hAnsi="Century" w:cs="Miriam" w:hint="cs"/>
          <w:b/>
          <w:spacing w:val="0"/>
          <w:sz w:val="22"/>
          <w:szCs w:val="24"/>
          <w:rtl/>
        </w:rPr>
        <w:t>היועץ</w:t>
      </w:r>
      <w:r>
        <w:rPr>
          <w:rFonts w:ascii="Century" w:hAnsi="Century" w:cs="Miriam" w:hint="cs"/>
          <w:b/>
          <w:spacing w:val="0"/>
          <w:sz w:val="22"/>
          <w:szCs w:val="24"/>
          <w:rtl/>
        </w:rPr>
        <w:t xml:space="preserve"> </w:t>
      </w:r>
      <w:r w:rsidRPr="00550588">
        <w:rPr>
          <w:rFonts w:ascii="Century" w:hAnsi="Century" w:hint="cs"/>
          <w:sz w:val="22"/>
          <w:rtl/>
        </w:rPr>
        <w:t>או</w:t>
      </w:r>
      <w:r w:rsidRPr="00550588">
        <w:rPr>
          <w:rFonts w:ascii="Century" w:hAnsi="Century" w:cs="Miriam" w:hint="cs"/>
          <w:b/>
          <w:spacing w:val="0"/>
          <w:sz w:val="22"/>
          <w:szCs w:val="24"/>
          <w:rtl/>
        </w:rPr>
        <w:t xml:space="preserve"> </w:t>
      </w:r>
      <w:r>
        <w:rPr>
          <w:rFonts w:ascii="Century" w:hAnsi="Century" w:cs="Miriam" w:hint="cs"/>
          <w:b/>
          <w:spacing w:val="0"/>
          <w:sz w:val="22"/>
          <w:szCs w:val="24"/>
          <w:rtl/>
        </w:rPr>
        <w:t>היועצת</w:t>
      </w:r>
      <w:r w:rsidRPr="00550588">
        <w:rPr>
          <w:rFonts w:ascii="Century" w:hAnsi="Century" w:hint="cs"/>
          <w:sz w:val="22"/>
          <w:rtl/>
        </w:rPr>
        <w:t>, לפי העניין</w:t>
      </w:r>
      <w:r w:rsidRPr="007C649F">
        <w:rPr>
          <w:rFonts w:ascii="Century" w:hAnsi="Century" w:hint="cs"/>
          <w:rtl/>
        </w:rPr>
        <w:t>), כי חוק המתנות אינו חל בנסיבות הענ</w:t>
      </w:r>
      <w:r>
        <w:rPr>
          <w:rFonts w:ascii="Century" w:hAnsi="Century" w:hint="cs"/>
          <w:rtl/>
        </w:rPr>
        <w:t xml:space="preserve">יין, אך </w:t>
      </w:r>
      <w:r w:rsidRPr="007C649F">
        <w:rPr>
          <w:rFonts w:ascii="Century" w:hAnsi="Century" w:hint="cs"/>
          <w:rtl/>
        </w:rPr>
        <w:t xml:space="preserve">היות </w:t>
      </w:r>
      <w:r>
        <w:rPr>
          <w:rFonts w:ascii="Century" w:hAnsi="Century" w:hint="cs"/>
          <w:rtl/>
        </w:rPr>
        <w:t>שהמימון המבוקש מהווה "</w:t>
      </w:r>
      <w:r w:rsidRPr="007C649F">
        <w:rPr>
          <w:rFonts w:ascii="Century" w:hAnsi="Century" w:hint="cs"/>
          <w:rtl/>
        </w:rPr>
        <w:t>טובת הנאה</w:t>
      </w:r>
      <w:r>
        <w:rPr>
          <w:rFonts w:ascii="Century" w:hAnsi="Century" w:hint="cs"/>
          <w:rtl/>
        </w:rPr>
        <w:t>"</w:t>
      </w:r>
      <w:r w:rsidRPr="007C649F">
        <w:rPr>
          <w:rFonts w:ascii="Century" w:hAnsi="Century" w:hint="cs"/>
          <w:rtl/>
        </w:rPr>
        <w:t xml:space="preserve"> כהגדרתה בסעיף 6(3)(א) לכללי אשר, על ח</w:t>
      </w:r>
      <w:r w:rsidRPr="007C649F">
        <w:rPr>
          <w:rFonts w:ascii="Century" w:hAnsi="Century"/>
          <w:rtl/>
        </w:rPr>
        <w:t>"</w:t>
      </w:r>
      <w:r w:rsidRPr="007C649F">
        <w:rPr>
          <w:rFonts w:ascii="Century" w:hAnsi="Century" w:hint="cs"/>
          <w:rtl/>
        </w:rPr>
        <w:t xml:space="preserve">כ נתניהו לפנות לוועדת ההיתרים כדי לקבל </w:t>
      </w:r>
      <w:r w:rsidRPr="007C649F">
        <w:rPr>
          <w:rFonts w:ascii="Century" w:hAnsi="Century" w:hint="cs"/>
          <w:rtl/>
        </w:rPr>
        <w:lastRenderedPageBreak/>
        <w:t xml:space="preserve">היתר לקבלת הכספים. </w:t>
      </w:r>
      <w:r>
        <w:rPr>
          <w:rFonts w:hint="cs"/>
          <w:rtl/>
        </w:rPr>
        <w:t xml:space="preserve">כשבועיים לאחר מכן, ביום 27.6.2018, העביר היועץ המשפטי לממשלה למבקר המדינה מכתב המפרט את טעמיו לקביעה כי אין תחולה לחוק המתנות בנסיבות העניין. במכתב האמור צוין כי אף שקיימת חזקה לפיה מתנות הניתנות לשרים ניתנות להם באשר הם עובדי ציבור, חזקה זו נסתרת ביחס לסיוע המבוקש ממיליקובסקי ופרטרידג' בשל היחסים האישיים ארוכי השנים בינם ובין ח"כ נתניהו.  </w:t>
      </w:r>
    </w:p>
    <w:p w14:paraId="20EE12D7" w14:textId="77777777" w:rsidR="00F125D1" w:rsidRDefault="00F125D1" w:rsidP="00F125D1">
      <w:pPr>
        <w:pStyle w:val="Ruller41"/>
        <w:rPr>
          <w:rtl/>
        </w:rPr>
      </w:pPr>
    </w:p>
    <w:p w14:paraId="68557415" w14:textId="41AACC2E" w:rsidR="00F125D1" w:rsidRDefault="00F125D1" w:rsidP="00F125D1">
      <w:pPr>
        <w:pStyle w:val="Ruller4"/>
        <w:rPr>
          <w:rtl/>
        </w:rPr>
      </w:pPr>
      <w:r>
        <w:rPr>
          <w:rFonts w:hint="cs"/>
          <w:rtl/>
        </w:rPr>
        <w:t xml:space="preserve">ביום 29.11.2018 דחתה ועדת ההיתרים את בקשת ח"כ נתניהו לקבלת היתר למימון הוצאותיו המשפטיות (החלטה 3/2018; להלן: </w:t>
      </w:r>
      <w:r w:rsidRPr="004A4F52">
        <w:rPr>
          <w:rFonts w:ascii="Century" w:hAnsi="Century" w:cs="Miriam" w:hint="cs"/>
          <w:b/>
          <w:spacing w:val="0"/>
          <w:szCs w:val="24"/>
          <w:rtl/>
        </w:rPr>
        <w:t>החלטת הוועדה מיום 29.11.2018</w:t>
      </w:r>
      <w:r>
        <w:rPr>
          <w:rFonts w:hint="cs"/>
          <w:rtl/>
        </w:rPr>
        <w:t>). בהחלטה הובהר כי ככלל "</w:t>
      </w:r>
      <w:r w:rsidR="00FF3327">
        <w:rPr>
          <w:rFonts w:hint="cs"/>
          <w:rtl/>
        </w:rPr>
        <w:t xml:space="preserve">[...] </w:t>
      </w:r>
      <w:r>
        <w:rPr>
          <w:rFonts w:hint="cs"/>
          <w:rtl/>
        </w:rPr>
        <w:t>מימון הוצאות משפט איננו מסוג העניינים בהם מוצדק ליתן היתר אישי לחריגה מהכללים</w:t>
      </w:r>
      <w:r w:rsidR="00FF3327">
        <w:rPr>
          <w:rFonts w:hint="cs"/>
          <w:rtl/>
        </w:rPr>
        <w:t xml:space="preserve"> [...]</w:t>
      </w:r>
      <w:r>
        <w:rPr>
          <w:rFonts w:hint="cs"/>
          <w:rtl/>
        </w:rPr>
        <w:t xml:space="preserve">" וכי נדרשות נסיבות ייחודיות וכבדות משקל לצורך סטייה מכלל זה, אשר לא הוצגו בפני הוועדה. בהחלטה צוין גם כי ח"כ נתניהו לא סיפק מענה לשאלות בסיסיות לרבות השאלה מהו הסכום שאותו הוא מבקש לגייס מהתורמים. </w:t>
      </w:r>
    </w:p>
    <w:p w14:paraId="31532963" w14:textId="77777777" w:rsidR="00F125D1" w:rsidRPr="00EB62EE" w:rsidRDefault="00F125D1" w:rsidP="00F125D1">
      <w:pPr>
        <w:pStyle w:val="Ruller41"/>
        <w:rPr>
          <w:rtl/>
        </w:rPr>
      </w:pPr>
    </w:p>
    <w:p w14:paraId="5E679A0C" w14:textId="05AFC875" w:rsidR="00F125D1" w:rsidRDefault="00F125D1" w:rsidP="00571CAB">
      <w:pPr>
        <w:pStyle w:val="Ruller4"/>
        <w:rPr>
          <w:rtl/>
        </w:rPr>
      </w:pPr>
      <w:r>
        <w:rPr>
          <w:rFonts w:hint="cs"/>
          <w:rtl/>
        </w:rPr>
        <w:t>ביום 7.1.2019 פנה ח</w:t>
      </w:r>
      <w:r>
        <w:rPr>
          <w:rtl/>
        </w:rPr>
        <w:t>"</w:t>
      </w:r>
      <w:r>
        <w:rPr>
          <w:rFonts w:hint="cs"/>
          <w:rtl/>
        </w:rPr>
        <w:t>כ נתניהו לוועדת ההיתרים ב"בקשה נוספת ומחודשת לקבלת סיוע במימון הוצאות הגנה". בבקשה צוין כי ח</w:t>
      </w:r>
      <w:r>
        <w:rPr>
          <w:rtl/>
        </w:rPr>
        <w:t>"</w:t>
      </w:r>
      <w:r>
        <w:rPr>
          <w:rFonts w:hint="cs"/>
          <w:rtl/>
        </w:rPr>
        <w:t xml:space="preserve">כ נתניהו סבור שהחלטת הוועדה מיום 29.11.2018 ניתנה בהיעדר פירוט ונימוקים מספיקים ועל כן יש לראות בה מעין דחייה על הסף, להבדיל מדחיית הבקשה לגופה, על כל המשתמע מכך מבחינת מעשה בית דין. בעקבות הגשת הבקשה נשלח מכתב </w:t>
      </w:r>
      <w:r w:rsidR="00571CAB">
        <w:rPr>
          <w:rFonts w:hint="cs"/>
          <w:rtl/>
        </w:rPr>
        <w:t xml:space="preserve">ליועץ המשפטי לממשלה </w:t>
      </w:r>
      <w:r>
        <w:rPr>
          <w:rFonts w:hint="cs"/>
          <w:rtl/>
        </w:rPr>
        <w:t xml:space="preserve">מטעם היועץ המשפטי </w:t>
      </w:r>
      <w:r w:rsidR="006B0E7D">
        <w:rPr>
          <w:rFonts w:hint="cs"/>
          <w:rtl/>
        </w:rPr>
        <w:t>ל</w:t>
      </w:r>
      <w:r>
        <w:rPr>
          <w:rFonts w:hint="cs"/>
          <w:rtl/>
        </w:rPr>
        <w:t xml:space="preserve">מבקר המדינה (להלן: </w:t>
      </w:r>
      <w:r w:rsidRPr="004A4F52">
        <w:rPr>
          <w:rFonts w:ascii="Century" w:hAnsi="Century" w:cs="Miriam" w:hint="cs"/>
          <w:b/>
          <w:spacing w:val="0"/>
          <w:sz w:val="22"/>
          <w:szCs w:val="24"/>
          <w:rtl/>
        </w:rPr>
        <w:t>יועמ"ש מבקר המדינה</w:t>
      </w:r>
      <w:r>
        <w:rPr>
          <w:rFonts w:hint="cs"/>
          <w:rtl/>
        </w:rPr>
        <w:t>), ובו צוין, בין היתר, כי על פי הנטען בבקשת ח</w:t>
      </w:r>
      <w:r>
        <w:rPr>
          <w:rtl/>
        </w:rPr>
        <w:t>"</w:t>
      </w:r>
      <w:r>
        <w:rPr>
          <w:rFonts w:hint="cs"/>
          <w:rtl/>
        </w:rPr>
        <w:t xml:space="preserve">כ נתניהו מיום 7.1.2019, הוא ורעייתו (להלן: </w:t>
      </w:r>
      <w:r w:rsidRPr="004A4F52">
        <w:rPr>
          <w:rFonts w:ascii="Century" w:hAnsi="Century" w:cs="Miriam" w:hint="cs"/>
          <w:b/>
          <w:spacing w:val="0"/>
          <w:sz w:val="22"/>
          <w:szCs w:val="24"/>
          <w:rtl/>
        </w:rPr>
        <w:t>גב' נתניהו</w:t>
      </w:r>
      <w:r>
        <w:rPr>
          <w:rFonts w:hint="cs"/>
          <w:rtl/>
        </w:rPr>
        <w:t>) קיבלו ממיליקובסקי מענק בשווי כולל של 300,000 דולר בתקופה שבין חודש מרץ 2017 ומרץ 2018, לצורך ליווי משפטי של ח</w:t>
      </w:r>
      <w:r>
        <w:rPr>
          <w:rtl/>
        </w:rPr>
        <w:t>"</w:t>
      </w:r>
      <w:r>
        <w:rPr>
          <w:rFonts w:hint="cs"/>
          <w:rtl/>
        </w:rPr>
        <w:t xml:space="preserve">כ נתניהו בחקירותיו וליווי רעייתו בפרשה המכונה "תיק המעונות" </w:t>
      </w:r>
      <w:r>
        <w:rPr>
          <w:rtl/>
        </w:rPr>
        <w:t>(</w:t>
      </w:r>
      <w:r>
        <w:rPr>
          <w:rFonts w:hint="eastAsia"/>
          <w:rtl/>
        </w:rPr>
        <w:t>להלן</w:t>
      </w:r>
      <w:r>
        <w:rPr>
          <w:rtl/>
        </w:rPr>
        <w:t xml:space="preserve">: </w:t>
      </w:r>
      <w:r>
        <w:rPr>
          <w:rFonts w:ascii="Century" w:hAnsi="Century" w:cs="Miriam" w:hint="cs"/>
          <w:b/>
          <w:spacing w:val="0"/>
          <w:sz w:val="22"/>
          <w:szCs w:val="24"/>
          <w:rtl/>
        </w:rPr>
        <w:t xml:space="preserve">המענק </w:t>
      </w:r>
      <w:r w:rsidRPr="004A4F52">
        <w:rPr>
          <w:rFonts w:ascii="Century" w:hAnsi="Century" w:cs="Miriam" w:hint="cs"/>
          <w:b/>
          <w:spacing w:val="0"/>
          <w:sz w:val="22"/>
          <w:szCs w:val="24"/>
          <w:rtl/>
        </w:rPr>
        <w:t>ממיליקובסקי</w:t>
      </w:r>
      <w:r>
        <w:rPr>
          <w:rFonts w:hint="cs"/>
          <w:rtl/>
        </w:rPr>
        <w:t xml:space="preserve">), וזאת מבלי שנתבקש היתר לכך. בתשובתו מיום 4.2.2019 הבהיר עוזרו הבכיר של היועץ המשפטי לממשלה, עו"ד גיל לימון (להלן: </w:t>
      </w:r>
      <w:r w:rsidRPr="004A4F52">
        <w:rPr>
          <w:rFonts w:ascii="Century" w:hAnsi="Century" w:cs="Miriam" w:hint="cs"/>
          <w:b/>
          <w:spacing w:val="0"/>
          <w:sz w:val="22"/>
          <w:szCs w:val="24"/>
          <w:rtl/>
        </w:rPr>
        <w:t>עו"ד לימון</w:t>
      </w:r>
      <w:r>
        <w:rPr>
          <w:rFonts w:hint="cs"/>
          <w:rtl/>
        </w:rPr>
        <w:t>), כי על ח</w:t>
      </w:r>
      <w:r>
        <w:rPr>
          <w:rtl/>
        </w:rPr>
        <w:t>"</w:t>
      </w:r>
      <w:r>
        <w:rPr>
          <w:rFonts w:hint="cs"/>
          <w:rtl/>
        </w:rPr>
        <w:t xml:space="preserve">כ נתניהו לקבל אישור </w:t>
      </w:r>
      <w:r w:rsidRPr="004A4F52">
        <w:rPr>
          <w:rFonts w:ascii="Century" w:hAnsi="Century" w:cs="Miriam" w:hint="cs"/>
          <w:b/>
          <w:spacing w:val="0"/>
          <w:sz w:val="22"/>
          <w:szCs w:val="24"/>
          <w:rtl/>
        </w:rPr>
        <w:t>בדיעבד</w:t>
      </w:r>
      <w:r w:rsidRPr="00F75BFD">
        <w:rPr>
          <w:rFonts w:hint="cs"/>
          <w:rtl/>
        </w:rPr>
        <w:t xml:space="preserve"> </w:t>
      </w:r>
      <w:r>
        <w:rPr>
          <w:rFonts w:hint="cs"/>
          <w:rtl/>
        </w:rPr>
        <w:t xml:space="preserve">מוועדת ההיתרים לסכום שקיבל ממיליקובסקי, וככל שהוועדה תסרב לדון בעניינו של ח"כ נתניהו מחדש או תסרב לאשר בדיעבד את קבלת המענק ממיליקובסקי, ח"כ נתניהו יידרש להשיב למיליקובסקי את הכספים. זאת, תוך שהובהר כי אין בעמדה האמורה כדי להצדיק את קבלת הכספים ללא היתר </w:t>
      </w:r>
      <w:r w:rsidRPr="004A4F52">
        <w:rPr>
          <w:rFonts w:ascii="Century" w:hAnsi="Century" w:cs="Miriam" w:hint="cs"/>
          <w:b/>
          <w:spacing w:val="0"/>
          <w:sz w:val="22"/>
          <w:szCs w:val="24"/>
          <w:rtl/>
        </w:rPr>
        <w:t>מראש</w:t>
      </w:r>
      <w:r w:rsidRPr="0088071C">
        <w:rPr>
          <w:rFonts w:hint="cs"/>
          <w:rtl/>
        </w:rPr>
        <w:t xml:space="preserve"> </w:t>
      </w:r>
      <w:r>
        <w:rPr>
          <w:rFonts w:hint="cs"/>
          <w:rtl/>
        </w:rPr>
        <w:t>מטעם הוועדה.</w:t>
      </w:r>
    </w:p>
    <w:p w14:paraId="478DAB74" w14:textId="77777777" w:rsidR="00F125D1" w:rsidRDefault="00F125D1" w:rsidP="00F125D1">
      <w:pPr>
        <w:pStyle w:val="Ruller41"/>
        <w:rPr>
          <w:rtl/>
        </w:rPr>
      </w:pPr>
    </w:p>
    <w:p w14:paraId="20F76CF7" w14:textId="75A50860" w:rsidR="00F125D1" w:rsidRDefault="00F125D1" w:rsidP="00F125D1">
      <w:pPr>
        <w:pStyle w:val="Ruller4"/>
      </w:pPr>
      <w:r>
        <w:rPr>
          <w:rFonts w:hint="cs"/>
          <w:rtl/>
        </w:rPr>
        <w:t>ביום 20.2.2019 דחתה ועדת ההיתרים את בקשתו החדשה של ח</w:t>
      </w:r>
      <w:r>
        <w:rPr>
          <w:rtl/>
        </w:rPr>
        <w:t>"</w:t>
      </w:r>
      <w:r>
        <w:rPr>
          <w:rFonts w:hint="cs"/>
          <w:rtl/>
        </w:rPr>
        <w:t xml:space="preserve">כ נתניהו למימון הוצאותיו המשפטיות (החלטה 1/2019; להלן: </w:t>
      </w:r>
      <w:r w:rsidRPr="00BC056A">
        <w:rPr>
          <w:rFonts w:ascii="Century" w:hAnsi="Century" w:cs="Miriam" w:hint="cs"/>
          <w:b/>
          <w:spacing w:val="0"/>
          <w:sz w:val="22"/>
          <w:szCs w:val="24"/>
          <w:rtl/>
        </w:rPr>
        <w:t>החלטת הוועדה מיום 20.2.2019</w:t>
      </w:r>
      <w:r>
        <w:rPr>
          <w:rFonts w:hint="cs"/>
          <w:rtl/>
        </w:rPr>
        <w:t xml:space="preserve">). הוועדה הבהירה כי בהתאם לאמור בכללי אשר, החלטה בדבר דחיית בקשה להיתר </w:t>
      </w:r>
      <w:r>
        <w:rPr>
          <w:rFonts w:hint="cs"/>
          <w:rtl/>
        </w:rPr>
        <w:lastRenderedPageBreak/>
        <w:t>לחריגה מהכללים היא סופית ולח"כ נתניהו "לא עומדת זכות לדיון חדש". ממילא, כך צוין, לא הוצגו נסיבות חדשות שיש בהן כדי להצדיק בחינה מחודשת של עניינו. מעבר לנדרש ולגופו של עניין הובהר כי שר נדרש למצות את יכולותיו ממשאביו והונו העצמי בטרם יבקש להסתייע בבעלי הון ועוד צוין כי מהצהרות ההון של ח</w:t>
      </w:r>
      <w:r>
        <w:rPr>
          <w:rtl/>
        </w:rPr>
        <w:t>"</w:t>
      </w:r>
      <w:r>
        <w:rPr>
          <w:rFonts w:hint="cs"/>
          <w:rtl/>
        </w:rPr>
        <w:t>כ נתניהו עולה שהוא אדם אמיד, והיה עליו להוכיח כי מיצה את יכולותיו למימון עצמי בטרם יפנה לתרומות. באשר לטיב הקשר בין ח</w:t>
      </w:r>
      <w:r>
        <w:rPr>
          <w:rtl/>
        </w:rPr>
        <w:t>"</w:t>
      </w:r>
      <w:r>
        <w:rPr>
          <w:rFonts w:hint="cs"/>
          <w:rtl/>
        </w:rPr>
        <w:t>כ נתניהו ותורמיו הפוטנציאליים, צוין כי פרטרידג' וח</w:t>
      </w:r>
      <w:r>
        <w:rPr>
          <w:rtl/>
        </w:rPr>
        <w:t>"</w:t>
      </w:r>
      <w:r>
        <w:rPr>
          <w:rFonts w:hint="cs"/>
          <w:rtl/>
        </w:rPr>
        <w:t>כ נתניהו הכירו בשנת 1999 או 2000, ומשכך "</w:t>
      </w:r>
      <w:r>
        <w:rPr>
          <w:rtl/>
        </w:rPr>
        <w:t>לא מדובר בחברות משכבר הימים</w:t>
      </w:r>
      <w:r>
        <w:rPr>
          <w:rFonts w:hint="cs"/>
          <w:rtl/>
        </w:rPr>
        <w:t xml:space="preserve"> [...]</w:t>
      </w:r>
      <w:r>
        <w:rPr>
          <w:rtl/>
        </w:rPr>
        <w:t xml:space="preserve"> אלא בחברות של שניים שבעת התגבשות הקשר היו איש השלטון ובעל הון. חזקה היא, שחברות כזו נוצרה על בסיס אינטרסים הדדיים</w:t>
      </w:r>
      <w:r>
        <w:rPr>
          <w:rFonts w:hint="cs"/>
          <w:rtl/>
        </w:rPr>
        <w:t>"</w:t>
      </w:r>
      <w:r>
        <w:rPr>
          <w:rtl/>
        </w:rPr>
        <w:t>.</w:t>
      </w:r>
      <w:r>
        <w:rPr>
          <w:rFonts w:hint="cs"/>
          <w:rtl/>
        </w:rPr>
        <w:t xml:space="preserve"> אשר למיליקובסקי, ציינה הוועדה כי הכללים לא מתייחסים לבן דוד כאל בן משפחה; ו</w:t>
      </w:r>
      <w:r>
        <w:rPr>
          <w:rtl/>
        </w:rPr>
        <w:t xml:space="preserve">כי מעבר לקרבה משפחתית </w:t>
      </w:r>
      <w:r>
        <w:rPr>
          <w:rFonts w:hint="cs"/>
          <w:rtl/>
        </w:rPr>
        <w:t>גרידא</w:t>
      </w:r>
      <w:r>
        <w:rPr>
          <w:rtl/>
        </w:rPr>
        <w:t xml:space="preserve"> בין </w:t>
      </w:r>
      <w:r>
        <w:rPr>
          <w:rFonts w:hint="cs"/>
          <w:rtl/>
        </w:rPr>
        <w:t>ח"כ נתניהו למיליקובסקי</w:t>
      </w:r>
      <w:r>
        <w:rPr>
          <w:rtl/>
        </w:rPr>
        <w:t xml:space="preserve"> יש</w:t>
      </w:r>
      <w:r>
        <w:rPr>
          <w:rFonts w:hint="cs"/>
          <w:rtl/>
        </w:rPr>
        <w:t>,</w:t>
      </w:r>
      <w:r>
        <w:rPr>
          <w:rtl/>
        </w:rPr>
        <w:t xml:space="preserve"> או לפחות היו</w:t>
      </w:r>
      <w:r>
        <w:rPr>
          <w:rFonts w:hint="cs"/>
          <w:rtl/>
        </w:rPr>
        <w:t>,</w:t>
      </w:r>
      <w:r>
        <w:rPr>
          <w:rtl/>
        </w:rPr>
        <w:t xml:space="preserve"> גם יחסים עסקיים, </w:t>
      </w:r>
      <w:r w:rsidR="00303165">
        <w:rPr>
          <w:rFonts w:hint="cs"/>
          <w:rtl/>
        </w:rPr>
        <w:t>הכוללים החזקות בשותפות ש"</w:t>
      </w:r>
      <w:r>
        <w:rPr>
          <w:rFonts w:hint="cs"/>
          <w:rtl/>
        </w:rPr>
        <w:t xml:space="preserve">החזיקה בחלקים ניכרים מתאגיד תעשייתי העוסק בתוספי פלדה". הוועדה סיכמה אפוא כי "הדברים הם בעייתיים מן ההיבט הציבורי", וזאת גם אם הייתה סבורה כי יש מקום לאשר את הסיוע המבוקש לח"כ נתניהו. </w:t>
      </w:r>
    </w:p>
    <w:p w14:paraId="4F1C01D1" w14:textId="77777777" w:rsidR="00F125D1" w:rsidRDefault="00F125D1" w:rsidP="00F125D1">
      <w:pPr>
        <w:pStyle w:val="Ruller4"/>
        <w:numPr>
          <w:ilvl w:val="0"/>
          <w:numId w:val="0"/>
        </w:numPr>
        <w:rPr>
          <w:rtl/>
        </w:rPr>
      </w:pPr>
    </w:p>
    <w:p w14:paraId="007E90B6" w14:textId="22DEE5D4" w:rsidR="00F125D1" w:rsidRDefault="00F125D1" w:rsidP="00F125D1">
      <w:pPr>
        <w:pStyle w:val="Ruller4"/>
        <w:numPr>
          <w:ilvl w:val="0"/>
          <w:numId w:val="0"/>
        </w:numPr>
        <w:rPr>
          <w:rtl/>
        </w:rPr>
      </w:pPr>
      <w:r>
        <w:rPr>
          <w:rtl/>
        </w:rPr>
        <w:tab/>
      </w:r>
      <w:r>
        <w:rPr>
          <w:rFonts w:hint="cs"/>
          <w:rtl/>
        </w:rPr>
        <w:t>לבסוף, באשר לסכום בשווי 300,000 דולר שכבר הוענק לח"כ נתניהו על ידי מיליקובסקי, ציינה הוועדה כי אי-הדיווח על כך מעורר קושי בשים לב לניסיונו של ח</w:t>
      </w:r>
      <w:r>
        <w:rPr>
          <w:rtl/>
        </w:rPr>
        <w:t>"</w:t>
      </w:r>
      <w:r>
        <w:rPr>
          <w:rFonts w:hint="cs"/>
          <w:rtl/>
        </w:rPr>
        <w:t>כ נתניהו בקבלת היתרים בעבר; וכן בשים לב לכך שלח</w:t>
      </w:r>
      <w:r>
        <w:rPr>
          <w:rtl/>
        </w:rPr>
        <w:t>"</w:t>
      </w:r>
      <w:r>
        <w:rPr>
          <w:rFonts w:hint="cs"/>
          <w:rtl/>
        </w:rPr>
        <w:t>כ נתניהו נודע לכל המאוחר ביום 27.6.2018 (המועד שבו נשלח מכתבו של היועץ המשפטי לממשלה), כי קבלת סכומים לצורך מימון הוצאות משפטיות מחויבות בקבלת היתר, וחרף כך הוא נמנע מדיווח על קבלת המענק ממיליקובסקי. הוועדה ציינה כי בהתאם להנחיית היועץ במכתב</w:t>
      </w:r>
      <w:r w:rsidR="00D7043E">
        <w:rPr>
          <w:rFonts w:hint="cs"/>
          <w:rtl/>
        </w:rPr>
        <w:t xml:space="preserve"> מטעם עוזרו</w:t>
      </w:r>
      <w:r>
        <w:rPr>
          <w:rFonts w:hint="cs"/>
          <w:rtl/>
        </w:rPr>
        <w:t xml:space="preserve"> מיום 4.2.2019, על ח</w:t>
      </w:r>
      <w:r>
        <w:rPr>
          <w:rtl/>
        </w:rPr>
        <w:t>"</w:t>
      </w:r>
      <w:r>
        <w:rPr>
          <w:rFonts w:hint="cs"/>
          <w:rtl/>
        </w:rPr>
        <w:t>כ נתניהו להשיב את הסכומים האמורים ולהמציא אסמכתאות לכך.</w:t>
      </w:r>
    </w:p>
    <w:p w14:paraId="12824B2B" w14:textId="77777777" w:rsidR="00F125D1" w:rsidRDefault="00F125D1" w:rsidP="00F125D1">
      <w:pPr>
        <w:pStyle w:val="Ruller41"/>
        <w:rPr>
          <w:rtl/>
        </w:rPr>
      </w:pPr>
    </w:p>
    <w:p w14:paraId="2B8A7B2D" w14:textId="77777777" w:rsidR="00F125D1" w:rsidRDefault="00F125D1" w:rsidP="00F125D1">
      <w:pPr>
        <w:pStyle w:val="Ruller4"/>
        <w:rPr>
          <w:rtl/>
        </w:rPr>
      </w:pPr>
      <w:r>
        <w:rPr>
          <w:rFonts w:hint="cs"/>
          <w:rtl/>
        </w:rPr>
        <w:t>בעקבות החלטה זו של ועדת ההיתרים, ולאחר שביום 28.2.2019 היועץ המשפטי לממשלה הודיע על הגשת כתב אישום נגד ח</w:t>
      </w:r>
      <w:r>
        <w:rPr>
          <w:rtl/>
        </w:rPr>
        <w:t>"</w:t>
      </w:r>
      <w:r>
        <w:rPr>
          <w:rFonts w:hint="cs"/>
          <w:rtl/>
        </w:rPr>
        <w:t>כ נתניהו בכפוף לשימוע, הגיש ח</w:t>
      </w:r>
      <w:r>
        <w:rPr>
          <w:rtl/>
        </w:rPr>
        <w:t>"</w:t>
      </w:r>
      <w:r>
        <w:rPr>
          <w:rFonts w:hint="cs"/>
          <w:rtl/>
        </w:rPr>
        <w:t xml:space="preserve">כ נתניהו עתירה לבית משפט זה נגד החלטת ועדת ההיתרים. בתום הדיון בעתירה ניתן פסק דין בהסכמת הצדדים, לפיו עניינו של ח"כ נתניהו יובא מחדש לפתחה של הוועדה, תינתן לו הזדמנות לטעון בפניה בעל-פה והוא ימסור כל פרט שיתבקש על ידה (בג"ץ 1820/19 </w:t>
      </w:r>
      <w:r w:rsidRPr="005B74E4">
        <w:rPr>
          <w:rFonts w:ascii="Century" w:hAnsi="Century" w:cs="Miriam" w:hint="cs"/>
          <w:b/>
          <w:spacing w:val="0"/>
          <w:sz w:val="22"/>
          <w:szCs w:val="24"/>
          <w:rtl/>
        </w:rPr>
        <w:t xml:space="preserve">ראש הממשלה נ' הוועדה למתן היתרים </w:t>
      </w:r>
      <w:r>
        <w:rPr>
          <w:rFonts w:hint="cs"/>
          <w:rtl/>
        </w:rPr>
        <w:t>(18.3.2019)).</w:t>
      </w:r>
      <w:r w:rsidRPr="00FA0F41">
        <w:rPr>
          <w:rtl/>
        </w:rPr>
        <w:t xml:space="preserve"> </w:t>
      </w:r>
      <w:r>
        <w:rPr>
          <w:rFonts w:hint="cs"/>
          <w:rtl/>
        </w:rPr>
        <w:t>ביום 24.6.2019 ניתנה החלטת ועדת ההיתרים, אשר דחתה בשלישית את בקשת ח</w:t>
      </w:r>
      <w:r>
        <w:rPr>
          <w:rtl/>
        </w:rPr>
        <w:t>"</w:t>
      </w:r>
      <w:r>
        <w:rPr>
          <w:rFonts w:hint="cs"/>
          <w:rtl/>
        </w:rPr>
        <w:t xml:space="preserve">כ נתניהו לקבלת סיוע במימון הוצאותיו המשפטיות (החלטה 2/2019; להלן: </w:t>
      </w:r>
      <w:r w:rsidRPr="00605537">
        <w:rPr>
          <w:rFonts w:ascii="Century" w:hAnsi="Century" w:cs="Miriam" w:hint="cs"/>
          <w:b/>
          <w:spacing w:val="0"/>
          <w:sz w:val="22"/>
          <w:szCs w:val="24"/>
          <w:rtl/>
        </w:rPr>
        <w:t>החלטת ועדת ההיתרים מיום 24.6.2019</w:t>
      </w:r>
      <w:r>
        <w:rPr>
          <w:rFonts w:hint="cs"/>
          <w:rtl/>
        </w:rPr>
        <w:t>). בהחלטה צוין כי ח</w:t>
      </w:r>
      <w:r>
        <w:rPr>
          <w:rtl/>
        </w:rPr>
        <w:t>"</w:t>
      </w:r>
      <w:r>
        <w:rPr>
          <w:rFonts w:hint="cs"/>
          <w:rtl/>
        </w:rPr>
        <w:t xml:space="preserve">כ נתניהו לא נענה לבקשות הוועדה להשלים מידע ונתונים שהתבקשו, ועל כן בקשתו נדחית באופן סופי. כמו כן הובהר כי החלטת הוועדה מיום </w:t>
      </w:r>
      <w:r>
        <w:rPr>
          <w:rFonts w:hint="cs"/>
          <w:rtl/>
        </w:rPr>
        <w:lastRenderedPageBreak/>
        <w:t>20.2.2019 באשר להשבת המענק ממיליקובסקי בעינה עומדת ועל כל הנוגעים בדבר להבטיח כי ח</w:t>
      </w:r>
      <w:r>
        <w:rPr>
          <w:rtl/>
        </w:rPr>
        <w:t>"</w:t>
      </w:r>
      <w:r>
        <w:rPr>
          <w:rFonts w:hint="cs"/>
          <w:rtl/>
        </w:rPr>
        <w:t xml:space="preserve">כ נתניהו יפעל בהתאם לה בתוך זמן סביר. </w:t>
      </w:r>
    </w:p>
    <w:p w14:paraId="7AA4486B" w14:textId="77777777" w:rsidR="00F125D1" w:rsidRDefault="00F125D1" w:rsidP="00F125D1">
      <w:pPr>
        <w:pStyle w:val="Ruller41"/>
        <w:rPr>
          <w:rtl/>
        </w:rPr>
      </w:pPr>
    </w:p>
    <w:p w14:paraId="0B7B3BFB" w14:textId="77777777" w:rsidR="00F125D1" w:rsidRDefault="00F125D1" w:rsidP="00F125D1">
      <w:pPr>
        <w:pStyle w:val="Ruller4"/>
      </w:pPr>
      <w:r>
        <w:rPr>
          <w:rFonts w:hint="cs"/>
          <w:rtl/>
        </w:rPr>
        <w:t xml:space="preserve">ביני לביני, החל ח"כ נתניהו לנקוט צעדים לנטילת הלוואה מסחרית מפרטרידג' (להלן: </w:t>
      </w:r>
      <w:r w:rsidRPr="00D04CDD">
        <w:rPr>
          <w:rFonts w:ascii="Century" w:hAnsi="Century" w:cs="Miriam" w:hint="cs"/>
          <w:b/>
          <w:spacing w:val="0"/>
          <w:sz w:val="22"/>
          <w:szCs w:val="24"/>
          <w:rtl/>
        </w:rPr>
        <w:t>ההלוואה מפרטרידג'</w:t>
      </w:r>
      <w:r>
        <w:rPr>
          <w:rFonts w:hint="cs"/>
          <w:rtl/>
        </w:rPr>
        <w:t>). ביום 6.6.2019, פנה בא כוחו של ח</w:t>
      </w:r>
      <w:r>
        <w:rPr>
          <w:rtl/>
        </w:rPr>
        <w:t>"</w:t>
      </w:r>
      <w:r>
        <w:rPr>
          <w:rFonts w:hint="cs"/>
          <w:rtl/>
        </w:rPr>
        <w:t xml:space="preserve">כ נתניהו למבקר המדינה וציין כי "לאור הדחיפות בקבלת הסיוע", ח"כ נתניהו מתכוון ללוות כספים מפרטרידג'. בפנייה צוין כי ההלוואה תהיה בסכום של עד 2 מיליון ש"ח לתקופה של 10 שנים; כי מדובר בהלוואה בתנאי שוק בריבית פריים פלוס 1.5%; וכי ההלוואה תדווח בהצהרות ההון התקופתיות שיוגשו למבקר המדינה. כן נטען כי בשונה מנטילת הלוואה מבנק שעלולה ליצור מראית עין של תלות, פרטרידג' הוא תושב חוץ שאין לו כל אינטרס כלכלי בישראל ונטילת הלוואה ממנו אינה מקימה חשש לניגוד עניינים. ביום 13.6.2019 השיב יועמ"ש מבקר המדינה, על דעת המבקר דאז, השופט (בדימ') יוסף שפירא, כי אין מניעה עקרונית לאפשר את נטילת ההלוואה ממר פרטרידג', ובלבד שיוכח בהתאם לפרטי ההלוואה כי היא אכן תינתן בתנאי שוק. זאת, כך צוין, להבדיל מקבלת הלוואה בתנאים מועדפים המהווה טובת הנאה שמחייבת פנייה לוועדת ההיתרים. כן צוין כי על היועץ המשפטי לממשלה לקבוע כי אין בקבלת ההלוואה חשש לניגוד עניינים, או לערוך עבור ח"כ נתניהו הסדר למניעת ניגוד עניינים בהקשר זה. </w:t>
      </w:r>
    </w:p>
    <w:p w14:paraId="11B8B4DF" w14:textId="77777777" w:rsidR="00F125D1" w:rsidRDefault="00F125D1" w:rsidP="00F125D1">
      <w:pPr>
        <w:pStyle w:val="Ruller4"/>
        <w:numPr>
          <w:ilvl w:val="0"/>
          <w:numId w:val="0"/>
        </w:numPr>
        <w:rPr>
          <w:rtl/>
        </w:rPr>
      </w:pPr>
    </w:p>
    <w:p w14:paraId="75FF9AB0" w14:textId="77777777" w:rsidR="00F125D1" w:rsidRDefault="00F125D1" w:rsidP="00F125D1">
      <w:pPr>
        <w:pStyle w:val="Ruller4"/>
        <w:numPr>
          <w:ilvl w:val="0"/>
          <w:numId w:val="0"/>
        </w:numPr>
        <w:rPr>
          <w:rtl/>
        </w:rPr>
      </w:pPr>
      <w:r>
        <w:rPr>
          <w:rtl/>
        </w:rPr>
        <w:tab/>
      </w:r>
      <w:r>
        <w:rPr>
          <w:rFonts w:hint="cs"/>
          <w:rtl/>
        </w:rPr>
        <w:t>ביום 26.8.2019 הועברה לעיונו של מבקר המדינה הנכנס, מר מתניהו אנגלמן, טיוטת הסכם ההלוואה, ובסמוך לאחר מכן, ביום 2.9.2019, נשלח לבא כוחו של ח"כ נתניהו מכתב מטעם יועמ"ש המבקר ובו צוין כי קבלת ההלוואה בתנאים שפורטו אינה בגדר "הטבה" המחייבת פנייה לקבלת היתר מוועדת ההיתרים. במכתב צוין כי תקופת הפירעון של ההלוואה היא 5 שנים עם אופציה להארכה ל-10 שנים וכי הריבית תשולם מדי שנה. כמו כן, דרישת מבקר המדינה לבדיקת נושא ניגוד העניינים הועברה למשרד המשפטים, וביום 12.9.2019 נערכה עבור ח</w:t>
      </w:r>
      <w:r>
        <w:rPr>
          <w:rtl/>
        </w:rPr>
        <w:t>"</w:t>
      </w:r>
      <w:r>
        <w:rPr>
          <w:rFonts w:hint="cs"/>
          <w:rtl/>
        </w:rPr>
        <w:t>כ נתניהו חוות דעת למניעת ניגוד עניינים על ידי היועץ המשפטי לממשלה, בהתאם לכלל 7 לכללי אשר. בחוות הדעת נקבע כי לא צפוי להתעורר חשש לניגוד עניינים בקבלת ההלוואה, וזאת בין היתר על רקע הבהרותיו של פרטרידג' כי אין לו עסקים בישראל (למעט זיקות מינוריות בתחום הבריאות), ובכפוף לכך שהצדדים יעדכנו את היועץ ככל שייוודע להם על זיקות עסקיות רלוונטיות של פרטרידג' בעתיד. בו ביום כרת ח</w:t>
      </w:r>
      <w:r>
        <w:rPr>
          <w:rtl/>
        </w:rPr>
        <w:t>"</w:t>
      </w:r>
      <w:r>
        <w:rPr>
          <w:rFonts w:hint="cs"/>
          <w:rtl/>
        </w:rPr>
        <w:t>כ נתניהו הסכם הלוואה עם מר פרטרידג' ובהמשך עשה שימוש בכספים שאותם קיבל לצורך מימון הגנתו המשפטית בהליך השימוע (פסקה 16 לתגובה המקדמית מטעם ח"כ נתניהו מיום 4.11.2019).</w:t>
      </w:r>
    </w:p>
    <w:p w14:paraId="69DE3D4F" w14:textId="77777777" w:rsidR="00F125D1" w:rsidRDefault="00F125D1" w:rsidP="00F125D1">
      <w:pPr>
        <w:pStyle w:val="Ruller41"/>
        <w:rPr>
          <w:rtl/>
        </w:rPr>
      </w:pPr>
    </w:p>
    <w:p w14:paraId="0DE2E4C8" w14:textId="77777777" w:rsidR="00F125D1" w:rsidRPr="00354B4D" w:rsidRDefault="00F125D1" w:rsidP="00F125D1">
      <w:pPr>
        <w:pStyle w:val="Ruller41"/>
        <w:rPr>
          <w:rFonts w:ascii="Century" w:hAnsi="Century" w:cs="Miriam"/>
          <w:b/>
          <w:spacing w:val="0"/>
          <w:szCs w:val="24"/>
          <w:rtl/>
        </w:rPr>
      </w:pPr>
      <w:r w:rsidRPr="00354B4D">
        <w:rPr>
          <w:rFonts w:ascii="Century" w:hAnsi="Century" w:cs="Miriam" w:hint="cs"/>
          <w:b/>
          <w:spacing w:val="0"/>
          <w:szCs w:val="24"/>
          <w:rtl/>
        </w:rPr>
        <w:t>העתירות דנן וההתפתחויות לאחר הגשתן</w:t>
      </w:r>
    </w:p>
    <w:p w14:paraId="546F8168" w14:textId="77777777" w:rsidR="00F125D1" w:rsidRPr="00C379EB" w:rsidRDefault="00F125D1" w:rsidP="00F125D1">
      <w:pPr>
        <w:pStyle w:val="Ruller41"/>
        <w:rPr>
          <w:rtl/>
        </w:rPr>
      </w:pPr>
    </w:p>
    <w:p w14:paraId="54C447D3" w14:textId="77777777" w:rsidR="00F125D1" w:rsidRDefault="00F125D1" w:rsidP="00F125D1">
      <w:pPr>
        <w:pStyle w:val="Ruller4"/>
        <w:rPr>
          <w:rtl/>
        </w:rPr>
      </w:pPr>
      <w:r>
        <w:rPr>
          <w:rFonts w:hint="cs"/>
          <w:rtl/>
        </w:rPr>
        <w:t>בעקבות ההתפתחויות שפורטו לעיל הוגשו העתירות שלפנינו, שבהן דרשו העותרות, בין היתר, כי ח</w:t>
      </w:r>
      <w:r>
        <w:rPr>
          <w:rtl/>
        </w:rPr>
        <w:t>"</w:t>
      </w:r>
      <w:r>
        <w:rPr>
          <w:rFonts w:hint="cs"/>
          <w:rtl/>
        </w:rPr>
        <w:t>כ נתניהו ישיב את הכספים שקיבל ממיליקובסקי</w:t>
      </w:r>
      <w:r w:rsidRPr="006074AD">
        <w:rPr>
          <w:rFonts w:ascii="Century" w:hAnsi="Century" w:hint="cs"/>
          <w:rtl/>
        </w:rPr>
        <w:t>; וכי</w:t>
      </w:r>
      <w:r>
        <w:rPr>
          <w:rFonts w:ascii="Century" w:hAnsi="Century" w:hint="cs"/>
          <w:rtl/>
        </w:rPr>
        <w:t xml:space="preserve"> ייקבע ש</w:t>
      </w:r>
      <w:r w:rsidRPr="006074AD">
        <w:rPr>
          <w:rFonts w:ascii="Century" w:hAnsi="Century" w:hint="cs"/>
          <w:rtl/>
        </w:rPr>
        <w:t xml:space="preserve">מבקר המדינה </w:t>
      </w:r>
      <w:r w:rsidRPr="00DC79F4">
        <w:rPr>
          <w:rFonts w:ascii="Century" w:hAnsi="Century" w:hint="cs"/>
          <w:rtl/>
        </w:rPr>
        <w:t>לא היה מוסמך לאשר לח</w:t>
      </w:r>
      <w:r w:rsidRPr="00DC79F4">
        <w:rPr>
          <w:rFonts w:ascii="Century" w:hAnsi="Century"/>
          <w:rtl/>
        </w:rPr>
        <w:t>"</w:t>
      </w:r>
      <w:r w:rsidRPr="00DC79F4">
        <w:rPr>
          <w:rFonts w:ascii="Century" w:hAnsi="Century" w:hint="cs"/>
          <w:rtl/>
        </w:rPr>
        <w:t>כ נתניהו לקבל את ההלוואה ושיש להביא עניין זה בפני ועדת ההיתרים</w:t>
      </w:r>
      <w:r w:rsidRPr="00DC79F4">
        <w:rPr>
          <w:rFonts w:hint="cs"/>
          <w:rtl/>
        </w:rPr>
        <w:t>. שתיים מהעתירות הוגשו על ידי התנועה לטוהר המידות (בג"ץ 5604/19</w:t>
      </w:r>
      <w:r>
        <w:rPr>
          <w:rFonts w:hint="cs"/>
          <w:rtl/>
        </w:rPr>
        <w:t>, עתירה שעניינה</w:t>
      </w:r>
      <w:r w:rsidRPr="000604E8">
        <w:rPr>
          <w:rtl/>
        </w:rPr>
        <w:t xml:space="preserve"> </w:t>
      </w:r>
      <w:r>
        <w:rPr>
          <w:rFonts w:hint="cs"/>
          <w:rtl/>
        </w:rPr>
        <w:t>המענק</w:t>
      </w:r>
      <w:r w:rsidRPr="000604E8">
        <w:rPr>
          <w:rtl/>
        </w:rPr>
        <w:t xml:space="preserve"> </w:t>
      </w:r>
      <w:r w:rsidRPr="000604E8">
        <w:rPr>
          <w:rFonts w:hint="eastAsia"/>
          <w:rtl/>
        </w:rPr>
        <w:t>ממיליקובסקי</w:t>
      </w:r>
      <w:r>
        <w:rPr>
          <w:rFonts w:hint="cs"/>
          <w:rtl/>
        </w:rPr>
        <w:t>;</w:t>
      </w:r>
      <w:r w:rsidRPr="00DC79F4">
        <w:rPr>
          <w:rFonts w:hint="cs"/>
          <w:rtl/>
        </w:rPr>
        <w:t xml:space="preserve"> ובג"ץ 6651/19</w:t>
      </w:r>
      <w:r>
        <w:rPr>
          <w:rFonts w:hint="cs"/>
          <w:rtl/>
        </w:rPr>
        <w:t>, עתירה שעניינה ה</w:t>
      </w:r>
      <w:r w:rsidRPr="000604E8">
        <w:rPr>
          <w:rFonts w:hint="eastAsia"/>
          <w:rtl/>
        </w:rPr>
        <w:t>הלוואה</w:t>
      </w:r>
      <w:r w:rsidRPr="000604E8">
        <w:rPr>
          <w:rtl/>
        </w:rPr>
        <w:t xml:space="preserve"> </w:t>
      </w:r>
      <w:r w:rsidRPr="000604E8">
        <w:rPr>
          <w:rFonts w:hint="eastAsia"/>
          <w:rtl/>
        </w:rPr>
        <w:t>מפרטרידג</w:t>
      </w:r>
      <w:r w:rsidRPr="000604E8">
        <w:rPr>
          <w:rtl/>
        </w:rPr>
        <w:t>'</w:t>
      </w:r>
      <w:r w:rsidRPr="00DC79F4">
        <w:rPr>
          <w:rFonts w:hint="cs"/>
          <w:rtl/>
        </w:rPr>
        <w:t>)</w:t>
      </w:r>
      <w:r>
        <w:rPr>
          <w:rFonts w:hint="cs"/>
          <w:rtl/>
        </w:rPr>
        <w:t xml:space="preserve">. </w:t>
      </w:r>
      <w:r w:rsidRPr="00DC79F4">
        <w:rPr>
          <w:rFonts w:hint="cs"/>
          <w:rtl/>
        </w:rPr>
        <w:t>עתירה נוספת</w:t>
      </w:r>
      <w:r>
        <w:rPr>
          <w:rFonts w:hint="cs"/>
          <w:rtl/>
        </w:rPr>
        <w:t xml:space="preserve"> הוגשה על ידי התנועה למען איכות השלטון בישראל (בג"ץ 6061/19 שעוסקת במענק ממיליקובסקי ובהלוואה מפרטרידג' גם יחד).</w:t>
      </w:r>
    </w:p>
    <w:p w14:paraId="090449B7" w14:textId="77777777" w:rsidR="00F125D1" w:rsidRPr="003F0185" w:rsidRDefault="00F125D1" w:rsidP="00F125D1">
      <w:pPr>
        <w:pStyle w:val="Ruller41"/>
        <w:rPr>
          <w:rtl/>
        </w:rPr>
      </w:pPr>
    </w:p>
    <w:p w14:paraId="048C9FB7" w14:textId="616D8530" w:rsidR="00F125D1" w:rsidRPr="003F0185" w:rsidRDefault="00F125D1" w:rsidP="00461642">
      <w:pPr>
        <w:pStyle w:val="Ruller4"/>
        <w:rPr>
          <w:rtl/>
        </w:rPr>
      </w:pPr>
      <w:r>
        <w:rPr>
          <w:rFonts w:hint="cs"/>
          <w:rtl/>
        </w:rPr>
        <w:t>ביני לביני, ביום 14.8.2019 פנה בא כוחו של ח</w:t>
      </w:r>
      <w:r>
        <w:rPr>
          <w:rtl/>
        </w:rPr>
        <w:t>"</w:t>
      </w:r>
      <w:r>
        <w:rPr>
          <w:rFonts w:hint="cs"/>
          <w:rtl/>
        </w:rPr>
        <w:t xml:space="preserve">כ נתניהו ליועץ המשפטי לממשלה וביקש כי היועץ יאשר שח"כ נתניהו אינו נדרש להשיב את מלוא סכום המענק ממיליקובסקי בסך 300,000 </w:t>
      </w:r>
      <w:r w:rsidR="00461642">
        <w:rPr>
          <w:rFonts w:hint="cs"/>
          <w:rtl/>
        </w:rPr>
        <w:t>דולר</w:t>
      </w:r>
      <w:r>
        <w:rPr>
          <w:rFonts w:hint="cs"/>
          <w:rtl/>
        </w:rPr>
        <w:t>, אלא רק את הכספים ששימשו עבור הוצאותיו המשפטיות של ח"כ נתניהו עצמו, להבדיל מהוצאותיה של רעייתו. במסגרת זו צורף מכתבו של עו"ד יחיאל וינרוט שבו צוין כי בין השנים 2018-2017 העביר מיליקובסקי למשרד ד"ר י. וינרוט ושות' סכום של 110,000 ש"ח עבור "הליווי המשפטי של מר נתניהו" ואילו "יתר התשלומים שולמו עבור ייצוגה של גב' נתניהו". במענה מטעם עו"ד לימון ביום 22.10.2019, צוין כי בקשת ח</w:t>
      </w:r>
      <w:r>
        <w:rPr>
          <w:rtl/>
        </w:rPr>
        <w:t>"</w:t>
      </w:r>
      <w:r>
        <w:rPr>
          <w:rFonts w:hint="cs"/>
          <w:rtl/>
        </w:rPr>
        <w:t xml:space="preserve">כ נתניהו מהווה בקשת הבהרה או תיקון של החלטת ועדת ההיתרים, ועל כן יש להפנותה לוועדה. </w:t>
      </w:r>
    </w:p>
    <w:p w14:paraId="21D7E5BB" w14:textId="77777777" w:rsidR="00F125D1" w:rsidRPr="00266BDF" w:rsidRDefault="00F125D1" w:rsidP="00F125D1">
      <w:pPr>
        <w:pStyle w:val="Ruller41"/>
        <w:rPr>
          <w:rFonts w:ascii="Century" w:hAnsi="Century" w:cs="Miriam"/>
          <w:b/>
          <w:spacing w:val="0"/>
          <w:szCs w:val="24"/>
          <w:rtl/>
        </w:rPr>
      </w:pPr>
    </w:p>
    <w:p w14:paraId="7294FDE3" w14:textId="77777777" w:rsidR="00F125D1" w:rsidRDefault="00F125D1" w:rsidP="00F125D1">
      <w:pPr>
        <w:pStyle w:val="Ruller4"/>
        <w:rPr>
          <w:rtl/>
        </w:rPr>
      </w:pPr>
      <w:r>
        <w:rPr>
          <w:rFonts w:hint="cs"/>
          <w:rtl/>
        </w:rPr>
        <w:t>ביום 2.1.2020 הגיש ח</w:t>
      </w:r>
      <w:r>
        <w:rPr>
          <w:rtl/>
        </w:rPr>
        <w:t>"</w:t>
      </w:r>
      <w:r>
        <w:rPr>
          <w:rFonts w:hint="cs"/>
          <w:rtl/>
        </w:rPr>
        <w:t xml:space="preserve">כ נתניהו בקשה נוספת </w:t>
      </w:r>
      <w:r>
        <w:rPr>
          <w:rtl/>
        </w:rPr>
        <w:t>–</w:t>
      </w:r>
      <w:r>
        <w:rPr>
          <w:rFonts w:hint="cs"/>
          <w:rtl/>
        </w:rPr>
        <w:t xml:space="preserve"> רביעית במספר </w:t>
      </w:r>
      <w:r>
        <w:rPr>
          <w:rtl/>
        </w:rPr>
        <w:t>–</w:t>
      </w:r>
      <w:r>
        <w:rPr>
          <w:rFonts w:hint="cs"/>
          <w:rtl/>
        </w:rPr>
        <w:t xml:space="preserve"> לקבלת היתר לסיוע במימון הוצאותיו המשפטיות, אשר נומקה בשינוי נסיבות בעקבות הודעת היועץ המשפטי לממשלה על החלטתו להגיש כתב אישום נגד ח"כ נתניהו בעבירות שוחד, מרמה והפרת אמונים. באותה הבקשה התייחס ח"כ נתניהו גם למענק ממיליקובסקי, וביקש כי ועדת ההיתרים תבהיר שעליו להשיב רק כספים ששימשו אותו עצמו, אך לא כספים ששימשו את רעייתו למימון הוצאותיה המשפטיות. </w:t>
      </w:r>
    </w:p>
    <w:p w14:paraId="58DCEE31" w14:textId="77777777" w:rsidR="00F125D1" w:rsidRDefault="00F125D1" w:rsidP="00F125D1">
      <w:pPr>
        <w:pStyle w:val="Ruller4"/>
        <w:numPr>
          <w:ilvl w:val="0"/>
          <w:numId w:val="0"/>
        </w:numPr>
        <w:rPr>
          <w:rtl/>
        </w:rPr>
      </w:pPr>
    </w:p>
    <w:p w14:paraId="2EAAAA0A" w14:textId="66DC07F6" w:rsidR="00F125D1" w:rsidRDefault="00F125D1" w:rsidP="00F125D1">
      <w:pPr>
        <w:pStyle w:val="Ruller4"/>
        <w:numPr>
          <w:ilvl w:val="0"/>
          <w:numId w:val="0"/>
        </w:numPr>
        <w:rPr>
          <w:rtl/>
        </w:rPr>
      </w:pPr>
      <w:r>
        <w:rPr>
          <w:rtl/>
        </w:rPr>
        <w:tab/>
      </w:r>
      <w:r>
        <w:rPr>
          <w:rFonts w:hint="cs"/>
          <w:rtl/>
        </w:rPr>
        <w:t xml:space="preserve">ביום 25.2.2020 החליטה ועדת ההיתרים </w:t>
      </w:r>
      <w:r>
        <w:rPr>
          <w:rtl/>
        </w:rPr>
        <w:t>–</w:t>
      </w:r>
      <w:r>
        <w:rPr>
          <w:rFonts w:hint="cs"/>
          <w:rtl/>
        </w:rPr>
        <w:t xml:space="preserve"> שבינתיים התחלפו שלושת חבריה </w:t>
      </w:r>
      <w:r>
        <w:rPr>
          <w:rtl/>
        </w:rPr>
        <w:t>–</w:t>
      </w:r>
      <w:r>
        <w:rPr>
          <w:rFonts w:hint="cs"/>
          <w:rtl/>
        </w:rPr>
        <w:t xml:space="preserve"> כי נוכח שינוי הנסיבות, יתקיים דיון מחודש בבקשתו של ח</w:t>
      </w:r>
      <w:r>
        <w:rPr>
          <w:rtl/>
        </w:rPr>
        <w:t>"</w:t>
      </w:r>
      <w:r>
        <w:rPr>
          <w:rFonts w:hint="cs"/>
          <w:rtl/>
        </w:rPr>
        <w:t xml:space="preserve">כ נתניהו, ומהחלטת הוועדה עולה כי הגורם היחיד שממנו ביקש ח"כ נתניהו לקבל את הסיוע הוא פרטרידג', וכי היקף הוצאות המשפט הצפויות עומד להערכת ח"כ נתניהו על 10 מיליון ש"ח לפחות (עתירה שהוגשה באותו השלב נגד החלטה זו נדחתה על הסף בבג"ץ 1884/20 </w:t>
      </w:r>
      <w:r w:rsidRPr="00BF1CA1">
        <w:rPr>
          <w:rFonts w:ascii="Century" w:hAnsi="Century" w:cs="Miriam" w:hint="eastAsia"/>
          <w:b/>
          <w:spacing w:val="0"/>
          <w:sz w:val="22"/>
          <w:szCs w:val="24"/>
          <w:rtl/>
        </w:rPr>
        <w:t>התנועה</w:t>
      </w:r>
      <w:r w:rsidRPr="00BF1CA1">
        <w:rPr>
          <w:rFonts w:ascii="Century" w:hAnsi="Century" w:cs="Miriam"/>
          <w:b/>
          <w:spacing w:val="0"/>
          <w:sz w:val="22"/>
          <w:szCs w:val="24"/>
          <w:rtl/>
        </w:rPr>
        <w:t xml:space="preserve"> </w:t>
      </w:r>
      <w:r w:rsidRPr="00BF1CA1">
        <w:rPr>
          <w:rFonts w:ascii="Century" w:hAnsi="Century" w:cs="Miriam" w:hint="eastAsia"/>
          <w:b/>
          <w:spacing w:val="0"/>
          <w:sz w:val="22"/>
          <w:szCs w:val="24"/>
          <w:rtl/>
        </w:rPr>
        <w:t>למען</w:t>
      </w:r>
      <w:r w:rsidRPr="00BF1CA1">
        <w:rPr>
          <w:rFonts w:ascii="Century" w:hAnsi="Century" w:cs="Miriam"/>
          <w:b/>
          <w:spacing w:val="0"/>
          <w:sz w:val="22"/>
          <w:szCs w:val="24"/>
          <w:rtl/>
        </w:rPr>
        <w:t xml:space="preserve"> </w:t>
      </w:r>
      <w:r w:rsidRPr="00BF1CA1">
        <w:rPr>
          <w:rFonts w:ascii="Century" w:hAnsi="Century" w:cs="Miriam" w:hint="eastAsia"/>
          <w:b/>
          <w:spacing w:val="0"/>
          <w:sz w:val="22"/>
          <w:szCs w:val="24"/>
          <w:rtl/>
        </w:rPr>
        <w:t>איכות</w:t>
      </w:r>
      <w:r w:rsidRPr="00BF1CA1">
        <w:rPr>
          <w:rFonts w:ascii="Century" w:hAnsi="Century" w:cs="Miriam"/>
          <w:b/>
          <w:spacing w:val="0"/>
          <w:sz w:val="22"/>
          <w:szCs w:val="24"/>
          <w:rtl/>
        </w:rPr>
        <w:t xml:space="preserve"> </w:t>
      </w:r>
      <w:r w:rsidRPr="00BF1CA1">
        <w:rPr>
          <w:rFonts w:ascii="Century" w:hAnsi="Century" w:cs="Miriam" w:hint="eastAsia"/>
          <w:b/>
          <w:spacing w:val="0"/>
          <w:sz w:val="22"/>
          <w:szCs w:val="24"/>
          <w:rtl/>
        </w:rPr>
        <w:t>השלטון</w:t>
      </w:r>
      <w:r w:rsidRPr="00BF1CA1">
        <w:rPr>
          <w:rFonts w:ascii="Century" w:hAnsi="Century" w:cs="Miriam"/>
          <w:b/>
          <w:spacing w:val="0"/>
          <w:sz w:val="22"/>
          <w:szCs w:val="24"/>
          <w:rtl/>
        </w:rPr>
        <w:t xml:space="preserve"> </w:t>
      </w:r>
      <w:r w:rsidRPr="00BF1CA1">
        <w:rPr>
          <w:rFonts w:ascii="Century" w:hAnsi="Century" w:cs="Miriam" w:hint="eastAsia"/>
          <w:b/>
          <w:spacing w:val="0"/>
          <w:sz w:val="22"/>
          <w:szCs w:val="24"/>
          <w:rtl/>
        </w:rPr>
        <w:t>בישראל</w:t>
      </w:r>
      <w:r w:rsidRPr="00BF1CA1">
        <w:rPr>
          <w:rFonts w:ascii="Century" w:hAnsi="Century" w:cs="Miriam"/>
          <w:b/>
          <w:spacing w:val="0"/>
          <w:sz w:val="22"/>
          <w:szCs w:val="24"/>
          <w:rtl/>
        </w:rPr>
        <w:t xml:space="preserve"> </w:t>
      </w:r>
      <w:r w:rsidRPr="00BF1CA1">
        <w:rPr>
          <w:rFonts w:ascii="Century" w:hAnsi="Century" w:cs="Miriam" w:hint="eastAsia"/>
          <w:b/>
          <w:spacing w:val="0"/>
          <w:sz w:val="22"/>
          <w:szCs w:val="24"/>
          <w:rtl/>
        </w:rPr>
        <w:t>נ</w:t>
      </w:r>
      <w:r w:rsidRPr="00BF1CA1">
        <w:rPr>
          <w:rFonts w:ascii="Century" w:hAnsi="Century" w:cs="Miriam"/>
          <w:b/>
          <w:spacing w:val="0"/>
          <w:sz w:val="22"/>
          <w:szCs w:val="24"/>
          <w:rtl/>
        </w:rPr>
        <w:t xml:space="preserve">' </w:t>
      </w:r>
      <w:r w:rsidRPr="00BF1CA1">
        <w:rPr>
          <w:rFonts w:ascii="Century" w:hAnsi="Century" w:cs="Miriam" w:hint="eastAsia"/>
          <w:b/>
          <w:spacing w:val="0"/>
          <w:sz w:val="22"/>
          <w:szCs w:val="24"/>
          <w:rtl/>
        </w:rPr>
        <w:t>הוועדה</w:t>
      </w:r>
      <w:r w:rsidRPr="00BF1CA1">
        <w:rPr>
          <w:rFonts w:ascii="Century" w:hAnsi="Century" w:cs="Miriam"/>
          <w:b/>
          <w:spacing w:val="0"/>
          <w:sz w:val="22"/>
          <w:szCs w:val="24"/>
          <w:rtl/>
        </w:rPr>
        <w:t xml:space="preserve"> </w:t>
      </w:r>
      <w:r w:rsidRPr="00BF1CA1">
        <w:rPr>
          <w:rFonts w:ascii="Century" w:hAnsi="Century" w:cs="Miriam" w:hint="eastAsia"/>
          <w:b/>
          <w:spacing w:val="0"/>
          <w:sz w:val="22"/>
          <w:szCs w:val="24"/>
          <w:rtl/>
        </w:rPr>
        <w:t>למתן</w:t>
      </w:r>
      <w:r w:rsidRPr="00BF1CA1">
        <w:rPr>
          <w:rFonts w:ascii="Century" w:hAnsi="Century" w:cs="Miriam"/>
          <w:b/>
          <w:spacing w:val="0"/>
          <w:sz w:val="22"/>
          <w:szCs w:val="24"/>
          <w:rtl/>
        </w:rPr>
        <w:t xml:space="preserve"> </w:t>
      </w:r>
      <w:r w:rsidRPr="00BF1CA1">
        <w:rPr>
          <w:rFonts w:ascii="Century" w:hAnsi="Century" w:cs="Miriam" w:hint="eastAsia"/>
          <w:b/>
          <w:spacing w:val="0"/>
          <w:sz w:val="22"/>
          <w:szCs w:val="24"/>
          <w:rtl/>
        </w:rPr>
        <w:t>היתרים</w:t>
      </w:r>
      <w:r>
        <w:rPr>
          <w:rFonts w:hint="cs"/>
          <w:rtl/>
        </w:rPr>
        <w:t xml:space="preserve"> (23.4.2020), מן הטעם שטרם התקבלה החלטת הוועדה בבקשה לגופה). </w:t>
      </w:r>
    </w:p>
    <w:p w14:paraId="644A0C1C" w14:textId="77777777" w:rsidR="00F125D1" w:rsidRDefault="00F125D1" w:rsidP="00F125D1">
      <w:pPr>
        <w:pStyle w:val="Ruller4"/>
        <w:numPr>
          <w:ilvl w:val="0"/>
          <w:numId w:val="0"/>
        </w:numPr>
        <w:rPr>
          <w:rtl/>
        </w:rPr>
      </w:pPr>
    </w:p>
    <w:p w14:paraId="07BF7D25" w14:textId="77777777" w:rsidR="00F125D1" w:rsidRDefault="00F125D1" w:rsidP="00F125D1">
      <w:pPr>
        <w:pStyle w:val="Ruller4"/>
        <w:rPr>
          <w:rtl/>
        </w:rPr>
      </w:pPr>
      <w:r>
        <w:rPr>
          <w:rFonts w:hint="cs"/>
          <w:rtl/>
        </w:rPr>
        <w:t>דיון ראשון בעתירות דנן התקיים ביום 11.5.2020, ובמהלכו אישר בא כוחו של ח"כ נתניהו כי הסכומים שביקש לקבל מפרטרידג' ישמשו בין היתר להחזר ההלוואה שנטל ח"כ נתניהו מפרטרידג' עצמו (עמ' 20-19 לפרוטוקול הדיון). בעקבות הדיון ובהתאם להחלטתנו, הגישו המבקר וועדת ההיתרים הודעה מעדכנת בדבר הסוגיות העומדות לדיון בפני הוועדה, ובמסגרת זו צוין כי ביום 13.5.2020 דנה ועדת ההיתרים בבקשתו העדכנית של ח</w:t>
      </w:r>
      <w:r>
        <w:rPr>
          <w:rtl/>
        </w:rPr>
        <w:t>"</w:t>
      </w:r>
      <w:r>
        <w:rPr>
          <w:rFonts w:hint="cs"/>
          <w:rtl/>
        </w:rPr>
        <w:t>כ נתניהו להסתייע בפרטרידג' לצורך מימון הוצאותיו המשפטיות. ביום 17.5.2020 פנתה הוועדה ליועץ המשפטי לממשלה בבקשה לברר "האם אין בקבלת המימון משום חשש לניגוד עניינים", וכן לצורך קבלת חוות דעת עדכנית בהקשר זה לנוכח העובדה שפרטרידג' מופיע ברשימת עדי התביעה בכתב האישום שהוגש נגד ח</w:t>
      </w:r>
      <w:r>
        <w:rPr>
          <w:rtl/>
        </w:rPr>
        <w:t>"</w:t>
      </w:r>
      <w:r>
        <w:rPr>
          <w:rFonts w:hint="cs"/>
          <w:rtl/>
        </w:rPr>
        <w:t>כ נתניהו. ביום 30.6.2020 השיב עו"ד לימון, כי בשים לב לסכום המימון החריג המבוקש על ידי ח</w:t>
      </w:r>
      <w:r>
        <w:rPr>
          <w:rtl/>
        </w:rPr>
        <w:t>"</w:t>
      </w:r>
      <w:r>
        <w:rPr>
          <w:rFonts w:hint="cs"/>
          <w:rtl/>
        </w:rPr>
        <w:t>כ נתניהו, העומד על 10 מיליון ש"ח לפחות, ולנוכח אופי הקשר בינו ובין פרטרידג', לא ניתן לקבוע כי קבלת המימון אינה מתנה הניתנת לח</w:t>
      </w:r>
      <w:r>
        <w:rPr>
          <w:rtl/>
        </w:rPr>
        <w:t>"</w:t>
      </w:r>
      <w:r>
        <w:rPr>
          <w:rFonts w:hint="cs"/>
          <w:rtl/>
        </w:rPr>
        <w:t xml:space="preserve">כ נתניהו באשר הוא עובד ציבור. </w:t>
      </w:r>
    </w:p>
    <w:p w14:paraId="5830A84A" w14:textId="77777777" w:rsidR="00F125D1" w:rsidRDefault="00F125D1" w:rsidP="00F125D1">
      <w:pPr>
        <w:pStyle w:val="Ruller41"/>
        <w:rPr>
          <w:rtl/>
        </w:rPr>
      </w:pPr>
    </w:p>
    <w:p w14:paraId="5DB51365" w14:textId="77777777" w:rsidR="00F125D1" w:rsidRDefault="00F125D1" w:rsidP="00F125D1">
      <w:pPr>
        <w:pStyle w:val="Ruller4"/>
      </w:pPr>
      <w:r>
        <w:rPr>
          <w:rFonts w:hint="cs"/>
          <w:rtl/>
        </w:rPr>
        <w:t>בעקבות עמדת היועץ המשפטי לממשלה הודיעה ועדת ההיתרים ביום 2.7.2020 לבאי כוחו של ח</w:t>
      </w:r>
      <w:r>
        <w:rPr>
          <w:rtl/>
        </w:rPr>
        <w:t>"</w:t>
      </w:r>
      <w:r>
        <w:rPr>
          <w:rFonts w:hint="cs"/>
          <w:rtl/>
        </w:rPr>
        <w:t>כ נתניהו כי היות שהוועדה מכריעה אך ורק בבקשות מימון שהאיסור הקבוע בחוק המתנות אינו חל עליהן, הוועדה אינה יכולה לדון ולהכריע בבקשה לקבלת הסיוע מפרטרידג'. באותו יום התקבלה החלטה נפרדת של הוועדה (החלטה 2/2020) בנוגע לבקשת ח</w:t>
      </w:r>
      <w:r>
        <w:rPr>
          <w:rtl/>
        </w:rPr>
        <w:t>"</w:t>
      </w:r>
      <w:r>
        <w:rPr>
          <w:rFonts w:hint="cs"/>
          <w:rtl/>
        </w:rPr>
        <w:t xml:space="preserve">כ נתניהו באשר להשבת המענק ממיליקובסקי (להלן: </w:t>
      </w:r>
      <w:r w:rsidRPr="00567A12">
        <w:rPr>
          <w:rFonts w:ascii="Century" w:hAnsi="Century" w:cs="Miriam" w:hint="cs"/>
          <w:b/>
          <w:spacing w:val="0"/>
          <w:sz w:val="22"/>
          <w:szCs w:val="24"/>
          <w:rtl/>
        </w:rPr>
        <w:t>החלטת הוועדה מיום 2.7.2020</w:t>
      </w:r>
      <w:r>
        <w:rPr>
          <w:rFonts w:hint="cs"/>
          <w:rtl/>
        </w:rPr>
        <w:t>), בה נקבע כדלקמן:</w:t>
      </w:r>
    </w:p>
    <w:p w14:paraId="06B5F4D8" w14:textId="77777777" w:rsidR="00F125D1" w:rsidRDefault="00F125D1" w:rsidP="00F125D1">
      <w:pPr>
        <w:pStyle w:val="Ruller41"/>
        <w:rPr>
          <w:rFonts w:ascii="Garamond" w:hAnsi="Garamond"/>
          <w:sz w:val="24"/>
          <w:rtl/>
        </w:rPr>
      </w:pPr>
    </w:p>
    <w:p w14:paraId="0D7EAC35" w14:textId="1E000529" w:rsidR="00F125D1" w:rsidRDefault="00F125D1" w:rsidP="00F125D1">
      <w:pPr>
        <w:pStyle w:val="Ruller5"/>
        <w:rPr>
          <w:rtl/>
        </w:rPr>
      </w:pPr>
      <w:r>
        <w:rPr>
          <w:rFonts w:hint="cs"/>
          <w:rtl/>
        </w:rPr>
        <w:t>"לאור המפורט במכתבו של ד"ר יחיאל וינרוט אנו מקבלים את האמור בו בקשר עם התשלומים ועבור איזה ייצוג משפטי שולמו. גב' נתניהו איננה חברת ממשלה ועל כן כלל 6 ל'כללי אשר' אינו חל עליה. לכן מצאנו כי על רוה"מ להחזיר סך של 110,000 ש"ח</w:t>
      </w:r>
      <w:r w:rsidR="007902AD">
        <w:rPr>
          <w:rFonts w:hint="cs"/>
          <w:rtl/>
        </w:rPr>
        <w:t xml:space="preserve"> [</w:t>
      </w:r>
      <w:r>
        <w:rPr>
          <w:rFonts w:hint="cs"/>
          <w:rtl/>
        </w:rPr>
        <w:t>...</w:t>
      </w:r>
      <w:r w:rsidR="007902AD">
        <w:rPr>
          <w:rFonts w:hint="cs"/>
          <w:rtl/>
        </w:rPr>
        <w:t>]</w:t>
      </w:r>
      <w:r>
        <w:rPr>
          <w:rFonts w:hint="cs"/>
          <w:rtl/>
        </w:rPr>
        <w:t xml:space="preserve"> אשר שימש ליעוץ וייצוג משפטי בעניינו, למשלם".</w:t>
      </w:r>
    </w:p>
    <w:p w14:paraId="4FA12766" w14:textId="77777777" w:rsidR="00F125D1" w:rsidRDefault="00F125D1" w:rsidP="00F125D1">
      <w:pPr>
        <w:pStyle w:val="Ruller5"/>
        <w:rPr>
          <w:rtl/>
        </w:rPr>
      </w:pPr>
    </w:p>
    <w:p w14:paraId="74714C18" w14:textId="4DF3F044" w:rsidR="00F125D1" w:rsidRPr="00711EF7" w:rsidRDefault="00F125D1" w:rsidP="00F125D1">
      <w:pPr>
        <w:pStyle w:val="Ruller4"/>
        <w:numPr>
          <w:ilvl w:val="0"/>
          <w:numId w:val="0"/>
        </w:numPr>
        <w:rPr>
          <w:rtl/>
        </w:rPr>
      </w:pPr>
      <w:r>
        <w:rPr>
          <w:rtl/>
        </w:rPr>
        <w:tab/>
      </w:r>
      <w:r>
        <w:rPr>
          <w:rFonts w:hint="cs"/>
          <w:rtl/>
        </w:rPr>
        <w:t>עוד קבעה הוועדה כי "אישור בדבר השבת התשלום בסך 110,000 ש"ח</w:t>
      </w:r>
      <w:r w:rsidR="009E04FD">
        <w:rPr>
          <w:rFonts w:hint="cs"/>
          <w:rtl/>
        </w:rPr>
        <w:t xml:space="preserve"> [</w:t>
      </w:r>
      <w:r>
        <w:rPr>
          <w:rFonts w:hint="cs"/>
          <w:rtl/>
        </w:rPr>
        <w:t>...</w:t>
      </w:r>
      <w:r w:rsidR="009E04FD">
        <w:rPr>
          <w:rFonts w:hint="cs"/>
          <w:rtl/>
        </w:rPr>
        <w:t>]</w:t>
      </w:r>
      <w:r>
        <w:rPr>
          <w:rFonts w:hint="cs"/>
          <w:rtl/>
        </w:rPr>
        <w:t xml:space="preserve"> יועבר לעיון מבקר המדינה בתוך 30 יום ממועד מסירת החלטה זו לבאי כוח רוה"מ". </w:t>
      </w:r>
    </w:p>
    <w:p w14:paraId="39811EF8" w14:textId="77777777" w:rsidR="00F125D1" w:rsidRDefault="00F125D1" w:rsidP="00F125D1">
      <w:pPr>
        <w:pStyle w:val="Ruller41"/>
        <w:rPr>
          <w:rtl/>
        </w:rPr>
      </w:pPr>
    </w:p>
    <w:p w14:paraId="298DD973" w14:textId="77777777" w:rsidR="00F125D1" w:rsidRDefault="00F125D1" w:rsidP="00F125D1">
      <w:pPr>
        <w:pStyle w:val="Ruller4"/>
        <w:rPr>
          <w:rtl/>
        </w:rPr>
      </w:pPr>
      <w:r>
        <w:rPr>
          <w:rFonts w:hint="cs"/>
          <w:rtl/>
        </w:rPr>
        <w:t xml:space="preserve">לאחר שהוגשו לבית המשפט הודעות מעדכנות בדבר התפתחויות אלה, קבענו ביום 2.8.2020 כי חלו שינויים המשליכים על התשתית העובדתית והמשפטית שביסוד העתירות, ואיפשרנו לעותרות להגיש עתירות מתוקנות. העותרות מיקדו את טענותיהן בעתירות המתוקנות בשלושה סעדים עיקריים: ראשית, השבת המענק ממיליקובסקי </w:t>
      </w:r>
      <w:r>
        <w:rPr>
          <w:rtl/>
        </w:rPr>
        <w:t>–</w:t>
      </w:r>
      <w:r>
        <w:rPr>
          <w:rFonts w:hint="cs"/>
          <w:rtl/>
        </w:rPr>
        <w:t xml:space="preserve"> </w:t>
      </w:r>
      <w:r>
        <w:rPr>
          <w:rFonts w:hint="cs"/>
          <w:rtl/>
        </w:rPr>
        <w:lastRenderedPageBreak/>
        <w:t xml:space="preserve">לרבות הכספים שיועדו לגב' נתניהו </w:t>
      </w:r>
      <w:r>
        <w:rPr>
          <w:rtl/>
        </w:rPr>
        <w:t>–</w:t>
      </w:r>
      <w:r>
        <w:rPr>
          <w:rFonts w:hint="cs"/>
          <w:rtl/>
        </w:rPr>
        <w:t xml:space="preserve"> בהיותם מתנה אסורה לפי חוק המתנות; שנית, וככל שייקבע כי חוק המתנות אינו חל ביחס למענק ממיליקובסקי </w:t>
      </w:r>
      <w:r>
        <w:rPr>
          <w:rtl/>
        </w:rPr>
        <w:t>–</w:t>
      </w:r>
      <w:r>
        <w:rPr>
          <w:rFonts w:hint="cs"/>
          <w:rtl/>
        </w:rPr>
        <w:t xml:space="preserve"> ביטול החלטת ועדת ההיתרים מס' 2/2020 מיום 2.7.2020, שבה נקבע כי ח</w:t>
      </w:r>
      <w:r>
        <w:rPr>
          <w:rtl/>
        </w:rPr>
        <w:t>"</w:t>
      </w:r>
      <w:r>
        <w:rPr>
          <w:rFonts w:hint="cs"/>
          <w:rtl/>
        </w:rPr>
        <w:t xml:space="preserve">כ נתניהו אינו נדרש להשיב את כספי המענק שיועדו לרעייתו; </w:t>
      </w:r>
      <w:r w:rsidRPr="005B5072">
        <w:rPr>
          <w:rFonts w:ascii="Century" w:hAnsi="Century" w:hint="cs"/>
          <w:sz w:val="22"/>
          <w:rtl/>
        </w:rPr>
        <w:t>ושלישית,</w:t>
      </w:r>
      <w:r>
        <w:rPr>
          <w:rFonts w:hint="cs"/>
          <w:rtl/>
        </w:rPr>
        <w:t xml:space="preserve"> ביטול החלטת מבקר המדינה הפוטרת את ח</w:t>
      </w:r>
      <w:r>
        <w:rPr>
          <w:rtl/>
        </w:rPr>
        <w:t>"</w:t>
      </w:r>
      <w:r>
        <w:rPr>
          <w:rFonts w:hint="cs"/>
          <w:rtl/>
        </w:rPr>
        <w:t>כ נתניהו מקבלת היתר לקבלת ההלוואה מפרטרידג' וחיובו בפנייה לוועדת ההיתרים לצורך אישור נטילת ההלוואה. התנועה לאיכות השלטון הוסיפה וביקשה להורות לח</w:t>
      </w:r>
      <w:r>
        <w:rPr>
          <w:rtl/>
        </w:rPr>
        <w:t>"</w:t>
      </w:r>
      <w:r>
        <w:rPr>
          <w:rFonts w:hint="cs"/>
          <w:rtl/>
        </w:rPr>
        <w:t xml:space="preserve">כ נתניהו להציג את האסמכתאות בדבר השבת החלק במענק ממיליקובסקי שיועד למימון הגנתו המשפטית; וכן </w:t>
      </w:r>
      <w:r w:rsidRPr="0090703E">
        <w:rPr>
          <w:rFonts w:hint="cs"/>
          <w:rtl/>
        </w:rPr>
        <w:t>להורות ליועץ המשפטי לממשלה לפתוח בחקירה פלילית</w:t>
      </w:r>
      <w:r>
        <w:rPr>
          <w:rFonts w:hint="cs"/>
          <w:rtl/>
        </w:rPr>
        <w:t xml:space="preserve"> נגד ח</w:t>
      </w:r>
      <w:r>
        <w:rPr>
          <w:rtl/>
        </w:rPr>
        <w:t>"</w:t>
      </w:r>
      <w:r>
        <w:rPr>
          <w:rFonts w:hint="cs"/>
          <w:rtl/>
        </w:rPr>
        <w:t>כ נתניהו</w:t>
      </w:r>
      <w:r w:rsidRPr="0090703E">
        <w:rPr>
          <w:rFonts w:hint="cs"/>
          <w:rtl/>
        </w:rPr>
        <w:t xml:space="preserve"> בגין </w:t>
      </w:r>
      <w:r>
        <w:rPr>
          <w:rFonts w:hint="cs"/>
          <w:rtl/>
        </w:rPr>
        <w:t>הסתרת מענק זה.</w:t>
      </w:r>
    </w:p>
    <w:p w14:paraId="41DBE3F3" w14:textId="77777777" w:rsidR="00F125D1" w:rsidRDefault="00F125D1" w:rsidP="00F125D1">
      <w:pPr>
        <w:pStyle w:val="Ruller41"/>
        <w:rPr>
          <w:rtl/>
        </w:rPr>
      </w:pPr>
    </w:p>
    <w:p w14:paraId="2BC4AC95" w14:textId="77777777" w:rsidR="00F125D1" w:rsidRDefault="00F125D1" w:rsidP="00F125D1">
      <w:pPr>
        <w:pStyle w:val="Ruller4"/>
      </w:pPr>
      <w:r>
        <w:rPr>
          <w:rFonts w:hint="cs"/>
          <w:rtl/>
        </w:rPr>
        <w:t>בתגובה המקדמית מטעמו התנגד ח"כ נתניהו למתן הסעדים המבוקשים על ידי העותרות. המבקר וועדת היתרים ציינו בתגובתם כי אין מקום למתן הסעדים הנוגעים להחלטותיהם, והוסיפו כי ביום 3.8.2020 הודיעו באי כוחו של ח"כ נתניהו שהוא השיב סכום של 30,000 דולר למיליקובסקי (המקביל לסכום של 110,000 ש"ח אשר שימשו למימון הוצאותיו המשפטיות), וצירף אסמכתאות בעניין זה.</w:t>
      </w:r>
    </w:p>
    <w:p w14:paraId="331D98A9" w14:textId="77777777" w:rsidR="00F125D1" w:rsidRDefault="00F125D1" w:rsidP="00F125D1">
      <w:pPr>
        <w:pStyle w:val="Ruller4"/>
        <w:numPr>
          <w:ilvl w:val="0"/>
          <w:numId w:val="0"/>
        </w:numPr>
        <w:rPr>
          <w:rtl/>
        </w:rPr>
      </w:pPr>
    </w:p>
    <w:p w14:paraId="11765EA5" w14:textId="7FE03944" w:rsidR="00F125D1" w:rsidRDefault="00F125D1" w:rsidP="001843BF">
      <w:pPr>
        <w:pStyle w:val="Ruller4"/>
        <w:numPr>
          <w:ilvl w:val="0"/>
          <w:numId w:val="0"/>
        </w:numPr>
      </w:pPr>
      <w:r>
        <w:rPr>
          <w:rtl/>
        </w:rPr>
        <w:tab/>
      </w:r>
      <w:r>
        <w:rPr>
          <w:rFonts w:hint="cs"/>
          <w:rtl/>
        </w:rPr>
        <w:t xml:space="preserve">מנגד, בתגובתו מיום 27.1.2021 טען היועץ המשפטי לממשלה כי יש לראות במענק ממיליקובסקי "מתנה" לפי סעיף 2(א) לחוק המתנות ומשכך על ח"כ נתניהו להשיבה במלואה, לרבות החלק שיועד לרעייתו. היועץ ציין כי אף שבמכתבו מיום 27.6.2018 למבקר המדינה הוא קבע שחוק המתנות אינו חל ביחס לקבלת סיוע ממיליקובסקי, בינתיים התגלו פרטים חדשים לגבי הקשר בין ח"כ נתניהו למיליקובסקי במסגרת בדיקת הפרשה המכונה "פרשת המניות", בדיקה שעיקרי מסקנותיה פורסמו במסמך מטעם היועץ בחודש אוקטובר 2020 (להלן: </w:t>
      </w:r>
      <w:r w:rsidRPr="0008158C">
        <w:rPr>
          <w:rFonts w:ascii="Century" w:hAnsi="Century" w:cs="Miriam" w:hint="cs"/>
          <w:b/>
          <w:spacing w:val="0"/>
          <w:sz w:val="22"/>
          <w:szCs w:val="24"/>
          <w:rtl/>
        </w:rPr>
        <w:t>מסמך עיקרי הנימוקים בעניין פרשת המניות</w:t>
      </w:r>
      <w:r>
        <w:rPr>
          <w:rFonts w:hint="cs"/>
          <w:rtl/>
        </w:rPr>
        <w:t xml:space="preserve">; להרחבה בעניין זה ראו: בג"ץ 3921/20 </w:t>
      </w:r>
      <w:r w:rsidRPr="007D493A">
        <w:rPr>
          <w:rFonts w:ascii="Century" w:hAnsi="Century" w:cs="Miriam" w:hint="cs"/>
          <w:b/>
          <w:spacing w:val="0"/>
          <w:sz w:val="22"/>
          <w:szCs w:val="24"/>
          <w:rtl/>
        </w:rPr>
        <w:t>התנועה למען איכות השלטון בישראל נ' היועץ המשפטי לממשלה</w:t>
      </w:r>
      <w:r>
        <w:rPr>
          <w:rFonts w:hint="cs"/>
          <w:rtl/>
        </w:rPr>
        <w:t xml:space="preserve"> (22.7.2021)). היועץ ציין כי בדיקת פרשה זו </w:t>
      </w:r>
      <w:r>
        <w:rPr>
          <w:rtl/>
        </w:rPr>
        <w:t>–</w:t>
      </w:r>
      <w:r>
        <w:rPr>
          <w:rFonts w:hint="cs"/>
          <w:rtl/>
        </w:rPr>
        <w:t xml:space="preserve"> שאומנם לא הובילה לחקירה פלילית </w:t>
      </w:r>
      <w:r>
        <w:rPr>
          <w:rtl/>
        </w:rPr>
        <w:t>–</w:t>
      </w:r>
      <w:r>
        <w:rPr>
          <w:rFonts w:hint="cs"/>
          <w:rtl/>
        </w:rPr>
        <w:t xml:space="preserve"> הצביעה על כך שבנוסף לקשר המשפחתי בין ח"כ נתניהו למיליקובסקי התקיימה בין השניים זיקה עסקית בהיקף לא מבוטל שאף השיאה לח"כ נתניהו רווחים משמעותיים וניתן להניח כי ראשיתם בטובת הנאה שקיבל ממיליקובסקי. היועץ קבע כי בכך יש כדי להצביע על העובדה שבמערכת היחסים בין מיליקובסקי לח"כ נתניהו "טמון מרכיב נוסף בצד המאפיינים המשפחתיים של סיוע בעת צורך". היועץ הוסיף וציין כי אף שח"כ נתניהו ומיליקובסקי טענו כי ראו בטובות ההנאה האמורות המשך לנוהגו של אביו של מיליקובסקי לתת כספים לאביו של נתניהו, "על פי הראיות שנאספו, הסיוע הכספי ניתן לנתניהו </w:t>
      </w:r>
      <w:r w:rsidR="001843BF">
        <w:rPr>
          <w:rFonts w:hint="cs"/>
          <w:rtl/>
        </w:rPr>
        <w:t xml:space="preserve">אך </w:t>
      </w:r>
      <w:r>
        <w:rPr>
          <w:rFonts w:hint="cs"/>
          <w:rtl/>
        </w:rPr>
        <w:t>לא לאחיו" (</w:t>
      </w:r>
      <w:r w:rsidRPr="000604E8">
        <w:rPr>
          <w:rFonts w:ascii="Century" w:hAnsi="Century" w:hint="cs"/>
          <w:sz w:val="22"/>
          <w:rtl/>
        </w:rPr>
        <w:t>מסמך עיקרי הנימוקים בעניין פרשת המניות</w:t>
      </w:r>
      <w:r>
        <w:rPr>
          <w:rFonts w:hint="cs"/>
          <w:rtl/>
        </w:rPr>
        <w:t xml:space="preserve">, בפסקה 5), ומיליקובסקי הסביר בהקשר זה כי הסיוע נועד להקל על ח"כ נתניהו </w:t>
      </w:r>
      <w:r>
        <w:rPr>
          <w:rFonts w:hint="cs"/>
          <w:rtl/>
        </w:rPr>
        <w:lastRenderedPageBreak/>
        <w:t>ו</w:t>
      </w:r>
      <w:r w:rsidR="001843BF">
        <w:rPr>
          <w:rFonts w:hint="cs"/>
          <w:rtl/>
        </w:rPr>
        <w:t>"'</w:t>
      </w:r>
      <w:r>
        <w:rPr>
          <w:rFonts w:hint="cs"/>
          <w:rtl/>
        </w:rPr>
        <w:t>לשחרר</w:t>
      </w:r>
      <w:r w:rsidR="001843BF">
        <w:rPr>
          <w:rFonts w:hint="cs"/>
          <w:rtl/>
        </w:rPr>
        <w:t>'</w:t>
      </w:r>
      <w:r>
        <w:rPr>
          <w:rFonts w:hint="cs"/>
          <w:rtl/>
        </w:rPr>
        <w:t xml:space="preserve"> אותו מדאגות כספיות בשעה שהוא ממלא תפקיד ציבורי חשוב</w:t>
      </w:r>
      <w:r w:rsidR="001843BF">
        <w:rPr>
          <w:rFonts w:hint="cs"/>
          <w:rtl/>
        </w:rPr>
        <w:t>"</w:t>
      </w:r>
      <w:r>
        <w:rPr>
          <w:rFonts w:hint="cs"/>
          <w:rtl/>
        </w:rPr>
        <w:t xml:space="preserve"> (</w:t>
      </w:r>
      <w:r w:rsidRPr="000604E8">
        <w:rPr>
          <w:rFonts w:ascii="Century" w:hAnsi="Century" w:cs="Miriam" w:hint="cs"/>
          <w:b/>
          <w:spacing w:val="0"/>
          <w:sz w:val="22"/>
          <w:szCs w:val="24"/>
          <w:rtl/>
        </w:rPr>
        <w:t>שם</w:t>
      </w:r>
      <w:r>
        <w:rPr>
          <w:rFonts w:hint="cs"/>
          <w:rtl/>
        </w:rPr>
        <w:t>). היועץ הטעים כי מכך עולה שגם לגישת מיליקובסקי, עצם כהונתו של ח</w:t>
      </w:r>
      <w:r>
        <w:rPr>
          <w:rtl/>
        </w:rPr>
        <w:t>"</w:t>
      </w:r>
      <w:r>
        <w:rPr>
          <w:rFonts w:hint="cs"/>
          <w:rtl/>
        </w:rPr>
        <w:t>כ נתניהו בתפקיד ציבורי היוותה צידוק למתן סיוע כספי עבורו, ובשים לב למכלול הדברים ולמערכת היחסים הכלכלית האמורה, קבע היועץ כי לא ניתן עוד לומר שנסתרת החזקה הראשונית שלפיה ח</w:t>
      </w:r>
      <w:r>
        <w:rPr>
          <w:rtl/>
        </w:rPr>
        <w:t>"</w:t>
      </w:r>
      <w:r>
        <w:rPr>
          <w:rFonts w:hint="cs"/>
          <w:rtl/>
        </w:rPr>
        <w:t xml:space="preserve">כ נתניהו קיבל את הכספים ממיליקובסקי באשר הוא עובד ציבור. מכאן נובע כי האיסור הקבוע בסעיף 2(א) לחוק המתנות חל, וממילא ועדת ההיתרים אינה מוסמכת להתיר את קבלת הסיוע, לרבות ביחס לחלק שיועד לכאורה לגב' נתניהו. זאת משום שסעיף 2(א) לחוק המתנות חל גם ביחס למתנות שניתנו לבן זוגו של עובד ציבור. </w:t>
      </w:r>
    </w:p>
    <w:p w14:paraId="05198BDA" w14:textId="77777777" w:rsidR="00F125D1" w:rsidRDefault="00F125D1" w:rsidP="00F125D1">
      <w:pPr>
        <w:pStyle w:val="Ruller4"/>
        <w:numPr>
          <w:ilvl w:val="0"/>
          <w:numId w:val="0"/>
        </w:numPr>
        <w:rPr>
          <w:rtl/>
        </w:rPr>
      </w:pPr>
    </w:p>
    <w:p w14:paraId="4016EE9B" w14:textId="77777777" w:rsidR="00F125D1" w:rsidRPr="00711EF7" w:rsidRDefault="00F125D1" w:rsidP="00F125D1">
      <w:pPr>
        <w:pStyle w:val="Ruller4"/>
        <w:numPr>
          <w:ilvl w:val="0"/>
          <w:numId w:val="0"/>
        </w:numPr>
        <w:rPr>
          <w:rtl/>
        </w:rPr>
      </w:pPr>
      <w:r>
        <w:rPr>
          <w:rtl/>
        </w:rPr>
        <w:tab/>
      </w:r>
      <w:r>
        <w:rPr>
          <w:rFonts w:hint="cs"/>
          <w:rtl/>
        </w:rPr>
        <w:t xml:space="preserve">לעומת זאת, באשר להלוואה מפרטרידג' טען היועץ כי מדובר בסוגיה שהוצבה לפתחו של מבקר המדינה, וחזקה על המבקר כי קביעתו בעניין נשענה על בירור מקיף באשר לנסיבות ההלוואה. כן הובהר כי מעורבות היועץ בהקשר זה לא נגעה לאישור ההלוואה מפרטרידג', אלא בבחינת השאלה אם נטילת ההלוואה מקימה </w:t>
      </w:r>
      <w:r w:rsidRPr="00711EF7">
        <w:rPr>
          <w:rFonts w:hint="cs"/>
          <w:rtl/>
        </w:rPr>
        <w:t xml:space="preserve">ניגוד עניינים בהפעלת סמכויות שלטוניות מצד ח"כ נתניהו כראש הממשלה. </w:t>
      </w:r>
    </w:p>
    <w:p w14:paraId="4ACC83EE" w14:textId="77777777" w:rsidR="00F125D1" w:rsidRDefault="00F125D1" w:rsidP="00F125D1">
      <w:pPr>
        <w:pStyle w:val="Ruller41"/>
        <w:rPr>
          <w:rFonts w:ascii="Century" w:hAnsi="Century" w:cs="Miriam"/>
          <w:b/>
          <w:spacing w:val="0"/>
          <w:szCs w:val="24"/>
          <w:rtl/>
        </w:rPr>
      </w:pPr>
    </w:p>
    <w:p w14:paraId="22EE1036" w14:textId="74068795" w:rsidR="00F125D1" w:rsidRDefault="00F125D1" w:rsidP="00F125D1">
      <w:pPr>
        <w:pStyle w:val="Ruller4"/>
        <w:rPr>
          <w:rFonts w:ascii="Century" w:hAnsi="Century"/>
          <w:rtl/>
        </w:rPr>
      </w:pPr>
      <w:r w:rsidRPr="00711EF7">
        <w:rPr>
          <w:rFonts w:hint="cs"/>
          <w:rtl/>
        </w:rPr>
        <w:t>ביום 13.6.2021 הושבעה הממשלה ה-36 ומיום זה חדל ח"כ נתניהו לכהן כראש הממשלה</w:t>
      </w:r>
      <w:r w:rsidR="00571CAB">
        <w:rPr>
          <w:rFonts w:hint="cs"/>
          <w:rtl/>
        </w:rPr>
        <w:t xml:space="preserve">. </w:t>
      </w:r>
      <w:r>
        <w:rPr>
          <w:rFonts w:hint="cs"/>
          <w:rtl/>
        </w:rPr>
        <w:t xml:space="preserve">בעקבות דיון בעתירות המתוקנות שהתקיים בפנינו ביום 21.7.2021, ניתן למחרת היום צו על תנאי </w:t>
      </w:r>
      <w:r>
        <w:rPr>
          <w:rFonts w:ascii="Century" w:hAnsi="Century" w:hint="cs"/>
          <w:rtl/>
        </w:rPr>
        <w:t xml:space="preserve">המורה למשיבים </w:t>
      </w:r>
      <w:r>
        <w:rPr>
          <w:rFonts w:ascii="Century" w:hAnsi="Century"/>
          <w:rtl/>
        </w:rPr>
        <w:t>–</w:t>
      </w:r>
      <w:r>
        <w:rPr>
          <w:rFonts w:ascii="Century" w:hAnsi="Century" w:hint="cs"/>
          <w:rtl/>
        </w:rPr>
        <w:t xml:space="preserve"> ח"כ נתניהו, היועץ המשפטי לממשלה, מבקר המדינה וועדת ההיתרים </w:t>
      </w:r>
      <w:r>
        <w:rPr>
          <w:rFonts w:ascii="Century" w:hAnsi="Century"/>
          <w:rtl/>
        </w:rPr>
        <w:t>–</w:t>
      </w:r>
      <w:r>
        <w:rPr>
          <w:rFonts w:ascii="Century" w:hAnsi="Century" w:hint="cs"/>
          <w:rtl/>
        </w:rPr>
        <w:t xml:space="preserve"> לבוא וליתן טעם:</w:t>
      </w:r>
    </w:p>
    <w:p w14:paraId="21F0BDC9" w14:textId="77777777" w:rsidR="00F125D1" w:rsidRDefault="00F125D1" w:rsidP="00F125D1">
      <w:pPr>
        <w:pStyle w:val="Ruller41"/>
        <w:rPr>
          <w:rFonts w:ascii="Century" w:hAnsi="Century"/>
          <w:rtl/>
        </w:rPr>
      </w:pPr>
    </w:p>
    <w:p w14:paraId="2BAD9D84" w14:textId="77777777" w:rsidR="00F125D1" w:rsidRDefault="00F125D1" w:rsidP="00F125D1">
      <w:pPr>
        <w:pStyle w:val="Ruller5"/>
      </w:pPr>
      <w:r>
        <w:rPr>
          <w:rFonts w:hint="cs"/>
          <w:rtl/>
        </w:rPr>
        <w:t xml:space="preserve">(א) </w:t>
      </w:r>
      <w:r w:rsidRPr="00C86A6E">
        <w:rPr>
          <w:rFonts w:hint="cs"/>
          <w:rtl/>
        </w:rPr>
        <w:t xml:space="preserve">מדוע לא ייקבע כי </w:t>
      </w:r>
      <w:r>
        <w:rPr>
          <w:rFonts w:hint="cs"/>
          <w:rtl/>
        </w:rPr>
        <w:t>הסיוע שניתן</w:t>
      </w:r>
      <w:r w:rsidRPr="00C86A6E">
        <w:rPr>
          <w:rFonts w:hint="cs"/>
          <w:rtl/>
        </w:rPr>
        <w:t xml:space="preserve"> לחבר הכנסת בנימין נתניהו </w:t>
      </w:r>
      <w:r>
        <w:rPr>
          <w:rFonts w:hint="cs"/>
          <w:rtl/>
        </w:rPr>
        <w:t>[...]</w:t>
      </w:r>
      <w:r w:rsidRPr="00C86A6E">
        <w:rPr>
          <w:rFonts w:hint="cs"/>
          <w:rtl/>
        </w:rPr>
        <w:t xml:space="preserve"> ולרעייתו על ידי מר נתן מיליקובסקי בסך 300,000 דולר</w:t>
      </w:r>
      <w:r>
        <w:rPr>
          <w:rFonts w:hint="cs"/>
          <w:rtl/>
        </w:rPr>
        <w:t xml:space="preserve"> [...]</w:t>
      </w:r>
      <w:r w:rsidRPr="00C86A6E">
        <w:rPr>
          <w:rFonts w:hint="cs"/>
          <w:rtl/>
        </w:rPr>
        <w:t xml:space="preserve"> מהווה מתנה שניתנה לח"כ נתניהו באשר הוא עובד ציבור, ומשכך עליו להשיבה במלואה בהתאם להוראות </w:t>
      </w:r>
      <w:r w:rsidRPr="00C86A6E">
        <w:rPr>
          <w:rFonts w:hint="eastAsia"/>
          <w:rtl/>
        </w:rPr>
        <w:t>חוק</w:t>
      </w:r>
      <w:r w:rsidRPr="00C86A6E">
        <w:rPr>
          <w:rtl/>
        </w:rPr>
        <w:t xml:space="preserve"> </w:t>
      </w:r>
      <w:r w:rsidRPr="00C86A6E">
        <w:rPr>
          <w:rFonts w:hint="eastAsia"/>
          <w:rtl/>
        </w:rPr>
        <w:t>שירות</w:t>
      </w:r>
      <w:r w:rsidRPr="00C86A6E">
        <w:rPr>
          <w:rtl/>
        </w:rPr>
        <w:t xml:space="preserve"> </w:t>
      </w:r>
      <w:r w:rsidRPr="00C86A6E">
        <w:rPr>
          <w:rFonts w:hint="eastAsia"/>
          <w:rtl/>
        </w:rPr>
        <w:t>הציבור</w:t>
      </w:r>
      <w:r w:rsidRPr="00C86A6E">
        <w:rPr>
          <w:rtl/>
        </w:rPr>
        <w:t xml:space="preserve"> (</w:t>
      </w:r>
      <w:r w:rsidRPr="00C86A6E">
        <w:rPr>
          <w:rFonts w:hint="eastAsia"/>
          <w:rtl/>
        </w:rPr>
        <w:t>מתנות</w:t>
      </w:r>
      <w:r w:rsidRPr="00C86A6E">
        <w:rPr>
          <w:rtl/>
        </w:rPr>
        <w:t xml:space="preserve">), </w:t>
      </w:r>
      <w:r>
        <w:rPr>
          <w:rFonts w:hint="cs"/>
          <w:rtl/>
        </w:rPr>
        <w:t>ה</w:t>
      </w:r>
      <w:r w:rsidRPr="00C86A6E">
        <w:rPr>
          <w:rFonts w:hint="eastAsia"/>
          <w:rtl/>
        </w:rPr>
        <w:t>תש</w:t>
      </w:r>
      <w:r w:rsidRPr="00C86A6E">
        <w:rPr>
          <w:rtl/>
        </w:rPr>
        <w:t>"</w:t>
      </w:r>
      <w:r w:rsidRPr="00C86A6E">
        <w:rPr>
          <w:rFonts w:hint="eastAsia"/>
          <w:rtl/>
        </w:rPr>
        <w:t>ם</w:t>
      </w:r>
      <w:r w:rsidRPr="00C86A6E">
        <w:rPr>
          <w:rtl/>
        </w:rPr>
        <w:t>-1979</w:t>
      </w:r>
      <w:r>
        <w:rPr>
          <w:rFonts w:hint="cs"/>
          <w:rtl/>
        </w:rPr>
        <w:t xml:space="preserve"> [...].</w:t>
      </w:r>
    </w:p>
    <w:p w14:paraId="3E808E18" w14:textId="77777777" w:rsidR="00F125D1" w:rsidRDefault="00F125D1" w:rsidP="00F125D1">
      <w:pPr>
        <w:pStyle w:val="Ruller5"/>
      </w:pPr>
      <w:r>
        <w:rPr>
          <w:rFonts w:hint="cs"/>
          <w:rtl/>
        </w:rPr>
        <w:t>(ב) ככל שחוק המתנות אינו חל ביחס לסיוע הכספי האמור, מדוע לא תבוטל החלטת הוועדה למתן היתרים לפי פרק ד' להודעה בדבר הכללים למניעת ניגוד עניינים של שרים וסגני שרים, התשס"ג-2003 [...] מיום 2.7.2020, לפיה ח"כ נתניהו נדרש להשיב 110,000 ש"ח בלבד מתוך כספי הסיוע.</w:t>
      </w:r>
    </w:p>
    <w:p w14:paraId="64D810F3" w14:textId="77777777" w:rsidR="00F125D1" w:rsidRDefault="00F125D1" w:rsidP="00F125D1">
      <w:pPr>
        <w:pStyle w:val="Ruller5"/>
      </w:pPr>
      <w:r>
        <w:rPr>
          <w:rFonts w:hint="cs"/>
          <w:rtl/>
        </w:rPr>
        <w:t xml:space="preserve">(ג) </w:t>
      </w:r>
      <w:r w:rsidRPr="00A92BAC">
        <w:rPr>
          <w:rFonts w:hint="cs"/>
          <w:rtl/>
        </w:rPr>
        <w:t xml:space="preserve">מדוע לא תבוטל קביעת מבקר המדינה לפיה ח"כ נתניהו אינו נדרש לפנות לוועדת ההיתרים לצורך קבלת הלוואה ממר ספנסר פרטרידג', וזאת בשל היעדר סמכותו לקבוע קביעה זו ולחלופין בשל היותה של ההלוואה "טובת הנאה" </w:t>
      </w:r>
      <w:r>
        <w:rPr>
          <w:rFonts w:hint="cs"/>
          <w:rtl/>
        </w:rPr>
        <w:t>לפי כלל 6(3)(א) לכללי אשר</w:t>
      </w:r>
      <w:r w:rsidRPr="00A92BAC">
        <w:rPr>
          <w:rFonts w:hint="cs"/>
          <w:rtl/>
        </w:rPr>
        <w:t xml:space="preserve">. </w:t>
      </w:r>
    </w:p>
    <w:p w14:paraId="500F1923" w14:textId="77777777" w:rsidR="00F125D1" w:rsidRPr="0094184E" w:rsidRDefault="00F125D1" w:rsidP="00F125D1">
      <w:pPr>
        <w:pStyle w:val="Ruller4"/>
        <w:numPr>
          <w:ilvl w:val="0"/>
          <w:numId w:val="0"/>
        </w:numPr>
        <w:rPr>
          <w:rtl/>
        </w:rPr>
      </w:pPr>
    </w:p>
    <w:p w14:paraId="6E442BE7" w14:textId="46172C61" w:rsidR="00F125D1" w:rsidRDefault="00F125D1" w:rsidP="00F125D1">
      <w:pPr>
        <w:pStyle w:val="Ruller4"/>
        <w:numPr>
          <w:ilvl w:val="0"/>
          <w:numId w:val="0"/>
        </w:numPr>
      </w:pPr>
      <w:r>
        <w:rPr>
          <w:rtl/>
        </w:rPr>
        <w:tab/>
      </w:r>
      <w:r>
        <w:rPr>
          <w:rFonts w:hint="cs"/>
          <w:rtl/>
        </w:rPr>
        <w:t xml:space="preserve">עוד נקבע כי במסגרת תצהירי התשובה </w:t>
      </w:r>
      <w:r w:rsidRPr="00A92BAC">
        <w:rPr>
          <w:rFonts w:hint="cs"/>
          <w:rtl/>
        </w:rPr>
        <w:t xml:space="preserve">יתייחסו המשיבים לשאלת זהות הגורם המוסמך להכריע </w:t>
      </w:r>
      <w:r w:rsidRPr="00A92BAC">
        <w:rPr>
          <w:rFonts w:cs="Miriam" w:hint="cs"/>
          <w:b/>
          <w:spacing w:val="0"/>
          <w:szCs w:val="24"/>
          <w:rtl/>
        </w:rPr>
        <w:t>מראש</w:t>
      </w:r>
      <w:r w:rsidRPr="00A92BAC">
        <w:rPr>
          <w:rFonts w:hint="cs"/>
          <w:rtl/>
        </w:rPr>
        <w:t xml:space="preserve"> בדבר קיומה או אי-קיומה של סטייה מכללי אשר בנסיבות </w:t>
      </w:r>
      <w:r w:rsidRPr="00A92BAC">
        <w:rPr>
          <w:rFonts w:hint="cs"/>
          <w:rtl/>
        </w:rPr>
        <w:lastRenderedPageBreak/>
        <w:t>קונקרטיות</w:t>
      </w:r>
      <w:r>
        <w:rPr>
          <w:rFonts w:hint="cs"/>
          <w:rtl/>
        </w:rPr>
        <w:t xml:space="preserve">. כמו כן, התבקשו המשיבים להתייחס להשלכות </w:t>
      </w:r>
      <w:r>
        <w:rPr>
          <w:rtl/>
        </w:rPr>
        <w:t>–</w:t>
      </w:r>
      <w:r>
        <w:rPr>
          <w:rFonts w:hint="cs"/>
          <w:rtl/>
        </w:rPr>
        <w:t xml:space="preserve"> ככל שיש כאלה </w:t>
      </w:r>
      <w:r>
        <w:rPr>
          <w:rtl/>
        </w:rPr>
        <w:t>–</w:t>
      </w:r>
      <w:r>
        <w:rPr>
          <w:rFonts w:hint="cs"/>
          <w:rtl/>
        </w:rPr>
        <w:t xml:space="preserve"> הנובעות מן העובדה כי ח"כ נתניהו אינו מכהן כיום כחבר ממשלה, על איזה מן הסוגיות שפורטו בצו על תנאי. להשלמת הדברים יצוין כי למרבה הצער, ביום 28.7.2021, נפטר מר מיליקובסקי.</w:t>
      </w:r>
    </w:p>
    <w:p w14:paraId="4855351A" w14:textId="77777777" w:rsidR="00F125D1" w:rsidRDefault="00F125D1" w:rsidP="00F125D1">
      <w:pPr>
        <w:pStyle w:val="Ruller4"/>
        <w:numPr>
          <w:ilvl w:val="0"/>
          <w:numId w:val="0"/>
        </w:numPr>
        <w:rPr>
          <w:rtl/>
        </w:rPr>
      </w:pPr>
    </w:p>
    <w:p w14:paraId="07E30DC6" w14:textId="77777777" w:rsidR="00F125D1" w:rsidRDefault="00F125D1" w:rsidP="00F125D1">
      <w:pPr>
        <w:pStyle w:val="Ruller4"/>
        <w:rPr>
          <w:rtl/>
        </w:rPr>
      </w:pPr>
      <w:r>
        <w:rPr>
          <w:rFonts w:hint="cs"/>
          <w:rtl/>
        </w:rPr>
        <w:t xml:space="preserve">לאחר שהוגשו תצהירי התשובה ועיקרי הטיעון, קיימנו ביום 11.7.2022 דיון בהתנגדות לעשיית הצו על תנאי לצו מוחלט, ובמהלכו שמענו את טענות הצדדים, שעיקריהן יפורטו להלן. </w:t>
      </w:r>
    </w:p>
    <w:p w14:paraId="2C942AEA" w14:textId="77777777" w:rsidR="00F125D1" w:rsidRDefault="00F125D1" w:rsidP="00F125D1">
      <w:pPr>
        <w:pStyle w:val="Ruller41"/>
        <w:rPr>
          <w:rFonts w:ascii="Century" w:hAnsi="Century" w:cs="Miriam"/>
          <w:b/>
          <w:spacing w:val="0"/>
          <w:szCs w:val="24"/>
          <w:rtl/>
        </w:rPr>
      </w:pPr>
    </w:p>
    <w:p w14:paraId="4B3F1F82" w14:textId="77777777" w:rsidR="00F125D1" w:rsidRDefault="00F125D1" w:rsidP="00F125D1">
      <w:pPr>
        <w:pStyle w:val="Ruller41"/>
        <w:rPr>
          <w:rFonts w:ascii="Century" w:hAnsi="Century" w:cs="Miriam"/>
          <w:b/>
          <w:spacing w:val="0"/>
          <w:szCs w:val="24"/>
          <w:rtl/>
        </w:rPr>
      </w:pPr>
      <w:r>
        <w:rPr>
          <w:rFonts w:ascii="Century" w:hAnsi="Century" w:cs="Miriam" w:hint="cs"/>
          <w:b/>
          <w:spacing w:val="0"/>
          <w:szCs w:val="24"/>
          <w:rtl/>
        </w:rPr>
        <w:t>תמצית טענות הצדדים</w:t>
      </w:r>
    </w:p>
    <w:p w14:paraId="4FA8A986" w14:textId="77777777" w:rsidR="00F125D1" w:rsidRDefault="00F125D1" w:rsidP="00F125D1">
      <w:pPr>
        <w:pStyle w:val="Ruller41"/>
        <w:rPr>
          <w:rFonts w:ascii="Century" w:hAnsi="Century" w:cs="Miriam"/>
          <w:b/>
          <w:spacing w:val="0"/>
          <w:szCs w:val="24"/>
          <w:rtl/>
        </w:rPr>
      </w:pPr>
    </w:p>
    <w:p w14:paraId="147C57B8" w14:textId="62E3881B" w:rsidR="00F125D1" w:rsidRDefault="00F125D1" w:rsidP="00F125D1">
      <w:pPr>
        <w:pStyle w:val="Ruller4"/>
      </w:pPr>
      <w:r>
        <w:rPr>
          <w:rFonts w:hint="cs"/>
          <w:color w:val="000000" w:themeColor="text1"/>
          <w:rtl/>
        </w:rPr>
        <w:t xml:space="preserve">העותרות טוענות </w:t>
      </w:r>
      <w:r>
        <w:rPr>
          <w:rFonts w:hint="cs"/>
          <w:rtl/>
        </w:rPr>
        <w:t>כי יש להורות על השבת המענק ממיליקובסקי, לרבות החלק שיועד לגב' נתניהו, בהיותו "מתנה" אסורה כמשמעותה בסעיף 2 לחוק המתנות. לשיטת העותרות, החזקה לפיה</w:t>
      </w:r>
      <w:r w:rsidRPr="00711EF7">
        <w:rPr>
          <w:rFonts w:hint="cs"/>
          <w:rtl/>
        </w:rPr>
        <w:t xml:space="preserve"> טובת הנאה הניתנת לראש הממשלה ניתנת לו באשר הוא עובד ציבור</w:t>
      </w:r>
      <w:r w:rsidR="003F3FA4">
        <w:rPr>
          <w:rFonts w:hint="cs"/>
          <w:rtl/>
        </w:rPr>
        <w:t>,</w:t>
      </w:r>
      <w:r w:rsidRPr="00711EF7">
        <w:rPr>
          <w:rFonts w:hint="cs"/>
          <w:rtl/>
        </w:rPr>
        <w:t xml:space="preserve"> אינה נסתרת במקרה </w:t>
      </w:r>
      <w:r>
        <w:rPr>
          <w:rFonts w:hint="cs"/>
          <w:rtl/>
        </w:rPr>
        <w:t>דנן לנוכח</w:t>
      </w:r>
      <w:r w:rsidRPr="00711EF7">
        <w:rPr>
          <w:rFonts w:hint="cs"/>
          <w:rtl/>
        </w:rPr>
        <w:t xml:space="preserve"> גובה </w:t>
      </w:r>
      <w:r>
        <w:rPr>
          <w:rFonts w:hint="cs"/>
          <w:rtl/>
        </w:rPr>
        <w:t>המענק, טיב היחסים בין ח"כ נתניהו למיליקובסקי ו</w:t>
      </w:r>
      <w:r w:rsidRPr="00711EF7">
        <w:rPr>
          <w:rFonts w:hint="cs"/>
          <w:rtl/>
        </w:rPr>
        <w:t>מעמדו הציבורי הרם של ראש הממשלה</w:t>
      </w:r>
      <w:r>
        <w:rPr>
          <w:rFonts w:hint="cs"/>
          <w:rtl/>
        </w:rPr>
        <w:t>, וכי במקרה זה אין נפקות לכך שח"כ נתניהו אינו מכהן עוד כראש הממשלה, משום שבמועד קבלת המתנה כיהן ח"כ נתניהו כראש הממשלה ומשום שממילא חוק המתנות חל על חברי כנסת.</w:t>
      </w:r>
    </w:p>
    <w:p w14:paraId="013DDFC0" w14:textId="77777777" w:rsidR="00F125D1" w:rsidRPr="00144E4B" w:rsidRDefault="00F125D1" w:rsidP="00F125D1">
      <w:pPr>
        <w:pStyle w:val="Ruller4"/>
        <w:numPr>
          <w:ilvl w:val="0"/>
          <w:numId w:val="0"/>
        </w:numPr>
        <w:rPr>
          <w:color w:val="000000" w:themeColor="text1"/>
        </w:rPr>
      </w:pPr>
    </w:p>
    <w:p w14:paraId="3DBD7B2D" w14:textId="6D0D54F1" w:rsidR="00F125D1" w:rsidRDefault="00F125D1" w:rsidP="003F3FA4">
      <w:pPr>
        <w:pStyle w:val="Ruller4"/>
        <w:numPr>
          <w:ilvl w:val="0"/>
          <w:numId w:val="0"/>
        </w:numPr>
        <w:rPr>
          <w:rtl/>
        </w:rPr>
      </w:pPr>
      <w:r>
        <w:rPr>
          <w:rtl/>
        </w:rPr>
        <w:tab/>
      </w:r>
      <w:r w:rsidRPr="007216A7">
        <w:rPr>
          <w:rFonts w:hint="cs"/>
          <w:rtl/>
        </w:rPr>
        <w:t>העותרות</w:t>
      </w:r>
      <w:r>
        <w:rPr>
          <w:rFonts w:hint="cs"/>
          <w:rtl/>
        </w:rPr>
        <w:t xml:space="preserve"> סבורות כי אף אם ייקבע שחוק המתנות אינו חל בענייננו, בהחלטת ועדת ההיתרים מיום 2.7.2020 נפלו מספר פגמים המצדיקים את ביטולה, ובהם חוסר סמכות וחוסר סבירות קיצוני, שכן לא חל כל שינוי נסיבות מהותי אשר הצדיק את תיקון החלטת הוועדה מיום 20.2.2019; </w:t>
      </w:r>
      <w:r w:rsidR="003F3FA4">
        <w:rPr>
          <w:rFonts w:hint="cs"/>
          <w:rtl/>
        </w:rPr>
        <w:t>עוד</w:t>
      </w:r>
      <w:r>
        <w:rPr>
          <w:rFonts w:hint="cs"/>
          <w:rtl/>
        </w:rPr>
        <w:t xml:space="preserve"> נטען כי החלטה זו התקבלה ללא הנמקה וללא בסיס ראייתי מספק. לגופם של דברים, העותרות משיגות </w:t>
      </w:r>
      <w:r w:rsidRPr="002D05CE">
        <w:rPr>
          <w:rFonts w:hint="cs"/>
          <w:color w:val="000000" w:themeColor="text1"/>
          <w:rtl/>
        </w:rPr>
        <w:t xml:space="preserve">על קביעתה של הוועדה לפיה </w:t>
      </w:r>
      <w:r>
        <w:rPr>
          <w:rFonts w:hint="cs"/>
          <w:color w:val="000000" w:themeColor="text1"/>
          <w:rtl/>
        </w:rPr>
        <w:t>כלל 6(3)(א)</w:t>
      </w:r>
      <w:r w:rsidRPr="002D05CE">
        <w:rPr>
          <w:rFonts w:hint="cs"/>
          <w:color w:val="000000" w:themeColor="text1"/>
          <w:rtl/>
        </w:rPr>
        <w:t xml:space="preserve"> ל</w:t>
      </w:r>
      <w:r w:rsidRPr="002D05CE">
        <w:rPr>
          <w:color w:val="000000" w:themeColor="text1"/>
          <w:rtl/>
        </w:rPr>
        <w:t>כללי אשר</w:t>
      </w:r>
      <w:r w:rsidRPr="002D05CE">
        <w:rPr>
          <w:rFonts w:ascii="Miriam" w:hAnsi="Miriam" w:cs="Miriam"/>
          <w:color w:val="000000" w:themeColor="text1"/>
          <w:sz w:val="22"/>
          <w:szCs w:val="24"/>
          <w:rtl/>
        </w:rPr>
        <w:t xml:space="preserve"> </w:t>
      </w:r>
      <w:r w:rsidRPr="002D05CE">
        <w:rPr>
          <w:rFonts w:hint="cs"/>
          <w:color w:val="000000" w:themeColor="text1"/>
          <w:rtl/>
        </w:rPr>
        <w:t xml:space="preserve">אינו חל על טובת הנאה הניתנת לבן-זוגו של שר. </w:t>
      </w:r>
      <w:r>
        <w:rPr>
          <w:rFonts w:hint="cs"/>
          <w:color w:val="000000" w:themeColor="text1"/>
          <w:rtl/>
        </w:rPr>
        <w:t xml:space="preserve">על כן נטען כי </w:t>
      </w:r>
      <w:r>
        <w:rPr>
          <w:rFonts w:hint="cs"/>
          <w:rtl/>
        </w:rPr>
        <w:t xml:space="preserve">יש להורות על השבת מלוא סכום המענק, ולמצער כי יש להחזיר את הסוגיה לבחינה מחודשת על ידי ועדת ההיתרים.  </w:t>
      </w:r>
    </w:p>
    <w:p w14:paraId="292B508E" w14:textId="77777777" w:rsidR="00F125D1" w:rsidRDefault="00F125D1" w:rsidP="00F125D1">
      <w:pPr>
        <w:pStyle w:val="Ruller4"/>
        <w:numPr>
          <w:ilvl w:val="0"/>
          <w:numId w:val="0"/>
        </w:numPr>
        <w:rPr>
          <w:color w:val="000000" w:themeColor="text1"/>
          <w:rtl/>
        </w:rPr>
      </w:pPr>
    </w:p>
    <w:p w14:paraId="7DBE2967" w14:textId="77777777" w:rsidR="00F125D1" w:rsidRDefault="00F125D1" w:rsidP="00F125D1">
      <w:pPr>
        <w:pStyle w:val="Ruller4"/>
        <w:numPr>
          <w:ilvl w:val="0"/>
          <w:numId w:val="0"/>
        </w:numPr>
        <w:rPr>
          <w:color w:val="000000" w:themeColor="text1"/>
          <w:rtl/>
        </w:rPr>
      </w:pPr>
      <w:r>
        <w:rPr>
          <w:color w:val="000000" w:themeColor="text1"/>
          <w:rtl/>
        </w:rPr>
        <w:tab/>
      </w:r>
      <w:r>
        <w:rPr>
          <w:rFonts w:hint="cs"/>
          <w:color w:val="000000" w:themeColor="text1"/>
          <w:rtl/>
        </w:rPr>
        <w:t xml:space="preserve">באשר להלוואה מפרטרידג', מציינות העותרות כי קביעת מבקר המדינה לפיה ח"כ נתניהו אינו נדרש לפנות לוועדת ההיתרים, לוקה בחוסר סמכות, שכן סמכויותיו של המבקר ביחס לכללי אשר מתמצות בפיקוח אחר מילוי הכללים, והגורם היחיד המוסמך לקבוע </w:t>
      </w:r>
      <w:r w:rsidRPr="000C33AD">
        <w:rPr>
          <w:rFonts w:ascii="Century" w:hAnsi="Century" w:cs="Miriam" w:hint="cs"/>
          <w:b/>
          <w:spacing w:val="0"/>
          <w:sz w:val="22"/>
          <w:szCs w:val="24"/>
          <w:rtl/>
        </w:rPr>
        <w:t>מראש</w:t>
      </w:r>
      <w:r>
        <w:rPr>
          <w:rFonts w:hint="cs"/>
          <w:color w:val="000000" w:themeColor="text1"/>
          <w:rtl/>
        </w:rPr>
        <w:t xml:space="preserve"> אם קיימת סטייה מכללי אשר הוא מערך הייעוץ המשפטי לממשלה, בהיותו הפרשן המוסמך של הדין עבור הממשלה וחבריה. העותרות מוסיפות כי אף אם קביעת המבקר ניתנה בסמכות, מדובר בהחלטה בלתי סבירה, משום שההלוואה מהווה טובת </w:t>
      </w:r>
      <w:r>
        <w:rPr>
          <w:rFonts w:hint="cs"/>
          <w:color w:val="000000" w:themeColor="text1"/>
          <w:rtl/>
        </w:rPr>
        <w:lastRenderedPageBreak/>
        <w:t xml:space="preserve">הנאה לפי כלל 6(3)(א) לכללי אשר, ובפרט משום שהיא ניתנה ללא כל כוונה להחזירה. לפיכך, נטען כי יש להעביר את העניין להכרעת ועדת ההיתרים. </w:t>
      </w:r>
    </w:p>
    <w:p w14:paraId="0347621D" w14:textId="77777777" w:rsidR="00F125D1" w:rsidRDefault="00F125D1" w:rsidP="00F125D1">
      <w:pPr>
        <w:pStyle w:val="Ruller4"/>
        <w:numPr>
          <w:ilvl w:val="0"/>
          <w:numId w:val="0"/>
        </w:numPr>
        <w:rPr>
          <w:rtl/>
        </w:rPr>
      </w:pPr>
    </w:p>
    <w:p w14:paraId="648B923A" w14:textId="77777777" w:rsidR="00F125D1" w:rsidRDefault="00F125D1" w:rsidP="00F125D1">
      <w:pPr>
        <w:pStyle w:val="Ruller4"/>
        <w:rPr>
          <w:rtl/>
        </w:rPr>
      </w:pPr>
      <w:r>
        <w:rPr>
          <w:rFonts w:hint="cs"/>
          <w:rtl/>
        </w:rPr>
        <w:t xml:space="preserve">היועצת המשפטית לממשלה (שהחלה לכהן בתפקידה לאחר הגשת כתב התשובה מטעם קודמה בתפקיד, אך טרם הדיון ביום 11.7.2022), סבורה כי המענק ממיליקובסקי מהווה מתנה שעל ח"כ נתניהו להשיבו במלואו בהתאם להוראות חוק המתנות. לשיטת היועצת, קיימת חזקה כי מתנות הניתנות לחברי ממשלה ניתנות להם באשר הם עובדי ציבור, והנטל לסתירת חזקה זו הולך ונהיה כבד יותר ככל שהמתנה חריגה יותר בהיקפה או באופייה. בענייננו, כך נטען, נטל זה אינו נסתר בשים לב לממצאי הבדיקה בעניין פרשת המניות, והפועל היוצא מכך הוא שיש להשיב את המענק ממיליקובסקי במלואו. ככל שייקבע שחוק המתנות אינו חל בנסיבות העניין, היועצת סבורה כי מן הראוי שוועדת ההיתרים תבחן מחדש, מבחינה מהותית, אם יש לראות את החלק מן המענק ממיליקובסקי שיועד לגב' נתניהו, כטובת הנאה שהוענקה בפועל לח"כ נתניהו עצמו, המחייבת קבלת היתר. </w:t>
      </w:r>
    </w:p>
    <w:p w14:paraId="5975B4E8" w14:textId="77777777" w:rsidR="00F125D1" w:rsidRDefault="00F125D1" w:rsidP="00F125D1">
      <w:pPr>
        <w:pStyle w:val="Ruller41"/>
        <w:rPr>
          <w:rtl/>
        </w:rPr>
      </w:pPr>
    </w:p>
    <w:p w14:paraId="13AA001A" w14:textId="77777777" w:rsidR="00F125D1" w:rsidRPr="00635402" w:rsidRDefault="00F125D1" w:rsidP="00F125D1">
      <w:pPr>
        <w:pStyle w:val="Ruller4"/>
        <w:rPr>
          <w:rFonts w:ascii="Times New Roman" w:hAnsi="Times New Roman" w:cs="David"/>
          <w:spacing w:val="0"/>
          <w:sz w:val="18"/>
          <w:szCs w:val="24"/>
          <w:rtl/>
        </w:rPr>
      </w:pPr>
      <w:r>
        <w:rPr>
          <w:rFonts w:hint="cs"/>
          <w:rtl/>
        </w:rPr>
        <w:t xml:space="preserve">בהתייחסה להלוואה מפרטרידג' מציינת היועצת כי רק לאחר שניתן צו על תנאי בעתירות דנן נדרש לראשונה הייעוץ המשפטי לממשלה לבחינת טיבה של ההלוואה עצמה, בעוד שלפני כן התמקדה מעורבותו בסוגיית ניגוד העניינים שעלול להיווצר כתוצאה מנטילת ההלוואה. לשיטת היועצת המשפטית לממשלה, לא זו בלבד שההלוואה מהווה טובת הנאה, אלא שהיא הוענקה לח"כ נתניהו בהיותו עובד ציבור ועל כן עסקינן במתנה אסורה לפי חוק המתנות. היועצת מדגישה כי גם הלוואה שניתנת בתנאי שוק עשויה להיחשב כטובת הנאה, ובענייננו הדבר מתבטא בתנאי ההחזר הגמישים של ההלוואה וכן באפשרות שהיא לא תוחזר כלל, בהתחשב בכך שח"כ נתניהו ביקש לקבל היתר לקבלת מענק מפרטרידג' בסכום הגבוה מסכום ההלוואה, באופן המעיד על נכונותו של פרטרידג' להעביר את ההלוואה למסלול של מענק. היועצת הוסיפה כי קיים קושי בפיקוח על ההלוואה היות שכיום ח"כ נתניהו אינו מכהן כחבר ממשלה ואינו מחויב להגיש למבקר המדינה הצהרות הון שנתיות. לעמדת היועצת, בהינתן טיב מערכת היחסים בין פרטרידג' לח"כ נתניהו ולנוכח היקפה של ההלוואה, אין לומר כי נסתרת החזקה לפיה ההלוואה ניתנה לח"כ נתניהו באשר הוא עובד ציבור, ובנסיבות אלה חל סעיף 2 לחוק המתנות. </w:t>
      </w:r>
    </w:p>
    <w:p w14:paraId="7BD2946C" w14:textId="77777777" w:rsidR="00F125D1" w:rsidRPr="00635402" w:rsidRDefault="00F125D1" w:rsidP="00F125D1">
      <w:pPr>
        <w:pStyle w:val="Ruller41"/>
      </w:pPr>
    </w:p>
    <w:p w14:paraId="5894EF2A" w14:textId="77777777" w:rsidR="00F125D1" w:rsidRDefault="00F125D1" w:rsidP="00F125D1">
      <w:pPr>
        <w:pStyle w:val="Ruller4"/>
        <w:numPr>
          <w:ilvl w:val="0"/>
          <w:numId w:val="0"/>
        </w:numPr>
        <w:rPr>
          <w:rtl/>
        </w:rPr>
      </w:pPr>
      <w:r>
        <w:rPr>
          <w:rtl/>
        </w:rPr>
        <w:tab/>
      </w:r>
      <w:r>
        <w:rPr>
          <w:rFonts w:hint="cs"/>
          <w:rtl/>
        </w:rPr>
        <w:t xml:space="preserve">עם זאת, היועצת סבורה כי יש ליתן משקל לכך שההלוואה מפרטרידג' ניטלה תוך הסתמכות על עמדת מבקר המדינה, והדברים אף הובאו לידיעת היועץ המשפטי לממשלה. בנסיבות אלה מוצע לקבוע, בהתאם לדוקטרינת התוצאה היחסית, כי ח"כ </w:t>
      </w:r>
      <w:r>
        <w:rPr>
          <w:rFonts w:hint="cs"/>
          <w:rtl/>
        </w:rPr>
        <w:lastRenderedPageBreak/>
        <w:t xml:space="preserve">נתניהו ישיב את ההלוואה במלואה בצירוף הריבית המוסכמת, בתוך 5 שנים ממועד ההלוואה, וזאת מבלי שתמומש אופציית הארכת ההלוואה ב-5 שנים נוספות. היועצת מעדכנת כי נציגיה באו בדברים עם נציגי המבקר, שהודיעו כי הוא נכון להמשיך את הפיקוח על החזר ההלוואה באותה מתכונת שהתקיימה בתקופת כהונתו כראש ממשלה. </w:t>
      </w:r>
    </w:p>
    <w:p w14:paraId="64A808E1" w14:textId="77777777" w:rsidR="00F125D1" w:rsidRDefault="00F125D1" w:rsidP="00F125D1">
      <w:pPr>
        <w:pStyle w:val="Ruller4"/>
        <w:numPr>
          <w:ilvl w:val="0"/>
          <w:numId w:val="0"/>
        </w:numPr>
        <w:rPr>
          <w:rtl/>
        </w:rPr>
      </w:pPr>
    </w:p>
    <w:p w14:paraId="1D698BCA" w14:textId="7AE2CFA6" w:rsidR="00F125D1" w:rsidRDefault="00F125D1" w:rsidP="00BD6CA1">
      <w:pPr>
        <w:pStyle w:val="Ruller4"/>
        <w:numPr>
          <w:ilvl w:val="0"/>
          <w:numId w:val="0"/>
        </w:numPr>
        <w:rPr>
          <w:rtl/>
        </w:rPr>
      </w:pPr>
      <w:r>
        <w:rPr>
          <w:rtl/>
        </w:rPr>
        <w:tab/>
      </w:r>
      <w:r>
        <w:rPr>
          <w:rFonts w:hint="cs"/>
          <w:rtl/>
        </w:rPr>
        <w:t>בהקשר זה יצוין כי לאחר שהוגשה עמדת היועצת, ביקשו העותרות להצטרף למסקנתה בדבר תחולת חוק המתנות על ההלוואה מפרטרידג', והן סומכות את ידיהן על המתווה שהוצע על-ידי היועצת באשר לאופן החזרת הלוואה</w:t>
      </w:r>
      <w:r w:rsidR="00BD6CA1">
        <w:rPr>
          <w:rFonts w:hint="cs"/>
          <w:rtl/>
        </w:rPr>
        <w:t xml:space="preserve"> (עיקרי הטיעון מטעם העותרת בבג"ץ 5604/19 ו-6651/19, פסקאות 27 ו-37; עיקרי הטיעון מטעם העותרת בבג"ץ </w:t>
      </w:r>
      <w:r w:rsidR="00BD6CA1" w:rsidRPr="00B64309">
        <w:rPr>
          <w:rFonts w:hint="cs"/>
          <w:rtl/>
        </w:rPr>
        <w:t xml:space="preserve">6061/19, </w:t>
      </w:r>
      <w:r w:rsidR="00BD6CA1">
        <w:rPr>
          <w:rFonts w:hint="cs"/>
          <w:rtl/>
        </w:rPr>
        <w:t>פסקאות</w:t>
      </w:r>
      <w:r w:rsidR="00BD6CA1" w:rsidRPr="00B64309">
        <w:rPr>
          <w:rFonts w:hint="cs"/>
          <w:rtl/>
        </w:rPr>
        <w:t xml:space="preserve"> 54, 69 ו-74; </w:t>
      </w:r>
      <w:r w:rsidR="00BD6CA1" w:rsidRPr="00B64309">
        <w:rPr>
          <w:rFonts w:ascii="FrankRuehl" w:hAnsi="FrankRuehl"/>
          <w:color w:val="333333"/>
          <w:sz w:val="28"/>
          <w:shd w:val="clear" w:color="auto" w:fill="FFFFFF"/>
          <w:rtl/>
        </w:rPr>
        <w:t xml:space="preserve">עמ' </w:t>
      </w:r>
      <w:r w:rsidR="00BD6CA1">
        <w:rPr>
          <w:rFonts w:ascii="FrankRuehl" w:hAnsi="FrankRuehl" w:hint="cs"/>
          <w:color w:val="333333"/>
          <w:sz w:val="28"/>
          <w:shd w:val="clear" w:color="auto" w:fill="FFFFFF"/>
          <w:rtl/>
        </w:rPr>
        <w:t>23</w:t>
      </w:r>
      <w:r w:rsidR="00BD6CA1" w:rsidRPr="00B64309">
        <w:rPr>
          <w:rFonts w:ascii="FrankRuehl" w:hAnsi="FrankRuehl" w:hint="cs"/>
          <w:color w:val="333333"/>
          <w:sz w:val="28"/>
          <w:shd w:val="clear" w:color="auto" w:fill="FFFFFF"/>
          <w:rtl/>
        </w:rPr>
        <w:t>-21</w:t>
      </w:r>
      <w:r w:rsidR="00BD6CA1" w:rsidRPr="00B64309">
        <w:rPr>
          <w:rFonts w:ascii="FrankRuehl" w:hAnsi="FrankRuehl"/>
          <w:color w:val="333333"/>
          <w:sz w:val="28"/>
          <w:shd w:val="clear" w:color="auto" w:fill="FFFFFF"/>
          <w:rtl/>
        </w:rPr>
        <w:t xml:space="preserve"> לפרוטוקול הדיון מיום </w:t>
      </w:r>
      <w:r w:rsidR="00BD6CA1" w:rsidRPr="00B64309">
        <w:rPr>
          <w:rFonts w:ascii="FrankRuehl" w:hAnsi="FrankRuehl" w:hint="cs"/>
          <w:color w:val="333333"/>
          <w:sz w:val="28"/>
          <w:shd w:val="clear" w:color="auto" w:fill="FFFFFF"/>
          <w:rtl/>
        </w:rPr>
        <w:t>11</w:t>
      </w:r>
      <w:r w:rsidR="00BD6CA1" w:rsidRPr="00B64309">
        <w:rPr>
          <w:rFonts w:ascii="FrankRuehl" w:hAnsi="FrankRuehl"/>
          <w:color w:val="333333"/>
          <w:sz w:val="28"/>
          <w:shd w:val="clear" w:color="auto" w:fill="FFFFFF"/>
          <w:rtl/>
        </w:rPr>
        <w:t>.</w:t>
      </w:r>
      <w:r w:rsidR="00BD6CA1" w:rsidRPr="00B64309">
        <w:rPr>
          <w:rFonts w:ascii="FrankRuehl" w:hAnsi="FrankRuehl" w:hint="cs"/>
          <w:color w:val="333333"/>
          <w:sz w:val="28"/>
          <w:shd w:val="clear" w:color="auto" w:fill="FFFFFF"/>
          <w:rtl/>
        </w:rPr>
        <w:t>7</w:t>
      </w:r>
      <w:r w:rsidR="00BD6CA1" w:rsidRPr="00B64309">
        <w:rPr>
          <w:rFonts w:ascii="FrankRuehl" w:hAnsi="FrankRuehl"/>
          <w:color w:val="333333"/>
          <w:sz w:val="28"/>
          <w:shd w:val="clear" w:color="auto" w:fill="FFFFFF"/>
          <w:rtl/>
        </w:rPr>
        <w:t>.</w:t>
      </w:r>
      <w:r w:rsidR="00BD6CA1" w:rsidRPr="00B64309">
        <w:rPr>
          <w:rFonts w:ascii="FrankRuehl" w:hAnsi="FrankRuehl" w:hint="cs"/>
          <w:color w:val="333333"/>
          <w:sz w:val="28"/>
          <w:shd w:val="clear" w:color="auto" w:fill="FFFFFF"/>
          <w:rtl/>
        </w:rPr>
        <w:t>2022</w:t>
      </w:r>
      <w:r w:rsidR="00BD6CA1" w:rsidRPr="00B64309">
        <w:rPr>
          <w:rFonts w:hint="cs"/>
          <w:rtl/>
        </w:rPr>
        <w:t>)</w:t>
      </w:r>
      <w:r w:rsidRPr="00B64309">
        <w:rPr>
          <w:rFonts w:hint="cs"/>
          <w:rtl/>
        </w:rPr>
        <w:t>.</w:t>
      </w:r>
    </w:p>
    <w:p w14:paraId="75247502" w14:textId="77777777" w:rsidR="00F125D1" w:rsidRDefault="00F125D1" w:rsidP="00F125D1">
      <w:pPr>
        <w:pStyle w:val="Ruller4"/>
        <w:numPr>
          <w:ilvl w:val="0"/>
          <w:numId w:val="0"/>
        </w:numPr>
        <w:rPr>
          <w:rtl/>
        </w:rPr>
      </w:pPr>
    </w:p>
    <w:p w14:paraId="12A9C983" w14:textId="77777777" w:rsidR="00F125D1" w:rsidRDefault="00F125D1" w:rsidP="00F125D1">
      <w:pPr>
        <w:pStyle w:val="Ruller4"/>
        <w:rPr>
          <w:rtl/>
        </w:rPr>
      </w:pPr>
      <w:r>
        <w:rPr>
          <w:rFonts w:hint="cs"/>
          <w:rtl/>
        </w:rPr>
        <w:t xml:space="preserve">באשר לשאלה הנוגעת לסמכותם של הגורמים הרלוונטיים שאליהם ניתן לפנות לצורך הכרעה בשאלת קיומה של סטייה מכללי אשר, היועצת מוסיפה ומציינת כי קיימים מספר גורמים שאליהם ניתן לפנות מראש לצורך הכרעה בשאלה זו </w:t>
      </w:r>
      <w:r>
        <w:rPr>
          <w:rtl/>
        </w:rPr>
        <w:t>–</w:t>
      </w:r>
      <w:r>
        <w:rPr>
          <w:rFonts w:hint="cs"/>
          <w:rtl/>
        </w:rPr>
        <w:t xml:space="preserve"> היועצת עצמה; מבקר המדינה, האמון על מילוי כללי אשר; וועדת ההיתרים, שרשאית להכריע כי פנייה אליה נעשתה שלא לצורך אם בנסיבות העניין נמצא כי לא מדובר בסטייה מכללי אשר.</w:t>
      </w:r>
    </w:p>
    <w:p w14:paraId="16A45CC4" w14:textId="77777777" w:rsidR="00F125D1" w:rsidRDefault="00F125D1" w:rsidP="00F125D1">
      <w:pPr>
        <w:pStyle w:val="Ruller41"/>
        <w:rPr>
          <w:rtl/>
        </w:rPr>
      </w:pPr>
    </w:p>
    <w:p w14:paraId="3A878B31" w14:textId="0EFF1CD6" w:rsidR="00F125D1" w:rsidRDefault="00F125D1" w:rsidP="00F125D1">
      <w:pPr>
        <w:pStyle w:val="Ruller4"/>
        <w:rPr>
          <w:rtl/>
        </w:rPr>
      </w:pPr>
      <w:r>
        <w:rPr>
          <w:rFonts w:hint="cs"/>
          <w:rtl/>
        </w:rPr>
        <w:t xml:space="preserve">ועדת ההיתרים טוענת כי ככל שייקבע שחוק המתנות אינו חל על המענק ממיליקובסקי, אין מקום להתערב בהחלטתה מיום 2.7.2020 בעניין מענק זה, שכן מדובר בהחלטה סבירה שהתקבלה לאחר שמיעת בא כוחו של ח"כ נתניהו ועיון במכתבו של עו"ד יחיאל וינרוט. הוועדה מציינת כי לא מדובר בהחלטה חדשה אלא בהבהרה של החלטותיה הקודמות, ומדגישה כי כלל 6(3)(א) לכללי אשר </w:t>
      </w:r>
      <w:r>
        <w:rPr>
          <w:rtl/>
        </w:rPr>
        <w:t>–</w:t>
      </w:r>
      <w:r>
        <w:rPr>
          <w:rFonts w:hint="cs"/>
          <w:rtl/>
        </w:rPr>
        <w:t xml:space="preserve"> שהוא הכלל הרלוונטי לענייננו, אינו חל על בני משפחה של שרים, וזאת להבדיל מכללים אחרים</w:t>
      </w:r>
      <w:r w:rsidR="0060370D">
        <w:rPr>
          <w:rFonts w:hint="cs"/>
          <w:rtl/>
        </w:rPr>
        <w:t xml:space="preserve"> שנקבעו</w:t>
      </w:r>
      <w:r>
        <w:rPr>
          <w:rFonts w:hint="cs"/>
          <w:rtl/>
        </w:rPr>
        <w:t xml:space="preserve"> בכללי אשר. </w:t>
      </w:r>
    </w:p>
    <w:p w14:paraId="7CF3B548" w14:textId="77777777" w:rsidR="00F125D1" w:rsidRDefault="00F125D1" w:rsidP="00F125D1">
      <w:pPr>
        <w:pStyle w:val="Ruller41"/>
        <w:rPr>
          <w:rtl/>
        </w:rPr>
      </w:pPr>
    </w:p>
    <w:p w14:paraId="2C7E8D3C" w14:textId="77777777" w:rsidR="00F125D1" w:rsidRDefault="00F125D1" w:rsidP="00F125D1">
      <w:pPr>
        <w:pStyle w:val="Ruller4"/>
        <w:rPr>
          <w:rtl/>
        </w:rPr>
      </w:pPr>
      <w:r>
        <w:rPr>
          <w:rFonts w:hint="cs"/>
          <w:rtl/>
        </w:rPr>
        <w:t xml:space="preserve">מבקר המדינה סבור כי יש לדחות על הסף את החלק בעתירות המתייחס להלוואה מפרטרידג', שכן טענות העותרות בהקשר זה הועלו זמן רב לאחר שנודע להן על כוונת ח"כ נתניהו ליטול את ההלוואה, ושיהוי זה הביא לכדי מעשה עשוי משהסכם ההלוואה נחתם ומומש. לגופם של דברים טוען המבקר כי הקביעה בנוגע לתחולת חוק המתנות על ההלוואה מפרטרידג' מונחת לפתחה של היועצת המשפטית לממשלה, אך ככל שחוק המתנות אינו חל, המבקר הוא הגורם המוסמך לקבוע אם התנהגות מסוימת של שר מהווה סטייה מכללי אשר. זאת, לשיטתו, משום שכללי אשר מסמיכים את המבקר לבחון את מילוי הוראות הכללים ומשום שהמבקר הוא הגורם החשוף להצהרות ההון של השרים. המבקר מוסיף וטוען כי הקביעה לפיה ההלוואה מפרטרידג' אינה מהווה טובת הנאה, </w:t>
      </w:r>
      <w:r>
        <w:rPr>
          <w:rFonts w:hint="cs"/>
          <w:rtl/>
        </w:rPr>
        <w:lastRenderedPageBreak/>
        <w:t>היא קביעה סבירה שאין כל עילה להתערב בה. לטענתו, תנאי ההלוואה נבדקו ונמצא כי הם אינם חורגים מתנאי השוק, ומשהוסדרו ההיבטים הנוגעים לניגוד עניינים בתפקידו השלטוני של ח"כ נתניהו, אין בקבלת ההלוואה משום הפרה של כללי אשר. מכל מקום, בא כוח המבקר מבהיר כי אם יאומץ ההסדר המוצע על ידי היועצת המשפטית לממשלה, המבקר נכון להמשיך בפיקוח על ההלוואה במתכונת שבה נעשה הפיקוח בתקופת כהונת ח"כ נתניהו כראש הממשלה, וזאת אף אם תקופת ההלוואה תוארך ל-10 שנים.</w:t>
      </w:r>
    </w:p>
    <w:p w14:paraId="0DFCF6DD" w14:textId="77777777" w:rsidR="00F125D1" w:rsidRPr="005B60E9" w:rsidRDefault="00F125D1" w:rsidP="00F125D1">
      <w:pPr>
        <w:pStyle w:val="Ruller41"/>
      </w:pPr>
    </w:p>
    <w:p w14:paraId="3C973B60" w14:textId="77777777" w:rsidR="00F125D1" w:rsidRDefault="00F125D1" w:rsidP="00F125D1">
      <w:pPr>
        <w:pStyle w:val="Ruller4"/>
        <w:rPr>
          <w:rtl/>
        </w:rPr>
      </w:pPr>
      <w:r>
        <w:rPr>
          <w:rFonts w:hint="cs"/>
          <w:rtl/>
        </w:rPr>
        <w:t xml:space="preserve">ח"כ נתניהו טוען כי יש לדחות את עמדת היועצת לפיה חוק המתנות חל ביחס למענק ממיליקובסקי, שכן בינו ובין בן דודו נוצרו יחסים קרובים לפני עשרות שנים, ובן דודו סייע לו עוד בטרם הפך לאיש ציבור. בנסיבות אלה, כך ח"כ נתניהו, לא ברור כיצד עסקת מניות שהיועץ היה מודע לה מזה מספר שנים, משנה את טיב היחסים בינו ובין מיליקובסקי והופכת את המענק ממנו למתנה אסורה. ככל שחוק המתנות לא חל בעניין המענק ממיליקובסקי, סבור ח"כ נתניהו כי אין מקום להתערב בהחלטת ועדת ההיתרים מיום 2.7.2020, שהתקבלה כדין בהתאם לראיות שהוצגו בפני הוועדה. </w:t>
      </w:r>
    </w:p>
    <w:p w14:paraId="10CDA978" w14:textId="77777777" w:rsidR="00F125D1" w:rsidRPr="002B12AF" w:rsidRDefault="00F125D1" w:rsidP="00F125D1">
      <w:pPr>
        <w:pStyle w:val="Ruller41"/>
        <w:rPr>
          <w:rtl/>
        </w:rPr>
      </w:pPr>
    </w:p>
    <w:p w14:paraId="3CEB2108" w14:textId="19D11B6A" w:rsidR="00F125D1" w:rsidRDefault="00F125D1" w:rsidP="00BD6CA1">
      <w:pPr>
        <w:pStyle w:val="Ruller4"/>
        <w:numPr>
          <w:ilvl w:val="0"/>
          <w:numId w:val="0"/>
        </w:numPr>
        <w:rPr>
          <w:rFonts w:cs="Miriam"/>
          <w:b/>
          <w:spacing w:val="0"/>
          <w:szCs w:val="24"/>
          <w:rtl/>
        </w:rPr>
      </w:pPr>
      <w:r>
        <w:rPr>
          <w:rtl/>
        </w:rPr>
        <w:tab/>
      </w:r>
      <w:r>
        <w:rPr>
          <w:rFonts w:hint="cs"/>
          <w:rtl/>
        </w:rPr>
        <w:t xml:space="preserve">אשר להלוואה מפרטרידג', ח"כ נתניהו מציין כי העותרות העלו את טענותיהן בהקשר זה בשיהוי ניכר וכי משעה שנעשה שימוש בכספי ההלוואה מדובר במעשה עשוי. לגופם של דברים טוען ח"כ נתניהו כי מדובר בהלוואה שקיבל ממי שהוא חברו הטוב מזה עשרות שנים וזאת לשם סיוע בהגנתו המשפטית, שלגביה קבע מבקר המדינה </w:t>
      </w:r>
      <w:r>
        <w:rPr>
          <w:rtl/>
        </w:rPr>
        <w:t>–</w:t>
      </w:r>
      <w:r>
        <w:rPr>
          <w:rFonts w:hint="cs"/>
          <w:rtl/>
        </w:rPr>
        <w:t xml:space="preserve"> שהינו הגורם המוסמך לכך </w:t>
      </w:r>
      <w:r>
        <w:rPr>
          <w:rtl/>
        </w:rPr>
        <w:t>–</w:t>
      </w:r>
      <w:r>
        <w:rPr>
          <w:rFonts w:hint="cs"/>
          <w:rtl/>
        </w:rPr>
        <w:t xml:space="preserve"> כי היא אינה מהווה טובת הנאה. ח"כ נתניהו מוסיף כי אין ממש בטענה החדשה שהציגה היועצת בכתב התשובה מטעמה </w:t>
      </w:r>
      <w:r>
        <w:rPr>
          <w:rtl/>
        </w:rPr>
        <w:t>–</w:t>
      </w:r>
      <w:r>
        <w:rPr>
          <w:rFonts w:hint="cs"/>
          <w:rtl/>
        </w:rPr>
        <w:t xml:space="preserve"> שהועלתה ללא כל שינוי במסכת העובדתית </w:t>
      </w:r>
      <w:r>
        <w:rPr>
          <w:rtl/>
        </w:rPr>
        <w:t>–</w:t>
      </w:r>
      <w:r>
        <w:rPr>
          <w:rFonts w:hint="cs"/>
          <w:rtl/>
        </w:rPr>
        <w:t xml:space="preserve"> לפיה חוק המתנות חל על הלוואה זו. ח"כ נתניהו מבהיר כי הוא אינו מתנגד להמשך הפיקוח של מבקר המדינה על השבת ההלוואה לתקופה של 10 שנים, ולשיטתו לא הוצג כל נימוק המסביר מדוע היועצת מסכימה כי המבקר יוסיף לפקח על ההלוואה למשך 5 שנים, אך מתנגדת להארכת תקופת ההלוואה ל-10 שנים. לבסוף טוען ח"כ נתניהו כי יש ליתן לעמדתם של היועץ ושל היועצת לאורך ההליכים בענייננו משקל מופחת בשים לב לניגוד עניינים שבין תפקידם הייעוצי ובין עמידתם בראשות התביעה הכללית, </w:t>
      </w:r>
      <w:r w:rsidR="00BD6CA1">
        <w:rPr>
          <w:rFonts w:hint="cs"/>
          <w:rtl/>
        </w:rPr>
        <w:t>בהינתן שבעת הזו מתנהלים כנגד ח"כ נתניהו הליכים פליליים.</w:t>
      </w:r>
    </w:p>
    <w:p w14:paraId="235F11D7" w14:textId="77777777" w:rsidR="00F125D1" w:rsidRDefault="00F125D1" w:rsidP="00F125D1">
      <w:pPr>
        <w:pStyle w:val="Ruller41"/>
        <w:rPr>
          <w:rtl/>
        </w:rPr>
      </w:pPr>
    </w:p>
    <w:p w14:paraId="113C2818" w14:textId="77777777" w:rsidR="00F125D1" w:rsidRPr="000C33AD" w:rsidRDefault="00F125D1" w:rsidP="00F125D1">
      <w:pPr>
        <w:pStyle w:val="Ruller41"/>
        <w:rPr>
          <w:rFonts w:ascii="Century" w:hAnsi="Century" w:cs="Miriam"/>
          <w:b/>
          <w:spacing w:val="0"/>
          <w:szCs w:val="24"/>
          <w:rtl/>
        </w:rPr>
      </w:pPr>
      <w:r w:rsidRPr="000C33AD">
        <w:rPr>
          <w:rFonts w:ascii="Century" w:hAnsi="Century" w:cs="Miriam" w:hint="cs"/>
          <w:b/>
          <w:spacing w:val="0"/>
          <w:szCs w:val="24"/>
          <w:rtl/>
        </w:rPr>
        <w:t>דיון והכרעה</w:t>
      </w:r>
    </w:p>
    <w:p w14:paraId="4BDAE308" w14:textId="77777777" w:rsidR="00F125D1" w:rsidRDefault="00F125D1" w:rsidP="00F125D1">
      <w:pPr>
        <w:pStyle w:val="Ruller41"/>
      </w:pPr>
    </w:p>
    <w:p w14:paraId="27447A3B" w14:textId="77777777" w:rsidR="00F125D1" w:rsidRDefault="00F125D1" w:rsidP="00F125D1">
      <w:pPr>
        <w:pStyle w:val="Ruller4"/>
        <w:rPr>
          <w:rtl/>
        </w:rPr>
      </w:pPr>
      <w:r>
        <w:rPr>
          <w:rFonts w:hint="cs"/>
          <w:rtl/>
        </w:rPr>
        <w:t>בהינתן השינויים הלא מבוטלים בתשתית העובדתית וביריעת המחלוקת בין הצדדים שחלו במהלך הדיון בעתירות דנן, מצויות עתה במוקד הדיון שתי סוגיות עיקריו</w:t>
      </w:r>
      <w:r>
        <w:rPr>
          <w:rFonts w:hint="eastAsia"/>
          <w:rtl/>
        </w:rPr>
        <w:t>ת</w:t>
      </w:r>
      <w:r>
        <w:rPr>
          <w:rFonts w:hint="cs"/>
          <w:rtl/>
        </w:rPr>
        <w:t xml:space="preserve">: המענק </w:t>
      </w:r>
      <w:r w:rsidRPr="00765A1C">
        <w:rPr>
          <w:rFonts w:hint="cs"/>
          <w:rtl/>
        </w:rPr>
        <w:t>ממיליקובסקי</w:t>
      </w:r>
      <w:r>
        <w:rPr>
          <w:rFonts w:hint="cs"/>
          <w:rtl/>
        </w:rPr>
        <w:t xml:space="preserve"> בסך 300,000 דולר, שהועבר לח"כ נתניהו ולרעייתו בין </w:t>
      </w:r>
      <w:r>
        <w:rPr>
          <w:rFonts w:hint="cs"/>
          <w:rtl/>
        </w:rPr>
        <w:lastRenderedPageBreak/>
        <w:t>השנים 2018-2017; ו</w:t>
      </w:r>
      <w:r w:rsidRPr="00765A1C">
        <w:rPr>
          <w:rFonts w:hint="cs"/>
          <w:rtl/>
        </w:rPr>
        <w:t>הכספים שלווה ח"כ נתניהו מפרטרידג'</w:t>
      </w:r>
      <w:r>
        <w:rPr>
          <w:rFonts w:hint="cs"/>
          <w:rtl/>
        </w:rPr>
        <w:t xml:space="preserve">, בסכום של עד 2 מיליון ש"ח, בהתאם להסכם שנכרת ביניהם בחודש ספטמבר 2019. בטרם אדרש לסוגיות אלה, אבקש להרחיב את היריעה ביחס למקורות הנורמטיביים, אשר נטען כי הם רלוונטיים לענייננו </w:t>
      </w:r>
      <w:r>
        <w:rPr>
          <w:rtl/>
        </w:rPr>
        <w:t>–</w:t>
      </w:r>
      <w:r>
        <w:rPr>
          <w:rFonts w:hint="cs"/>
          <w:rtl/>
        </w:rPr>
        <w:t xml:space="preserve"> חוק המתנות וכללי אשר.</w:t>
      </w:r>
    </w:p>
    <w:p w14:paraId="0911F87D" w14:textId="77777777" w:rsidR="00F125D1" w:rsidRDefault="00F125D1" w:rsidP="00F125D1">
      <w:pPr>
        <w:pStyle w:val="Ruller4"/>
        <w:numPr>
          <w:ilvl w:val="0"/>
          <w:numId w:val="0"/>
        </w:numPr>
        <w:rPr>
          <w:rtl/>
        </w:rPr>
      </w:pPr>
    </w:p>
    <w:p w14:paraId="117678BA" w14:textId="55A8D600" w:rsidR="00F125D1" w:rsidRDefault="00F125D1" w:rsidP="001D19C7">
      <w:pPr>
        <w:pStyle w:val="Ruller41"/>
        <w:rPr>
          <w:rFonts w:ascii="Century" w:hAnsi="Century" w:cs="Miriam"/>
          <w:b/>
          <w:spacing w:val="0"/>
          <w:szCs w:val="24"/>
          <w:rtl/>
        </w:rPr>
      </w:pPr>
      <w:r w:rsidRPr="00D207DB">
        <w:rPr>
          <w:rFonts w:ascii="Century" w:hAnsi="Century" w:cs="Miriam" w:hint="cs"/>
          <w:b/>
          <w:spacing w:val="0"/>
          <w:szCs w:val="24"/>
          <w:rtl/>
        </w:rPr>
        <w:t xml:space="preserve">חוק המתנות </w:t>
      </w:r>
    </w:p>
    <w:p w14:paraId="09023C95" w14:textId="77777777" w:rsidR="00F125D1" w:rsidRDefault="00F125D1" w:rsidP="00F125D1">
      <w:pPr>
        <w:pStyle w:val="Ruller41"/>
        <w:rPr>
          <w:rFonts w:ascii="Century" w:hAnsi="Century" w:cs="Miriam"/>
          <w:b/>
          <w:spacing w:val="0"/>
          <w:szCs w:val="24"/>
          <w:rtl/>
        </w:rPr>
      </w:pPr>
    </w:p>
    <w:p w14:paraId="35DADEC5" w14:textId="1900DE32" w:rsidR="00F125D1" w:rsidRPr="00C711B5" w:rsidRDefault="00F125D1" w:rsidP="007A3410">
      <w:pPr>
        <w:pStyle w:val="Ruller4"/>
        <w:rPr>
          <w:rtl/>
        </w:rPr>
      </w:pPr>
      <w:r>
        <w:rPr>
          <w:rFonts w:hint="cs"/>
          <w:rtl/>
        </w:rPr>
        <w:t xml:space="preserve">חוק המתנות נחקק בשלהי שנות השבעים של המאה ה-20 על רקע התופעה של הענקת מתנות לעובדי ציבור, שהשתרשה בשירות הציבורי באותה תקופה (דנ"א 7325/95 </w:t>
      </w:r>
      <w:r w:rsidRPr="004D7DD2">
        <w:rPr>
          <w:rFonts w:ascii="Century" w:hAnsi="Century" w:cs="Miriam" w:hint="cs"/>
          <w:b/>
          <w:spacing w:val="0"/>
          <w:sz w:val="22"/>
          <w:szCs w:val="24"/>
          <w:rtl/>
        </w:rPr>
        <w:t>ידיעות אחרונות בע"מ נ' קראוס</w:t>
      </w:r>
      <w:r>
        <w:rPr>
          <w:rFonts w:hint="cs"/>
          <w:rtl/>
        </w:rPr>
        <w:t xml:space="preserve">, פ"ד נב(3) 1, 51 (1998); </w:t>
      </w:r>
      <w:r w:rsidRPr="00D51655">
        <w:rPr>
          <w:rFonts w:hint="cs"/>
          <w:rtl/>
        </w:rPr>
        <w:t xml:space="preserve">יצחק זמיר </w:t>
      </w:r>
      <w:r w:rsidRPr="00D51655">
        <w:rPr>
          <w:rFonts w:ascii="Century" w:hAnsi="Century" w:cs="Miriam" w:hint="cs"/>
          <w:b/>
          <w:spacing w:val="0"/>
          <w:sz w:val="22"/>
          <w:szCs w:val="24"/>
          <w:rtl/>
        </w:rPr>
        <w:t>הסמכות המינהלית</w:t>
      </w:r>
      <w:r w:rsidRPr="00D51655">
        <w:rPr>
          <w:rFonts w:hint="cs"/>
          <w:rtl/>
        </w:rPr>
        <w:t xml:space="preserve"> כרך א </w:t>
      </w:r>
      <w:r w:rsidRPr="00D51655">
        <w:rPr>
          <w:rtl/>
        </w:rPr>
        <w:t>–</w:t>
      </w:r>
      <w:r w:rsidRPr="00D51655">
        <w:rPr>
          <w:rFonts w:hint="cs"/>
          <w:rtl/>
        </w:rPr>
        <w:t xml:space="preserve"> המינהל הציבורי 630 (מהדורה שנייה, 2010)</w:t>
      </w:r>
      <w:r w:rsidR="009D4515">
        <w:rPr>
          <w:rFonts w:hint="cs"/>
          <w:rtl/>
        </w:rPr>
        <w:t xml:space="preserve"> (להלן: </w:t>
      </w:r>
      <w:r w:rsidR="009D4515" w:rsidRPr="00141650">
        <w:rPr>
          <w:rFonts w:ascii="Century" w:hAnsi="Century" w:cs="Miriam" w:hint="cs"/>
          <w:b/>
          <w:spacing w:val="0"/>
          <w:sz w:val="22"/>
          <w:szCs w:val="24"/>
          <w:rtl/>
        </w:rPr>
        <w:t>זמיר</w:t>
      </w:r>
      <w:r w:rsidR="009D4515">
        <w:rPr>
          <w:rFonts w:hint="cs"/>
          <w:rtl/>
        </w:rPr>
        <w:t>)</w:t>
      </w:r>
      <w:r w:rsidRPr="00D51655">
        <w:rPr>
          <w:rFonts w:hint="cs"/>
          <w:rtl/>
        </w:rPr>
        <w:t xml:space="preserve">; ראו גם: דפנה ברק-ארז "המשפט המנהלי והמאבק בשחיתות השלטונית" </w:t>
      </w:r>
      <w:r w:rsidRPr="00D51655">
        <w:rPr>
          <w:rFonts w:ascii="Century" w:hAnsi="Century" w:cs="Miriam" w:hint="cs"/>
          <w:b/>
          <w:spacing w:val="0"/>
          <w:sz w:val="22"/>
          <w:szCs w:val="24"/>
          <w:rtl/>
        </w:rPr>
        <w:t>משפטים</w:t>
      </w:r>
      <w:r w:rsidRPr="00D51655">
        <w:rPr>
          <w:rFonts w:hint="cs"/>
          <w:rtl/>
        </w:rPr>
        <w:t xml:space="preserve"> לז 667, 680 (התשס"ז)). </w:t>
      </w:r>
      <w:r>
        <w:rPr>
          <w:rFonts w:hint="cs"/>
          <w:rtl/>
        </w:rPr>
        <w:t>בשונה מעבירת השוחד הקבועה ב</w:t>
      </w:r>
      <w:r w:rsidRPr="00DB39B9">
        <w:rPr>
          <w:rFonts w:hint="cs"/>
          <w:rtl/>
        </w:rPr>
        <w:t>סעי</w:t>
      </w:r>
      <w:r>
        <w:rPr>
          <w:rFonts w:hint="cs"/>
          <w:rtl/>
        </w:rPr>
        <w:t>ף 290 לחוק העונשין, התשל"ז-1977</w:t>
      </w:r>
      <w:r w:rsidRPr="00DB39B9">
        <w:rPr>
          <w:rFonts w:hint="cs"/>
          <w:rtl/>
        </w:rPr>
        <w:t xml:space="preserve"> </w:t>
      </w:r>
      <w:r>
        <w:rPr>
          <w:rFonts w:hint="cs"/>
          <w:rtl/>
        </w:rPr>
        <w:t>ו</w:t>
      </w:r>
      <w:r w:rsidRPr="00DB39B9">
        <w:rPr>
          <w:rFonts w:hint="cs"/>
          <w:rtl/>
        </w:rPr>
        <w:t xml:space="preserve">מעגנת את האיסור בדבר קבלת </w:t>
      </w:r>
      <w:r w:rsidRPr="00D51655">
        <w:rPr>
          <w:rFonts w:hint="cs"/>
          <w:rtl/>
        </w:rPr>
        <w:t xml:space="preserve">טובות הנאה על ידי עובד ציבור </w:t>
      </w:r>
      <w:r w:rsidRPr="00D51655">
        <w:rPr>
          <w:rFonts w:ascii="Century" w:hAnsi="Century" w:cs="Miriam" w:hint="cs"/>
          <w:b/>
          <w:spacing w:val="0"/>
          <w:sz w:val="22"/>
          <w:szCs w:val="24"/>
          <w:rtl/>
        </w:rPr>
        <w:t>בעד פעולות הקשורות בתפקידו</w:t>
      </w:r>
      <w:r w:rsidRPr="00D51655">
        <w:rPr>
          <w:rFonts w:hint="cs"/>
          <w:rtl/>
        </w:rPr>
        <w:t xml:space="preserve">, קרי </w:t>
      </w:r>
      <w:r w:rsidRPr="00D51655">
        <w:rPr>
          <w:rtl/>
        </w:rPr>
        <w:t>–</w:t>
      </w:r>
      <w:r w:rsidRPr="00D51655">
        <w:rPr>
          <w:rFonts w:hint="cs"/>
          <w:rtl/>
        </w:rPr>
        <w:t xml:space="preserve"> </w:t>
      </w:r>
      <w:r w:rsidRPr="00D51655">
        <w:rPr>
          <w:rFonts w:ascii="Century" w:hAnsi="Century" w:cs="Miriam" w:hint="cs"/>
          <w:b/>
          <w:spacing w:val="0"/>
          <w:sz w:val="22"/>
          <w:szCs w:val="24"/>
          <w:rtl/>
        </w:rPr>
        <w:t>"</w:t>
      </w:r>
      <w:r w:rsidR="00C92DB2">
        <w:rPr>
          <w:rFonts w:hint="cs"/>
          <w:rtl/>
        </w:rPr>
        <w:t xml:space="preserve">[...] </w:t>
      </w:r>
      <w:r>
        <w:rPr>
          <w:rFonts w:hint="cs"/>
          <w:rtl/>
        </w:rPr>
        <w:t xml:space="preserve">עסקת </w:t>
      </w:r>
      <w:r w:rsidRPr="00D51655">
        <w:t xml:space="preserve"> quid pro quo</w:t>
      </w:r>
      <w:r w:rsidRPr="00D51655">
        <w:rPr>
          <w:rFonts w:hint="cs"/>
          <w:rtl/>
        </w:rPr>
        <w:t xml:space="preserve">(דבר תמורת דבר) שעניינה בקשר הפסול שבין טובת הנאה שניתנה לעובד ציבור לבין הטיית שיקול דעתו" (ע"פ 8618/19 </w:t>
      </w:r>
      <w:r w:rsidRPr="00D51655">
        <w:rPr>
          <w:rFonts w:ascii="Century" w:hAnsi="Century" w:cs="Miriam" w:hint="cs"/>
          <w:b/>
          <w:spacing w:val="0"/>
          <w:sz w:val="22"/>
          <w:szCs w:val="24"/>
          <w:rtl/>
        </w:rPr>
        <w:t>מדינת ישראל נ' מילר</w:t>
      </w:r>
      <w:r w:rsidRPr="00D51655">
        <w:rPr>
          <w:rFonts w:hint="cs"/>
          <w:rtl/>
        </w:rPr>
        <w:t>, פסקה 9 (12.7.2022)</w:t>
      </w:r>
      <w:r>
        <w:rPr>
          <w:rFonts w:hint="cs"/>
          <w:rtl/>
        </w:rPr>
        <w:t xml:space="preserve"> (להלן: </w:t>
      </w:r>
      <w:r w:rsidRPr="000A71B9">
        <w:rPr>
          <w:rFonts w:ascii="Century" w:hAnsi="Century" w:cs="Miriam" w:hint="cs"/>
          <w:b/>
          <w:spacing w:val="0"/>
          <w:sz w:val="22"/>
          <w:szCs w:val="24"/>
          <w:rtl/>
        </w:rPr>
        <w:t>עניין מילר</w:t>
      </w:r>
      <w:r>
        <w:rPr>
          <w:rFonts w:hint="cs"/>
          <w:rtl/>
        </w:rPr>
        <w:t xml:space="preserve">)) </w:t>
      </w:r>
      <w:r>
        <w:rPr>
          <w:rtl/>
        </w:rPr>
        <w:t>–</w:t>
      </w:r>
      <w:r w:rsidRPr="00D51655">
        <w:rPr>
          <w:rFonts w:hint="cs"/>
          <w:rtl/>
        </w:rPr>
        <w:t xml:space="preserve"> חוק המתנות מתייחס לקשת רחבה יותר של מצבים ונוגע גם למתנות שניתנות לעובד הציבור שלא בעד מעשה או מחדל הקשורים במילוי תפקידו, אך כאלה שהמניע לנתינתן הוא עצם היותו של מקבל המתנה עובד ציבור (ע"פ 8573/96 </w:t>
      </w:r>
      <w:r w:rsidRPr="00D51655">
        <w:rPr>
          <w:rFonts w:ascii="Century" w:hAnsi="Century" w:cs="Miriam" w:hint="eastAsia"/>
          <w:b/>
          <w:spacing w:val="0"/>
          <w:sz w:val="22"/>
          <w:szCs w:val="24"/>
          <w:rtl/>
        </w:rPr>
        <w:t>מרקדו</w:t>
      </w:r>
      <w:r w:rsidRPr="00D51655">
        <w:rPr>
          <w:rFonts w:ascii="Century" w:hAnsi="Century" w:cs="Miriam"/>
          <w:b/>
          <w:spacing w:val="0"/>
          <w:sz w:val="22"/>
          <w:szCs w:val="24"/>
          <w:rtl/>
        </w:rPr>
        <w:t xml:space="preserve"> </w:t>
      </w:r>
      <w:r w:rsidRPr="00D51655">
        <w:rPr>
          <w:rFonts w:ascii="Century" w:hAnsi="Century" w:cs="Miriam" w:hint="eastAsia"/>
          <w:b/>
          <w:spacing w:val="0"/>
          <w:sz w:val="22"/>
          <w:szCs w:val="24"/>
          <w:rtl/>
        </w:rPr>
        <w:t>נ</w:t>
      </w:r>
      <w:r w:rsidRPr="00D51655">
        <w:rPr>
          <w:rFonts w:ascii="Century" w:hAnsi="Century" w:cs="Miriam"/>
          <w:b/>
          <w:spacing w:val="0"/>
          <w:sz w:val="22"/>
          <w:szCs w:val="24"/>
          <w:rtl/>
        </w:rPr>
        <w:t xml:space="preserve">' </w:t>
      </w:r>
      <w:r w:rsidRPr="00D51655">
        <w:rPr>
          <w:rFonts w:ascii="Century" w:hAnsi="Century" w:cs="Miriam" w:hint="eastAsia"/>
          <w:b/>
          <w:spacing w:val="0"/>
          <w:sz w:val="22"/>
          <w:szCs w:val="24"/>
          <w:rtl/>
        </w:rPr>
        <w:t>מדינת</w:t>
      </w:r>
      <w:r w:rsidRPr="00D51655">
        <w:rPr>
          <w:rFonts w:ascii="Century" w:hAnsi="Century" w:cs="Miriam"/>
          <w:b/>
          <w:spacing w:val="0"/>
          <w:sz w:val="22"/>
          <w:szCs w:val="24"/>
          <w:rtl/>
        </w:rPr>
        <w:t xml:space="preserve"> </w:t>
      </w:r>
      <w:r w:rsidRPr="00D51655">
        <w:rPr>
          <w:rFonts w:ascii="Century" w:hAnsi="Century" w:cs="Miriam" w:hint="eastAsia"/>
          <w:b/>
          <w:spacing w:val="0"/>
          <w:sz w:val="22"/>
          <w:szCs w:val="24"/>
          <w:rtl/>
        </w:rPr>
        <w:t>ישראל</w:t>
      </w:r>
      <w:r w:rsidRPr="00D51655">
        <w:rPr>
          <w:rtl/>
        </w:rPr>
        <w:t xml:space="preserve">, </w:t>
      </w:r>
      <w:r w:rsidRPr="00D51655">
        <w:rPr>
          <w:rFonts w:hint="eastAsia"/>
          <w:rtl/>
        </w:rPr>
        <w:t>פ</w:t>
      </w:r>
      <w:r w:rsidRPr="00D51655">
        <w:rPr>
          <w:rtl/>
        </w:rPr>
        <w:t>"</w:t>
      </w:r>
      <w:r w:rsidRPr="00D51655">
        <w:rPr>
          <w:rFonts w:hint="eastAsia"/>
          <w:rtl/>
        </w:rPr>
        <w:t>ד</w:t>
      </w:r>
      <w:r w:rsidRPr="00D51655">
        <w:rPr>
          <w:rtl/>
        </w:rPr>
        <w:t xml:space="preserve"> </w:t>
      </w:r>
      <w:r w:rsidRPr="00D51655">
        <w:rPr>
          <w:rFonts w:hint="eastAsia"/>
          <w:rtl/>
        </w:rPr>
        <w:t>נא</w:t>
      </w:r>
      <w:r w:rsidRPr="00D51655">
        <w:rPr>
          <w:rtl/>
        </w:rPr>
        <w:t xml:space="preserve">(5) 481, </w:t>
      </w:r>
      <w:r w:rsidR="00C92DB2">
        <w:rPr>
          <w:rFonts w:hint="cs"/>
          <w:rtl/>
        </w:rPr>
        <w:t>515-514</w:t>
      </w:r>
      <w:r w:rsidRPr="00D51655">
        <w:rPr>
          <w:rtl/>
        </w:rPr>
        <w:t xml:space="preserve"> (1997)</w:t>
      </w:r>
      <w:r w:rsidRPr="00D51655">
        <w:rPr>
          <w:rFonts w:hint="cs"/>
          <w:rtl/>
        </w:rPr>
        <w:t xml:space="preserve">). </w:t>
      </w:r>
      <w:r>
        <w:rPr>
          <w:rFonts w:hint="cs"/>
          <w:rtl/>
        </w:rPr>
        <w:t xml:space="preserve">לדוגמא, </w:t>
      </w:r>
      <w:r w:rsidR="007A3410">
        <w:rPr>
          <w:rFonts w:hint="cs"/>
          <w:rtl/>
        </w:rPr>
        <w:t>מתנה שמעניק</w:t>
      </w:r>
      <w:r>
        <w:rPr>
          <w:rFonts w:hint="cs"/>
          <w:rtl/>
        </w:rPr>
        <w:t xml:space="preserve"> גורם רשמי ממדינה אחרת </w:t>
      </w:r>
      <w:r w:rsidR="007A3410">
        <w:rPr>
          <w:rFonts w:hint="cs"/>
          <w:rtl/>
        </w:rPr>
        <w:t xml:space="preserve">המבקר בישראל, </w:t>
      </w:r>
      <w:r>
        <w:rPr>
          <w:rFonts w:hint="cs"/>
          <w:rtl/>
        </w:rPr>
        <w:t xml:space="preserve">למקבילו הישראלי המארח אותו. ואכן, </w:t>
      </w:r>
      <w:r w:rsidRPr="00D51655">
        <w:rPr>
          <w:rFonts w:hint="cs"/>
          <w:rtl/>
        </w:rPr>
        <w:t>במעמד</w:t>
      </w:r>
      <w:r>
        <w:rPr>
          <w:rFonts w:hint="cs"/>
          <w:rtl/>
        </w:rPr>
        <w:t xml:space="preserve"> אישור הצעת החוק בקריאה שלישית הסביר יו"ר ועדת החוקה, חוק ומשפט (להלן: </w:t>
      </w:r>
      <w:r w:rsidRPr="00C711B5">
        <w:rPr>
          <w:rFonts w:ascii="Century" w:hAnsi="Century" w:cs="Miriam" w:hint="cs"/>
          <w:b/>
          <w:spacing w:val="0"/>
          <w:sz w:val="22"/>
          <w:szCs w:val="24"/>
          <w:rtl/>
        </w:rPr>
        <w:t>ועדת החוקה</w:t>
      </w:r>
      <w:r>
        <w:rPr>
          <w:rFonts w:hint="cs"/>
          <w:rtl/>
        </w:rPr>
        <w:t xml:space="preserve">) דאז, ח"כ דוד גלס, כי החוק מתייחס למצבים שבהם "כוונות נותני השי טהורות, אך המתנה, בכל זאת, לא ניתנה לפלוני כאדם פרטי אלא כנושא משרה", באופן שעלול ליצור רושם ציבורי של פגיעה בטוהר המידות אם נושא המשרה </w:t>
      </w:r>
      <w:r w:rsidR="006B2DE3">
        <w:rPr>
          <w:rFonts w:hint="cs"/>
          <w:rtl/>
        </w:rPr>
        <w:t>י</w:t>
      </w:r>
      <w:r>
        <w:rPr>
          <w:rFonts w:hint="cs"/>
          <w:rtl/>
        </w:rPr>
        <w:t xml:space="preserve">יקח את השי לעצמו </w:t>
      </w:r>
      <w:r w:rsidRPr="00C711B5">
        <w:rPr>
          <w:rFonts w:hint="cs"/>
          <w:rtl/>
        </w:rPr>
        <w:t>(ד"כ 24.10.1979, 111).</w:t>
      </w:r>
    </w:p>
    <w:p w14:paraId="28A0FFB6" w14:textId="77777777" w:rsidR="00F125D1" w:rsidRDefault="00F125D1" w:rsidP="00F125D1">
      <w:pPr>
        <w:pStyle w:val="Ruller41"/>
        <w:rPr>
          <w:rtl/>
        </w:rPr>
      </w:pPr>
    </w:p>
    <w:p w14:paraId="437EC248" w14:textId="77777777" w:rsidR="00F125D1" w:rsidRDefault="00F125D1" w:rsidP="00F125D1">
      <w:pPr>
        <w:pStyle w:val="Ruller41"/>
        <w:rPr>
          <w:rtl/>
        </w:rPr>
      </w:pPr>
      <w:r>
        <w:rPr>
          <w:rtl/>
        </w:rPr>
        <w:tab/>
      </w:r>
      <w:r>
        <w:rPr>
          <w:rFonts w:hint="cs"/>
          <w:rtl/>
        </w:rPr>
        <w:t xml:space="preserve">במהלך הדיונים </w:t>
      </w:r>
      <w:r w:rsidRPr="00C711B5">
        <w:rPr>
          <w:rFonts w:hint="cs"/>
          <w:rtl/>
        </w:rPr>
        <w:t>בכנסת על הצעת החוק צוין כי מטרתו היא "לחזק את האמצעים לשמירת טוהר המידות של עובדי הציבור", תוך קביעת נורמות אחידות ביחס לכלל עובדי הציבור (פרוטוקול ישיבה מס' 5</w:t>
      </w:r>
      <w:r>
        <w:rPr>
          <w:rFonts w:hint="cs"/>
          <w:rtl/>
        </w:rPr>
        <w:t>3 של ועדת החוקה, הכנסת ה-9, 11</w:t>
      </w:r>
      <w:r w:rsidRPr="00C711B5">
        <w:rPr>
          <w:rFonts w:hint="cs"/>
          <w:rtl/>
        </w:rPr>
        <w:t xml:space="preserve"> (13.3.1978)</w:t>
      </w:r>
      <w:r>
        <w:rPr>
          <w:rFonts w:hint="cs"/>
          <w:rtl/>
        </w:rPr>
        <w:t>)</w:t>
      </w:r>
      <w:r w:rsidRPr="00C711B5">
        <w:rPr>
          <w:rFonts w:hint="cs"/>
          <w:rtl/>
        </w:rPr>
        <w:t>; פרוטוקול ישיבה מס' 5</w:t>
      </w:r>
      <w:r>
        <w:rPr>
          <w:rFonts w:hint="cs"/>
          <w:rtl/>
        </w:rPr>
        <w:t xml:space="preserve">9 של ועדת החוקה, הכנסת ה-9, 7 </w:t>
      </w:r>
      <w:r w:rsidRPr="00C711B5">
        <w:rPr>
          <w:rFonts w:hint="cs"/>
          <w:rtl/>
        </w:rPr>
        <w:t>(3.4.1978)</w:t>
      </w:r>
      <w:r>
        <w:rPr>
          <w:rFonts w:hint="cs"/>
          <w:rtl/>
        </w:rPr>
        <w:t xml:space="preserve"> (להלן: </w:t>
      </w:r>
      <w:r w:rsidRPr="00BE40EA">
        <w:rPr>
          <w:rFonts w:ascii="Century" w:hAnsi="Century" w:cs="Miriam" w:hint="cs"/>
          <w:b/>
          <w:spacing w:val="0"/>
          <w:szCs w:val="24"/>
          <w:rtl/>
        </w:rPr>
        <w:t>פרוטוקול ועדת החוקה מיום 3.4.1978</w:t>
      </w:r>
      <w:r>
        <w:rPr>
          <w:rFonts w:hint="cs"/>
          <w:rtl/>
        </w:rPr>
        <w:t>)</w:t>
      </w:r>
      <w:r w:rsidRPr="00C711B5">
        <w:rPr>
          <w:rFonts w:hint="cs"/>
          <w:rtl/>
        </w:rPr>
        <w:t>).</w:t>
      </w:r>
      <w:r>
        <w:rPr>
          <w:rFonts w:hint="cs"/>
          <w:rtl/>
        </w:rPr>
        <w:t xml:space="preserve"> על תכליתו של חוק המתנות עמד</w:t>
      </w:r>
      <w:r w:rsidRPr="00C711B5">
        <w:rPr>
          <w:rFonts w:hint="cs"/>
          <w:rtl/>
        </w:rPr>
        <w:t xml:space="preserve"> המשנה לנשיא </w:t>
      </w:r>
      <w:r w:rsidRPr="00C711B5">
        <w:rPr>
          <w:rFonts w:ascii="Century" w:hAnsi="Century" w:cs="Miriam" w:hint="cs"/>
          <w:b/>
          <w:spacing w:val="0"/>
          <w:szCs w:val="24"/>
          <w:rtl/>
        </w:rPr>
        <w:t>א' בר</w:t>
      </w:r>
      <w:r w:rsidRPr="00DC4BB4">
        <w:rPr>
          <w:rFonts w:ascii="Century" w:hAnsi="Century" w:cs="Miriam" w:hint="cs"/>
          <w:b/>
          <w:spacing w:val="0"/>
          <w:szCs w:val="24"/>
          <w:rtl/>
        </w:rPr>
        <w:t>ק</w:t>
      </w:r>
      <w:r>
        <w:rPr>
          <w:rFonts w:hint="cs"/>
          <w:rtl/>
        </w:rPr>
        <w:t>:</w:t>
      </w:r>
    </w:p>
    <w:p w14:paraId="70F023D6" w14:textId="77777777" w:rsidR="00F125D1" w:rsidRDefault="00F125D1" w:rsidP="00F125D1">
      <w:pPr>
        <w:pStyle w:val="Ruller41"/>
        <w:rPr>
          <w:rtl/>
        </w:rPr>
      </w:pPr>
    </w:p>
    <w:p w14:paraId="479BC739" w14:textId="6F475AE5" w:rsidR="00F125D1" w:rsidRDefault="00F125D1" w:rsidP="00F125D1">
      <w:pPr>
        <w:pStyle w:val="Ruller5"/>
        <w:rPr>
          <w:rtl/>
        </w:rPr>
      </w:pPr>
      <w:r>
        <w:rPr>
          <w:rFonts w:hint="cs"/>
          <w:rtl/>
        </w:rPr>
        <w:lastRenderedPageBreak/>
        <w:t>"</w:t>
      </w:r>
      <w:r w:rsidR="00C123D5">
        <w:rPr>
          <w:rFonts w:hint="cs"/>
          <w:rtl/>
        </w:rPr>
        <w:t xml:space="preserve">[...] </w:t>
      </w:r>
      <w:r>
        <w:rPr>
          <w:rtl/>
        </w:rPr>
        <w:t xml:space="preserve">תכליתו של חוק המתנות היא להבטיח טוהר מידות בשירות הציבור. הוא נועד לחזק את אמון הציבור ברשויות השלטון. הוא מכוון למנוע תחושה בציבור שעובד הציבור מקבל את שאינו </w:t>
      </w:r>
      <w:r>
        <w:rPr>
          <w:rFonts w:hint="cs"/>
          <w:rtl/>
        </w:rPr>
        <w:t>'</w:t>
      </w:r>
      <w:r>
        <w:rPr>
          <w:rtl/>
        </w:rPr>
        <w:t>מגיע לו</w:t>
      </w:r>
      <w:r>
        <w:rPr>
          <w:rFonts w:hint="cs"/>
          <w:rtl/>
        </w:rPr>
        <w:t>'</w:t>
      </w:r>
      <w:r>
        <w:rPr>
          <w:rtl/>
        </w:rPr>
        <w:t>. הוא בא להקדים תקופה למכה ולשלול רינונים כי המתנה נועדה להשפיע על שיקול-דעתו של עובד הציבור, ושהיא באה לא רק באשר הוא עובד ציבור אלא בעד פעולה הקשורה בתפקידו. ביסוד חוק המתנות מונח הרצון לקבוע כללי התנהגות של עובדי ציבור, שהם רחבים יותר מאלה המכוסים על-ידי עבירת השוחד או הפרת האמונים. מטרתו של חוק המתנות להסדיר קבלת מתנות הניתנות לעובדי ציבור באשר הם עובדי ציבור, בין שהמתנה הינה בעד פעולה הקשורה בתפקידם ובין שהיא אינה קשורה בו</w:t>
      </w:r>
      <w:r w:rsidR="00B12BED">
        <w:rPr>
          <w:rFonts w:hint="cs"/>
          <w:rtl/>
        </w:rPr>
        <w:t xml:space="preserve"> [...]</w:t>
      </w:r>
      <w:r>
        <w:rPr>
          <w:rFonts w:hint="cs"/>
          <w:rtl/>
        </w:rPr>
        <w:t>" (</w:t>
      </w:r>
      <w:r>
        <w:rPr>
          <w:rFonts w:ascii="Century" w:hAnsi="Century" w:hint="cs"/>
          <w:rtl/>
        </w:rPr>
        <w:t xml:space="preserve">בג"ץ 7074/93 </w:t>
      </w:r>
      <w:r w:rsidRPr="00375F86">
        <w:rPr>
          <w:rFonts w:ascii="Century" w:hAnsi="Century" w:cs="Miriam" w:hint="cs"/>
          <w:b/>
          <w:spacing w:val="0"/>
          <w:szCs w:val="24"/>
          <w:rtl/>
        </w:rPr>
        <w:t>סויסא נ' היועץ המשפטי לממשלה</w:t>
      </w:r>
      <w:r>
        <w:rPr>
          <w:rFonts w:ascii="Century" w:hAnsi="Century" w:hint="cs"/>
          <w:rtl/>
        </w:rPr>
        <w:t xml:space="preserve">, פ"ד מח(2) 749, 790 (1994) (להלן: </w:t>
      </w:r>
      <w:r w:rsidRPr="002963F2">
        <w:rPr>
          <w:rFonts w:ascii="Century" w:hAnsi="Century" w:cs="Miriam" w:hint="cs"/>
          <w:b/>
          <w:spacing w:val="0"/>
          <w:szCs w:val="24"/>
          <w:rtl/>
        </w:rPr>
        <w:t>עניין סויסא</w:t>
      </w:r>
      <w:r>
        <w:rPr>
          <w:rFonts w:ascii="Century" w:hAnsi="Century" w:hint="cs"/>
          <w:rtl/>
        </w:rPr>
        <w:t>)).</w:t>
      </w:r>
    </w:p>
    <w:p w14:paraId="3E36A090" w14:textId="77777777" w:rsidR="00F125D1" w:rsidRDefault="00F125D1" w:rsidP="00F125D1">
      <w:pPr>
        <w:pStyle w:val="Ruller41"/>
        <w:rPr>
          <w:rtl/>
        </w:rPr>
      </w:pPr>
    </w:p>
    <w:p w14:paraId="50BA7965" w14:textId="77777777" w:rsidR="00F125D1" w:rsidRDefault="00F125D1" w:rsidP="00F125D1">
      <w:pPr>
        <w:pStyle w:val="Ruller4"/>
        <w:rPr>
          <w:rtl/>
        </w:rPr>
      </w:pPr>
      <w:r>
        <w:rPr>
          <w:rFonts w:hint="cs"/>
          <w:rtl/>
        </w:rPr>
        <w:t>ההוראה המרכזית בחוק המתנות מעוגנת, כאמור, בסעיף 2(א), הקובע:</w:t>
      </w:r>
    </w:p>
    <w:p w14:paraId="1CD003AA" w14:textId="77777777" w:rsidR="00F125D1" w:rsidRPr="008652C0" w:rsidRDefault="00F125D1" w:rsidP="00F125D1">
      <w:pPr>
        <w:pStyle w:val="Ruller41"/>
        <w:rPr>
          <w:rtl/>
        </w:rPr>
      </w:pPr>
    </w:p>
    <w:p w14:paraId="732960C7" w14:textId="77777777" w:rsidR="00F125D1" w:rsidRDefault="00F125D1" w:rsidP="00F125D1">
      <w:pPr>
        <w:pStyle w:val="Ruller5"/>
        <w:rPr>
          <w:rtl/>
        </w:rPr>
      </w:pPr>
      <w:r w:rsidRPr="00375F86">
        <w:rPr>
          <w:rFonts w:hint="cs"/>
          <w:rtl/>
        </w:rPr>
        <w:t xml:space="preserve">"ניתנה לעובד הציבור </w:t>
      </w:r>
      <w:r w:rsidRPr="00F15919">
        <w:rPr>
          <w:rFonts w:ascii="Century" w:hAnsi="Century" w:hint="cs"/>
          <w:rtl/>
        </w:rPr>
        <w:t>באשר הוא עובד הציבור</w:t>
      </w:r>
      <w:r w:rsidRPr="00F15919">
        <w:rPr>
          <w:rFonts w:hint="cs"/>
          <w:rtl/>
        </w:rPr>
        <w:t xml:space="preserve"> </w:t>
      </w:r>
      <w:r w:rsidRPr="00375F86">
        <w:rPr>
          <w:rFonts w:hint="cs"/>
          <w:rtl/>
        </w:rPr>
        <w:t>מתנה – בין בישראל ובין בחוץ לארץ, בין שניתנה לו עצמו ובין שניתנה לבן זוגו החי עמו או לילדו הסמוך על שולחנו – ועובד הציבור לא סירב לקבלה ולא החזירה לנותנה לאלתר, תקום המתנה לקנין המדינה; ובמתנה שאין בה קנין חייב עובד הציבור לשלם לאוצר המדינה את שוויה</w:t>
      </w:r>
      <w:r>
        <w:rPr>
          <w:rFonts w:hint="cs"/>
          <w:rtl/>
        </w:rPr>
        <w:t xml:space="preserve">". </w:t>
      </w:r>
    </w:p>
    <w:p w14:paraId="1572B233" w14:textId="77777777" w:rsidR="00F125D1" w:rsidRDefault="00F125D1" w:rsidP="00F125D1">
      <w:pPr>
        <w:pStyle w:val="Ruller4"/>
        <w:numPr>
          <w:ilvl w:val="0"/>
          <w:numId w:val="0"/>
        </w:numPr>
        <w:rPr>
          <w:rtl/>
        </w:rPr>
      </w:pPr>
    </w:p>
    <w:p w14:paraId="6C2B0466" w14:textId="7B2FE433" w:rsidR="00F125D1" w:rsidRDefault="00F125D1" w:rsidP="00B26DCF">
      <w:pPr>
        <w:pStyle w:val="Ruller4"/>
        <w:numPr>
          <w:ilvl w:val="0"/>
          <w:numId w:val="0"/>
        </w:numPr>
        <w:rPr>
          <w:rtl/>
        </w:rPr>
      </w:pPr>
      <w:r>
        <w:rPr>
          <w:rtl/>
        </w:rPr>
        <w:tab/>
      </w:r>
      <w:r>
        <w:rPr>
          <w:rFonts w:hint="cs"/>
          <w:rtl/>
        </w:rPr>
        <w:t>"מתנה" מוגדרת בסעיף 1 לחוק כ"</w:t>
      </w:r>
      <w:r w:rsidRPr="001540CF">
        <w:rPr>
          <w:rFonts w:hint="eastAsia"/>
          <w:rtl/>
        </w:rPr>
        <w:t>הקניית</w:t>
      </w:r>
      <w:r w:rsidRPr="001540CF">
        <w:rPr>
          <w:rtl/>
        </w:rPr>
        <w:t xml:space="preserve"> </w:t>
      </w:r>
      <w:r w:rsidRPr="001540CF">
        <w:rPr>
          <w:rFonts w:hint="eastAsia"/>
          <w:rtl/>
        </w:rPr>
        <w:t>נכס</w:t>
      </w:r>
      <w:r w:rsidRPr="001540CF">
        <w:rPr>
          <w:rtl/>
        </w:rPr>
        <w:t xml:space="preserve"> </w:t>
      </w:r>
      <w:r w:rsidRPr="001540CF">
        <w:rPr>
          <w:rFonts w:hint="eastAsia"/>
          <w:rtl/>
        </w:rPr>
        <w:t>שלא</w:t>
      </w:r>
      <w:r w:rsidRPr="001540CF">
        <w:rPr>
          <w:rtl/>
        </w:rPr>
        <w:t xml:space="preserve"> </w:t>
      </w:r>
      <w:r w:rsidRPr="001540CF">
        <w:rPr>
          <w:rFonts w:hint="eastAsia"/>
          <w:rtl/>
        </w:rPr>
        <w:t>בתמורה</w:t>
      </w:r>
      <w:r w:rsidRPr="001540CF">
        <w:rPr>
          <w:rtl/>
        </w:rPr>
        <w:t xml:space="preserve"> </w:t>
      </w:r>
      <w:r w:rsidRPr="001540CF">
        <w:rPr>
          <w:rFonts w:hint="eastAsia"/>
          <w:rtl/>
        </w:rPr>
        <w:t>או</w:t>
      </w:r>
      <w:r w:rsidRPr="001540CF">
        <w:rPr>
          <w:rtl/>
        </w:rPr>
        <w:t xml:space="preserve"> </w:t>
      </w:r>
      <w:r w:rsidRPr="001540CF">
        <w:rPr>
          <w:rFonts w:hint="eastAsia"/>
          <w:rtl/>
        </w:rPr>
        <w:t>מתן</w:t>
      </w:r>
      <w:r w:rsidRPr="001540CF">
        <w:rPr>
          <w:rtl/>
        </w:rPr>
        <w:t xml:space="preserve"> </w:t>
      </w:r>
      <w:r w:rsidRPr="001540CF">
        <w:rPr>
          <w:rFonts w:hint="eastAsia"/>
          <w:rtl/>
        </w:rPr>
        <w:t>שירות</w:t>
      </w:r>
      <w:r w:rsidRPr="001540CF">
        <w:rPr>
          <w:rtl/>
        </w:rPr>
        <w:t xml:space="preserve"> </w:t>
      </w:r>
      <w:r w:rsidRPr="001540CF">
        <w:rPr>
          <w:rFonts w:hint="eastAsia"/>
          <w:rtl/>
        </w:rPr>
        <w:t>או</w:t>
      </w:r>
      <w:r w:rsidRPr="001540CF">
        <w:rPr>
          <w:rtl/>
        </w:rPr>
        <w:t xml:space="preserve"> </w:t>
      </w:r>
      <w:r w:rsidRPr="001540CF">
        <w:rPr>
          <w:rFonts w:hint="eastAsia"/>
          <w:rtl/>
        </w:rPr>
        <w:t>טובת</w:t>
      </w:r>
      <w:r w:rsidRPr="001540CF">
        <w:rPr>
          <w:rtl/>
        </w:rPr>
        <w:t xml:space="preserve"> </w:t>
      </w:r>
      <w:r w:rsidRPr="001540CF">
        <w:rPr>
          <w:rFonts w:hint="eastAsia"/>
          <w:rtl/>
        </w:rPr>
        <w:t>הנאה</w:t>
      </w:r>
      <w:r w:rsidRPr="001540CF">
        <w:rPr>
          <w:rtl/>
        </w:rPr>
        <w:t xml:space="preserve"> </w:t>
      </w:r>
      <w:r w:rsidRPr="001540CF">
        <w:rPr>
          <w:rFonts w:hint="eastAsia"/>
          <w:rtl/>
        </w:rPr>
        <w:t>אחרת</w:t>
      </w:r>
      <w:r w:rsidRPr="001540CF">
        <w:rPr>
          <w:rtl/>
        </w:rPr>
        <w:t xml:space="preserve"> </w:t>
      </w:r>
      <w:r w:rsidRPr="001540CF">
        <w:rPr>
          <w:rFonts w:hint="eastAsia"/>
          <w:rtl/>
        </w:rPr>
        <w:t>שלא</w:t>
      </w:r>
      <w:r w:rsidRPr="001540CF">
        <w:rPr>
          <w:rtl/>
        </w:rPr>
        <w:t xml:space="preserve"> </w:t>
      </w:r>
      <w:r w:rsidRPr="001540CF">
        <w:rPr>
          <w:rFonts w:hint="eastAsia"/>
          <w:rtl/>
        </w:rPr>
        <w:t>בתמורה</w:t>
      </w:r>
      <w:r>
        <w:rPr>
          <w:rFonts w:hint="cs"/>
          <w:rtl/>
        </w:rPr>
        <w:t xml:space="preserve">". בפסיקה הובהר כי מדובר בהגדרה רחבה החלה על כל טובת הנאה </w:t>
      </w:r>
      <w:r>
        <w:rPr>
          <w:rtl/>
        </w:rPr>
        <w:t>–</w:t>
      </w:r>
      <w:r>
        <w:rPr>
          <w:rFonts w:hint="cs"/>
          <w:rtl/>
        </w:rPr>
        <w:t xml:space="preserve"> חפצית ושאינה חפצית, ובלבד שטובת ההנאה ניתנה שלא בתמורה (עניין </w:t>
      </w:r>
      <w:r w:rsidRPr="001540CF">
        <w:rPr>
          <w:rFonts w:ascii="Century" w:hAnsi="Century" w:cs="Miriam" w:hint="cs"/>
          <w:b/>
          <w:spacing w:val="0"/>
          <w:sz w:val="22"/>
          <w:szCs w:val="24"/>
          <w:rtl/>
        </w:rPr>
        <w:t>סויסא</w:t>
      </w:r>
      <w:r>
        <w:rPr>
          <w:rFonts w:hint="cs"/>
          <w:rtl/>
        </w:rPr>
        <w:t xml:space="preserve">, בעמ' 791-790; ראו גם: בג"ץ 4928/20 </w:t>
      </w:r>
      <w:r w:rsidRPr="004515EC">
        <w:rPr>
          <w:rFonts w:ascii="Century" w:hAnsi="Century" w:cs="Miriam" w:hint="cs"/>
          <w:b/>
          <w:spacing w:val="0"/>
          <w:sz w:val="22"/>
          <w:szCs w:val="24"/>
          <w:rtl/>
        </w:rPr>
        <w:t xml:space="preserve">אם תרצו </w:t>
      </w:r>
      <w:r w:rsidRPr="004515EC">
        <w:rPr>
          <w:rFonts w:ascii="Century" w:hAnsi="Century" w:cs="Miriam"/>
          <w:b/>
          <w:spacing w:val="0"/>
          <w:sz w:val="22"/>
          <w:szCs w:val="24"/>
          <w:rtl/>
        </w:rPr>
        <w:t>–</w:t>
      </w:r>
      <w:r w:rsidRPr="004515EC">
        <w:rPr>
          <w:rFonts w:ascii="Century" w:hAnsi="Century" w:cs="Miriam" w:hint="cs"/>
          <w:b/>
          <w:spacing w:val="0"/>
          <w:sz w:val="22"/>
          <w:szCs w:val="24"/>
          <w:rtl/>
        </w:rPr>
        <w:t xml:space="preserve"> ציונות להיות או לחדול נ' שר המשפטים</w:t>
      </w:r>
      <w:r>
        <w:rPr>
          <w:rFonts w:hint="cs"/>
          <w:rtl/>
        </w:rPr>
        <w:t xml:space="preserve">, פסקאות 8-7 (2.6.2021) (להלן: </w:t>
      </w:r>
      <w:r w:rsidRPr="004515EC">
        <w:rPr>
          <w:rFonts w:ascii="Century" w:hAnsi="Century" w:cs="Miriam" w:hint="cs"/>
          <w:b/>
          <w:spacing w:val="0"/>
          <w:sz w:val="22"/>
          <w:szCs w:val="24"/>
          <w:rtl/>
        </w:rPr>
        <w:t>עניין אם תרצו</w:t>
      </w:r>
      <w:r>
        <w:rPr>
          <w:rFonts w:hint="cs"/>
          <w:rtl/>
        </w:rPr>
        <w:t xml:space="preserve">); מרדכי ראבילו </w:t>
      </w:r>
      <w:r w:rsidRPr="0065144D">
        <w:rPr>
          <w:rFonts w:ascii="Century" w:hAnsi="Century" w:cs="Miriam" w:hint="cs"/>
          <w:b/>
          <w:spacing w:val="0"/>
          <w:sz w:val="22"/>
          <w:szCs w:val="24"/>
          <w:rtl/>
        </w:rPr>
        <w:t xml:space="preserve">חוק המתנה, תשכ"ח-1968 </w:t>
      </w:r>
      <w:r w:rsidRPr="0065144D">
        <w:rPr>
          <w:rFonts w:ascii="Century" w:hAnsi="Century" w:cs="Miriam"/>
          <w:b/>
          <w:spacing w:val="0"/>
          <w:sz w:val="22"/>
          <w:szCs w:val="24"/>
          <w:rtl/>
        </w:rPr>
        <w:t>–</w:t>
      </w:r>
      <w:r w:rsidRPr="0065144D">
        <w:rPr>
          <w:rFonts w:ascii="Century" w:hAnsi="Century" w:cs="Miriam" w:hint="cs"/>
          <w:b/>
          <w:spacing w:val="0"/>
          <w:sz w:val="22"/>
          <w:szCs w:val="24"/>
          <w:rtl/>
        </w:rPr>
        <w:t xml:space="preserve"> פירוש לחוקי החוזים מיסודו של ג' טדסקי</w:t>
      </w:r>
      <w:r w:rsidRPr="0065144D">
        <w:rPr>
          <w:rFonts w:hint="cs"/>
          <w:rtl/>
        </w:rPr>
        <w:t xml:space="preserve"> </w:t>
      </w:r>
      <w:r>
        <w:rPr>
          <w:rFonts w:hint="cs"/>
          <w:rtl/>
        </w:rPr>
        <w:t>152 (התשנ"ז)). עם זאת מתנות מסוימות מוחרגות מתחולת החוק ובהן: מת</w:t>
      </w:r>
      <w:r w:rsidR="00527906">
        <w:rPr>
          <w:rFonts w:hint="cs"/>
          <w:rtl/>
        </w:rPr>
        <w:t>נה</w:t>
      </w:r>
      <w:r>
        <w:rPr>
          <w:rFonts w:hint="cs"/>
          <w:rtl/>
        </w:rPr>
        <w:t xml:space="preserve"> קטנת ערך וסבירה שניתנה לפי הנהוג בנסיבות העניין; מתנה מחבריו לעבודה של עובד הציבור; ופרס שהוענק לעובד על הישגיו בנסיבות מסוימות (סעיף 2(ב) לחוק).</w:t>
      </w:r>
    </w:p>
    <w:p w14:paraId="4954ADE5" w14:textId="77777777" w:rsidR="00F125D1" w:rsidRDefault="00F125D1" w:rsidP="00F125D1">
      <w:pPr>
        <w:pStyle w:val="Ruller41"/>
        <w:rPr>
          <w:rtl/>
        </w:rPr>
      </w:pPr>
    </w:p>
    <w:p w14:paraId="50A0194F" w14:textId="77777777" w:rsidR="00F125D1" w:rsidRPr="001540CF" w:rsidRDefault="00F125D1" w:rsidP="00F125D1">
      <w:pPr>
        <w:pStyle w:val="Ruller4"/>
        <w:rPr>
          <w:rtl/>
        </w:rPr>
      </w:pPr>
      <w:r>
        <w:rPr>
          <w:rFonts w:hint="cs"/>
          <w:rtl/>
        </w:rPr>
        <w:t xml:space="preserve">היסוד השני המופיע בהוראת סעיף 2(א) לחוק, נוגע לזהותו של מקבל המתנה ואף הוא מוגדר באופן רחב. כך, "עובד </w:t>
      </w:r>
      <w:r w:rsidRPr="00BF3888">
        <w:rPr>
          <w:rFonts w:ascii="Century" w:hAnsi="Century" w:hint="cs"/>
          <w:sz w:val="22"/>
          <w:rtl/>
        </w:rPr>
        <w:t>ציבור" מוגדר בסעיף 1 לחוק</w:t>
      </w:r>
      <w:r w:rsidRPr="00BF3888">
        <w:rPr>
          <w:rFonts w:ascii="Century" w:hAnsi="Century"/>
          <w:sz w:val="22"/>
        </w:rPr>
        <w:t xml:space="preserve"> </w:t>
      </w:r>
      <w:r w:rsidRPr="00BF3888">
        <w:rPr>
          <w:rFonts w:ascii="Century" w:hAnsi="Century" w:hint="cs"/>
          <w:sz w:val="22"/>
          <w:rtl/>
        </w:rPr>
        <w:t>כ"</w:t>
      </w:r>
      <w:r w:rsidRPr="00BF3888">
        <w:rPr>
          <w:rFonts w:ascii="Century" w:hAnsi="Century"/>
          <w:sz w:val="22"/>
          <w:rtl/>
        </w:rPr>
        <w:t>נושא משרה או תפקיד מטעם המדינה, לרבות חייל כמשמעותו בחוק השיפוט הצבאי, תשט"ו-1955</w:t>
      </w:r>
      <w:r w:rsidRPr="00BF3888">
        <w:rPr>
          <w:rFonts w:ascii="Century" w:hAnsi="Century" w:hint="cs"/>
          <w:sz w:val="22"/>
          <w:rtl/>
        </w:rPr>
        <w:t>"</w:t>
      </w:r>
      <w:r>
        <w:rPr>
          <w:rFonts w:hint="cs"/>
          <w:rtl/>
        </w:rPr>
        <w:t xml:space="preserve">. </w:t>
      </w:r>
      <w:r w:rsidRPr="00C711B5">
        <w:rPr>
          <w:rFonts w:hint="cs"/>
          <w:rtl/>
        </w:rPr>
        <w:t xml:space="preserve">כלומר, החוק נועד לחול על עובדי מדינה, שוטרים, סוהרים וחיילים וכן על חברי ממשלה, חברי כנסת וכיוצא באלה (ראו דבריו של שר המשפטים שמואל תמיר במליאת </w:t>
      </w:r>
      <w:r w:rsidRPr="00C711B5">
        <w:rPr>
          <w:rFonts w:hint="cs"/>
          <w:rtl/>
        </w:rPr>
        <w:lastRenderedPageBreak/>
        <w:t xml:space="preserve">הכנסת: ד"כ 20.2.1978, 1706; ראו גם: יצחק אליאסוף "עובדי הציבור בישראל" </w:t>
      </w:r>
      <w:r w:rsidRPr="00C711B5">
        <w:rPr>
          <w:rFonts w:ascii="Century" w:hAnsi="Century" w:cs="Miriam" w:hint="cs"/>
          <w:b/>
          <w:spacing w:val="0"/>
          <w:sz w:val="22"/>
          <w:szCs w:val="24"/>
          <w:rtl/>
        </w:rPr>
        <w:t>עבודה, חברה ומשפט</w:t>
      </w:r>
      <w:r w:rsidRPr="00C711B5">
        <w:rPr>
          <w:rFonts w:hint="cs"/>
          <w:rtl/>
        </w:rPr>
        <w:t xml:space="preserve"> יא 59, 62 (התשס"ו)</w:t>
      </w:r>
      <w:r>
        <w:rPr>
          <w:rFonts w:hint="cs"/>
          <w:rtl/>
        </w:rPr>
        <w:t xml:space="preserve">). </w:t>
      </w:r>
      <w:r>
        <w:rPr>
          <w:rFonts w:ascii="FrankRuehl" w:hAnsi="FrankRuehl" w:hint="cs"/>
          <w:color w:val="000000"/>
          <w:sz w:val="26"/>
          <w:szCs w:val="26"/>
          <w:rtl/>
        </w:rPr>
        <w:t>כמו כן,</w:t>
      </w:r>
      <w:r w:rsidRPr="00C711B5">
        <w:rPr>
          <w:rFonts w:ascii="FrankRuehl" w:hAnsi="FrankRuehl"/>
          <w:color w:val="000000"/>
          <w:sz w:val="26"/>
          <w:szCs w:val="26"/>
        </w:rPr>
        <w:t> </w:t>
      </w:r>
      <w:r w:rsidRPr="00C711B5">
        <w:rPr>
          <w:rFonts w:hint="cs"/>
          <w:rtl/>
        </w:rPr>
        <w:t>ה</w:t>
      </w:r>
      <w:r w:rsidRPr="00C711B5">
        <w:rPr>
          <w:rtl/>
        </w:rPr>
        <w:t xml:space="preserve">חוק </w:t>
      </w:r>
      <w:r w:rsidRPr="00C711B5">
        <w:rPr>
          <w:rFonts w:hint="cs"/>
          <w:rtl/>
        </w:rPr>
        <w:t>חל</w:t>
      </w:r>
      <w:r w:rsidRPr="00C711B5">
        <w:rPr>
          <w:rtl/>
        </w:rPr>
        <w:t xml:space="preserve"> על בעלי משרות ותפקידים</w:t>
      </w:r>
      <w:r w:rsidRPr="004957F9">
        <w:rPr>
          <w:rtl/>
        </w:rPr>
        <w:t xml:space="preserve"> </w:t>
      </w:r>
      <w:r>
        <w:rPr>
          <w:rFonts w:hint="cs"/>
          <w:rtl/>
        </w:rPr>
        <w:t>ב</w:t>
      </w:r>
      <w:r w:rsidRPr="004957F9">
        <w:rPr>
          <w:rtl/>
        </w:rPr>
        <w:t>רשויות מקומיות, מועצות דתיות, קופות חולים ובתי חולים ציבוריים</w:t>
      </w:r>
      <w:r>
        <w:rPr>
          <w:rFonts w:hint="cs"/>
          <w:rtl/>
        </w:rPr>
        <w:t xml:space="preserve"> וכן על בעלי תפקידים בגופים שהוקמו בחוק וחברות ממשלתיות (סעיף 4 לחוק; </w:t>
      </w:r>
      <w:r>
        <w:rPr>
          <w:rFonts w:hint="eastAsia"/>
          <w:rtl/>
        </w:rPr>
        <w:t>צו</w:t>
      </w:r>
      <w:r>
        <w:rPr>
          <w:rtl/>
        </w:rPr>
        <w:t xml:space="preserve"> </w:t>
      </w:r>
      <w:r>
        <w:rPr>
          <w:rFonts w:hint="eastAsia"/>
          <w:rtl/>
        </w:rPr>
        <w:t>שירות</w:t>
      </w:r>
      <w:r>
        <w:rPr>
          <w:rtl/>
        </w:rPr>
        <w:t xml:space="preserve"> </w:t>
      </w:r>
      <w:r>
        <w:rPr>
          <w:rFonts w:hint="eastAsia"/>
          <w:rtl/>
        </w:rPr>
        <w:t>הציבור</w:t>
      </w:r>
      <w:r>
        <w:rPr>
          <w:rtl/>
        </w:rPr>
        <w:t xml:space="preserve"> (</w:t>
      </w:r>
      <w:r>
        <w:rPr>
          <w:rFonts w:hint="eastAsia"/>
          <w:rtl/>
        </w:rPr>
        <w:t>מתנות</w:t>
      </w:r>
      <w:r>
        <w:rPr>
          <w:rtl/>
        </w:rPr>
        <w:t>) (</w:t>
      </w:r>
      <w:r>
        <w:rPr>
          <w:rFonts w:hint="eastAsia"/>
          <w:rtl/>
        </w:rPr>
        <w:t>החלת</w:t>
      </w:r>
      <w:r>
        <w:rPr>
          <w:rtl/>
        </w:rPr>
        <w:t xml:space="preserve"> </w:t>
      </w:r>
      <w:r>
        <w:rPr>
          <w:rFonts w:hint="eastAsia"/>
          <w:rtl/>
        </w:rPr>
        <w:t>החוק</w:t>
      </w:r>
      <w:r>
        <w:rPr>
          <w:rtl/>
        </w:rPr>
        <w:t xml:space="preserve"> </w:t>
      </w:r>
      <w:r>
        <w:rPr>
          <w:rFonts w:hint="eastAsia"/>
          <w:rtl/>
        </w:rPr>
        <w:t>על</w:t>
      </w:r>
      <w:r>
        <w:rPr>
          <w:rtl/>
        </w:rPr>
        <w:t xml:space="preserve"> </w:t>
      </w:r>
      <w:r>
        <w:rPr>
          <w:rFonts w:hint="eastAsia"/>
          <w:rtl/>
        </w:rPr>
        <w:t>עובדים</w:t>
      </w:r>
      <w:r>
        <w:rPr>
          <w:rtl/>
        </w:rPr>
        <w:t xml:space="preserve"> </w:t>
      </w:r>
      <w:r>
        <w:rPr>
          <w:rFonts w:hint="eastAsia"/>
          <w:rtl/>
        </w:rPr>
        <w:t>ציבוריים</w:t>
      </w:r>
      <w:r>
        <w:rPr>
          <w:rtl/>
        </w:rPr>
        <w:t xml:space="preserve"> </w:t>
      </w:r>
      <w:r>
        <w:rPr>
          <w:rFonts w:hint="eastAsia"/>
          <w:rtl/>
        </w:rPr>
        <w:t>אחרים</w:t>
      </w:r>
      <w:r>
        <w:rPr>
          <w:rtl/>
        </w:rPr>
        <w:t>),</w:t>
      </w:r>
      <w:r>
        <w:rPr>
          <w:rFonts w:hint="cs"/>
          <w:rtl/>
        </w:rPr>
        <w:t xml:space="preserve"> ה</w:t>
      </w:r>
      <w:r>
        <w:rPr>
          <w:rFonts w:hint="eastAsia"/>
          <w:rtl/>
        </w:rPr>
        <w:t>תשמ</w:t>
      </w:r>
      <w:r>
        <w:rPr>
          <w:rtl/>
        </w:rPr>
        <w:t>"</w:t>
      </w:r>
      <w:r>
        <w:rPr>
          <w:rFonts w:hint="eastAsia"/>
          <w:rtl/>
        </w:rPr>
        <w:t>ז</w:t>
      </w:r>
      <w:r>
        <w:rPr>
          <w:rtl/>
        </w:rPr>
        <w:t>-1987</w:t>
      </w:r>
      <w:r>
        <w:rPr>
          <w:rFonts w:hint="cs"/>
          <w:rtl/>
        </w:rPr>
        <w:t xml:space="preserve">). החוק אף מוסיף ויוצר זהות בין מתנה שניתנה לעובד הציבור עצמו למתנה שניתנה לבן משפחתו </w:t>
      </w:r>
      <w:r>
        <w:rPr>
          <w:rtl/>
        </w:rPr>
        <w:t>–</w:t>
      </w:r>
      <w:r>
        <w:rPr>
          <w:rFonts w:hint="cs"/>
          <w:rtl/>
        </w:rPr>
        <w:t xml:space="preserve"> המוגדר בחוק כבן זוגו החי עמו או ילדו הסמוך על שולחנו.</w:t>
      </w:r>
    </w:p>
    <w:p w14:paraId="28F7D3DA" w14:textId="77777777" w:rsidR="00F125D1" w:rsidRDefault="00F125D1" w:rsidP="00F125D1">
      <w:pPr>
        <w:pStyle w:val="Ruller41"/>
        <w:rPr>
          <w:rtl/>
        </w:rPr>
      </w:pPr>
    </w:p>
    <w:p w14:paraId="1D1BF035" w14:textId="776EDE19" w:rsidR="00E00362" w:rsidRDefault="00E00362" w:rsidP="0012217F">
      <w:pPr>
        <w:pStyle w:val="Ruller4"/>
        <w:rPr>
          <w:rtl/>
        </w:rPr>
      </w:pPr>
      <w:r w:rsidRPr="00816A2B">
        <w:rPr>
          <w:rFonts w:hint="cs"/>
          <w:rtl/>
        </w:rPr>
        <w:t>הטעם שבגינו ניתנה המתנה הוא היסוד השלישי בהוראת סעיף 2(א) לחוק והוא נוגע למתנה שניתנה לעובד הציבור "באשר הוא עובד ציבור". העמדה שהוצגה מטעם היועצת המשפטית לממשלה בהליכים דנן היא שקיימת חזקה</w:t>
      </w:r>
      <w:r w:rsidR="00816A2B">
        <w:rPr>
          <w:rFonts w:hint="cs"/>
          <w:rtl/>
        </w:rPr>
        <w:t xml:space="preserve"> הניתנת לסתירה</w:t>
      </w:r>
      <w:r w:rsidRPr="00816A2B">
        <w:rPr>
          <w:rFonts w:hint="cs"/>
          <w:rtl/>
        </w:rPr>
        <w:t xml:space="preserve"> לפיה מתנות הניתנות לחברי ממשלה ניתנות להם באשר הם עובדי ציבור. </w:t>
      </w:r>
      <w:r w:rsidR="00816A2B">
        <w:rPr>
          <w:rFonts w:hint="cs"/>
          <w:rtl/>
        </w:rPr>
        <w:t xml:space="preserve">חזקה זו אין לה עיגון בהוראות חוק המתנות אשר אף לא מבחין בין חברי ממשלה לעובדי ומשרתי ציבור אחרים. החזקה המוצעת אין לה עיגון גם בפסיקה אשר קבעה מבחן אחר </w:t>
      </w:r>
      <w:r w:rsidR="0012217F">
        <w:rPr>
          <w:rFonts w:hint="cs"/>
          <w:rtl/>
        </w:rPr>
        <w:t>לבחינת</w:t>
      </w:r>
      <w:r w:rsidR="00816A2B">
        <w:rPr>
          <w:rFonts w:hint="cs"/>
          <w:rtl/>
        </w:rPr>
        <w:t xml:space="preserve"> הטעם שבגינו ניתנה המתנה. על פי המבחן שנקבע בפסיקה יש לבדוק </w:t>
      </w:r>
      <w:r w:rsidRPr="00816A2B">
        <w:rPr>
          <w:rFonts w:hint="cs"/>
          <w:rtl/>
        </w:rPr>
        <w:t>האם היותו של מקבל המתנה עובד ציבור הוא הטעם היחיד או</w:t>
      </w:r>
      <w:r w:rsidR="00816A2B">
        <w:rPr>
          <w:rFonts w:hint="cs"/>
          <w:rtl/>
        </w:rPr>
        <w:t xml:space="preserve"> למצער הטעם</w:t>
      </w:r>
      <w:r w:rsidRPr="00816A2B">
        <w:rPr>
          <w:rFonts w:hint="cs"/>
          <w:rtl/>
        </w:rPr>
        <w:t xml:space="preserve"> הדומיננטי להענקת טובת ההנאה (עניין </w:t>
      </w:r>
      <w:r w:rsidRPr="00816A2B">
        <w:rPr>
          <w:rFonts w:ascii="Century" w:hAnsi="Century" w:cs="Miriam" w:hint="cs"/>
          <w:b/>
          <w:spacing w:val="0"/>
          <w:sz w:val="22"/>
          <w:szCs w:val="24"/>
          <w:rtl/>
        </w:rPr>
        <w:t>סויסא</w:t>
      </w:r>
      <w:r w:rsidR="00816A2B">
        <w:rPr>
          <w:rFonts w:hint="cs"/>
          <w:rtl/>
        </w:rPr>
        <w:t>, בעמ' 791).</w:t>
      </w:r>
      <w:r w:rsidR="00031AAE">
        <w:rPr>
          <w:rFonts w:hint="cs"/>
          <w:rtl/>
        </w:rPr>
        <w:t xml:space="preserve"> מטבע הדברים, יש לבחון את הדבר בהתאם למכלול נסיבות העניין, </w:t>
      </w:r>
      <w:r w:rsidRPr="00816A2B">
        <w:rPr>
          <w:rFonts w:hint="cs"/>
          <w:rtl/>
        </w:rPr>
        <w:t>ומבלי למצות את כלל השיקולים הרלוונטיים</w:t>
      </w:r>
      <w:r w:rsidR="00031AAE">
        <w:rPr>
          <w:rFonts w:hint="cs"/>
          <w:rtl/>
        </w:rPr>
        <w:t>, יש לבחון בכל מקרה את</w:t>
      </w:r>
      <w:r w:rsidRPr="00816A2B">
        <w:rPr>
          <w:rFonts w:hint="cs"/>
          <w:rtl/>
        </w:rPr>
        <w:t xml:space="preserve"> טיב הקשר בין נותן המתנה למקבלה; יכולת ההשפעה של עובד הציבור על ענייניו של נותן המתנה; שווי המתנה; ובכירות מעמדו של עובד הציבור. בהקשר אחרון זה יודגש כי חוק המתנות מתייחס</w:t>
      </w:r>
      <w:r w:rsidR="00031AAE">
        <w:rPr>
          <w:rFonts w:hint="cs"/>
          <w:rtl/>
        </w:rPr>
        <w:t>, כאמור,</w:t>
      </w:r>
      <w:r w:rsidRPr="00816A2B">
        <w:rPr>
          <w:rFonts w:hint="cs"/>
          <w:rtl/>
        </w:rPr>
        <w:t xml:space="preserve"> לכלל עובדי הציבור ללא הבחנה ביניהם, אך כבר נפסק כי "ככל שגבוה יותר וחשוב יותר מעמדו של בעל התפקיד הממלכתי, כך חייבת לגבור אחריותו לתקינות מעשי המינהל למניעת השחתת המידות" (ע"פ 521/87 </w:t>
      </w:r>
      <w:r w:rsidRPr="00031AAE">
        <w:rPr>
          <w:rFonts w:ascii="Century" w:hAnsi="Century" w:cs="Miriam" w:hint="cs"/>
          <w:b/>
          <w:spacing w:val="0"/>
          <w:sz w:val="22"/>
          <w:szCs w:val="24"/>
          <w:rtl/>
        </w:rPr>
        <w:t>מדינת ישראל נ' עינב</w:t>
      </w:r>
      <w:r w:rsidRPr="00816A2B">
        <w:rPr>
          <w:rFonts w:hint="cs"/>
          <w:rtl/>
        </w:rPr>
        <w:t>, פ"ד מה(1) 418, 434 (1990)).</w:t>
      </w:r>
    </w:p>
    <w:p w14:paraId="47B48958" w14:textId="77777777" w:rsidR="00F125D1" w:rsidRPr="001B016D" w:rsidRDefault="00F125D1" w:rsidP="00F125D1">
      <w:pPr>
        <w:pStyle w:val="Ruller41"/>
        <w:rPr>
          <w:rtl/>
        </w:rPr>
      </w:pPr>
    </w:p>
    <w:p w14:paraId="7405BE05" w14:textId="25E6663A" w:rsidR="00F125D1" w:rsidRDefault="00F125D1" w:rsidP="000D4774">
      <w:pPr>
        <w:pStyle w:val="Ruller4"/>
        <w:rPr>
          <w:rFonts w:ascii="Century" w:hAnsi="Century"/>
          <w:sz w:val="22"/>
          <w:rtl/>
        </w:rPr>
      </w:pPr>
      <w:r>
        <w:rPr>
          <w:rFonts w:hint="cs"/>
          <w:rtl/>
        </w:rPr>
        <w:t>שלוש הן התוצאות הנורמטיביות החלות ככל שאכן מדובר במתנה שניתנה לעובד הציבור באשר הוא עובד ציבור</w:t>
      </w:r>
      <w:r w:rsidR="000D4774">
        <w:rPr>
          <w:rFonts w:hint="cs"/>
          <w:rtl/>
        </w:rPr>
        <w:t>,</w:t>
      </w:r>
      <w:r>
        <w:rPr>
          <w:rFonts w:hint="cs"/>
          <w:rtl/>
        </w:rPr>
        <w:t xml:space="preserve"> ולא חלים עליה החריגים המנויים בסעיף 2(ב) לחוק: (1) המתנה הופכת לקניין המדינה ובמתנה שאין בה קניין נדרש עובד הציבור לשלם את שוויה (סעיף 2</w:t>
      </w:r>
      <w:r w:rsidR="0053327C">
        <w:rPr>
          <w:rFonts w:hint="cs"/>
          <w:rtl/>
        </w:rPr>
        <w:t>(א)</w:t>
      </w:r>
      <w:r>
        <w:rPr>
          <w:rFonts w:hint="cs"/>
          <w:rtl/>
        </w:rPr>
        <w:t xml:space="preserve"> לחוק); (2) עובד הציבור חייב להודיע על קבלת המתנה (סעיף 3(א) לחוק); (3) עובד אשר ביודעין אינו מקיים את חובת ההודעה עובר עבירה פלילית שהעונש עליה הוא קנס (סעיף 3(ב) לחוק; וראו: עניין </w:t>
      </w:r>
      <w:r w:rsidRPr="004957F9">
        <w:rPr>
          <w:rFonts w:ascii="Century" w:hAnsi="Century" w:cs="Miriam" w:hint="cs"/>
          <w:b/>
          <w:spacing w:val="0"/>
          <w:sz w:val="22"/>
          <w:szCs w:val="24"/>
          <w:rtl/>
        </w:rPr>
        <w:t>סויסא</w:t>
      </w:r>
      <w:r>
        <w:rPr>
          <w:rFonts w:hint="cs"/>
          <w:rtl/>
        </w:rPr>
        <w:t xml:space="preserve">, בעמ' 771). כלומר, עצם קבלת המתנה אינה מהווה עבירה הפלילית, </w:t>
      </w:r>
      <w:r w:rsidR="000D4774">
        <w:rPr>
          <w:rFonts w:hint="cs"/>
          <w:rtl/>
        </w:rPr>
        <w:t>אלא</w:t>
      </w:r>
      <w:r>
        <w:rPr>
          <w:rFonts w:hint="cs"/>
          <w:rtl/>
        </w:rPr>
        <w:t xml:space="preserve"> </w:t>
      </w:r>
      <w:r w:rsidR="000D4774">
        <w:rPr>
          <w:rFonts w:hint="cs"/>
          <w:rtl/>
        </w:rPr>
        <w:t>ה</w:t>
      </w:r>
      <w:r>
        <w:rPr>
          <w:rFonts w:ascii="Century" w:hAnsi="Century" w:hint="cs"/>
          <w:sz w:val="22"/>
          <w:rtl/>
        </w:rPr>
        <w:t xml:space="preserve">הפרה </w:t>
      </w:r>
      <w:r w:rsidRPr="00476966">
        <w:rPr>
          <w:rFonts w:ascii="Century" w:hAnsi="Century" w:cs="Miriam" w:hint="cs"/>
          <w:b/>
          <w:spacing w:val="0"/>
          <w:sz w:val="22"/>
          <w:szCs w:val="24"/>
          <w:rtl/>
        </w:rPr>
        <w:t>ביודעין</w:t>
      </w:r>
      <w:r w:rsidRPr="00476966">
        <w:rPr>
          <w:rFonts w:ascii="Century" w:hAnsi="Century" w:hint="cs"/>
          <w:sz w:val="22"/>
          <w:rtl/>
        </w:rPr>
        <w:t xml:space="preserve"> </w:t>
      </w:r>
      <w:r>
        <w:rPr>
          <w:rFonts w:ascii="Century" w:hAnsi="Century" w:hint="cs"/>
          <w:sz w:val="22"/>
          <w:rtl/>
        </w:rPr>
        <w:t xml:space="preserve">של חובת הדיווח על קבלתה. </w:t>
      </w:r>
    </w:p>
    <w:p w14:paraId="1B57C9D8" w14:textId="77777777" w:rsidR="00F125D1" w:rsidRPr="00811EF5" w:rsidRDefault="00F125D1" w:rsidP="00F125D1">
      <w:pPr>
        <w:pStyle w:val="Ruller41"/>
      </w:pPr>
    </w:p>
    <w:p w14:paraId="11E7190C" w14:textId="4E7B090E" w:rsidR="00F125D1" w:rsidRPr="00811EF5" w:rsidRDefault="00F125D1" w:rsidP="005D5D2B">
      <w:pPr>
        <w:pStyle w:val="Ruller4"/>
        <w:rPr>
          <w:rFonts w:ascii="Century" w:hAnsi="Century"/>
          <w:sz w:val="22"/>
          <w:rtl/>
        </w:rPr>
      </w:pPr>
      <w:r w:rsidRPr="00811EF5">
        <w:rPr>
          <w:rFonts w:ascii="Century" w:hAnsi="Century" w:hint="cs"/>
          <w:sz w:val="22"/>
          <w:rtl/>
        </w:rPr>
        <w:lastRenderedPageBreak/>
        <w:t>הקניית המתנה</w:t>
      </w:r>
      <w:r>
        <w:rPr>
          <w:rFonts w:ascii="Century" w:hAnsi="Century" w:hint="cs"/>
          <w:sz w:val="22"/>
          <w:rtl/>
        </w:rPr>
        <w:t xml:space="preserve"> לקניין ה</w:t>
      </w:r>
      <w:r w:rsidRPr="00811EF5">
        <w:rPr>
          <w:rFonts w:ascii="Century" w:hAnsi="Century" w:hint="cs"/>
          <w:sz w:val="22"/>
          <w:rtl/>
        </w:rPr>
        <w:t>מדינה נועדה "</w:t>
      </w:r>
      <w:r w:rsidR="004E1BD9">
        <w:rPr>
          <w:rFonts w:ascii="Century" w:hAnsi="Century" w:hint="cs"/>
          <w:sz w:val="22"/>
          <w:rtl/>
        </w:rPr>
        <w:t xml:space="preserve">[...] </w:t>
      </w:r>
      <w:r w:rsidRPr="00811EF5">
        <w:rPr>
          <w:rFonts w:ascii="Century" w:hAnsi="Century" w:hint="cs"/>
          <w:sz w:val="22"/>
          <w:rtl/>
        </w:rPr>
        <w:t xml:space="preserve">לנטרל את התמריץ של עובד הציבור לקבל מתנות אישיות, שעלול לגרום לו לקבל החלטות לא ענייניות תוך מעילה בתפקידו הציבורי" וכן להחליש את התמריץ של נותן טובת ההנאה שיודע כי עובד הציבור לא ייהנה ממנה ממילא (עניין </w:t>
      </w:r>
      <w:r w:rsidRPr="00811EF5">
        <w:rPr>
          <w:rFonts w:ascii="Century" w:hAnsi="Century" w:cs="Miriam" w:hint="cs"/>
          <w:b/>
          <w:spacing w:val="0"/>
          <w:sz w:val="22"/>
          <w:szCs w:val="24"/>
          <w:rtl/>
        </w:rPr>
        <w:t>אם תרצו</w:t>
      </w:r>
      <w:r w:rsidRPr="00811EF5">
        <w:rPr>
          <w:rFonts w:ascii="Century" w:hAnsi="Century" w:hint="cs"/>
          <w:sz w:val="22"/>
          <w:rtl/>
        </w:rPr>
        <w:t xml:space="preserve">, בפסקה 7; טנה שפניץ </w:t>
      </w:r>
      <w:r w:rsidRPr="00811EF5">
        <w:rPr>
          <w:rFonts w:ascii="Century" w:hAnsi="Century" w:cs="Miriam" w:hint="cs"/>
          <w:b/>
          <w:spacing w:val="0"/>
          <w:sz w:val="22"/>
          <w:szCs w:val="24"/>
          <w:rtl/>
        </w:rPr>
        <w:t xml:space="preserve">ניגוד עניינים במגזר הציבורי למעשה ולהלכה </w:t>
      </w:r>
      <w:r w:rsidRPr="00811EF5">
        <w:rPr>
          <w:rFonts w:ascii="Century" w:hAnsi="Century" w:hint="cs"/>
          <w:sz w:val="22"/>
          <w:rtl/>
        </w:rPr>
        <w:t xml:space="preserve">191, 285 (2013) (להלן: </w:t>
      </w:r>
      <w:r w:rsidRPr="00811EF5">
        <w:rPr>
          <w:rFonts w:ascii="Century" w:hAnsi="Century" w:cs="Miriam" w:hint="cs"/>
          <w:b/>
          <w:spacing w:val="0"/>
          <w:sz w:val="22"/>
          <w:szCs w:val="24"/>
          <w:rtl/>
        </w:rPr>
        <w:t>שפניץ</w:t>
      </w:r>
      <w:r w:rsidRPr="00811EF5">
        <w:rPr>
          <w:rFonts w:ascii="Century" w:hAnsi="Century" w:hint="cs"/>
          <w:sz w:val="22"/>
          <w:rtl/>
        </w:rPr>
        <w:t xml:space="preserve">)). יצוין כי בשנת 2001 תוקן החוק כך שכיום </w:t>
      </w:r>
      <w:r w:rsidRPr="00811EF5">
        <w:rPr>
          <w:rFonts w:ascii="Century" w:hAnsi="Century"/>
          <w:sz w:val="22"/>
          <w:rtl/>
        </w:rPr>
        <w:t>עובד הציבור רשאי</w:t>
      </w:r>
      <w:r w:rsidRPr="00811EF5">
        <w:rPr>
          <w:rFonts w:ascii="Century" w:hAnsi="Century" w:hint="cs"/>
          <w:sz w:val="22"/>
          <w:rtl/>
        </w:rPr>
        <w:t xml:space="preserve"> בתנאים מסוימים</w:t>
      </w:r>
      <w:r w:rsidRPr="00811EF5">
        <w:rPr>
          <w:rFonts w:ascii="Century" w:hAnsi="Century"/>
          <w:sz w:val="22"/>
          <w:rtl/>
        </w:rPr>
        <w:t xml:space="preserve"> לבקש היתר להקנות לו מתנה שקיבל, </w:t>
      </w:r>
      <w:r w:rsidRPr="00811EF5">
        <w:rPr>
          <w:rFonts w:ascii="Century" w:hAnsi="Century" w:hint="cs"/>
          <w:sz w:val="22"/>
          <w:rtl/>
        </w:rPr>
        <w:t>בכפוף</w:t>
      </w:r>
      <w:r w:rsidRPr="00811EF5">
        <w:rPr>
          <w:rFonts w:ascii="Century" w:hAnsi="Century"/>
          <w:sz w:val="22"/>
          <w:rtl/>
        </w:rPr>
        <w:t xml:space="preserve"> </w:t>
      </w:r>
      <w:r w:rsidRPr="00811EF5">
        <w:rPr>
          <w:rFonts w:ascii="Century" w:hAnsi="Century" w:hint="cs"/>
          <w:sz w:val="22"/>
          <w:rtl/>
        </w:rPr>
        <w:t>ל</w:t>
      </w:r>
      <w:r w:rsidRPr="00811EF5">
        <w:rPr>
          <w:rFonts w:ascii="Century" w:hAnsi="Century"/>
          <w:sz w:val="22"/>
          <w:rtl/>
        </w:rPr>
        <w:t>תשלום לאוצר המדינה</w:t>
      </w:r>
      <w:r w:rsidRPr="00811EF5">
        <w:rPr>
          <w:rFonts w:ascii="Century" w:hAnsi="Century" w:hint="cs"/>
          <w:sz w:val="22"/>
          <w:rtl/>
        </w:rPr>
        <w:t xml:space="preserve"> (סעיף </w:t>
      </w:r>
      <w:r w:rsidR="005D5D2B">
        <w:rPr>
          <w:rFonts w:ascii="Century" w:hAnsi="Century" w:hint="cs"/>
          <w:sz w:val="22"/>
          <w:rtl/>
        </w:rPr>
        <w:t>2(א1)</w:t>
      </w:r>
      <w:r w:rsidRPr="00811EF5">
        <w:rPr>
          <w:rFonts w:ascii="Century" w:hAnsi="Century" w:hint="cs"/>
          <w:sz w:val="22"/>
          <w:rtl/>
        </w:rPr>
        <w:t xml:space="preserve"> לחוק; ו</w:t>
      </w:r>
      <w:r w:rsidRPr="00811EF5">
        <w:rPr>
          <w:rFonts w:ascii="Century" w:hAnsi="Century" w:hint="eastAsia"/>
          <w:sz w:val="22"/>
          <w:rtl/>
        </w:rPr>
        <w:t>תקנות</w:t>
      </w:r>
      <w:r w:rsidRPr="00811EF5">
        <w:rPr>
          <w:rFonts w:ascii="Century" w:hAnsi="Century"/>
          <w:sz w:val="22"/>
          <w:rtl/>
        </w:rPr>
        <w:t xml:space="preserve"> </w:t>
      </w:r>
      <w:r w:rsidRPr="00811EF5">
        <w:rPr>
          <w:rFonts w:ascii="Century" w:hAnsi="Century" w:hint="eastAsia"/>
          <w:sz w:val="22"/>
          <w:rtl/>
        </w:rPr>
        <w:t>שירות</w:t>
      </w:r>
      <w:r w:rsidRPr="00811EF5">
        <w:rPr>
          <w:rFonts w:ascii="Century" w:hAnsi="Century"/>
          <w:sz w:val="22"/>
          <w:rtl/>
        </w:rPr>
        <w:t xml:space="preserve"> </w:t>
      </w:r>
      <w:r w:rsidRPr="00811EF5">
        <w:rPr>
          <w:rFonts w:ascii="Century" w:hAnsi="Century" w:hint="eastAsia"/>
          <w:sz w:val="22"/>
          <w:rtl/>
        </w:rPr>
        <w:t>הציבור</w:t>
      </w:r>
      <w:r w:rsidRPr="00811EF5">
        <w:rPr>
          <w:rFonts w:ascii="Century" w:hAnsi="Century"/>
          <w:sz w:val="22"/>
          <w:rtl/>
        </w:rPr>
        <w:t xml:space="preserve"> (</w:t>
      </w:r>
      <w:r w:rsidRPr="00811EF5">
        <w:rPr>
          <w:rFonts w:ascii="Century" w:hAnsi="Century" w:hint="eastAsia"/>
          <w:sz w:val="22"/>
          <w:rtl/>
        </w:rPr>
        <w:t>מתנות</w:t>
      </w:r>
      <w:r w:rsidRPr="00811EF5">
        <w:rPr>
          <w:rFonts w:ascii="Century" w:hAnsi="Century"/>
          <w:sz w:val="22"/>
          <w:rtl/>
        </w:rPr>
        <w:t xml:space="preserve">), </w:t>
      </w:r>
      <w:r w:rsidRPr="00811EF5">
        <w:rPr>
          <w:rFonts w:ascii="Century" w:hAnsi="Century" w:hint="cs"/>
          <w:sz w:val="22"/>
          <w:rtl/>
        </w:rPr>
        <w:t>ה</w:t>
      </w:r>
      <w:r w:rsidRPr="00811EF5">
        <w:rPr>
          <w:rFonts w:ascii="Century" w:hAnsi="Century" w:hint="eastAsia"/>
          <w:sz w:val="22"/>
          <w:rtl/>
        </w:rPr>
        <w:t>תש</w:t>
      </w:r>
      <w:r w:rsidRPr="00811EF5">
        <w:rPr>
          <w:rFonts w:ascii="Century" w:hAnsi="Century"/>
          <w:sz w:val="22"/>
          <w:rtl/>
        </w:rPr>
        <w:t>"</w:t>
      </w:r>
      <w:r w:rsidRPr="00811EF5">
        <w:rPr>
          <w:rFonts w:ascii="Century" w:hAnsi="Century" w:hint="eastAsia"/>
          <w:sz w:val="22"/>
          <w:rtl/>
        </w:rPr>
        <w:t>ם</w:t>
      </w:r>
      <w:r w:rsidRPr="00811EF5">
        <w:rPr>
          <w:rFonts w:ascii="Century" w:hAnsi="Century"/>
          <w:sz w:val="22"/>
          <w:rtl/>
        </w:rPr>
        <w:t>-1980</w:t>
      </w:r>
      <w:r w:rsidRPr="00811EF5">
        <w:rPr>
          <w:rFonts w:ascii="Century" w:hAnsi="Century" w:hint="cs"/>
          <w:sz w:val="22"/>
          <w:rtl/>
        </w:rPr>
        <w:t xml:space="preserve"> (להלן: </w:t>
      </w:r>
      <w:r w:rsidRPr="00811EF5">
        <w:rPr>
          <w:rFonts w:ascii="Century" w:hAnsi="Century" w:cs="Miriam" w:hint="cs"/>
          <w:b/>
          <w:spacing w:val="0"/>
          <w:sz w:val="22"/>
          <w:szCs w:val="24"/>
          <w:rtl/>
        </w:rPr>
        <w:t>תקנות המתנות</w:t>
      </w:r>
      <w:r w:rsidRPr="00811EF5">
        <w:rPr>
          <w:rFonts w:ascii="Century" w:hAnsi="Century" w:hint="cs"/>
          <w:sz w:val="22"/>
          <w:rtl/>
        </w:rPr>
        <w:t xml:space="preserve">)). </w:t>
      </w:r>
    </w:p>
    <w:p w14:paraId="69B88FF6" w14:textId="3EF0C810" w:rsidR="00F125D1" w:rsidRDefault="00F125D1" w:rsidP="00F125D1">
      <w:pPr>
        <w:pStyle w:val="Ruller41"/>
        <w:rPr>
          <w:rtl/>
        </w:rPr>
      </w:pPr>
    </w:p>
    <w:p w14:paraId="04697DD1" w14:textId="591A30E1" w:rsidR="00FF4ABA" w:rsidRDefault="00FF4ABA" w:rsidP="00FF4ABA">
      <w:pPr>
        <w:pStyle w:val="Ruller41"/>
        <w:rPr>
          <w:rFonts w:ascii="Century" w:hAnsi="Century" w:cs="Miriam"/>
          <w:b/>
          <w:spacing w:val="0"/>
          <w:szCs w:val="24"/>
          <w:rtl/>
        </w:rPr>
      </w:pPr>
      <w:r>
        <w:rPr>
          <w:rFonts w:ascii="Century" w:hAnsi="Century" w:cs="Miriam" w:hint="cs"/>
          <w:b/>
          <w:spacing w:val="0"/>
          <w:szCs w:val="24"/>
          <w:rtl/>
        </w:rPr>
        <w:t>כללי אשר</w:t>
      </w:r>
    </w:p>
    <w:p w14:paraId="76BDFBE2" w14:textId="51F848F1" w:rsidR="00FF4ABA" w:rsidRDefault="00FF4ABA" w:rsidP="00F125D1">
      <w:pPr>
        <w:pStyle w:val="Ruller41"/>
        <w:rPr>
          <w:rtl/>
        </w:rPr>
      </w:pPr>
    </w:p>
    <w:p w14:paraId="6877CFD1" w14:textId="77777777" w:rsidR="00F125D1" w:rsidRDefault="00F125D1" w:rsidP="00F125D1">
      <w:pPr>
        <w:pStyle w:val="Ruller4"/>
        <w:rPr>
          <w:rtl/>
        </w:rPr>
      </w:pPr>
      <w:r>
        <w:rPr>
          <w:rFonts w:hint="cs"/>
          <w:rtl/>
        </w:rPr>
        <w:t xml:space="preserve">לצד חוק המתנות, שהוראותיו חלות כאמור ביחס לכל עובד ציבור, קיימים כללים ספציפיים בנוגע לקבלת מתנות וטובות הנאה על ידי סוגים מסוימים של עובדי ציבור (ראו למשל: ביחס לעובדי מדינה, פרק 42.7 לתקשי"ר; וביחס לחברי כנסת, החלטת ועדת האתיקה של הכנסת בעניין "קבלת מתנות וטובות הנאה בידי חברי כנסת" (12.2.2002) (להלן: </w:t>
      </w:r>
      <w:r w:rsidRPr="00663834">
        <w:rPr>
          <w:rFonts w:ascii="Century" w:hAnsi="Century" w:cs="Miriam" w:hint="cs"/>
          <w:b/>
          <w:spacing w:val="0"/>
          <w:sz w:val="22"/>
          <w:szCs w:val="24"/>
          <w:rtl/>
        </w:rPr>
        <w:t>החלטת ועדת האתיקה של הכנסת בעניין מתנות</w:t>
      </w:r>
      <w:r>
        <w:rPr>
          <w:rFonts w:hint="cs"/>
          <w:rtl/>
        </w:rPr>
        <w:t>)). בכל הנוגע לחברי ממשלה, הכללים הרלוונטיים מעוגנים בכללי אשר. כללים אלה התקבלו בהחלטת ממשלה בשנת 1977 בעקבות המלצות הוועדה הציבורית בראשות השופט שלמה אשר ז"ל, והם</w:t>
      </w:r>
      <w:r w:rsidRPr="00A43EFB">
        <w:rPr>
          <w:rFonts w:ascii="FrankRuehl" w:hAnsi="FrankRuehl"/>
          <w:color w:val="000000"/>
          <w:sz w:val="28"/>
          <w:rtl/>
        </w:rPr>
        <w:t xml:space="preserve"> </w:t>
      </w:r>
      <w:r>
        <w:rPr>
          <w:rFonts w:ascii="FrankRuehl" w:hAnsi="FrankRuehl"/>
          <w:color w:val="000000"/>
          <w:sz w:val="28"/>
          <w:rtl/>
        </w:rPr>
        <w:t>תוקנו בהחלטת ממשלה מיום 28.11.2002 ופורסמו בנוסחם המתוקן ביום 16.1.2003 (י"פ התשס"ג 5147, עמ' 1136).</w:t>
      </w:r>
      <w:r>
        <w:rPr>
          <w:rFonts w:hint="cs"/>
          <w:rtl/>
        </w:rPr>
        <w:t xml:space="preserve"> כללי </w:t>
      </w:r>
      <w:r>
        <w:rPr>
          <w:rFonts w:ascii="FrankRuehl" w:hAnsi="FrankRuehl"/>
          <w:color w:val="000000"/>
          <w:sz w:val="28"/>
          <w:rtl/>
        </w:rPr>
        <w:t xml:space="preserve">אשר לא אומצו מעולם בחקיקה ראשית או בחקיקת משנה, </w:t>
      </w:r>
      <w:r>
        <w:rPr>
          <w:rFonts w:ascii="FrankRuehl" w:hAnsi="FrankRuehl" w:hint="cs"/>
          <w:color w:val="000000"/>
          <w:sz w:val="28"/>
          <w:rtl/>
        </w:rPr>
        <w:t>וכבר נפסק</w:t>
      </w:r>
      <w:r>
        <w:rPr>
          <w:rFonts w:ascii="FrankRuehl" w:hAnsi="FrankRuehl"/>
          <w:color w:val="000000"/>
          <w:sz w:val="28"/>
          <w:rtl/>
        </w:rPr>
        <w:t xml:space="preserve"> כי "מעמדם אינו של חיקוק, ותוקפם הוא של כללי אתיקה" </w:t>
      </w:r>
      <w:r>
        <w:rPr>
          <w:rFonts w:hint="cs"/>
          <w:rtl/>
        </w:rPr>
        <w:t>(</w:t>
      </w:r>
      <w:r w:rsidRPr="00A43EFB">
        <w:rPr>
          <w:rFonts w:hint="eastAsia"/>
          <w:rtl/>
        </w:rPr>
        <w:t>ע</w:t>
      </w:r>
      <w:r w:rsidRPr="00A43EFB">
        <w:rPr>
          <w:rtl/>
        </w:rPr>
        <w:t>"</w:t>
      </w:r>
      <w:r w:rsidRPr="00A43EFB">
        <w:rPr>
          <w:rFonts w:hint="eastAsia"/>
          <w:rtl/>
        </w:rPr>
        <w:t>פ</w:t>
      </w:r>
      <w:r w:rsidRPr="00A43EFB">
        <w:rPr>
          <w:rtl/>
        </w:rPr>
        <w:t xml:space="preserve"> 8080/12 </w:t>
      </w:r>
      <w:r w:rsidRPr="00A43EFB">
        <w:rPr>
          <w:rFonts w:ascii="Century" w:hAnsi="Century" w:cs="Miriam" w:hint="eastAsia"/>
          <w:b/>
          <w:spacing w:val="0"/>
          <w:sz w:val="22"/>
          <w:szCs w:val="24"/>
          <w:rtl/>
        </w:rPr>
        <w:t>מדינת</w:t>
      </w:r>
      <w:r w:rsidRPr="00A43EFB">
        <w:rPr>
          <w:rFonts w:ascii="Century" w:hAnsi="Century" w:cs="Miriam"/>
          <w:b/>
          <w:spacing w:val="0"/>
          <w:sz w:val="22"/>
          <w:szCs w:val="24"/>
          <w:rtl/>
        </w:rPr>
        <w:t xml:space="preserve"> </w:t>
      </w:r>
      <w:r w:rsidRPr="00A43EFB">
        <w:rPr>
          <w:rFonts w:ascii="Century" w:hAnsi="Century" w:cs="Miriam" w:hint="eastAsia"/>
          <w:b/>
          <w:spacing w:val="0"/>
          <w:sz w:val="22"/>
          <w:szCs w:val="24"/>
          <w:rtl/>
        </w:rPr>
        <w:t>ישראל</w:t>
      </w:r>
      <w:r w:rsidRPr="00A43EFB">
        <w:rPr>
          <w:rFonts w:ascii="Century" w:hAnsi="Century" w:cs="Miriam"/>
          <w:b/>
          <w:spacing w:val="0"/>
          <w:sz w:val="22"/>
          <w:szCs w:val="24"/>
          <w:rtl/>
        </w:rPr>
        <w:t xml:space="preserve"> </w:t>
      </w:r>
      <w:r w:rsidRPr="00A43EFB">
        <w:rPr>
          <w:rFonts w:ascii="Century" w:hAnsi="Century" w:cs="Miriam" w:hint="eastAsia"/>
          <w:b/>
          <w:spacing w:val="0"/>
          <w:sz w:val="22"/>
          <w:szCs w:val="24"/>
          <w:rtl/>
        </w:rPr>
        <w:t>נ</w:t>
      </w:r>
      <w:r w:rsidRPr="00A43EFB">
        <w:rPr>
          <w:rFonts w:ascii="Century" w:hAnsi="Century" w:cs="Miriam"/>
          <w:b/>
          <w:spacing w:val="0"/>
          <w:sz w:val="22"/>
          <w:szCs w:val="24"/>
          <w:rtl/>
        </w:rPr>
        <w:t xml:space="preserve">' </w:t>
      </w:r>
      <w:r w:rsidRPr="00A43EFB">
        <w:rPr>
          <w:rFonts w:ascii="Century" w:hAnsi="Century" w:cs="Miriam" w:hint="eastAsia"/>
          <w:b/>
          <w:spacing w:val="0"/>
          <w:sz w:val="22"/>
          <w:szCs w:val="24"/>
          <w:rtl/>
        </w:rPr>
        <w:t>אולמרט</w:t>
      </w:r>
      <w:r w:rsidRPr="00A43EFB">
        <w:rPr>
          <w:rtl/>
        </w:rPr>
        <w:t xml:space="preserve">, </w:t>
      </w:r>
      <w:r w:rsidRPr="00A43EFB">
        <w:rPr>
          <w:rFonts w:hint="eastAsia"/>
          <w:rtl/>
        </w:rPr>
        <w:t>פסקה</w:t>
      </w:r>
      <w:r w:rsidRPr="00A43EFB">
        <w:rPr>
          <w:rtl/>
        </w:rPr>
        <w:t xml:space="preserve"> 126</w:t>
      </w:r>
      <w:r>
        <w:rPr>
          <w:rFonts w:hint="cs"/>
          <w:rtl/>
        </w:rPr>
        <w:t xml:space="preserve"> לפסק דינו של השופט </w:t>
      </w:r>
      <w:r w:rsidRPr="00A43EFB">
        <w:rPr>
          <w:rFonts w:ascii="Century" w:hAnsi="Century" w:cs="Miriam" w:hint="cs"/>
          <w:b/>
          <w:spacing w:val="0"/>
          <w:sz w:val="22"/>
          <w:szCs w:val="24"/>
          <w:rtl/>
        </w:rPr>
        <w:t>ס' ג'ובראן</w:t>
      </w:r>
      <w:r w:rsidRPr="00A43EFB">
        <w:rPr>
          <w:rtl/>
        </w:rPr>
        <w:t xml:space="preserve"> </w:t>
      </w:r>
      <w:r w:rsidRPr="00A43EFB">
        <w:rPr>
          <w:rFonts w:hint="eastAsia"/>
          <w:rtl/>
        </w:rPr>
        <w:t>והאסמכתאות</w:t>
      </w:r>
      <w:r w:rsidRPr="00A43EFB">
        <w:rPr>
          <w:rtl/>
        </w:rPr>
        <w:t xml:space="preserve"> </w:t>
      </w:r>
      <w:r w:rsidRPr="00A43EFB">
        <w:rPr>
          <w:rFonts w:hint="eastAsia"/>
          <w:rtl/>
        </w:rPr>
        <w:t>שם</w:t>
      </w:r>
      <w:r w:rsidRPr="00A43EFB">
        <w:rPr>
          <w:rtl/>
        </w:rPr>
        <w:t xml:space="preserve"> (28.9.2016)</w:t>
      </w:r>
      <w:r>
        <w:rPr>
          <w:rFonts w:hint="cs"/>
          <w:rtl/>
        </w:rPr>
        <w:t xml:space="preserve"> (להלן: </w:t>
      </w:r>
      <w:r w:rsidRPr="002C24EE">
        <w:rPr>
          <w:rFonts w:ascii="Century" w:hAnsi="Century" w:cs="Miriam" w:hint="cs"/>
          <w:b/>
          <w:spacing w:val="0"/>
          <w:sz w:val="22"/>
          <w:szCs w:val="24"/>
          <w:rtl/>
        </w:rPr>
        <w:t>עניין אולמרט</w:t>
      </w:r>
      <w:r>
        <w:rPr>
          <w:rFonts w:hint="cs"/>
          <w:rtl/>
        </w:rPr>
        <w:t xml:space="preserve">); ראו גם: בג"ץ 3056/20 </w:t>
      </w:r>
      <w:r w:rsidRPr="00A43EFB">
        <w:rPr>
          <w:rFonts w:ascii="Century" w:hAnsi="Century" w:cs="Miriam" w:hint="cs"/>
          <w:b/>
          <w:spacing w:val="0"/>
          <w:sz w:val="22"/>
          <w:szCs w:val="24"/>
          <w:rtl/>
        </w:rPr>
        <w:t>התנועה למען איכות השלטון בישראל נ' היועץ המשפטי לממשלה</w:t>
      </w:r>
      <w:r>
        <w:rPr>
          <w:rFonts w:hint="cs"/>
          <w:rtl/>
        </w:rPr>
        <w:t xml:space="preserve">, פסקאות 23-22 לפסק דיני (25.3.2021) (להלן: </w:t>
      </w:r>
      <w:r w:rsidRPr="002C24EE">
        <w:rPr>
          <w:rFonts w:ascii="Century" w:hAnsi="Century" w:cs="Miriam" w:hint="cs"/>
          <w:b/>
          <w:spacing w:val="0"/>
          <w:sz w:val="22"/>
          <w:szCs w:val="24"/>
          <w:rtl/>
        </w:rPr>
        <w:t>עניין הסדר ניגוד העניינים</w:t>
      </w:r>
      <w:r>
        <w:rPr>
          <w:rFonts w:hint="cs"/>
          <w:rtl/>
        </w:rPr>
        <w:t>)).</w:t>
      </w:r>
    </w:p>
    <w:p w14:paraId="576C8401" w14:textId="77777777" w:rsidR="00F125D1" w:rsidRDefault="00F125D1" w:rsidP="00F125D1">
      <w:pPr>
        <w:pStyle w:val="Ruller41"/>
        <w:rPr>
          <w:rtl/>
        </w:rPr>
      </w:pPr>
    </w:p>
    <w:p w14:paraId="7910F699" w14:textId="0FBCF179" w:rsidR="00F125D1" w:rsidRDefault="00F125D1" w:rsidP="00F125D1">
      <w:pPr>
        <w:pStyle w:val="Ruller41"/>
        <w:rPr>
          <w:rtl/>
        </w:rPr>
      </w:pPr>
      <w:r>
        <w:rPr>
          <w:rtl/>
        </w:rPr>
        <w:tab/>
      </w:r>
      <w:r>
        <w:rPr>
          <w:rFonts w:hint="cs"/>
          <w:rtl/>
        </w:rPr>
        <w:t>בספרות צוין כי כללי אשר יוצאים מתוך הנחה כי קבוצת השרים וסגני השרים היא "קבוצה מוגדרת, רבת סמכויות ורבת השפעה" שיש להחיל לגביה "הסדר מחמיר" (</w:t>
      </w:r>
      <w:r w:rsidRPr="001E2B67">
        <w:rPr>
          <w:rFonts w:ascii="Century" w:hAnsi="Century" w:cs="Miriam" w:hint="cs"/>
          <w:b/>
          <w:spacing w:val="0"/>
          <w:szCs w:val="24"/>
          <w:rtl/>
        </w:rPr>
        <w:t>שפניץ</w:t>
      </w:r>
      <w:r>
        <w:rPr>
          <w:rFonts w:hint="cs"/>
          <w:rtl/>
        </w:rPr>
        <w:t xml:space="preserve">, בעמ' 531). ואכן, בכל הנוגע לקבלת טובות הנאה חל על שרים וסגני שרים כלל מחמיר יותר מזה שבחוק המתנות. כך נקבע בכלל 6(3)(א) לכללי אשר כי </w:t>
      </w:r>
      <w:r>
        <w:rPr>
          <w:rFonts w:ascii="Century" w:hAnsi="Century" w:hint="cs"/>
          <w:rtl/>
        </w:rPr>
        <w:t>"</w:t>
      </w:r>
      <w:r w:rsidRPr="009F0733">
        <w:rPr>
          <w:rFonts w:ascii="Century" w:hAnsi="Century" w:hint="eastAsia"/>
          <w:rtl/>
        </w:rPr>
        <w:t>שר</w:t>
      </w:r>
      <w:r w:rsidRPr="009F0733">
        <w:rPr>
          <w:rFonts w:ascii="Century" w:hAnsi="Century"/>
          <w:rtl/>
        </w:rPr>
        <w:t xml:space="preserve"> </w:t>
      </w:r>
      <w:r w:rsidRPr="009F0733">
        <w:rPr>
          <w:rFonts w:ascii="Century" w:hAnsi="Century" w:hint="eastAsia"/>
          <w:rtl/>
        </w:rPr>
        <w:t>לא</w:t>
      </w:r>
      <w:r w:rsidRPr="009F0733">
        <w:rPr>
          <w:rFonts w:ascii="Century" w:hAnsi="Century"/>
          <w:rtl/>
        </w:rPr>
        <w:t xml:space="preserve"> </w:t>
      </w:r>
      <w:r w:rsidRPr="009F0733">
        <w:rPr>
          <w:rFonts w:ascii="Century" w:hAnsi="Century" w:hint="eastAsia"/>
          <w:rtl/>
        </w:rPr>
        <w:t>יקבל</w:t>
      </w:r>
      <w:r w:rsidRPr="009F0733">
        <w:rPr>
          <w:rFonts w:ascii="Century" w:hAnsi="Century"/>
          <w:rtl/>
        </w:rPr>
        <w:t xml:space="preserve"> </w:t>
      </w:r>
      <w:r w:rsidRPr="009F0733">
        <w:rPr>
          <w:rFonts w:ascii="Century" w:hAnsi="Century" w:hint="eastAsia"/>
          <w:rtl/>
        </w:rPr>
        <w:t>שכ</w:t>
      </w:r>
      <w:r w:rsidRPr="0005023D">
        <w:rPr>
          <w:rFonts w:ascii="Century" w:hAnsi="Century" w:hint="eastAsia"/>
          <w:rtl/>
        </w:rPr>
        <w:t>ר</w:t>
      </w:r>
      <w:r w:rsidRPr="0005023D">
        <w:rPr>
          <w:rFonts w:ascii="Century" w:hAnsi="Century"/>
          <w:rtl/>
        </w:rPr>
        <w:t xml:space="preserve"> </w:t>
      </w:r>
      <w:r w:rsidRPr="0005023D">
        <w:rPr>
          <w:rFonts w:ascii="Century" w:hAnsi="Century" w:hint="eastAsia"/>
          <w:rtl/>
        </w:rPr>
        <w:t>או</w:t>
      </w:r>
      <w:r w:rsidRPr="0005023D">
        <w:rPr>
          <w:rFonts w:ascii="Century" w:hAnsi="Century"/>
          <w:rtl/>
        </w:rPr>
        <w:t xml:space="preserve"> </w:t>
      </w:r>
      <w:r w:rsidRPr="0005023D">
        <w:rPr>
          <w:rFonts w:ascii="Century" w:hAnsi="Century" w:hint="eastAsia"/>
          <w:rtl/>
        </w:rPr>
        <w:t>טובת</w:t>
      </w:r>
      <w:r w:rsidRPr="0005023D">
        <w:rPr>
          <w:rFonts w:ascii="Century" w:hAnsi="Century"/>
          <w:rtl/>
        </w:rPr>
        <w:t xml:space="preserve"> </w:t>
      </w:r>
      <w:r w:rsidRPr="0005023D">
        <w:rPr>
          <w:rFonts w:ascii="Century" w:hAnsi="Century" w:hint="eastAsia"/>
          <w:rtl/>
        </w:rPr>
        <w:t>הנאה</w:t>
      </w:r>
      <w:r w:rsidRPr="0005023D">
        <w:rPr>
          <w:rFonts w:ascii="Century" w:hAnsi="Century"/>
          <w:rtl/>
        </w:rPr>
        <w:t xml:space="preserve">, </w:t>
      </w:r>
      <w:r w:rsidRPr="0005023D">
        <w:rPr>
          <w:rFonts w:ascii="Century" w:hAnsi="Century" w:hint="eastAsia"/>
          <w:rtl/>
        </w:rPr>
        <w:t>זולת</w:t>
      </w:r>
      <w:r w:rsidRPr="0005023D">
        <w:rPr>
          <w:rFonts w:ascii="Century" w:hAnsi="Century"/>
          <w:rtl/>
        </w:rPr>
        <w:t xml:space="preserve"> </w:t>
      </w:r>
      <w:r w:rsidRPr="009F0733">
        <w:rPr>
          <w:rFonts w:ascii="Century" w:hAnsi="Century" w:hint="eastAsia"/>
          <w:rtl/>
        </w:rPr>
        <w:t>שכרו</w:t>
      </w:r>
      <w:r w:rsidRPr="009F0733">
        <w:rPr>
          <w:rFonts w:ascii="Century" w:hAnsi="Century"/>
          <w:rtl/>
        </w:rPr>
        <w:t xml:space="preserve"> </w:t>
      </w:r>
      <w:r w:rsidRPr="009F0733">
        <w:rPr>
          <w:rFonts w:ascii="Century" w:hAnsi="Century" w:hint="eastAsia"/>
          <w:rtl/>
        </w:rPr>
        <w:t>שמשלמת</w:t>
      </w:r>
      <w:r w:rsidRPr="009F0733">
        <w:rPr>
          <w:rFonts w:ascii="Century" w:hAnsi="Century"/>
          <w:rtl/>
        </w:rPr>
        <w:t xml:space="preserve"> </w:t>
      </w:r>
      <w:r w:rsidRPr="009F0733">
        <w:rPr>
          <w:rFonts w:ascii="Century" w:hAnsi="Century" w:hint="eastAsia"/>
          <w:rtl/>
        </w:rPr>
        <w:t>לו</w:t>
      </w:r>
      <w:r w:rsidRPr="009F0733">
        <w:rPr>
          <w:rFonts w:ascii="Century" w:hAnsi="Century"/>
          <w:rtl/>
        </w:rPr>
        <w:t xml:space="preserve"> </w:t>
      </w:r>
      <w:r w:rsidRPr="009F0733">
        <w:rPr>
          <w:rFonts w:ascii="Century" w:hAnsi="Century" w:hint="eastAsia"/>
          <w:rtl/>
        </w:rPr>
        <w:t>המדינה</w:t>
      </w:r>
      <w:r w:rsidRPr="009F0733">
        <w:rPr>
          <w:rFonts w:ascii="Century" w:hAnsi="Century"/>
          <w:rtl/>
        </w:rPr>
        <w:t>"</w:t>
      </w:r>
      <w:r>
        <w:rPr>
          <w:rFonts w:hint="cs"/>
          <w:rtl/>
        </w:rPr>
        <w:t xml:space="preserve">. כלל זה אוסר על השרים לקבל שכר או טובת הנאה ללא קשר לטעם שבגינו ניתנו, כלומר, גם אם ניתנו לו שלא באשר הוא שר, ולרבות טובות הנאה שניתנו בתמורה. עם זאת, לצד כלל מחמיר זה עומדת לחבר בממשלה האפשרות לפנות לוועדת ההיתרים לצורך קבלת היתר אישי לחריגה מן </w:t>
      </w:r>
      <w:r>
        <w:rPr>
          <w:rFonts w:hint="cs"/>
          <w:rtl/>
        </w:rPr>
        <w:lastRenderedPageBreak/>
        <w:t xml:space="preserve">הכלל. הוועדה </w:t>
      </w:r>
      <w:r>
        <w:rPr>
          <w:rtl/>
        </w:rPr>
        <w:t>–</w:t>
      </w:r>
      <w:r>
        <w:rPr>
          <w:rFonts w:hint="cs"/>
          <w:rtl/>
        </w:rPr>
        <w:t xml:space="preserve"> שמורכבת משלושה חברים ומתמנה על ידי מבקר המדינה לתקופה של שנתיים </w:t>
      </w:r>
      <w:r>
        <w:rPr>
          <w:rtl/>
        </w:rPr>
        <w:t>–</w:t>
      </w:r>
      <w:r>
        <w:rPr>
          <w:rFonts w:hint="cs"/>
          <w:rtl/>
        </w:rPr>
        <w:t xml:space="preserve"> רשאית להעניק את ההיתר או להעניקו בכפוף לתנאים, "אם הדבר נראה לה מוצדק בנסיבות העניין ותקין מבחינה ציבורית" (כללים 19-18 לכללי אשר). </w:t>
      </w:r>
    </w:p>
    <w:p w14:paraId="1AD13C6D" w14:textId="77777777" w:rsidR="00F125D1" w:rsidRDefault="00F125D1" w:rsidP="00F125D1">
      <w:pPr>
        <w:pStyle w:val="Ruller41"/>
        <w:rPr>
          <w:rtl/>
        </w:rPr>
      </w:pPr>
    </w:p>
    <w:p w14:paraId="6807EA5A" w14:textId="77777777" w:rsidR="00F125D1" w:rsidRDefault="00F125D1" w:rsidP="00F125D1">
      <w:pPr>
        <w:pStyle w:val="Ruller4"/>
      </w:pPr>
      <w:r>
        <w:rPr>
          <w:rFonts w:hint="cs"/>
          <w:rtl/>
        </w:rPr>
        <w:t xml:space="preserve">לסיכום הדברים ניתן לומר שכאשר מוענקת לחבר ממשלה טובת הנאה יש לבחון ראשית האם טובת ההנאה מהווה מתנה שחל לגביה האיסור הקבוע בסעיף 2(א) לחוק המתנות, דהיינו </w:t>
      </w:r>
      <w:r>
        <w:rPr>
          <w:rtl/>
        </w:rPr>
        <w:t>–</w:t>
      </w:r>
      <w:r>
        <w:rPr>
          <w:rFonts w:hint="cs"/>
          <w:rtl/>
        </w:rPr>
        <w:t xml:space="preserve"> האם מדובר בטובת הנאה שניתנה ללא תמורה לעובד הציבור או לבן זוגו שחי עמו או ילדו הסמוך על שולחנו, באשר הוא עובד ציבור. ככל שסעיף 2(א) לחוק המתנות אינו חל ביחס לטובת ההנאה שבה מדובר, כי אז יש להוסיף ולבחון האם ניתן היתר מתאים לקבלת טובת ההנאה על ידי ועדת ההיתרים, בהתאם לכללי אשר. </w:t>
      </w:r>
    </w:p>
    <w:p w14:paraId="12B666D9" w14:textId="77777777" w:rsidR="00F125D1" w:rsidRDefault="00F125D1" w:rsidP="00F125D1">
      <w:pPr>
        <w:pStyle w:val="Ruller4"/>
        <w:numPr>
          <w:ilvl w:val="0"/>
          <w:numId w:val="0"/>
        </w:numPr>
        <w:rPr>
          <w:rtl/>
        </w:rPr>
      </w:pPr>
    </w:p>
    <w:p w14:paraId="7A9458BD" w14:textId="1FD7CC6F" w:rsidR="00F125D1" w:rsidRPr="001E2B67" w:rsidRDefault="00F125D1" w:rsidP="00B07236">
      <w:pPr>
        <w:pStyle w:val="Ruller4"/>
        <w:numPr>
          <w:ilvl w:val="0"/>
          <w:numId w:val="0"/>
        </w:numPr>
        <w:rPr>
          <w:rtl/>
        </w:rPr>
      </w:pPr>
      <w:r>
        <w:rPr>
          <w:rtl/>
        </w:rPr>
        <w:tab/>
      </w:r>
      <w:r>
        <w:rPr>
          <w:rFonts w:hint="cs"/>
          <w:rtl/>
        </w:rPr>
        <w:t xml:space="preserve">משהונחה </w:t>
      </w:r>
      <w:r w:rsidR="00B07236">
        <w:rPr>
          <w:rFonts w:hint="cs"/>
          <w:rtl/>
        </w:rPr>
        <w:t>התשתית</w:t>
      </w:r>
      <w:r>
        <w:rPr>
          <w:rFonts w:hint="cs"/>
          <w:rtl/>
        </w:rPr>
        <w:t xml:space="preserve"> הנורמטיבית</w:t>
      </w:r>
      <w:r w:rsidR="00B07236">
        <w:rPr>
          <w:rFonts w:hint="cs"/>
          <w:rtl/>
        </w:rPr>
        <w:t xml:space="preserve"> הצריכה לענייננו</w:t>
      </w:r>
      <w:r>
        <w:rPr>
          <w:rFonts w:hint="cs"/>
          <w:rtl/>
        </w:rPr>
        <w:t xml:space="preserve">, אפנה עתה לבחינת המענק ממיליקובסקי וההלוואה מפרטרידג'. </w:t>
      </w:r>
    </w:p>
    <w:p w14:paraId="281D368F" w14:textId="77777777" w:rsidR="00F125D1" w:rsidRDefault="00F125D1" w:rsidP="00F125D1">
      <w:pPr>
        <w:pStyle w:val="Ruller41"/>
        <w:rPr>
          <w:rtl/>
        </w:rPr>
      </w:pPr>
    </w:p>
    <w:p w14:paraId="03C2D502" w14:textId="77777777" w:rsidR="00F125D1" w:rsidRDefault="00F125D1" w:rsidP="00F125D1">
      <w:pPr>
        <w:pStyle w:val="Ruller41"/>
        <w:rPr>
          <w:rFonts w:ascii="Century" w:hAnsi="Century" w:cs="Miriam"/>
          <w:b/>
          <w:spacing w:val="0"/>
          <w:szCs w:val="24"/>
          <w:rtl/>
        </w:rPr>
      </w:pPr>
      <w:r>
        <w:rPr>
          <w:rFonts w:ascii="Century" w:hAnsi="Century" w:cs="Miriam" w:hint="cs"/>
          <w:b/>
          <w:spacing w:val="0"/>
          <w:szCs w:val="24"/>
          <w:rtl/>
        </w:rPr>
        <w:t>המענק ממיליקובסקי</w:t>
      </w:r>
    </w:p>
    <w:p w14:paraId="64726506" w14:textId="77777777" w:rsidR="00F125D1" w:rsidRDefault="00F125D1" w:rsidP="00F125D1">
      <w:pPr>
        <w:pStyle w:val="Ruller41"/>
        <w:rPr>
          <w:rtl/>
        </w:rPr>
      </w:pPr>
    </w:p>
    <w:p w14:paraId="139A72F8" w14:textId="3D8A1FED" w:rsidR="00F125D1" w:rsidRDefault="00F125D1" w:rsidP="002D01C5">
      <w:pPr>
        <w:pStyle w:val="Ruller4"/>
      </w:pPr>
      <w:r>
        <w:rPr>
          <w:rFonts w:hint="cs"/>
          <w:rtl/>
        </w:rPr>
        <w:t xml:space="preserve">דומה כי אין מחלוקת </w:t>
      </w:r>
      <w:r w:rsidR="002D01C5">
        <w:rPr>
          <w:rFonts w:hint="cs"/>
          <w:rtl/>
        </w:rPr>
        <w:t xml:space="preserve">שהמענק ממיליקובסקי, אשר </w:t>
      </w:r>
      <w:r>
        <w:rPr>
          <w:rFonts w:hint="cs"/>
          <w:rtl/>
        </w:rPr>
        <w:t xml:space="preserve">ניתן בתקופה שבה כיהן ח"כ נתניהו כראש הממשלה, מהווה טובת הנאה שלא בתמורה שניתנה לעובד ציבור. המחלוקת בין הצדדים ביחס לתחולת חוק המתנות מתמקדת בשאלה האם המענק ניתן לח"כ נתניהו "באשר הוא עובד ציבור". </w:t>
      </w:r>
    </w:p>
    <w:p w14:paraId="27395B21" w14:textId="77777777" w:rsidR="00F125D1" w:rsidRDefault="00F125D1" w:rsidP="00F125D1">
      <w:pPr>
        <w:pStyle w:val="Ruller4"/>
        <w:numPr>
          <w:ilvl w:val="0"/>
          <w:numId w:val="0"/>
        </w:numPr>
        <w:rPr>
          <w:rtl/>
        </w:rPr>
      </w:pPr>
    </w:p>
    <w:p w14:paraId="5E69BBF5" w14:textId="77777777" w:rsidR="00F125D1" w:rsidRDefault="00F125D1" w:rsidP="00F125D1">
      <w:pPr>
        <w:pStyle w:val="Ruller4"/>
        <w:numPr>
          <w:ilvl w:val="0"/>
          <w:numId w:val="0"/>
        </w:numPr>
        <w:rPr>
          <w:rtl/>
        </w:rPr>
      </w:pPr>
      <w:r>
        <w:rPr>
          <w:rtl/>
        </w:rPr>
        <w:tab/>
      </w:r>
      <w:r>
        <w:rPr>
          <w:rFonts w:hint="cs"/>
          <w:rtl/>
        </w:rPr>
        <w:t xml:space="preserve">המבחן הרלוונטי לעניין זה, שנקבע בעניין </w:t>
      </w:r>
      <w:r w:rsidRPr="005B7098">
        <w:rPr>
          <w:rFonts w:ascii="Century" w:hAnsi="Century" w:cs="Miriam" w:hint="cs"/>
          <w:b/>
          <w:spacing w:val="0"/>
          <w:szCs w:val="24"/>
          <w:rtl/>
        </w:rPr>
        <w:t>סויסא</w:t>
      </w:r>
      <w:r>
        <w:rPr>
          <w:rFonts w:hint="cs"/>
          <w:rtl/>
        </w:rPr>
        <w:t xml:space="preserve"> הוא </w:t>
      </w:r>
      <w:r>
        <w:rPr>
          <w:rtl/>
        </w:rPr>
        <w:t>–</w:t>
      </w:r>
      <w:r>
        <w:rPr>
          <w:rFonts w:hint="cs"/>
          <w:rtl/>
        </w:rPr>
        <w:t xml:space="preserve"> האם נוכח מכלול נסיבות הענין ניתן לומר כי הטעם הבלעדי או הדומיננטי למתן המענק היה היותו של ח"כ נתניהו עובד ציבור.</w:t>
      </w:r>
    </w:p>
    <w:p w14:paraId="195C7DF9" w14:textId="77777777" w:rsidR="00F125D1" w:rsidRDefault="00F125D1" w:rsidP="00F125D1">
      <w:pPr>
        <w:pStyle w:val="Ruller41"/>
        <w:rPr>
          <w:rtl/>
        </w:rPr>
      </w:pPr>
    </w:p>
    <w:p w14:paraId="0C597661" w14:textId="5B5D781B" w:rsidR="00F125D1" w:rsidRDefault="00F125D1" w:rsidP="00F125D1">
      <w:pPr>
        <w:pStyle w:val="Ruller4"/>
        <w:numPr>
          <w:ilvl w:val="0"/>
          <w:numId w:val="0"/>
        </w:numPr>
        <w:rPr>
          <w:rtl/>
        </w:rPr>
      </w:pPr>
      <w:r>
        <w:rPr>
          <w:rtl/>
        </w:rPr>
        <w:tab/>
      </w:r>
      <w:r>
        <w:rPr>
          <w:rFonts w:hint="cs"/>
          <w:rtl/>
        </w:rPr>
        <w:t xml:space="preserve">טענתו העיקרית של ח"כ נתניהו בהקשר זה היא כי המענק ממיליקובסקי ניתן לו בשל יחסיהם הקרובים כבני דודים, אשר התאפיינו בכך שמיליקובסקי סייע לו מעת לעת לאורך השנים ועוד בטרם שח"כ נתניהו הפך לאיש ציבור. היועץ המשפטי לממשלה היה מודע ליחסי הקרבה הללו ואף ציין במכתבו מיום 27.6.2018 כי ח"כ נתניהו ומיליקובסקי מקיימים יחסים קרובים במשך עשורים רבים וכי נהגו להיפגש מדי מספר חודשים בחיק משפחותיהם ולקיים שיחות טלפוניות מעת לעת. בשים לב לכך, קבע היועץ בשעתו כי חוק המתנות אינו חל ביחס לקבלת סיוע ממיליקובסקי למימון ההוצאות המשפטיות של ח"כ נתניהו. חוות דעת זו ניתנה ביחס לבקשת ח"כ נתניהו לקבל סיוע ממיליקובסקי, והוא לא שינה ממנה גם לאחר שהתברר ליועץ כי ח"כ נתניהו כבר קיבל למעשה סיוע </w:t>
      </w:r>
      <w:r>
        <w:rPr>
          <w:rFonts w:hint="cs"/>
          <w:rtl/>
        </w:rPr>
        <w:lastRenderedPageBreak/>
        <w:t xml:space="preserve">כזה ממיליקובסקי. זאת, עד שנתגלו לו עובדות נוספות ביחס לקשר בין השניים אגב בחינת פרשת המניות. </w:t>
      </w:r>
    </w:p>
    <w:p w14:paraId="5F1F0E33" w14:textId="77777777" w:rsidR="00F125D1" w:rsidRPr="007C02C7" w:rsidRDefault="00F125D1" w:rsidP="00F125D1">
      <w:pPr>
        <w:pStyle w:val="Ruller41"/>
        <w:rPr>
          <w:rtl/>
        </w:rPr>
      </w:pPr>
    </w:p>
    <w:p w14:paraId="4570A5C0" w14:textId="376ED681" w:rsidR="00F125D1" w:rsidRDefault="00F125D1" w:rsidP="00742379">
      <w:pPr>
        <w:pStyle w:val="Ruller4"/>
        <w:rPr>
          <w:rtl/>
        </w:rPr>
      </w:pPr>
      <w:r>
        <w:rPr>
          <w:rFonts w:hint="cs"/>
          <w:rtl/>
        </w:rPr>
        <w:t xml:space="preserve">אכן, כאשר בן משפחתו של עובד הציבור או חברו הקרוב מעניק לו מתנה, </w:t>
      </w:r>
      <w:r w:rsidR="00742379">
        <w:rPr>
          <w:rFonts w:hint="cs"/>
          <w:rtl/>
        </w:rPr>
        <w:t xml:space="preserve">בהחלט </w:t>
      </w:r>
      <w:r>
        <w:rPr>
          <w:rFonts w:hint="cs"/>
          <w:rtl/>
        </w:rPr>
        <w:t>ייתכן כי המניע לכך הוא מערכת היחסים האישית בין הצדדים ו</w:t>
      </w:r>
      <w:r w:rsidR="00561193">
        <w:rPr>
          <w:rFonts w:hint="cs"/>
          <w:rtl/>
        </w:rPr>
        <w:t xml:space="preserve">כי </w:t>
      </w:r>
      <w:r>
        <w:rPr>
          <w:rFonts w:hint="cs"/>
          <w:rtl/>
        </w:rPr>
        <w:t>אין לכך קשר לתפקידו של מקבל המתנה כעובד ציבור. במסגרת הדיונים בכנסת בנוגע להצעת חוק המתנות אף הובהר כי "</w:t>
      </w:r>
      <w:r w:rsidRPr="002C24EE">
        <w:rPr>
          <w:rFonts w:hint="cs"/>
          <w:rtl/>
        </w:rPr>
        <w:t>איננו רוצים להוציא את עובד הציבור מתוך מכלול החיים החברתיים</w:t>
      </w:r>
      <w:r w:rsidR="005978A4">
        <w:rPr>
          <w:rFonts w:hint="cs"/>
          <w:rtl/>
        </w:rPr>
        <w:t xml:space="preserve"> [...]</w:t>
      </w:r>
      <w:r w:rsidRPr="002C24EE">
        <w:rPr>
          <w:rFonts w:hint="cs"/>
          <w:rtl/>
        </w:rPr>
        <w:t>"</w:t>
      </w:r>
      <w:r>
        <w:rPr>
          <w:rFonts w:hint="cs"/>
          <w:rtl/>
        </w:rPr>
        <w:t>,</w:t>
      </w:r>
      <w:r w:rsidRPr="002C24EE">
        <w:rPr>
          <w:rFonts w:hint="cs"/>
          <w:rtl/>
        </w:rPr>
        <w:t xml:space="preserve"> וכי על דרך הכלל מתנות מבני משפחה וחברים קרובים לא יבואו בגדר האיסור הקבוע בסעיף 2(א) לחוק (ראו: דבריו של ח"כ גדעון האוזנר בפרוטוקול ועדת החוקה מיום 3.4.1978, בעמ' 3; דבריו של שר המשפטים שמואל תמיר: ד"כ 1.3.1978, 1868-1867; פרוטוקול ישיבה מס' 57 של ועדת החוקה, הכנסת ה-9, 4 (27.3.1978)). </w:t>
      </w:r>
      <w:r w:rsidR="00BD6CA1" w:rsidRPr="002C24EE">
        <w:rPr>
          <w:rFonts w:hint="cs"/>
          <w:rtl/>
        </w:rPr>
        <w:t>עם זאת, החוק אינו מתמקד</w:t>
      </w:r>
      <w:r w:rsidR="00BD6CA1">
        <w:rPr>
          <w:rFonts w:hint="cs"/>
          <w:rtl/>
        </w:rPr>
        <w:t xml:space="preserve"> </w:t>
      </w:r>
      <w:r w:rsidR="00BD6CA1" w:rsidRPr="002C24EE">
        <w:rPr>
          <w:rFonts w:hint="cs"/>
          <w:rtl/>
        </w:rPr>
        <w:t>בסו</w:t>
      </w:r>
      <w:r w:rsidR="00BD6CA1">
        <w:rPr>
          <w:rFonts w:hint="cs"/>
          <w:rtl/>
        </w:rPr>
        <w:t>ג הקשר בין נותן המתנה למקבלה, אלא בטעם למתן המתנה</w:t>
      </w:r>
      <w:r w:rsidR="001C1225">
        <w:rPr>
          <w:rFonts w:hint="cs"/>
          <w:rtl/>
        </w:rPr>
        <w:t>.</w:t>
      </w:r>
      <w:r w:rsidR="00BD6CA1">
        <w:rPr>
          <w:rFonts w:hint="cs"/>
          <w:rtl/>
        </w:rPr>
        <w:t xml:space="preserve"> </w:t>
      </w:r>
      <w:r>
        <w:rPr>
          <w:rFonts w:hint="cs"/>
          <w:rtl/>
        </w:rPr>
        <w:t xml:space="preserve">על כן, גם כאשר המתנה ניתנה על ידי קרוב משפחה, לא ניתן להסתפק בנתון זה אלא יש להוסיף ולבחון, בהתבסס על מכלול הנסיבות הרלוונטיות, האם אכן מדובר במתנה שניתנה בשל יחסים אישיים-משפחתיים או שמא תפקידו של עובד הציבור היה המניע הדומיננטי לכך </w:t>
      </w:r>
      <w:r w:rsidRPr="002C24EE">
        <w:rPr>
          <w:rFonts w:hint="cs"/>
          <w:rtl/>
        </w:rPr>
        <w:t>(</w:t>
      </w:r>
      <w:r>
        <w:rPr>
          <w:rFonts w:hint="cs"/>
          <w:rtl/>
        </w:rPr>
        <w:t xml:space="preserve">השוו: </w:t>
      </w:r>
      <w:r w:rsidRPr="002C24EE">
        <w:rPr>
          <w:rFonts w:hint="cs"/>
          <w:rtl/>
        </w:rPr>
        <w:t xml:space="preserve">ע"פ 4148/96 </w:t>
      </w:r>
      <w:r w:rsidRPr="002C24EE">
        <w:rPr>
          <w:rFonts w:ascii="Century" w:hAnsi="Century" w:cs="Miriam" w:hint="cs"/>
          <w:b/>
          <w:spacing w:val="0"/>
          <w:szCs w:val="24"/>
          <w:rtl/>
        </w:rPr>
        <w:t>מדינת ישראל נ' גנות</w:t>
      </w:r>
      <w:r w:rsidRPr="002C24EE">
        <w:rPr>
          <w:rFonts w:hint="cs"/>
          <w:rtl/>
        </w:rPr>
        <w:t>, פ"ד נ(5) 367, 377 (1996)).</w:t>
      </w:r>
      <w:r>
        <w:rPr>
          <w:rFonts w:hint="cs"/>
          <w:rtl/>
        </w:rPr>
        <w:t xml:space="preserve"> </w:t>
      </w:r>
    </w:p>
    <w:p w14:paraId="0D938DD2" w14:textId="77777777" w:rsidR="00F125D1" w:rsidRDefault="00F125D1" w:rsidP="00F125D1">
      <w:pPr>
        <w:pStyle w:val="Ruller41"/>
        <w:rPr>
          <w:rtl/>
        </w:rPr>
      </w:pPr>
    </w:p>
    <w:p w14:paraId="70B4674F" w14:textId="77777777" w:rsidR="00F125D1" w:rsidRDefault="00F125D1" w:rsidP="00F125D1">
      <w:pPr>
        <w:pStyle w:val="Ruller4"/>
        <w:rPr>
          <w:rtl/>
        </w:rPr>
      </w:pPr>
      <w:r>
        <w:rPr>
          <w:rFonts w:hint="cs"/>
          <w:rtl/>
        </w:rPr>
        <w:t>לאחר שבחנתי את ההיבטים השונים הנוגעים למתן המענק ממיליקובסקי אני סבורה כי אלה מלמדים שהיותו של ח"כ נתניהו עובד ציבור היוותה הטעם הדומיננטי לנתינתו וזאת מן הטעמים שאפרט להלן.</w:t>
      </w:r>
    </w:p>
    <w:p w14:paraId="53EC407A" w14:textId="77777777" w:rsidR="00F125D1" w:rsidRDefault="00F125D1" w:rsidP="00F125D1">
      <w:pPr>
        <w:pStyle w:val="Ruller4"/>
        <w:numPr>
          <w:ilvl w:val="0"/>
          <w:numId w:val="0"/>
        </w:numPr>
        <w:rPr>
          <w:rtl/>
        </w:rPr>
      </w:pPr>
    </w:p>
    <w:p w14:paraId="0D57600C" w14:textId="4F307028" w:rsidR="00EB612A" w:rsidRDefault="00F125D1" w:rsidP="00A81AE6">
      <w:pPr>
        <w:pStyle w:val="Ruller4"/>
      </w:pPr>
      <w:r>
        <w:rPr>
          <w:rFonts w:hint="cs"/>
          <w:rtl/>
        </w:rPr>
        <w:t>ראשית, בכל הנוגע ל</w:t>
      </w:r>
      <w:r w:rsidRPr="002711CE">
        <w:rPr>
          <w:rFonts w:ascii="Century" w:hAnsi="Century" w:cs="Miriam" w:hint="cs"/>
          <w:b/>
          <w:spacing w:val="0"/>
          <w:sz w:val="22"/>
          <w:szCs w:val="24"/>
          <w:rtl/>
        </w:rPr>
        <w:t xml:space="preserve">אופי היחסים </w:t>
      </w:r>
      <w:r>
        <w:rPr>
          <w:rFonts w:hint="cs"/>
          <w:rtl/>
        </w:rPr>
        <w:t xml:space="preserve">בין ח"כ נתניהו למיליקובסקי, </w:t>
      </w:r>
      <w:r w:rsidR="00B011DF">
        <w:rPr>
          <w:rFonts w:hint="cs"/>
          <w:rtl/>
        </w:rPr>
        <w:t xml:space="preserve">ועדת ההיתרים ציינה כי לא מדובר בקרבה משפחתית מהמעגל הראשון </w:t>
      </w:r>
      <w:r w:rsidR="001C1225">
        <w:rPr>
          <w:rFonts w:hint="cs"/>
          <w:rtl/>
        </w:rPr>
        <w:t>או</w:t>
      </w:r>
      <w:r w:rsidR="00B011DF">
        <w:rPr>
          <w:rFonts w:hint="cs"/>
          <w:rtl/>
        </w:rPr>
        <w:t xml:space="preserve"> בנסיבות של ניהול משק בית משותף </w:t>
      </w:r>
      <w:r w:rsidR="001C1225">
        <w:rPr>
          <w:rFonts w:hint="cs"/>
          <w:rtl/>
        </w:rPr>
        <w:t>ו</w:t>
      </w:r>
      <w:r w:rsidR="00B011DF">
        <w:rPr>
          <w:rFonts w:hint="cs"/>
          <w:rtl/>
        </w:rPr>
        <w:t xml:space="preserve">קרבה המאופיינת </w:t>
      </w:r>
      <w:r w:rsidR="0095524F">
        <w:rPr>
          <w:rFonts w:hint="cs"/>
          <w:rtl/>
        </w:rPr>
        <w:t>בשיתוף הדדי</w:t>
      </w:r>
      <w:r w:rsidR="00B011DF">
        <w:rPr>
          <w:rFonts w:hint="cs"/>
          <w:rtl/>
        </w:rPr>
        <w:t xml:space="preserve"> </w:t>
      </w:r>
      <w:r w:rsidR="00A81AE6">
        <w:rPr>
          <w:rFonts w:hint="cs"/>
          <w:rtl/>
        </w:rPr>
        <w:t>ב</w:t>
      </w:r>
      <w:r w:rsidR="00B011DF">
        <w:rPr>
          <w:rFonts w:hint="cs"/>
          <w:rtl/>
        </w:rPr>
        <w:t>הון המשפחתי (ראו: עמ' 2 להחל</w:t>
      </w:r>
      <w:r w:rsidR="00EB612A">
        <w:rPr>
          <w:rFonts w:hint="cs"/>
          <w:rtl/>
        </w:rPr>
        <w:t xml:space="preserve">טת ועדת ההיתרים מיום 29.11.2018; </w:t>
      </w:r>
      <w:r w:rsidR="00C11731">
        <w:rPr>
          <w:rFonts w:hint="cs"/>
          <w:rtl/>
        </w:rPr>
        <w:t xml:space="preserve">וראו והשוו </w:t>
      </w:r>
      <w:r w:rsidR="00EB612A">
        <w:rPr>
          <w:rFonts w:hint="cs"/>
          <w:rtl/>
        </w:rPr>
        <w:t xml:space="preserve">בהקשר זה הגדרת "בן משפחה" של שר </w:t>
      </w:r>
      <w:r w:rsidR="00B011DF">
        <w:rPr>
          <w:rFonts w:hint="cs"/>
          <w:rtl/>
        </w:rPr>
        <w:t>בסעיף 1(1) לכללי אשר</w:t>
      </w:r>
      <w:r w:rsidR="00EB612A">
        <w:rPr>
          <w:rFonts w:hint="cs"/>
          <w:rtl/>
        </w:rPr>
        <w:t>,</w:t>
      </w:r>
      <w:r w:rsidR="000802C2">
        <w:rPr>
          <w:rFonts w:hint="cs"/>
          <w:rtl/>
        </w:rPr>
        <w:t xml:space="preserve"> ו</w:t>
      </w:r>
      <w:r w:rsidR="00EB612A">
        <w:rPr>
          <w:rFonts w:hint="cs"/>
          <w:rtl/>
        </w:rPr>
        <w:t xml:space="preserve">הגדרת "בן משפחה" </w:t>
      </w:r>
      <w:r w:rsidR="00B011DF">
        <w:rPr>
          <w:rFonts w:hint="cs"/>
          <w:rtl/>
        </w:rPr>
        <w:t xml:space="preserve">בסעיף 14 להחלטת ועדת האתיקה של הכנסת בעניין "גיוס תרומות לצורך רפואי או למימון הוצאות משפטיות" (16.7.2018) (להלן: </w:t>
      </w:r>
      <w:r w:rsidR="00B011DF" w:rsidRPr="00292D1F">
        <w:rPr>
          <w:rFonts w:ascii="Century" w:hAnsi="Century" w:cs="Miriam" w:hint="cs"/>
          <w:b/>
          <w:spacing w:val="0"/>
          <w:sz w:val="22"/>
          <w:szCs w:val="24"/>
          <w:rtl/>
        </w:rPr>
        <w:t>החלטת ועדת האתיקה בעניין מימון הוצאות משפטיות</w:t>
      </w:r>
      <w:r w:rsidR="00B011DF">
        <w:rPr>
          <w:rFonts w:hint="cs"/>
          <w:rtl/>
        </w:rPr>
        <w:t xml:space="preserve">), </w:t>
      </w:r>
      <w:r w:rsidR="00EB612A">
        <w:rPr>
          <w:rFonts w:hint="cs"/>
          <w:rtl/>
        </w:rPr>
        <w:t>ש</w:t>
      </w:r>
      <w:r w:rsidR="00B011DF">
        <w:rPr>
          <w:rFonts w:hint="cs"/>
          <w:rtl/>
        </w:rPr>
        <w:t>אינה נוגעת לענייננו משום ש</w:t>
      </w:r>
      <w:r w:rsidR="00D83D69">
        <w:rPr>
          <w:rFonts w:hint="cs"/>
          <w:rtl/>
        </w:rPr>
        <w:t xml:space="preserve">היא </w:t>
      </w:r>
      <w:r w:rsidR="00B011DF">
        <w:rPr>
          <w:rFonts w:hint="cs"/>
          <w:rtl/>
        </w:rPr>
        <w:t>אי</w:t>
      </w:r>
      <w:r w:rsidR="00D83D69">
        <w:rPr>
          <w:rFonts w:hint="cs"/>
          <w:rtl/>
        </w:rPr>
        <w:t>נ</w:t>
      </w:r>
      <w:r w:rsidR="00B011DF">
        <w:rPr>
          <w:rFonts w:hint="cs"/>
          <w:rtl/>
        </w:rPr>
        <w:t>ה חלה על חברי ממשלה (</w:t>
      </w:r>
      <w:r w:rsidR="00B011DF" w:rsidRPr="0004046B">
        <w:rPr>
          <w:rFonts w:ascii="Century" w:hAnsi="Century" w:cs="Miriam" w:hint="cs"/>
          <w:b/>
          <w:spacing w:val="0"/>
          <w:sz w:val="22"/>
          <w:szCs w:val="24"/>
          <w:rtl/>
        </w:rPr>
        <w:t>שם</w:t>
      </w:r>
      <w:r w:rsidR="00B011DF">
        <w:rPr>
          <w:rFonts w:hint="cs"/>
          <w:rtl/>
        </w:rPr>
        <w:t>, בסעיף 17)).</w:t>
      </w:r>
      <w:r w:rsidR="00EB612A">
        <w:rPr>
          <w:rFonts w:hint="cs"/>
          <w:rtl/>
        </w:rPr>
        <w:t xml:space="preserve"> </w:t>
      </w:r>
      <w:r w:rsidR="00B011DF">
        <w:rPr>
          <w:rFonts w:hint="cs"/>
          <w:rtl/>
        </w:rPr>
        <w:t xml:space="preserve">ועדת ההיתרים הוסיפה וקבעה כממצא עובדתי כי בין מיליקובסקי לח"כ נתניהו "יש או לפחות היו גם יחסים עסקיים מעבר לקרבה משפחתית גרידא". זאת בהתבסס, בין היתר, על החזקות משותפות בשותפות שהחזיקה חלקים ניכרים מתאגיד העוסק בתוספי פלדה (עמ' 7 להחלטת הוועדה מיום 20.2.2019). בהחלטה נוספת של הוועדה היא שבה וציינה כי בין מיליקובסקי לח"כ </w:t>
      </w:r>
      <w:r w:rsidR="00B011DF">
        <w:rPr>
          <w:rFonts w:hint="cs"/>
          <w:rtl/>
        </w:rPr>
        <w:lastRenderedPageBreak/>
        <w:t>נתניהו "התקיים קשר עסקי ולא קשר משפחתי בלבד כפי שהוצג ע"י באי כוח המבקש" וכי "מאז התפרסמו ברבים אף מפי המבקש עצמו פרטים נוספים לגבי קשר עסקי זה שלא בא זכרם בפניות המבקש לוועדה" (עמ' 4 להחלטת הוועדה מיום 24.6.2019). בנסיבות אלה לא ניתן לומר כי ליחסים בין</w:t>
      </w:r>
      <w:r w:rsidR="00436434">
        <w:rPr>
          <w:rFonts w:hint="cs"/>
          <w:rtl/>
        </w:rPr>
        <w:t xml:space="preserve"> ח"כ</w:t>
      </w:r>
      <w:r w:rsidR="00B011DF">
        <w:rPr>
          <w:rFonts w:hint="cs"/>
          <w:rtl/>
        </w:rPr>
        <w:t xml:space="preserve"> נתניהו</w:t>
      </w:r>
      <w:r w:rsidR="00436434">
        <w:rPr>
          <w:rFonts w:hint="cs"/>
          <w:rtl/>
        </w:rPr>
        <w:t xml:space="preserve"> ומיליקובסקי</w:t>
      </w:r>
      <w:r w:rsidR="00175B8C">
        <w:rPr>
          <w:rFonts w:hint="cs"/>
          <w:rtl/>
        </w:rPr>
        <w:t xml:space="preserve"> </w:t>
      </w:r>
      <w:r w:rsidR="00B011DF">
        <w:rPr>
          <w:rFonts w:hint="cs"/>
          <w:rtl/>
        </w:rPr>
        <w:t xml:space="preserve">היה היבט משפחתי בלבד. </w:t>
      </w:r>
    </w:p>
    <w:p w14:paraId="37F57180" w14:textId="77777777" w:rsidR="00EB612A" w:rsidRDefault="00EB612A" w:rsidP="00EB612A">
      <w:pPr>
        <w:pStyle w:val="Ruller4"/>
        <w:numPr>
          <w:ilvl w:val="0"/>
          <w:numId w:val="0"/>
        </w:numPr>
        <w:rPr>
          <w:rtl/>
        </w:rPr>
      </w:pPr>
    </w:p>
    <w:p w14:paraId="74020942" w14:textId="26F2474F" w:rsidR="00F125D1" w:rsidRDefault="00EB612A" w:rsidP="00EB612A">
      <w:pPr>
        <w:pStyle w:val="Ruller4"/>
        <w:numPr>
          <w:ilvl w:val="0"/>
          <w:numId w:val="0"/>
        </w:numPr>
        <w:rPr>
          <w:rtl/>
        </w:rPr>
      </w:pPr>
      <w:r>
        <w:rPr>
          <w:rtl/>
        </w:rPr>
        <w:tab/>
      </w:r>
      <w:r w:rsidR="00F125D1">
        <w:rPr>
          <w:rFonts w:hint="cs"/>
          <w:rtl/>
        </w:rPr>
        <w:t>לכך יש להוסיף כי ב</w:t>
      </w:r>
      <w:r w:rsidR="00F125D1" w:rsidRPr="00D63A5F">
        <w:rPr>
          <w:rFonts w:hint="eastAsia"/>
          <w:rtl/>
        </w:rPr>
        <w:t>מסמך</w:t>
      </w:r>
      <w:r w:rsidR="00F125D1" w:rsidRPr="00D63A5F">
        <w:rPr>
          <w:rtl/>
        </w:rPr>
        <w:t xml:space="preserve"> </w:t>
      </w:r>
      <w:r w:rsidR="00F125D1" w:rsidRPr="00D63A5F">
        <w:rPr>
          <w:rFonts w:hint="eastAsia"/>
          <w:rtl/>
        </w:rPr>
        <w:t>עיקרי</w:t>
      </w:r>
      <w:r w:rsidR="00F125D1" w:rsidRPr="00D63A5F">
        <w:rPr>
          <w:rtl/>
        </w:rPr>
        <w:t xml:space="preserve"> </w:t>
      </w:r>
      <w:r w:rsidR="00F125D1" w:rsidRPr="00D63A5F">
        <w:rPr>
          <w:rFonts w:hint="eastAsia"/>
          <w:rtl/>
        </w:rPr>
        <w:t>הנימוקים</w:t>
      </w:r>
      <w:r w:rsidR="00F125D1" w:rsidRPr="00D63A5F">
        <w:rPr>
          <w:rtl/>
        </w:rPr>
        <w:t xml:space="preserve"> </w:t>
      </w:r>
      <w:r w:rsidR="00F125D1" w:rsidRPr="00D63A5F">
        <w:rPr>
          <w:rFonts w:hint="eastAsia"/>
          <w:rtl/>
        </w:rPr>
        <w:t>בעניין</w:t>
      </w:r>
      <w:r w:rsidR="00F125D1" w:rsidRPr="00D63A5F">
        <w:rPr>
          <w:rtl/>
        </w:rPr>
        <w:t xml:space="preserve"> </w:t>
      </w:r>
      <w:r w:rsidR="00F125D1" w:rsidRPr="00D63A5F">
        <w:rPr>
          <w:rFonts w:hint="eastAsia"/>
          <w:rtl/>
        </w:rPr>
        <w:t>פרשת</w:t>
      </w:r>
      <w:r w:rsidR="00F125D1" w:rsidRPr="00D63A5F">
        <w:rPr>
          <w:rtl/>
        </w:rPr>
        <w:t xml:space="preserve"> </w:t>
      </w:r>
      <w:r w:rsidR="00F125D1" w:rsidRPr="00D63A5F">
        <w:rPr>
          <w:rFonts w:hint="eastAsia"/>
          <w:rtl/>
        </w:rPr>
        <w:t>המניות</w:t>
      </w:r>
      <w:r w:rsidR="00F125D1">
        <w:rPr>
          <w:rFonts w:hint="cs"/>
          <w:rtl/>
        </w:rPr>
        <w:t xml:space="preserve"> צוין כי על פי הראיות שנאספו הסיוע הכספי שנהג מיליקובסקי להעניק לח"כ נתניהו נועד "'לשחרר' אותו מדאגות כספיות בשעה שהוא ממלא תפקיד ציבורי חשוב" (פסקה 5 למסמך). בדברים אלה יש כדי לתמוך </w:t>
      </w:r>
      <w:r w:rsidR="00E84B74">
        <w:rPr>
          <w:rFonts w:hint="cs"/>
          <w:rtl/>
        </w:rPr>
        <w:t xml:space="preserve">במסקנה כי המענק ממיליקובסקי </w:t>
      </w:r>
      <w:r w:rsidR="00E84B74">
        <w:rPr>
          <w:rtl/>
        </w:rPr>
        <w:t>–</w:t>
      </w:r>
      <w:r w:rsidR="00E84B74">
        <w:rPr>
          <w:rFonts w:hint="cs"/>
          <w:rtl/>
        </w:rPr>
        <w:t xml:space="preserve"> </w:t>
      </w:r>
      <w:r w:rsidR="00F125D1">
        <w:rPr>
          <w:rFonts w:hint="cs"/>
          <w:rtl/>
        </w:rPr>
        <w:t xml:space="preserve">שנועד לסייע לח"כ נתניהו ולרעייתו להתמודד עם </w:t>
      </w:r>
      <w:r w:rsidR="00E84B74">
        <w:rPr>
          <w:rFonts w:hint="cs"/>
          <w:rtl/>
        </w:rPr>
        <w:t xml:space="preserve">הליכים פליליים </w:t>
      </w:r>
      <w:r w:rsidR="00E84B74">
        <w:rPr>
          <w:rtl/>
        </w:rPr>
        <w:t>–</w:t>
      </w:r>
      <w:r w:rsidR="00E84B74">
        <w:rPr>
          <w:rFonts w:hint="cs"/>
          <w:rtl/>
        </w:rPr>
        <w:t xml:space="preserve"> </w:t>
      </w:r>
      <w:r w:rsidR="00F125D1">
        <w:rPr>
          <w:rFonts w:hint="cs"/>
          <w:rtl/>
        </w:rPr>
        <w:t>נועד בראש ובראשונה להקל עליו במילוי תפקידו הציבורי.</w:t>
      </w:r>
    </w:p>
    <w:p w14:paraId="0D2A1148" w14:textId="77777777" w:rsidR="00F125D1" w:rsidRDefault="00F125D1" w:rsidP="00F125D1">
      <w:pPr>
        <w:pStyle w:val="Ruller4"/>
        <w:numPr>
          <w:ilvl w:val="0"/>
          <w:numId w:val="0"/>
        </w:numPr>
        <w:rPr>
          <w:rtl/>
        </w:rPr>
      </w:pPr>
    </w:p>
    <w:p w14:paraId="21E5A4A4" w14:textId="77777777" w:rsidR="00F125D1" w:rsidRPr="006841FD" w:rsidRDefault="00F125D1" w:rsidP="00F125D1">
      <w:pPr>
        <w:pStyle w:val="Ruller4"/>
        <w:rPr>
          <w:rFonts w:ascii="Century" w:hAnsi="Century"/>
        </w:rPr>
      </w:pPr>
      <w:r>
        <w:rPr>
          <w:rFonts w:hint="cs"/>
          <w:rtl/>
        </w:rPr>
        <w:t>שנית, יש להתייחס ל</w:t>
      </w:r>
      <w:r w:rsidRPr="006841FD">
        <w:rPr>
          <w:rFonts w:ascii="Century" w:hAnsi="Century" w:cs="Miriam" w:hint="cs"/>
          <w:b/>
          <w:spacing w:val="0"/>
          <w:sz w:val="22"/>
          <w:szCs w:val="24"/>
          <w:rtl/>
        </w:rPr>
        <w:t>מעמדו של עובד הציבור</w:t>
      </w:r>
      <w:r w:rsidRPr="006841FD">
        <w:rPr>
          <w:rFonts w:ascii="Century" w:hAnsi="Century" w:hint="cs"/>
          <w:sz w:val="22"/>
          <w:rtl/>
        </w:rPr>
        <w:t xml:space="preserve"> </w:t>
      </w:r>
      <w:r w:rsidRPr="006841FD">
        <w:rPr>
          <w:rFonts w:ascii="Century" w:hAnsi="Century"/>
          <w:sz w:val="22"/>
          <w:rtl/>
        </w:rPr>
        <w:t>–</w:t>
      </w:r>
      <w:r w:rsidRPr="006841FD">
        <w:rPr>
          <w:rFonts w:ascii="Century" w:hAnsi="Century" w:hint="cs"/>
          <w:sz w:val="22"/>
          <w:rtl/>
        </w:rPr>
        <w:t xml:space="preserve"> </w:t>
      </w:r>
      <w:r>
        <w:rPr>
          <w:rFonts w:hint="cs"/>
          <w:rtl/>
        </w:rPr>
        <w:t>ח"כ נתניהו כיהן כאמור בתפקיד ראש הממשלה בתקופה שבה התקבל המענק ממיליקובסקי. לראש הממשלה מעמד מיוחד כמי שמעצב את הרכב הממשלה ואת חלוקת התפקידים בה וכן מנווט את פעילותה ואת יעדיה העיקרי</w:t>
      </w:r>
      <w:r w:rsidRPr="006841FD">
        <w:rPr>
          <w:rFonts w:ascii="Century" w:hAnsi="Century" w:hint="cs"/>
          <w:sz w:val="22"/>
          <w:rtl/>
        </w:rPr>
        <w:t xml:space="preserve">ים </w:t>
      </w:r>
      <w:r w:rsidRPr="006841FD">
        <w:rPr>
          <w:rFonts w:ascii="Century" w:hAnsi="Century" w:hint="cs"/>
          <w:rtl/>
        </w:rPr>
        <w:t xml:space="preserve">(בג"ץ 5261/04 </w:t>
      </w:r>
      <w:r w:rsidRPr="006841FD">
        <w:rPr>
          <w:rFonts w:ascii="Century" w:hAnsi="Century" w:cs="Miriam" w:hint="cs"/>
          <w:b/>
          <w:spacing w:val="0"/>
          <w:sz w:val="22"/>
          <w:szCs w:val="24"/>
          <w:rtl/>
        </w:rPr>
        <w:t>פוקס נ' ראש ממשלת ישראל</w:t>
      </w:r>
      <w:r w:rsidRPr="006841FD">
        <w:rPr>
          <w:rFonts w:ascii="Century" w:hAnsi="Century" w:hint="cs"/>
          <w:rtl/>
        </w:rPr>
        <w:t>, פ"ד נט(2) 446, 461 (2004)). יש ליתן אפוא משקל משמעותי למעמד הרם ו</w:t>
      </w:r>
      <w:r>
        <w:rPr>
          <w:rFonts w:ascii="Century" w:hAnsi="Century" w:hint="cs"/>
          <w:rtl/>
        </w:rPr>
        <w:t>ל</w:t>
      </w:r>
      <w:r w:rsidRPr="006841FD">
        <w:rPr>
          <w:rFonts w:ascii="Century" w:hAnsi="Century" w:hint="cs"/>
          <w:rtl/>
        </w:rPr>
        <w:t xml:space="preserve">יכולת ההשפעה הנלווים לתפקיד ראש הממשלה. </w:t>
      </w:r>
    </w:p>
    <w:p w14:paraId="01E9E4E0" w14:textId="77777777" w:rsidR="00F125D1" w:rsidRDefault="00F125D1" w:rsidP="00F125D1">
      <w:pPr>
        <w:pStyle w:val="Ruller4"/>
        <w:numPr>
          <w:ilvl w:val="0"/>
          <w:numId w:val="0"/>
        </w:numPr>
        <w:rPr>
          <w:rFonts w:ascii="Century" w:hAnsi="Century"/>
          <w:rtl/>
        </w:rPr>
      </w:pPr>
    </w:p>
    <w:p w14:paraId="04FE08D2" w14:textId="3ECA5091" w:rsidR="00F125D1" w:rsidRPr="000237B6" w:rsidRDefault="00F125D1" w:rsidP="009C4D16">
      <w:pPr>
        <w:pStyle w:val="Ruller4"/>
        <w:rPr>
          <w:rtl/>
        </w:rPr>
      </w:pPr>
      <w:r>
        <w:rPr>
          <w:rFonts w:hint="cs"/>
          <w:rtl/>
        </w:rPr>
        <w:t xml:space="preserve">שלישית, יש לעמוד על </w:t>
      </w:r>
      <w:r>
        <w:rPr>
          <w:rFonts w:ascii="Century" w:hAnsi="Century" w:cs="Miriam" w:hint="cs"/>
          <w:b/>
          <w:spacing w:val="0"/>
          <w:sz w:val="22"/>
          <w:szCs w:val="24"/>
          <w:rtl/>
        </w:rPr>
        <w:t>שוויה של המתנה ומהותה</w:t>
      </w:r>
      <w:r>
        <w:rPr>
          <w:rFonts w:hint="cs"/>
          <w:rtl/>
        </w:rPr>
        <w:t>. בענייננו מדובר כאמור בטובת הנאה בשווי כולל של 300,000 דולר (כמיליון שקלים), ולא במתנה קטנת ערך שקרובי משפחה נוה</w:t>
      </w:r>
      <w:r w:rsidR="004D6E04">
        <w:rPr>
          <w:rFonts w:hint="cs"/>
          <w:rtl/>
        </w:rPr>
        <w:t>גים להעניק זה לזה כעניין שבשגרה,</w:t>
      </w:r>
      <w:r>
        <w:rPr>
          <w:rFonts w:hint="cs"/>
          <w:rtl/>
        </w:rPr>
        <w:t xml:space="preserve"> </w:t>
      </w:r>
      <w:r w:rsidR="004D6E04">
        <w:rPr>
          <w:rFonts w:hint="cs"/>
          <w:rtl/>
        </w:rPr>
        <w:t>ו</w:t>
      </w:r>
      <w:r>
        <w:rPr>
          <w:rFonts w:hint="cs"/>
          <w:rtl/>
        </w:rPr>
        <w:t xml:space="preserve">הכספים ניתנו לשם התמודדות ח"כ נתניהו ורעייתו עם ההליכים הפליליים בעניינם. בהקשר זה כבר צוין כי כאשר "האינטרס העומד על הפרק הוא אינטרס אישי </w:t>
      </w:r>
      <w:r w:rsidR="009C4D16">
        <w:rPr>
          <w:rFonts w:hint="cs"/>
          <w:rtl/>
        </w:rPr>
        <w:t>הנוגע</w:t>
      </w:r>
      <w:r>
        <w:rPr>
          <w:rFonts w:hint="cs"/>
          <w:rtl/>
        </w:rPr>
        <w:t xml:space="preserve"> לקיומו של משפט פלילי [...] עשויות להיות לו השלכות מרחיקות לכת על </w:t>
      </w:r>
      <w:r w:rsidRPr="002C24EE">
        <w:rPr>
          <w:rFonts w:hint="cs"/>
          <w:rtl/>
        </w:rPr>
        <w:t xml:space="preserve">שמו הטוב של אדם ועל חירותו, ובמקרים </w:t>
      </w:r>
      <w:r>
        <w:rPr>
          <w:rFonts w:hint="cs"/>
          <w:rtl/>
        </w:rPr>
        <w:t>[...]</w:t>
      </w:r>
      <w:r w:rsidRPr="002C24EE">
        <w:rPr>
          <w:rFonts w:hint="cs"/>
          <w:rtl/>
        </w:rPr>
        <w:t xml:space="preserve"> הנוגעים למי שנושא בתפקיד ציבורי, עומד על כף המאזניים גם כל עולמו של הנאשם כאיש ציבור" (עניין </w:t>
      </w:r>
      <w:r w:rsidRPr="002C24EE">
        <w:rPr>
          <w:rFonts w:ascii="Century" w:hAnsi="Century" w:cs="Miriam" w:hint="cs"/>
          <w:b/>
          <w:spacing w:val="0"/>
          <w:sz w:val="22"/>
          <w:szCs w:val="24"/>
          <w:rtl/>
        </w:rPr>
        <w:t>הסדר ניגוד העניינים</w:t>
      </w:r>
      <w:r w:rsidRPr="002C24EE">
        <w:rPr>
          <w:rFonts w:hint="cs"/>
          <w:rtl/>
        </w:rPr>
        <w:t>, בפסקה 37 לפסק דיני).</w:t>
      </w:r>
      <w:r>
        <w:rPr>
          <w:rFonts w:hint="cs"/>
          <w:rtl/>
        </w:rPr>
        <w:t xml:space="preserve"> </w:t>
      </w:r>
      <w:r w:rsidR="004E6F51">
        <w:rPr>
          <w:rFonts w:hint="cs"/>
          <w:rtl/>
        </w:rPr>
        <w:t xml:space="preserve">לפיכך, </w:t>
      </w:r>
      <w:r>
        <w:rPr>
          <w:rFonts w:hint="cs"/>
          <w:rtl/>
        </w:rPr>
        <w:t>קיים חשש שהסתייעות של עובד הציבור בתרומה בסכום ניכר מאדם ספציפי לצורך הגנה על אינטרסים אישיים כה חיוניים מבחינתו, תיצור, ולו למראית עין, תלות באותו אדם. ניתן להניח כי זהו גם ההיגיון העומד מאחורי קביעת ועדת האתיקה של הכנסת כי חבר כנסת יהיה רשאי לקבל מתורם בודד תרומות בשווי כולל שאינו עולה על 5,000 ש"ח (סעיף 4 להחלטת ועדת האתיקה בעניין מימון הוצאות משפטיות, שכאמור אינה חלה ביחס לחברי ממשלה). אכן, בכך מוטלת על</w:t>
      </w:r>
      <w:r w:rsidRPr="000237B6">
        <w:rPr>
          <w:rFonts w:hint="cs"/>
          <w:rtl/>
        </w:rPr>
        <w:t xml:space="preserve"> עובד ציבור</w:t>
      </w:r>
      <w:r>
        <w:rPr>
          <w:rFonts w:hint="cs"/>
          <w:rtl/>
        </w:rPr>
        <w:t xml:space="preserve"> מגבלה שאינה חלה</w:t>
      </w:r>
      <w:r w:rsidRPr="000237B6">
        <w:rPr>
          <w:rFonts w:hint="cs"/>
          <w:rtl/>
        </w:rPr>
        <w:t xml:space="preserve"> </w:t>
      </w:r>
      <w:r>
        <w:rPr>
          <w:rFonts w:hint="cs"/>
          <w:rtl/>
        </w:rPr>
        <w:t xml:space="preserve">על </w:t>
      </w:r>
      <w:r w:rsidRPr="000237B6">
        <w:rPr>
          <w:rFonts w:hint="cs"/>
          <w:rtl/>
        </w:rPr>
        <w:t xml:space="preserve">אדם אחר העומד לדין פלילי, אך כבר נקבע </w:t>
      </w:r>
      <w:r>
        <w:rPr>
          <w:rFonts w:hint="cs"/>
          <w:rtl/>
        </w:rPr>
        <w:t xml:space="preserve">בעבר </w:t>
      </w:r>
      <w:r w:rsidRPr="000237B6">
        <w:rPr>
          <w:rFonts w:hint="cs"/>
          <w:rtl/>
        </w:rPr>
        <w:t>כי "</w:t>
      </w:r>
      <w:r w:rsidR="00243335">
        <w:rPr>
          <w:rFonts w:hint="cs"/>
          <w:rtl/>
        </w:rPr>
        <w:t xml:space="preserve">[...] </w:t>
      </w:r>
      <w:r w:rsidRPr="000237B6">
        <w:rPr>
          <w:rFonts w:ascii="FrankRuehl" w:hAnsi="FrankRuehl"/>
          <w:color w:val="000000"/>
          <w:sz w:val="28"/>
          <w:rtl/>
        </w:rPr>
        <w:t xml:space="preserve">מעמדו של אדם כאיש ציבור מעמיס עליו חובות </w:t>
      </w:r>
      <w:r w:rsidRPr="000237B6">
        <w:rPr>
          <w:rFonts w:ascii="FrankRuehl" w:hAnsi="FrankRuehl"/>
          <w:color w:val="000000"/>
          <w:sz w:val="28"/>
          <w:rtl/>
        </w:rPr>
        <w:lastRenderedPageBreak/>
        <w:t>נוספות ומחיל עליו נורמות מחמירות לעומת אדם מן היישוב</w:t>
      </w:r>
      <w:r w:rsidR="00243335">
        <w:rPr>
          <w:rFonts w:ascii="FrankRuehl" w:hAnsi="FrankRuehl" w:hint="cs"/>
          <w:color w:val="000000"/>
          <w:sz w:val="28"/>
          <w:rtl/>
        </w:rPr>
        <w:t xml:space="preserve"> [...]</w:t>
      </w:r>
      <w:r w:rsidRPr="000237B6">
        <w:rPr>
          <w:rFonts w:ascii="FrankRuehl" w:hAnsi="FrankRuehl" w:hint="cs"/>
          <w:color w:val="000000"/>
          <w:sz w:val="28"/>
          <w:rtl/>
        </w:rPr>
        <w:t xml:space="preserve">" (עניין </w:t>
      </w:r>
      <w:r w:rsidRPr="000237B6">
        <w:rPr>
          <w:rFonts w:ascii="Century" w:hAnsi="Century" w:cs="Miriam" w:hint="cs"/>
          <w:b/>
          <w:spacing w:val="0"/>
          <w:sz w:val="22"/>
          <w:szCs w:val="24"/>
          <w:rtl/>
        </w:rPr>
        <w:t>אולמרט</w:t>
      </w:r>
      <w:r w:rsidRPr="000237B6">
        <w:rPr>
          <w:rFonts w:ascii="FrankRuehl" w:hAnsi="FrankRuehl" w:hint="cs"/>
          <w:color w:val="000000"/>
          <w:sz w:val="28"/>
          <w:rtl/>
        </w:rPr>
        <w:t xml:space="preserve">, בפסקה 127 לפסק דינו של השופט </w:t>
      </w:r>
      <w:r w:rsidRPr="000237B6">
        <w:rPr>
          <w:rFonts w:ascii="Century" w:hAnsi="Century" w:cs="Miriam" w:hint="cs"/>
          <w:b/>
          <w:spacing w:val="0"/>
          <w:sz w:val="22"/>
          <w:szCs w:val="24"/>
          <w:rtl/>
        </w:rPr>
        <w:t>ג'ובראן</w:t>
      </w:r>
      <w:r w:rsidRPr="000237B6">
        <w:rPr>
          <w:rFonts w:ascii="FrankRuehl" w:hAnsi="FrankRuehl" w:hint="cs"/>
          <w:color w:val="000000"/>
          <w:sz w:val="28"/>
          <w:rtl/>
        </w:rPr>
        <w:t>)</w:t>
      </w:r>
      <w:r w:rsidRPr="000237B6">
        <w:rPr>
          <w:rFonts w:hint="cs"/>
          <w:rtl/>
        </w:rPr>
        <w:t>. לא למותר לציין</w:t>
      </w:r>
      <w:r>
        <w:rPr>
          <w:rFonts w:hint="cs"/>
          <w:rtl/>
        </w:rPr>
        <w:t xml:space="preserve"> עם זאת</w:t>
      </w:r>
      <w:r w:rsidRPr="000237B6">
        <w:rPr>
          <w:rFonts w:hint="cs"/>
          <w:rtl/>
        </w:rPr>
        <w:t xml:space="preserve"> כי לעובדי ציבור </w:t>
      </w:r>
      <w:r>
        <w:rPr>
          <w:rFonts w:hint="cs"/>
          <w:rtl/>
        </w:rPr>
        <w:t>יש אפשרו</w:t>
      </w:r>
      <w:r w:rsidRPr="000237B6">
        <w:rPr>
          <w:rFonts w:hint="cs"/>
          <w:rtl/>
        </w:rPr>
        <w:t>ת לפנות בבקשות מתאימות לקבלת סיוע בהוצאות משפטיות (ראו, בין היתר, החלטה 2799 של הממשלה ה-29 "נוהל הגנה משפטית והשתתפות בהוצאות משפ</w:t>
      </w:r>
      <w:r w:rsidR="007829BE">
        <w:rPr>
          <w:rFonts w:hint="cs"/>
          <w:rtl/>
        </w:rPr>
        <w:t xml:space="preserve">טיות לנושאי משרה ולעובדי המדינה" </w:t>
      </w:r>
      <w:r w:rsidRPr="000237B6">
        <w:rPr>
          <w:rFonts w:hint="cs"/>
          <w:rtl/>
        </w:rPr>
        <w:t xml:space="preserve">(28.11.2002); כללי חסינות חברי הכנסת, זכויותיהם וחובותיהם (השתתפות בהוצאות משפטיות), התשס"ג-2003). </w:t>
      </w:r>
    </w:p>
    <w:p w14:paraId="20A5108C" w14:textId="77777777" w:rsidR="00F125D1" w:rsidRDefault="00F125D1" w:rsidP="00F125D1">
      <w:pPr>
        <w:pStyle w:val="Ruller41"/>
        <w:rPr>
          <w:rtl/>
        </w:rPr>
      </w:pPr>
    </w:p>
    <w:p w14:paraId="7778946D" w14:textId="1F4F4700" w:rsidR="00F125D1" w:rsidRDefault="00F125D1" w:rsidP="00F125D1">
      <w:pPr>
        <w:pStyle w:val="Ruller4"/>
        <w:rPr>
          <w:rFonts w:ascii="Century" w:hAnsi="Century"/>
          <w:sz w:val="22"/>
        </w:rPr>
      </w:pPr>
      <w:r>
        <w:rPr>
          <w:rFonts w:hint="cs"/>
          <w:rtl/>
        </w:rPr>
        <w:t>לצד כל האמור, בבואנו לבחון את המניע למתן המענק ממיליקובסקי, לא ניתן להתעלם מכך ש</w:t>
      </w:r>
      <w:r w:rsidRPr="0095328C">
        <w:rPr>
          <w:rFonts w:ascii="Century" w:hAnsi="Century" w:cs="Miriam" w:hint="cs"/>
          <w:b/>
          <w:spacing w:val="0"/>
          <w:sz w:val="22"/>
          <w:szCs w:val="24"/>
          <w:rtl/>
        </w:rPr>
        <w:t>לא נמסר כל דיווח עלי</w:t>
      </w:r>
      <w:r>
        <w:rPr>
          <w:rFonts w:ascii="Century" w:hAnsi="Century" w:cs="Miriam" w:hint="cs"/>
          <w:b/>
          <w:spacing w:val="0"/>
          <w:sz w:val="22"/>
          <w:szCs w:val="24"/>
          <w:rtl/>
        </w:rPr>
        <w:t>ו</w:t>
      </w:r>
      <w:r w:rsidRPr="0095328C">
        <w:rPr>
          <w:rFonts w:ascii="Century" w:hAnsi="Century" w:cs="Miriam" w:hint="cs"/>
          <w:b/>
          <w:spacing w:val="0"/>
          <w:sz w:val="22"/>
          <w:szCs w:val="24"/>
          <w:rtl/>
        </w:rPr>
        <w:t xml:space="preserve"> בזמן אמת</w:t>
      </w:r>
      <w:r>
        <w:rPr>
          <w:rFonts w:hint="cs"/>
          <w:rtl/>
        </w:rPr>
        <w:t>. על פי האמור בהחלטת ועדת ההיתרים מיום 24.6.2019, מענק זה לא נכלל בהצהרת ההון של ח"כ נתניהו (</w:t>
      </w:r>
      <w:r>
        <w:rPr>
          <w:rFonts w:ascii="Century" w:hAnsi="Century" w:hint="cs"/>
          <w:sz w:val="22"/>
          <w:rtl/>
        </w:rPr>
        <w:t>עמ' 6 להחלטה); והוא לא ד</w:t>
      </w:r>
      <w:r w:rsidR="00B03EA2">
        <w:rPr>
          <w:rFonts w:ascii="Century" w:hAnsi="Century" w:hint="cs"/>
          <w:sz w:val="22"/>
          <w:rtl/>
        </w:rPr>
        <w:t>י</w:t>
      </w:r>
      <w:r>
        <w:rPr>
          <w:rFonts w:ascii="Century" w:hAnsi="Century" w:hint="cs"/>
          <w:sz w:val="22"/>
          <w:rtl/>
        </w:rPr>
        <w:t>ווח</w:t>
      </w:r>
      <w:r w:rsidR="00B03EA2">
        <w:rPr>
          <w:rFonts w:ascii="Century" w:hAnsi="Century" w:hint="cs"/>
          <w:sz w:val="22"/>
          <w:rtl/>
        </w:rPr>
        <w:t xml:space="preserve"> עליו</w:t>
      </w:r>
      <w:r>
        <w:rPr>
          <w:rFonts w:ascii="Century" w:hAnsi="Century" w:hint="cs"/>
          <w:sz w:val="22"/>
          <w:rtl/>
        </w:rPr>
        <w:t xml:space="preserve"> ליועץ המשפטי לממשלה או למבקר המדינה עד אשר קיומו נתגלה במסגרת בקשתו של ח"כ נתניהו לקבלת סיוע </w:t>
      </w:r>
      <w:r w:rsidRPr="0070710E">
        <w:rPr>
          <w:rFonts w:ascii="Century" w:hAnsi="Century" w:cs="Miriam" w:hint="cs"/>
          <w:b/>
          <w:spacing w:val="0"/>
          <w:sz w:val="22"/>
          <w:szCs w:val="24"/>
          <w:rtl/>
        </w:rPr>
        <w:t>נוסף</w:t>
      </w:r>
      <w:r w:rsidRPr="0070710E">
        <w:rPr>
          <w:rFonts w:ascii="Century" w:hAnsi="Century" w:hint="cs"/>
          <w:sz w:val="22"/>
          <w:rtl/>
        </w:rPr>
        <w:t xml:space="preserve"> </w:t>
      </w:r>
      <w:r>
        <w:rPr>
          <w:rFonts w:ascii="Century" w:hAnsi="Century" w:hint="cs"/>
          <w:sz w:val="22"/>
          <w:rtl/>
        </w:rPr>
        <w:t xml:space="preserve">ממיליקובסקי. כפי שציינה ועדת ההיתרים בהחלטתה מיום 20.2.2019, התנהלות זו מעוררת קושי כאשר מדובר במי ש"איננו 'טירון' בתפקידי שר וסגן שר" ושפנה עוד בשנת 2009 לוועדת ההיתרים בבקשה למתן היתר לקבלת הלוואה ממיליקובסקי עצמו (עמ' 10-9 להחלטה). </w:t>
      </w:r>
    </w:p>
    <w:p w14:paraId="67E318C9" w14:textId="77777777" w:rsidR="00F125D1" w:rsidRDefault="00F125D1" w:rsidP="00F125D1">
      <w:pPr>
        <w:pStyle w:val="Ruller4"/>
        <w:numPr>
          <w:ilvl w:val="0"/>
          <w:numId w:val="0"/>
        </w:numPr>
        <w:rPr>
          <w:rFonts w:ascii="Century" w:hAnsi="Century"/>
          <w:sz w:val="22"/>
          <w:rtl/>
        </w:rPr>
      </w:pPr>
    </w:p>
    <w:p w14:paraId="0E3AD0EE" w14:textId="0237A9D3" w:rsidR="00F125D1" w:rsidRPr="00292163" w:rsidRDefault="00F125D1" w:rsidP="00F125D1">
      <w:pPr>
        <w:pStyle w:val="Ruller4"/>
        <w:numPr>
          <w:ilvl w:val="0"/>
          <w:numId w:val="0"/>
        </w:numPr>
        <w:rPr>
          <w:rFonts w:ascii="Century" w:hAnsi="Century"/>
          <w:sz w:val="22"/>
          <w:rtl/>
        </w:rPr>
      </w:pPr>
      <w:r>
        <w:rPr>
          <w:rFonts w:ascii="Century" w:hAnsi="Century"/>
          <w:sz w:val="22"/>
          <w:rtl/>
        </w:rPr>
        <w:tab/>
      </w:r>
      <w:r w:rsidR="00501376">
        <w:rPr>
          <w:rFonts w:ascii="Century" w:hAnsi="Century" w:hint="cs"/>
          <w:sz w:val="22"/>
          <w:rtl/>
        </w:rPr>
        <w:t>אף אם אניח, כ</w:t>
      </w:r>
      <w:r>
        <w:rPr>
          <w:rFonts w:ascii="Century" w:hAnsi="Century" w:hint="cs"/>
          <w:sz w:val="22"/>
          <w:rtl/>
        </w:rPr>
        <w:t xml:space="preserve">טענת באי כוחו של ח"כ נתניהו בפני ועדת ההיתרים, כי עד למכתבו של היועץ מיום 27.6.2018 סברו ח"כ נתניהו והנוגעים בדבר כי קבלת מענק מבן משפחה מותרת, לא ברור מדוע החל ממועד זה ועד ליום 7.1.2019 (אז הוזכר המענק באופן אגבי בבקשת ח"כ נתניהו לסיוע נוסף ממיליקובסקי), לא נמסר כל דיווח עליו לגורמים הרלוונטיים.  </w:t>
      </w:r>
    </w:p>
    <w:p w14:paraId="016E023F" w14:textId="77777777" w:rsidR="00F125D1" w:rsidRDefault="00F125D1" w:rsidP="00F125D1">
      <w:pPr>
        <w:pStyle w:val="Ruller4"/>
        <w:numPr>
          <w:ilvl w:val="0"/>
          <w:numId w:val="0"/>
        </w:numPr>
        <w:rPr>
          <w:rtl/>
        </w:rPr>
      </w:pPr>
    </w:p>
    <w:p w14:paraId="7458DECF" w14:textId="01F02CCE" w:rsidR="00F125D1" w:rsidRDefault="00F125D1" w:rsidP="00F125D1">
      <w:pPr>
        <w:pStyle w:val="Ruller4"/>
        <w:rPr>
          <w:rtl/>
        </w:rPr>
      </w:pPr>
      <w:r>
        <w:rPr>
          <w:rFonts w:hint="cs"/>
          <w:rtl/>
        </w:rPr>
        <w:t xml:space="preserve">ויודגש </w:t>
      </w:r>
      <w:r>
        <w:rPr>
          <w:rtl/>
        </w:rPr>
        <w:t>–</w:t>
      </w:r>
      <w:r>
        <w:rPr>
          <w:rFonts w:hint="cs"/>
          <w:rtl/>
        </w:rPr>
        <w:t xml:space="preserve"> איננו עוסקים </w:t>
      </w:r>
      <w:r w:rsidRPr="00915F6A">
        <w:rPr>
          <w:rFonts w:hint="cs"/>
          <w:rtl/>
        </w:rPr>
        <w:t>בבחינת טובת הנאה במשקפי עבירת השוחד, שלגביה נקבע כי "</w:t>
      </w:r>
      <w:r w:rsidR="00D06F29">
        <w:rPr>
          <w:rFonts w:hint="cs"/>
          <w:rtl/>
        </w:rPr>
        <w:t xml:space="preserve">[...] </w:t>
      </w:r>
      <w:r w:rsidRPr="00915F6A">
        <w:rPr>
          <w:rtl/>
        </w:rPr>
        <w:t>קיומה של אפשרות סבירה שבעתיד יצטלבו דרכיהם של נותן המתת ושל עובד הציבור בתוקף תפקידו כעובד הציבור</w:t>
      </w:r>
      <w:r w:rsidRPr="00915F6A">
        <w:rPr>
          <w:rFonts w:hint="cs"/>
          <w:rtl/>
        </w:rPr>
        <w:t>" מהווה תנאי לקביעה כי מתת נועדה להטות למשוא פנים (</w:t>
      </w:r>
      <w:r>
        <w:rPr>
          <w:rFonts w:hint="cs"/>
          <w:rtl/>
        </w:rPr>
        <w:t xml:space="preserve">ענין </w:t>
      </w:r>
      <w:r w:rsidRPr="00A33380">
        <w:rPr>
          <w:rFonts w:ascii="Century" w:hAnsi="Century" w:cs="Miriam" w:hint="cs"/>
          <w:b/>
          <w:spacing w:val="0"/>
          <w:sz w:val="22"/>
          <w:szCs w:val="24"/>
          <w:rtl/>
        </w:rPr>
        <w:t>מילר</w:t>
      </w:r>
      <w:r>
        <w:rPr>
          <w:rFonts w:hint="cs"/>
          <w:rtl/>
        </w:rPr>
        <w:t>, בפסקה 13</w:t>
      </w:r>
      <w:r w:rsidRPr="00915F6A">
        <w:rPr>
          <w:rFonts w:hint="cs"/>
          <w:rtl/>
        </w:rPr>
        <w:t xml:space="preserve"> והאסמכתאות שם). כאמור לעיל, חוק המתנות נועד </w:t>
      </w:r>
      <w:r>
        <w:rPr>
          <w:rFonts w:hint="cs"/>
          <w:rtl/>
        </w:rPr>
        <w:t xml:space="preserve">לעצב כללים רחבים יותר </w:t>
      </w:r>
      <w:r>
        <w:rPr>
          <w:rtl/>
        </w:rPr>
        <w:t>–</w:t>
      </w:r>
      <w:r>
        <w:rPr>
          <w:rFonts w:hint="cs"/>
          <w:rtl/>
        </w:rPr>
        <w:t xml:space="preserve"> </w:t>
      </w:r>
      <w:r w:rsidRPr="00915F6A">
        <w:rPr>
          <w:rFonts w:hint="cs"/>
          <w:rtl/>
        </w:rPr>
        <w:t xml:space="preserve">"להקדים תרופה למכה ולשלול רינונים כי המתנה נועדה להשפיע על שיקול דעתו של עובד הציבור" (עניין </w:t>
      </w:r>
      <w:r w:rsidRPr="00915F6A">
        <w:rPr>
          <w:rFonts w:ascii="Century" w:hAnsi="Century" w:cs="Miriam" w:hint="cs"/>
          <w:b/>
          <w:spacing w:val="0"/>
          <w:sz w:val="22"/>
          <w:szCs w:val="24"/>
          <w:rtl/>
        </w:rPr>
        <w:t>סויסא</w:t>
      </w:r>
      <w:r w:rsidRPr="00915F6A">
        <w:rPr>
          <w:rFonts w:hint="cs"/>
          <w:rtl/>
        </w:rPr>
        <w:t xml:space="preserve">, בעמ' 790; ראו גם: עניין </w:t>
      </w:r>
      <w:r w:rsidRPr="00915F6A">
        <w:rPr>
          <w:rFonts w:ascii="Century" w:hAnsi="Century" w:cs="Miriam" w:hint="cs"/>
          <w:b/>
          <w:spacing w:val="0"/>
          <w:sz w:val="22"/>
          <w:szCs w:val="24"/>
          <w:rtl/>
        </w:rPr>
        <w:t>אם תרצו</w:t>
      </w:r>
      <w:r w:rsidRPr="00915F6A">
        <w:rPr>
          <w:rFonts w:hint="cs"/>
          <w:rtl/>
        </w:rPr>
        <w:t xml:space="preserve">, בפסקה 12; דפנה ברק-ארז "אינטרסים נוגדים וניגוד אינטרסים במשפט המנהלי" </w:t>
      </w:r>
      <w:r w:rsidRPr="00915F6A">
        <w:rPr>
          <w:rFonts w:ascii="Century" w:hAnsi="Century" w:cs="Miriam" w:hint="cs"/>
          <w:b/>
          <w:spacing w:val="0"/>
          <w:sz w:val="22"/>
          <w:szCs w:val="24"/>
          <w:rtl/>
        </w:rPr>
        <w:t xml:space="preserve">ניגוד עניינים במרחב הציבורי </w:t>
      </w:r>
      <w:r w:rsidRPr="00915F6A">
        <w:rPr>
          <w:rFonts w:ascii="Century" w:hAnsi="Century" w:cs="Miriam"/>
          <w:b/>
          <w:spacing w:val="0"/>
          <w:sz w:val="22"/>
          <w:szCs w:val="24"/>
          <w:rtl/>
        </w:rPr>
        <w:t>–</w:t>
      </w:r>
      <w:r w:rsidRPr="00915F6A">
        <w:rPr>
          <w:rFonts w:ascii="Century" w:hAnsi="Century" w:cs="Miriam" w:hint="cs"/>
          <w:b/>
          <w:spacing w:val="0"/>
          <w:sz w:val="22"/>
          <w:szCs w:val="24"/>
          <w:rtl/>
        </w:rPr>
        <w:t xml:space="preserve"> משפט, תרבות, אתיקה, פוליטיקה</w:t>
      </w:r>
      <w:r w:rsidRPr="00915F6A">
        <w:rPr>
          <w:rFonts w:hint="cs"/>
          <w:rtl/>
        </w:rPr>
        <w:t xml:space="preserve"> 209, 217-216 (דפנה ברק-ארז, דורון נבות ומרדכי קרמניצר עורכים, התשס"ט)</w:t>
      </w:r>
      <w:r>
        <w:rPr>
          <w:rFonts w:hint="cs"/>
          <w:rtl/>
        </w:rPr>
        <w:t>)</w:t>
      </w:r>
      <w:r w:rsidRPr="00915F6A">
        <w:rPr>
          <w:rFonts w:hint="cs"/>
          <w:rtl/>
        </w:rPr>
        <w:t>. החוק כולל, א</w:t>
      </w:r>
      <w:r>
        <w:rPr>
          <w:rFonts w:hint="cs"/>
          <w:rtl/>
        </w:rPr>
        <w:t xml:space="preserve">פוא, היבט מניעתי משמעותי </w:t>
      </w:r>
      <w:r>
        <w:rPr>
          <w:rtl/>
        </w:rPr>
        <w:t>–</w:t>
      </w:r>
      <w:r>
        <w:rPr>
          <w:rFonts w:hint="cs"/>
          <w:rtl/>
        </w:rPr>
        <w:t xml:space="preserve"> "</w:t>
      </w:r>
      <w:r w:rsidR="009F6EB0">
        <w:rPr>
          <w:rFonts w:hint="cs"/>
          <w:rtl/>
        </w:rPr>
        <w:t xml:space="preserve">[...] </w:t>
      </w:r>
      <w:r>
        <w:rPr>
          <w:rFonts w:hint="cs"/>
          <w:rtl/>
        </w:rPr>
        <w:t xml:space="preserve">לשמור על טוהר המידות בשירות הציבור ועל אמון הציבור ברשויות </w:t>
      </w:r>
      <w:r w:rsidRPr="00663834">
        <w:rPr>
          <w:rFonts w:hint="cs"/>
          <w:rtl/>
        </w:rPr>
        <w:t>השלטון, ובכלל זאת למנוע מצב בו לעובד הציבור יהיה עניין מיוחד בנותן המתנה, ולמנוע את הרושם שהמתנה ניתנה כדי לשאת פני</w:t>
      </w:r>
      <w:r w:rsidR="009F6EB0">
        <w:rPr>
          <w:rFonts w:hint="cs"/>
          <w:rtl/>
        </w:rPr>
        <w:t xml:space="preserve">ם, או שהיא עלולה לגרום לכך" </w:t>
      </w:r>
      <w:r w:rsidR="009F6EB0">
        <w:rPr>
          <w:rFonts w:hint="cs"/>
          <w:rtl/>
        </w:rPr>
        <w:lastRenderedPageBreak/>
        <w:t xml:space="preserve">(סעיף </w:t>
      </w:r>
      <w:r w:rsidRPr="00663834">
        <w:rPr>
          <w:rFonts w:hint="cs"/>
          <w:rtl/>
        </w:rPr>
        <w:t>6 להנחיית היועץ המשפטי לממשלה</w:t>
      </w:r>
      <w:r w:rsidR="009F6EB0">
        <w:rPr>
          <w:rFonts w:hint="cs"/>
          <w:rtl/>
        </w:rPr>
        <w:t xml:space="preserve"> 1.1709</w:t>
      </w:r>
      <w:r w:rsidRPr="00663834">
        <w:rPr>
          <w:rFonts w:hint="cs"/>
          <w:rtl/>
        </w:rPr>
        <w:t xml:space="preserve"> "הגבלות על קבלת הזמנות וכרטיסים למופעים ואירועים" (21.11.2005)). בהינתן מכלול נסיבות העניין שפורטו לעיל </w:t>
      </w:r>
      <w:r w:rsidRPr="00663834">
        <w:rPr>
          <w:rtl/>
        </w:rPr>
        <w:t>–</w:t>
      </w:r>
      <w:r w:rsidRPr="00663834">
        <w:rPr>
          <w:rFonts w:hint="cs"/>
          <w:rtl/>
        </w:rPr>
        <w:t xml:space="preserve"> אני סבורה</w:t>
      </w:r>
      <w:r>
        <w:rPr>
          <w:rFonts w:hint="cs"/>
          <w:rtl/>
        </w:rPr>
        <w:t xml:space="preserve"> כי אין מנוס מן הקביעה שהטעם הדומיננטי למתן המענק הוא היותו של ח"כ נתניהו עובד ציבור, ומשהחריגים הקבועים בסעיף 2(ב) לחוק המתנות אינם חלים בענייננו, המסקנה הנובעת מכך היא כי סעיף 2(א) לחוק המתנות חל על המענק ממיליקובסקי. בהקשר זה אין מקום להבחין בין הכספים שנועדו לח"כ נתניהו עצמו והכספים שנועדו לרעייתו, שכן חוק המתנות חל גם על טובות הנאה שניתנו לבת הזוג של עובד הציבור המתגוררת עמו. </w:t>
      </w:r>
    </w:p>
    <w:p w14:paraId="1068A6AF" w14:textId="77777777" w:rsidR="00F125D1" w:rsidRDefault="00F125D1" w:rsidP="00F125D1">
      <w:pPr>
        <w:pStyle w:val="Ruller41"/>
        <w:rPr>
          <w:rtl/>
        </w:rPr>
      </w:pPr>
    </w:p>
    <w:p w14:paraId="19CF53C7" w14:textId="646E9D03" w:rsidR="00F125D1" w:rsidRPr="00880FA8" w:rsidRDefault="00F125D1" w:rsidP="00F125D1">
      <w:pPr>
        <w:pStyle w:val="Ruller4"/>
        <w:rPr>
          <w:rtl/>
        </w:rPr>
      </w:pPr>
      <w:r>
        <w:rPr>
          <w:rFonts w:hint="cs"/>
          <w:rtl/>
        </w:rPr>
        <w:t xml:space="preserve">להשלמת הדברים אציין כי את תחולת חוק המתנות יש לבחון במועד מתן המתנה. לפיכך, העובדה שכיום ח"כ נתניהו אינו מכהן כראש ממשלה, אין בה כדי לשנות מן המסקנה שאליה הגעתי. יתרה מכך, גם כיום חל על ח"כ נתניהו, כחבר כנסת, איסור על קבלת מתנות בזיקה לתפקידו (ראו פסקה </w:t>
      </w:r>
      <w:r w:rsidRPr="006B620E">
        <w:rPr>
          <w:rFonts w:hint="cs"/>
          <w:rtl/>
        </w:rPr>
        <w:t>27</w:t>
      </w:r>
      <w:r>
        <w:rPr>
          <w:rFonts w:hint="cs"/>
          <w:rtl/>
        </w:rPr>
        <w:t xml:space="preserve"> לעיל; סעיפים א(1) ו-ב(1) ל</w:t>
      </w:r>
      <w:r w:rsidRPr="00663834">
        <w:rPr>
          <w:rFonts w:ascii="Century" w:hAnsi="Century" w:hint="cs"/>
          <w:sz w:val="22"/>
          <w:rtl/>
        </w:rPr>
        <w:t>החלטת ועדת האתיקה של הכנסת בעניין מתנות</w:t>
      </w:r>
      <w:r>
        <w:rPr>
          <w:rFonts w:hint="cs"/>
          <w:rtl/>
        </w:rPr>
        <w:t xml:space="preserve">). </w:t>
      </w:r>
    </w:p>
    <w:p w14:paraId="41CDC8B8" w14:textId="77777777" w:rsidR="00F125D1" w:rsidRDefault="00F125D1" w:rsidP="00F125D1">
      <w:pPr>
        <w:pStyle w:val="Ruller41"/>
        <w:rPr>
          <w:rtl/>
        </w:rPr>
      </w:pPr>
    </w:p>
    <w:p w14:paraId="261325E6" w14:textId="77777777" w:rsidR="00E00362" w:rsidRDefault="00E00362" w:rsidP="00E00362">
      <w:pPr>
        <w:pStyle w:val="Ruller4"/>
      </w:pPr>
      <w:r>
        <w:rPr>
          <w:rFonts w:hint="cs"/>
          <w:rtl/>
        </w:rPr>
        <w:t xml:space="preserve">בהינתן תחולת חוק המתנות על המענק ממיליקובסקי אין רלוונטיות לכללי אשר בכל הנוגע אליו וממילא לא ניתן לפנות לוועדת ההיתרים לצורך קבלת היתר. לפיכך, מתייתרות בהקשר זה טענות הצדדים ככל שהן נוגעות לכללי אשר ולהחלטת ועדת ההיתרים מיום 2.7.2020. </w:t>
      </w:r>
    </w:p>
    <w:p w14:paraId="47A1A2C6" w14:textId="77777777" w:rsidR="00E00362" w:rsidRDefault="00E00362" w:rsidP="00E00362">
      <w:pPr>
        <w:pStyle w:val="Ruller4"/>
        <w:numPr>
          <w:ilvl w:val="0"/>
          <w:numId w:val="0"/>
        </w:numPr>
        <w:rPr>
          <w:rtl/>
        </w:rPr>
      </w:pPr>
    </w:p>
    <w:p w14:paraId="1EEE64F1" w14:textId="031505E3" w:rsidR="00E00362" w:rsidRPr="00E37DF3" w:rsidRDefault="00BD2469" w:rsidP="001F604A">
      <w:pPr>
        <w:pStyle w:val="Ruller4"/>
        <w:rPr>
          <w:rtl/>
        </w:rPr>
      </w:pPr>
      <w:r>
        <w:rPr>
          <w:rFonts w:hint="cs"/>
          <w:rtl/>
        </w:rPr>
        <w:t xml:space="preserve">ח"כ </w:t>
      </w:r>
      <w:r w:rsidR="00E00362">
        <w:rPr>
          <w:rFonts w:hint="cs"/>
          <w:rtl/>
        </w:rPr>
        <w:t>נתניהו</w:t>
      </w:r>
      <w:r>
        <w:rPr>
          <w:rFonts w:hint="cs"/>
          <w:rtl/>
        </w:rPr>
        <w:t xml:space="preserve"> הוסיף וטען כי</w:t>
      </w:r>
      <w:r w:rsidR="00E00362">
        <w:rPr>
          <w:rFonts w:hint="cs"/>
          <w:rtl/>
        </w:rPr>
        <w:t xml:space="preserve"> יש להעניק בענייננו </w:t>
      </w:r>
      <w:r w:rsidR="00E00362" w:rsidRPr="00E37DF3">
        <w:rPr>
          <w:rFonts w:hint="cs"/>
          <w:rtl/>
        </w:rPr>
        <w:t>משקל מופחת לעמדת היועץ בשל ניגוד העניינים הנטען בין תפקידו הייעוצי ותפקידו כראש התביעה הכללית</w:t>
      </w:r>
      <w:r w:rsidR="00E00362">
        <w:rPr>
          <w:rFonts w:hint="cs"/>
          <w:rtl/>
        </w:rPr>
        <w:t>.</w:t>
      </w:r>
      <w:r>
        <w:rPr>
          <w:rFonts w:hint="cs"/>
          <w:rtl/>
        </w:rPr>
        <w:t xml:space="preserve"> בטענה זו אין ממש שכן </w:t>
      </w:r>
      <w:r w:rsidR="00E00362">
        <w:rPr>
          <w:rFonts w:hint="cs"/>
          <w:rtl/>
        </w:rPr>
        <w:t>בשני "</w:t>
      </w:r>
      <w:r>
        <w:rPr>
          <w:rFonts w:hint="cs"/>
          <w:rtl/>
        </w:rPr>
        <w:t>ה</w:t>
      </w:r>
      <w:r w:rsidR="00E00362">
        <w:rPr>
          <w:rFonts w:hint="cs"/>
          <w:rtl/>
        </w:rPr>
        <w:t xml:space="preserve">כובעים" </w:t>
      </w:r>
      <w:r>
        <w:rPr>
          <w:rFonts w:hint="cs"/>
          <w:rtl/>
        </w:rPr>
        <w:t xml:space="preserve">הללו כאחד פועל היועץ </w:t>
      </w:r>
      <w:r w:rsidR="00E00362">
        <w:rPr>
          <w:rFonts w:hint="cs"/>
          <w:rtl/>
        </w:rPr>
        <w:t xml:space="preserve">לצורך שמירה על האינטרס הציבורי ועל שלטון החוק (ראו: </w:t>
      </w:r>
      <w:r w:rsidR="00E00362" w:rsidRPr="008A1BB5">
        <w:rPr>
          <w:rFonts w:ascii="Century" w:hAnsi="Century" w:cs="Miriam"/>
          <w:b/>
          <w:spacing w:val="0"/>
          <w:sz w:val="22"/>
          <w:szCs w:val="24"/>
          <w:rtl/>
        </w:rPr>
        <w:t>דו"ח הוועדה הציבורית לבחינת דרכי המינוי של היועץ המשפטי לממשלה ונושאים הקשורים לכהונתו</w:t>
      </w:r>
      <w:r w:rsidR="00E00362" w:rsidRPr="008A1BB5">
        <w:rPr>
          <w:rtl/>
        </w:rPr>
        <w:t xml:space="preserve"> (1998)</w:t>
      </w:r>
      <w:r w:rsidR="00E00362">
        <w:rPr>
          <w:rFonts w:hint="cs"/>
          <w:rtl/>
        </w:rPr>
        <w:t xml:space="preserve">). לפיכך, </w:t>
      </w:r>
      <w:r>
        <w:rPr>
          <w:rFonts w:hint="cs"/>
          <w:rtl/>
        </w:rPr>
        <w:t>אין</w:t>
      </w:r>
      <w:r w:rsidR="00E00362">
        <w:rPr>
          <w:rFonts w:hint="cs"/>
          <w:rtl/>
        </w:rPr>
        <w:t xml:space="preserve"> מתעוררת בהקשר זה שאלה של ניגוד עניינים, </w:t>
      </w:r>
      <w:r>
        <w:rPr>
          <w:rFonts w:hint="cs"/>
          <w:rtl/>
        </w:rPr>
        <w:t>שעיקרה</w:t>
      </w:r>
      <w:r w:rsidR="00E00362">
        <w:rPr>
          <w:rFonts w:hint="cs"/>
          <w:rtl/>
        </w:rPr>
        <w:t xml:space="preserve"> התנגשות בין תפקיד ציבורי לאינטרס פרטי ("ניגוד עניינים אישי") או לתפקיד ציבורי אחר ("ניגוד עניינים מוסדי"; ראו: </w:t>
      </w:r>
      <w:r w:rsidR="00E00362">
        <w:rPr>
          <w:rtl/>
        </w:rPr>
        <w:t>בג</w:t>
      </w:r>
      <w:r w:rsidR="00E00362">
        <w:rPr>
          <w:rFonts w:hint="cs"/>
          <w:rtl/>
        </w:rPr>
        <w:t>"</w:t>
      </w:r>
      <w:r w:rsidR="00175B8C">
        <w:rPr>
          <w:rtl/>
        </w:rPr>
        <w:t xml:space="preserve">ץ 531/79 </w:t>
      </w:r>
      <w:r w:rsidR="00E00362" w:rsidRPr="00141650">
        <w:rPr>
          <w:rFonts w:ascii="Century" w:hAnsi="Century" w:cs="Miriam"/>
          <w:b/>
          <w:spacing w:val="0"/>
          <w:sz w:val="22"/>
          <w:szCs w:val="24"/>
          <w:rtl/>
        </w:rPr>
        <w:t>סיעת הליכוד בעיריית פתח-תקוה נ' מועצת עיריית פתח-תקוה</w:t>
      </w:r>
      <w:r w:rsidR="00E00362">
        <w:rPr>
          <w:rtl/>
        </w:rPr>
        <w:t>, פ''ד לד(2) 566</w:t>
      </w:r>
      <w:r w:rsidR="00E00362">
        <w:rPr>
          <w:rFonts w:hint="cs"/>
          <w:rtl/>
        </w:rPr>
        <w:t xml:space="preserve">, 572-571 (1980)); </w:t>
      </w:r>
      <w:r w:rsidR="00E00362" w:rsidRPr="00141650">
        <w:rPr>
          <w:rFonts w:ascii="Century" w:hAnsi="Century" w:cs="Miriam" w:hint="cs"/>
          <w:b/>
          <w:spacing w:val="0"/>
          <w:sz w:val="22"/>
          <w:szCs w:val="24"/>
          <w:rtl/>
        </w:rPr>
        <w:t>זמיר</w:t>
      </w:r>
      <w:r w:rsidR="00E00362">
        <w:rPr>
          <w:rFonts w:hint="cs"/>
          <w:rtl/>
        </w:rPr>
        <w:t xml:space="preserve">, בעמ' 580-579; </w:t>
      </w:r>
      <w:r w:rsidR="00E00362" w:rsidRPr="004E63BA">
        <w:rPr>
          <w:rFonts w:hint="cs"/>
          <w:rtl/>
        </w:rPr>
        <w:t xml:space="preserve">דפנה ברק-ארז </w:t>
      </w:r>
      <w:r w:rsidR="00E00362" w:rsidRPr="004E63BA">
        <w:rPr>
          <w:rFonts w:ascii="Century" w:hAnsi="Century" w:cs="Miriam" w:hint="cs"/>
          <w:b/>
          <w:spacing w:val="0"/>
          <w:sz w:val="22"/>
          <w:szCs w:val="24"/>
          <w:rtl/>
        </w:rPr>
        <w:t xml:space="preserve">משפט מינהלי כרך </w:t>
      </w:r>
      <w:r w:rsidR="00E00362">
        <w:rPr>
          <w:rFonts w:ascii="Century" w:hAnsi="Century" w:cs="Miriam" w:hint="cs"/>
          <w:b/>
          <w:spacing w:val="0"/>
          <w:sz w:val="22"/>
          <w:szCs w:val="24"/>
          <w:rtl/>
        </w:rPr>
        <w:t>א</w:t>
      </w:r>
      <w:r w:rsidR="00E00362" w:rsidRPr="004E63BA">
        <w:rPr>
          <w:rFonts w:hint="cs"/>
          <w:rtl/>
        </w:rPr>
        <w:t xml:space="preserve"> </w:t>
      </w:r>
      <w:r w:rsidR="00E00362">
        <w:rPr>
          <w:rFonts w:hint="cs"/>
          <w:rtl/>
        </w:rPr>
        <w:t>537-535</w:t>
      </w:r>
      <w:r w:rsidR="00E00362" w:rsidRPr="004E63BA">
        <w:rPr>
          <w:rFonts w:hint="cs"/>
          <w:rtl/>
        </w:rPr>
        <w:t xml:space="preserve"> (2010)</w:t>
      </w:r>
      <w:r w:rsidR="00E00362">
        <w:rPr>
          <w:rFonts w:hint="cs"/>
          <w:rtl/>
        </w:rPr>
        <w:t xml:space="preserve"> (להלן: </w:t>
      </w:r>
      <w:r w:rsidR="00E00362">
        <w:rPr>
          <w:rFonts w:ascii="Century" w:hAnsi="Century" w:cs="Miriam" w:hint="cs"/>
          <w:b/>
          <w:spacing w:val="0"/>
          <w:sz w:val="22"/>
          <w:szCs w:val="24"/>
          <w:rtl/>
        </w:rPr>
        <w:t>ד' ברק-ארז</w:t>
      </w:r>
      <w:r w:rsidR="00E00362">
        <w:rPr>
          <w:rFonts w:hint="cs"/>
          <w:rtl/>
        </w:rPr>
        <w:t xml:space="preserve"> </w:t>
      </w:r>
      <w:r w:rsidR="00E00362" w:rsidRPr="00141650">
        <w:rPr>
          <w:rFonts w:ascii="Century" w:hAnsi="Century" w:cs="Miriam" w:hint="cs"/>
          <w:b/>
          <w:spacing w:val="0"/>
          <w:sz w:val="22"/>
          <w:szCs w:val="24"/>
          <w:rtl/>
        </w:rPr>
        <w:t>משפט מינהלי</w:t>
      </w:r>
      <w:r w:rsidR="00E00362">
        <w:rPr>
          <w:rFonts w:hint="cs"/>
          <w:rtl/>
        </w:rPr>
        <w:t xml:space="preserve">)). מכל מקום, </w:t>
      </w:r>
      <w:r w:rsidR="00E00362" w:rsidRPr="00E37DF3">
        <w:rPr>
          <w:rFonts w:hint="cs"/>
          <w:rtl/>
        </w:rPr>
        <w:t xml:space="preserve">קביעות היועץ בכובעו כפרשן </w:t>
      </w:r>
      <w:r w:rsidR="00E00362">
        <w:rPr>
          <w:rFonts w:hint="cs"/>
          <w:rtl/>
        </w:rPr>
        <w:t xml:space="preserve">של הדין, </w:t>
      </w:r>
      <w:r w:rsidR="00E00362" w:rsidRPr="00E37DF3">
        <w:rPr>
          <w:rFonts w:hint="cs"/>
          <w:rtl/>
        </w:rPr>
        <w:t xml:space="preserve">נתונות לביקורת שיפוטית רחבה יחסית (בג"ץ 5134/14, </w:t>
      </w:r>
      <w:r w:rsidR="00E00362" w:rsidRPr="00141650">
        <w:rPr>
          <w:rFonts w:ascii="Century" w:hAnsi="Century" w:cs="Miriam" w:hint="eastAsia"/>
          <w:b/>
          <w:spacing w:val="0"/>
          <w:sz w:val="22"/>
          <w:szCs w:val="24"/>
          <w:rtl/>
        </w:rPr>
        <w:t>התנועה</w:t>
      </w:r>
      <w:r w:rsidR="00E00362" w:rsidRPr="00141650">
        <w:rPr>
          <w:rFonts w:ascii="Century" w:hAnsi="Century" w:cs="Miriam"/>
          <w:b/>
          <w:spacing w:val="0"/>
          <w:sz w:val="22"/>
          <w:szCs w:val="24"/>
          <w:rtl/>
        </w:rPr>
        <w:t xml:space="preserve"> </w:t>
      </w:r>
      <w:r w:rsidR="00E00362" w:rsidRPr="00141650">
        <w:rPr>
          <w:rFonts w:ascii="Century" w:hAnsi="Century" w:cs="Miriam" w:hint="eastAsia"/>
          <w:b/>
          <w:spacing w:val="0"/>
          <w:sz w:val="22"/>
          <w:szCs w:val="24"/>
          <w:rtl/>
        </w:rPr>
        <w:t>למען</w:t>
      </w:r>
      <w:r w:rsidR="00E00362" w:rsidRPr="00141650">
        <w:rPr>
          <w:rFonts w:ascii="Century" w:hAnsi="Century" w:cs="Miriam"/>
          <w:b/>
          <w:spacing w:val="0"/>
          <w:sz w:val="22"/>
          <w:szCs w:val="24"/>
          <w:rtl/>
        </w:rPr>
        <w:t xml:space="preserve"> </w:t>
      </w:r>
      <w:r w:rsidR="00E00362" w:rsidRPr="00141650">
        <w:rPr>
          <w:rFonts w:ascii="Century" w:hAnsi="Century" w:cs="Miriam" w:hint="eastAsia"/>
          <w:b/>
          <w:spacing w:val="0"/>
          <w:sz w:val="22"/>
          <w:szCs w:val="24"/>
          <w:rtl/>
        </w:rPr>
        <w:t>איכות</w:t>
      </w:r>
      <w:r w:rsidR="00E00362" w:rsidRPr="00141650">
        <w:rPr>
          <w:rFonts w:ascii="Century" w:hAnsi="Century" w:cs="Miriam"/>
          <w:b/>
          <w:spacing w:val="0"/>
          <w:sz w:val="22"/>
          <w:szCs w:val="24"/>
          <w:rtl/>
        </w:rPr>
        <w:t xml:space="preserve"> </w:t>
      </w:r>
      <w:r w:rsidR="00E00362" w:rsidRPr="00141650">
        <w:rPr>
          <w:rFonts w:ascii="Century" w:hAnsi="Century" w:cs="Miriam" w:hint="eastAsia"/>
          <w:b/>
          <w:spacing w:val="0"/>
          <w:sz w:val="22"/>
          <w:szCs w:val="24"/>
          <w:rtl/>
        </w:rPr>
        <w:t>השלטון</w:t>
      </w:r>
      <w:r w:rsidR="00E00362" w:rsidRPr="00141650">
        <w:rPr>
          <w:rFonts w:ascii="Century" w:hAnsi="Century" w:cs="Miriam"/>
          <w:b/>
          <w:spacing w:val="0"/>
          <w:sz w:val="22"/>
          <w:szCs w:val="24"/>
          <w:rtl/>
        </w:rPr>
        <w:t xml:space="preserve"> </w:t>
      </w:r>
      <w:r w:rsidR="00E00362" w:rsidRPr="00141650">
        <w:rPr>
          <w:rFonts w:ascii="Century" w:hAnsi="Century" w:cs="Miriam" w:hint="eastAsia"/>
          <w:b/>
          <w:spacing w:val="0"/>
          <w:sz w:val="22"/>
          <w:szCs w:val="24"/>
          <w:rtl/>
        </w:rPr>
        <w:t>בישראל</w:t>
      </w:r>
      <w:r w:rsidR="00E00362" w:rsidRPr="00141650">
        <w:rPr>
          <w:rFonts w:ascii="Century" w:hAnsi="Century" w:cs="Miriam"/>
          <w:b/>
          <w:spacing w:val="0"/>
          <w:sz w:val="22"/>
          <w:szCs w:val="24"/>
          <w:rtl/>
        </w:rPr>
        <w:t xml:space="preserve"> </w:t>
      </w:r>
      <w:r w:rsidR="00E00362" w:rsidRPr="00141650">
        <w:rPr>
          <w:rFonts w:ascii="Century" w:hAnsi="Century" w:cs="Miriam" w:hint="eastAsia"/>
          <w:b/>
          <w:spacing w:val="0"/>
          <w:sz w:val="22"/>
          <w:szCs w:val="24"/>
          <w:rtl/>
        </w:rPr>
        <w:t>נ</w:t>
      </w:r>
      <w:r w:rsidR="00E00362" w:rsidRPr="00141650">
        <w:rPr>
          <w:rFonts w:ascii="Century" w:hAnsi="Century" w:cs="Miriam"/>
          <w:b/>
          <w:spacing w:val="0"/>
          <w:sz w:val="22"/>
          <w:szCs w:val="24"/>
          <w:rtl/>
        </w:rPr>
        <w:t xml:space="preserve">' </w:t>
      </w:r>
      <w:r w:rsidR="00E00362" w:rsidRPr="00141650">
        <w:rPr>
          <w:rFonts w:ascii="Century" w:hAnsi="Century" w:cs="Miriam" w:hint="eastAsia"/>
          <w:b/>
          <w:spacing w:val="0"/>
          <w:sz w:val="22"/>
          <w:szCs w:val="24"/>
          <w:rtl/>
        </w:rPr>
        <w:t>מועצת</w:t>
      </w:r>
      <w:r w:rsidR="00E00362" w:rsidRPr="00141650">
        <w:rPr>
          <w:rFonts w:ascii="Century" w:hAnsi="Century" w:cs="Miriam"/>
          <w:b/>
          <w:spacing w:val="0"/>
          <w:sz w:val="22"/>
          <w:szCs w:val="24"/>
          <w:rtl/>
        </w:rPr>
        <w:t xml:space="preserve"> </w:t>
      </w:r>
      <w:r w:rsidR="00E00362" w:rsidRPr="00141650">
        <w:rPr>
          <w:rFonts w:ascii="Century" w:hAnsi="Century" w:cs="Miriam" w:hint="eastAsia"/>
          <w:b/>
          <w:spacing w:val="0"/>
          <w:sz w:val="22"/>
          <w:szCs w:val="24"/>
          <w:rtl/>
        </w:rPr>
        <w:t>מקרקעי</w:t>
      </w:r>
      <w:r w:rsidR="00E00362" w:rsidRPr="00141650">
        <w:rPr>
          <w:rFonts w:ascii="Century" w:hAnsi="Century" w:cs="Miriam"/>
          <w:b/>
          <w:spacing w:val="0"/>
          <w:sz w:val="22"/>
          <w:szCs w:val="24"/>
          <w:rtl/>
        </w:rPr>
        <w:t xml:space="preserve"> </w:t>
      </w:r>
      <w:r w:rsidR="00E00362" w:rsidRPr="00141650">
        <w:rPr>
          <w:rFonts w:ascii="Century" w:hAnsi="Century" w:cs="Miriam" w:hint="eastAsia"/>
          <w:b/>
          <w:spacing w:val="0"/>
          <w:sz w:val="22"/>
          <w:szCs w:val="24"/>
          <w:rtl/>
        </w:rPr>
        <w:t>ישראל</w:t>
      </w:r>
      <w:r w:rsidR="00E00362" w:rsidRPr="00E37DF3">
        <w:rPr>
          <w:rtl/>
        </w:rPr>
        <w:t xml:space="preserve">, </w:t>
      </w:r>
      <w:r w:rsidR="00E00362" w:rsidRPr="00E37DF3">
        <w:rPr>
          <w:rFonts w:hint="eastAsia"/>
          <w:rtl/>
        </w:rPr>
        <w:t>פסקה</w:t>
      </w:r>
      <w:r w:rsidR="00E00362" w:rsidRPr="00E37DF3">
        <w:rPr>
          <w:rtl/>
        </w:rPr>
        <w:t xml:space="preserve"> </w:t>
      </w:r>
      <w:r w:rsidR="00E00362" w:rsidRPr="00E37DF3">
        <w:rPr>
          <w:rFonts w:hint="cs"/>
          <w:rtl/>
        </w:rPr>
        <w:t>39</w:t>
      </w:r>
      <w:r w:rsidR="00E00362" w:rsidRPr="00E37DF3">
        <w:rPr>
          <w:rtl/>
        </w:rPr>
        <w:t xml:space="preserve"> (14.11.2016)</w:t>
      </w:r>
      <w:r w:rsidR="00E00362" w:rsidRPr="00E37DF3">
        <w:rPr>
          <w:rFonts w:hint="cs"/>
          <w:rtl/>
        </w:rPr>
        <w:t xml:space="preserve">), </w:t>
      </w:r>
      <w:r w:rsidR="00E00362">
        <w:rPr>
          <w:rFonts w:hint="cs"/>
          <w:rtl/>
        </w:rPr>
        <w:t>וכך</w:t>
      </w:r>
      <w:r w:rsidR="00E00362" w:rsidRPr="00E37DF3">
        <w:rPr>
          <w:rFonts w:hint="cs"/>
          <w:rtl/>
        </w:rPr>
        <w:t xml:space="preserve"> נבחנו הדברים גם במקרה דנן. </w:t>
      </w:r>
    </w:p>
    <w:p w14:paraId="4571EDC4" w14:textId="77777777" w:rsidR="00F125D1" w:rsidRDefault="00F125D1" w:rsidP="00F125D1">
      <w:pPr>
        <w:pStyle w:val="Ruller41"/>
        <w:rPr>
          <w:rtl/>
        </w:rPr>
      </w:pPr>
    </w:p>
    <w:p w14:paraId="3EBB5F14" w14:textId="204A8BF7" w:rsidR="00F125D1" w:rsidRDefault="00F125D1" w:rsidP="00BF5AB7">
      <w:pPr>
        <w:pStyle w:val="Ruller4"/>
        <w:rPr>
          <w:rStyle w:val="default"/>
          <w:rFonts w:ascii="Century" w:hAnsi="Century"/>
          <w:sz w:val="22"/>
          <w:rtl/>
        </w:rPr>
      </w:pPr>
      <w:r>
        <w:rPr>
          <w:rFonts w:hint="cs"/>
          <w:rtl/>
        </w:rPr>
        <w:lastRenderedPageBreak/>
        <w:t xml:space="preserve">ככל שהדבר נוגע לסעד האופרטיבי </w:t>
      </w:r>
      <w:r>
        <w:rPr>
          <w:rtl/>
        </w:rPr>
        <w:t>–</w:t>
      </w:r>
      <w:r>
        <w:rPr>
          <w:rFonts w:hint="cs"/>
          <w:rtl/>
        </w:rPr>
        <w:t xml:space="preserve"> סעיף 2(א) לחוק </w:t>
      </w:r>
      <w:r w:rsidRPr="00C913B7">
        <w:rPr>
          <w:rFonts w:ascii="Century" w:hAnsi="Century" w:hint="cs"/>
          <w:sz w:val="22"/>
          <w:rtl/>
        </w:rPr>
        <w:t xml:space="preserve">המתנות </w:t>
      </w:r>
      <w:r>
        <w:rPr>
          <w:rFonts w:ascii="Century" w:hAnsi="Century" w:hint="cs"/>
          <w:sz w:val="22"/>
          <w:rtl/>
        </w:rPr>
        <w:t xml:space="preserve">קובע כי </w:t>
      </w:r>
      <w:r w:rsidRPr="00C913B7">
        <w:rPr>
          <w:rFonts w:ascii="Century" w:hAnsi="Century" w:hint="cs"/>
          <w:sz w:val="22"/>
          <w:rtl/>
        </w:rPr>
        <w:t>מתנה שניתנה לעובד הציבור קמה לקניין המדינה, אך סעיף 2(ג) לחוק מוסיף וקובע כי "</w:t>
      </w:r>
      <w:r w:rsidRPr="00C913B7">
        <w:rPr>
          <w:rStyle w:val="default"/>
          <w:rFonts w:ascii="Century" w:hAnsi="Century"/>
          <w:sz w:val="22"/>
          <w:rtl/>
        </w:rPr>
        <w:t xml:space="preserve">במתנה שקמה לקנין המדינה </w:t>
      </w:r>
      <w:r w:rsidRPr="00C913B7">
        <w:rPr>
          <w:rStyle w:val="default"/>
          <w:rFonts w:ascii="Century" w:hAnsi="Century" w:hint="cs"/>
          <w:sz w:val="22"/>
          <w:rtl/>
        </w:rPr>
        <w:t xml:space="preserve">[...] </w:t>
      </w:r>
      <w:r w:rsidRPr="00C913B7">
        <w:rPr>
          <w:rStyle w:val="default"/>
          <w:rFonts w:ascii="Century" w:hAnsi="Century"/>
          <w:sz w:val="22"/>
          <w:rtl/>
        </w:rPr>
        <w:t xml:space="preserve">ינהגו </w:t>
      </w:r>
      <w:r w:rsidRPr="002D3530">
        <w:rPr>
          <w:rStyle w:val="default"/>
          <w:rFonts w:ascii="Century" w:hAnsi="Century" w:cs="Miriam"/>
          <w:b/>
          <w:spacing w:val="0"/>
          <w:sz w:val="22"/>
          <w:szCs w:val="24"/>
          <w:rtl/>
        </w:rPr>
        <w:t>בהחזרה לנותן המתנה</w:t>
      </w:r>
      <w:r w:rsidRPr="00C913B7">
        <w:rPr>
          <w:rStyle w:val="default"/>
          <w:rFonts w:ascii="Century" w:hAnsi="Century"/>
          <w:sz w:val="22"/>
          <w:rtl/>
        </w:rPr>
        <w:t>, בהענקה לעובד הציבור או בדרך אחרת, הכל לפי שנקבע בתקנות</w:t>
      </w:r>
      <w:r>
        <w:rPr>
          <w:rStyle w:val="default"/>
          <w:rFonts w:ascii="Century" w:hAnsi="Century" w:hint="cs"/>
          <w:sz w:val="22"/>
          <w:rtl/>
        </w:rPr>
        <w:t xml:space="preserve">" (ההדגשה הוספה). כלומר, החוק מכיר באפשרות העקרונית של החזרת המתנה לנותנה. ברירת המחדל שנקבעה בתקנות המתנות היא שמתנה שלא נקבע לגביה אחרת תימסר לידי האפוטרופוס הכללי, תימכר על ידו ותמורתה תועבר לאוצר המדינה (תקנה 5 לתקנות), אך נראה כי הוראה זו, על פי לשונה, מתייחסת למתנות חפציות ולא להענקות כספיות. </w:t>
      </w:r>
      <w:r>
        <w:rPr>
          <w:rFonts w:hint="cs"/>
          <w:rtl/>
        </w:rPr>
        <w:t xml:space="preserve">בנסיבות אלה, אני סבורה כי </w:t>
      </w:r>
      <w:r w:rsidRPr="006D236C">
        <w:rPr>
          <w:rFonts w:hint="cs"/>
          <w:rtl/>
        </w:rPr>
        <w:t xml:space="preserve">יש לקבל את </w:t>
      </w:r>
      <w:r w:rsidR="008C4130">
        <w:rPr>
          <w:rFonts w:hint="cs"/>
          <w:rtl/>
        </w:rPr>
        <w:t>עמדת</w:t>
      </w:r>
      <w:r w:rsidRPr="006D236C">
        <w:rPr>
          <w:rFonts w:hint="cs"/>
          <w:rtl/>
        </w:rPr>
        <w:t xml:space="preserve"> היועצת המשפטית לממשלה (בסעיף 75 לכתב התשובה מטעמה) כי יתרת ה</w:t>
      </w:r>
      <w:r>
        <w:rPr>
          <w:rFonts w:hint="cs"/>
          <w:rtl/>
        </w:rPr>
        <w:t xml:space="preserve">מענק </w:t>
      </w:r>
      <w:r w:rsidRPr="006D236C">
        <w:rPr>
          <w:rFonts w:hint="cs"/>
          <w:rtl/>
        </w:rPr>
        <w:t xml:space="preserve">ממיליקובסקי שטרם הושבה לו </w:t>
      </w:r>
      <w:r>
        <w:rPr>
          <w:rtl/>
        </w:rPr>
        <w:t>–</w:t>
      </w:r>
      <w:r>
        <w:rPr>
          <w:rFonts w:hint="cs"/>
          <w:rtl/>
        </w:rPr>
        <w:t xml:space="preserve"> קרי, </w:t>
      </w:r>
      <w:r w:rsidRPr="006D236C">
        <w:rPr>
          <w:rFonts w:hint="cs"/>
          <w:rtl/>
        </w:rPr>
        <w:t>סכום של 270,000 דולר</w:t>
      </w:r>
      <w:r>
        <w:rPr>
          <w:rFonts w:hint="cs"/>
          <w:rtl/>
        </w:rPr>
        <w:t xml:space="preserve"> </w:t>
      </w:r>
      <w:r>
        <w:rPr>
          <w:rtl/>
        </w:rPr>
        <w:t>–</w:t>
      </w:r>
      <w:r w:rsidRPr="006D236C">
        <w:rPr>
          <w:rFonts w:hint="cs"/>
          <w:rtl/>
        </w:rPr>
        <w:t xml:space="preserve"> תושב לעיזבונו של מיליקובסקי. </w:t>
      </w:r>
      <w:r w:rsidR="008C4130">
        <w:rPr>
          <w:rFonts w:hint="cs"/>
          <w:rtl/>
        </w:rPr>
        <w:t xml:space="preserve">עוד אציע כי </w:t>
      </w:r>
      <w:r w:rsidRPr="006D236C">
        <w:rPr>
          <w:rFonts w:hint="cs"/>
          <w:rtl/>
        </w:rPr>
        <w:t>אישור על השבת סכום זה לעיזבונו של מיליקובסקי</w:t>
      </w:r>
      <w:r>
        <w:rPr>
          <w:rFonts w:hint="cs"/>
          <w:rtl/>
        </w:rPr>
        <w:t xml:space="preserve"> יוצג </w:t>
      </w:r>
      <w:r w:rsidR="00A2360A">
        <w:rPr>
          <w:rFonts w:hint="cs"/>
          <w:rtl/>
        </w:rPr>
        <w:t>ל</w:t>
      </w:r>
      <w:r w:rsidRPr="00602C67">
        <w:rPr>
          <w:rFonts w:hint="cs"/>
          <w:rtl/>
        </w:rPr>
        <w:t>מבקר המדינה</w:t>
      </w:r>
      <w:r>
        <w:rPr>
          <w:rFonts w:hint="cs"/>
          <w:rtl/>
        </w:rPr>
        <w:t xml:space="preserve"> על ידי ח"כ נתניהו </w:t>
      </w:r>
      <w:r w:rsidRPr="00106813">
        <w:rPr>
          <w:rFonts w:hint="cs"/>
          <w:rtl/>
        </w:rPr>
        <w:t xml:space="preserve">תוך </w:t>
      </w:r>
      <w:r w:rsidRPr="00106813">
        <w:rPr>
          <w:rtl/>
        </w:rPr>
        <w:t xml:space="preserve">120 </w:t>
      </w:r>
      <w:r w:rsidRPr="00106813">
        <w:rPr>
          <w:rFonts w:hint="eastAsia"/>
          <w:rtl/>
        </w:rPr>
        <w:t>ימים</w:t>
      </w:r>
      <w:r>
        <w:rPr>
          <w:rFonts w:hint="cs"/>
          <w:rtl/>
        </w:rPr>
        <w:t xml:space="preserve"> ממועד מתן פסק דין זה.</w:t>
      </w:r>
    </w:p>
    <w:p w14:paraId="353B6B2B" w14:textId="77777777" w:rsidR="00F125D1" w:rsidRDefault="00F125D1" w:rsidP="00F125D1">
      <w:pPr>
        <w:pStyle w:val="Ruller41"/>
        <w:rPr>
          <w:rtl/>
        </w:rPr>
      </w:pPr>
    </w:p>
    <w:p w14:paraId="438B0F7C" w14:textId="77777777" w:rsidR="00F125D1" w:rsidRDefault="00F125D1" w:rsidP="00F125D1">
      <w:pPr>
        <w:pStyle w:val="Ruller41"/>
        <w:rPr>
          <w:rFonts w:ascii="Century" w:hAnsi="Century" w:cs="Miriam"/>
          <w:b/>
          <w:spacing w:val="0"/>
          <w:szCs w:val="24"/>
          <w:rtl/>
        </w:rPr>
      </w:pPr>
      <w:r>
        <w:rPr>
          <w:rFonts w:ascii="Century" w:hAnsi="Century" w:cs="Miriam" w:hint="cs"/>
          <w:b/>
          <w:spacing w:val="0"/>
          <w:szCs w:val="24"/>
          <w:rtl/>
        </w:rPr>
        <w:t>ההלוואה מפרטרידג'</w:t>
      </w:r>
    </w:p>
    <w:p w14:paraId="48DDF119" w14:textId="77777777" w:rsidR="00F125D1" w:rsidRDefault="00F125D1" w:rsidP="00F125D1">
      <w:pPr>
        <w:pStyle w:val="Ruller41"/>
        <w:rPr>
          <w:rtl/>
        </w:rPr>
      </w:pPr>
    </w:p>
    <w:p w14:paraId="057718E3" w14:textId="77777777" w:rsidR="00F125D1" w:rsidRDefault="00F125D1" w:rsidP="00F125D1">
      <w:pPr>
        <w:pStyle w:val="Ruller4"/>
        <w:rPr>
          <w:rtl/>
        </w:rPr>
      </w:pPr>
      <w:r>
        <w:rPr>
          <w:rFonts w:hint="cs"/>
          <w:rtl/>
        </w:rPr>
        <w:t xml:space="preserve">בפתח הדברים אציין כי לא ראיתי מקום לקבל את טענות המבקר וח"כ נתניהו לפיהן יש לדחות על הסף את הרכיבים בעתירות המתייחסים להלוואה מפרטרידג' בשל שיהוי שנפל בהגשתן ובשל היותן "מעשה עשוי". אישור המבקר לנטילת ההלוואה, לאחר שנבחנו תנאיה, ניתן ביום 2.9.2019; ורק ביום 12.9.2019, לאחר שנערך לח"כ נתניהו הסדר ניגוד עניינים על ידי היועץ המשפטי לממשלה, נחתם הסכם ההלוואה באופן סופי. בנסיבות אלה, איני סבורה כי הגשת העתירות ביום 15.9.2019 (בג"ץ 6061/19) וביום 7.10.2019 (בג"ץ 6651/19) לוקה בשיהוי. אף איני סבורה כי כריתת הסכם ההלוואה מהווה "מעשה עשוי", בהינתן העובדה שמדובר בכספים שניתן להורות על השבתם למלווה אף אם כבר נעשה בהם שימוש. </w:t>
      </w:r>
    </w:p>
    <w:p w14:paraId="450276E9" w14:textId="77777777" w:rsidR="00F125D1" w:rsidRPr="005B710C" w:rsidRDefault="00F125D1" w:rsidP="00F125D1">
      <w:pPr>
        <w:pStyle w:val="Ruller41"/>
        <w:rPr>
          <w:rtl/>
        </w:rPr>
      </w:pPr>
    </w:p>
    <w:p w14:paraId="0A989633" w14:textId="63777545" w:rsidR="00F125D1" w:rsidRDefault="00F125D1" w:rsidP="00106813">
      <w:pPr>
        <w:pStyle w:val="Ruller4"/>
      </w:pPr>
      <w:r>
        <w:rPr>
          <w:rFonts w:hint="cs"/>
          <w:rtl/>
        </w:rPr>
        <w:t>לגופם של דברים, אקדים אחרית לראשית ואומר כי לגישתי, הגם שעל פני הדברים חוק המתנות חל על ההלוואה האמורה, בנסיבות הספציפיות של העניין ש</w:t>
      </w:r>
      <w:r w:rsidR="00106813">
        <w:rPr>
          <w:rFonts w:hint="cs"/>
          <w:rtl/>
        </w:rPr>
        <w:t>ל</w:t>
      </w:r>
      <w:r>
        <w:rPr>
          <w:rFonts w:hint="cs"/>
          <w:rtl/>
        </w:rPr>
        <w:t>פנינו אין מקום להתערבות בית משפט זה, למעט ביחס לאופן הפיקוח על המשך החזר ההלוואה.</w:t>
      </w:r>
    </w:p>
    <w:p w14:paraId="1AC6D5EE" w14:textId="77777777" w:rsidR="00F125D1" w:rsidRDefault="00F125D1" w:rsidP="00F125D1">
      <w:pPr>
        <w:pStyle w:val="Ruller4"/>
        <w:numPr>
          <w:ilvl w:val="0"/>
          <w:numId w:val="0"/>
        </w:numPr>
      </w:pPr>
      <w:r>
        <w:rPr>
          <w:rFonts w:hint="cs"/>
          <w:rtl/>
        </w:rPr>
        <w:t xml:space="preserve"> </w:t>
      </w:r>
    </w:p>
    <w:p w14:paraId="5909D62A" w14:textId="77777777" w:rsidR="00F125D1" w:rsidRDefault="00F125D1" w:rsidP="00F125D1">
      <w:pPr>
        <w:pStyle w:val="Ruller4"/>
      </w:pPr>
      <w:r>
        <w:rPr>
          <w:rFonts w:hint="cs"/>
          <w:rtl/>
        </w:rPr>
        <w:t xml:space="preserve">השאלה הראשונה שיש להידרש אליה באשר לתחולתו של חוק המתנות בענייננו היא האם הלוואה יכולה להיחשב כטובת הנאה שניתנה לעובד ציבור שלא בתמורה. על פני הדברים, כאשר מדובר בהלוואה שאותה מחזיר הלווה בצירוף ריבית, בפנינו עסקה שבה שני הצדדים נהנים מתמורה כלשהי. במקרה דנן, ניתנה לח"כ נתניהו הלוואה </w:t>
      </w:r>
      <w:r>
        <w:rPr>
          <w:rFonts w:hint="cs"/>
          <w:rtl/>
        </w:rPr>
        <w:lastRenderedPageBreak/>
        <w:t xml:space="preserve">לתקופה של 5 שנים, שניתן להאריכה לתקופה של 5 שנים נוספות, בסכום של עד 2 מיליון ש"ח ובריבית פריים פלוס 1.5%. לפי קביעת המבקר מיום 2.9.2019, מדובר בהלוואה בתנאים ש"אינם חורגים מתנאי הלוואה שהיו ניתנים ללקוח במגזר הבנקאות הפרטית". </w:t>
      </w:r>
    </w:p>
    <w:p w14:paraId="6969E6C4" w14:textId="77777777" w:rsidR="00F125D1" w:rsidRDefault="00F125D1" w:rsidP="00F125D1">
      <w:pPr>
        <w:pStyle w:val="Ruller4"/>
        <w:numPr>
          <w:ilvl w:val="0"/>
          <w:numId w:val="0"/>
        </w:numPr>
        <w:rPr>
          <w:rtl/>
        </w:rPr>
      </w:pPr>
    </w:p>
    <w:p w14:paraId="1EC6E16B" w14:textId="0B44136D" w:rsidR="00F125D1" w:rsidRDefault="00F125D1" w:rsidP="00F125D1">
      <w:pPr>
        <w:pStyle w:val="Ruller4"/>
        <w:numPr>
          <w:ilvl w:val="0"/>
          <w:numId w:val="0"/>
        </w:numPr>
        <w:rPr>
          <w:rtl/>
        </w:rPr>
      </w:pPr>
      <w:r>
        <w:rPr>
          <w:rtl/>
        </w:rPr>
        <w:tab/>
      </w:r>
      <w:r>
        <w:rPr>
          <w:rFonts w:hint="cs"/>
          <w:rtl/>
        </w:rPr>
        <w:t xml:space="preserve">עם זאת, בהקשר אחר </w:t>
      </w:r>
      <w:r>
        <w:rPr>
          <w:rtl/>
        </w:rPr>
        <w:t>–</w:t>
      </w:r>
      <w:r>
        <w:rPr>
          <w:rFonts w:hint="cs"/>
          <w:rtl/>
        </w:rPr>
        <w:t xml:space="preserve"> ביחס </w:t>
      </w:r>
      <w:r w:rsidRPr="00FA264D">
        <w:rPr>
          <w:rFonts w:hint="cs"/>
          <w:rtl/>
        </w:rPr>
        <w:t xml:space="preserve">לעבירות פליליות הנוגעות לטוהר המידות </w:t>
      </w:r>
      <w:r w:rsidRPr="00FA264D">
        <w:rPr>
          <w:rtl/>
        </w:rPr>
        <w:t>–</w:t>
      </w:r>
      <w:r w:rsidRPr="00FA264D">
        <w:rPr>
          <w:rFonts w:hint="cs"/>
          <w:rtl/>
        </w:rPr>
        <w:t xml:space="preserve"> כבר נקבע כי </w:t>
      </w:r>
      <w:r>
        <w:rPr>
          <w:rFonts w:hint="cs"/>
          <w:rtl/>
        </w:rPr>
        <w:t>אף</w:t>
      </w:r>
      <w:r w:rsidRPr="00FA264D">
        <w:rPr>
          <w:rFonts w:hint="cs"/>
          <w:rtl/>
        </w:rPr>
        <w:t xml:space="preserve"> הלוואה בתנאים רגילים עשויה</w:t>
      </w:r>
      <w:r>
        <w:rPr>
          <w:rFonts w:hint="cs"/>
          <w:rtl/>
        </w:rPr>
        <w:t>, בנסיבות מסוימות,</w:t>
      </w:r>
      <w:r w:rsidRPr="00FA264D">
        <w:rPr>
          <w:rFonts w:hint="cs"/>
          <w:rtl/>
        </w:rPr>
        <w:t xml:space="preserve"> להוות טובת הנאה שניתנה לעובד הציבור (ע"פ 150/88 </w:t>
      </w:r>
      <w:r w:rsidRPr="00FA264D">
        <w:rPr>
          <w:rFonts w:ascii="Century" w:hAnsi="Century" w:cs="Miriam" w:hint="cs"/>
          <w:b/>
          <w:spacing w:val="0"/>
          <w:sz w:val="22"/>
          <w:szCs w:val="24"/>
          <w:rtl/>
        </w:rPr>
        <w:t>לושי נ' מדינת ישראל</w:t>
      </w:r>
      <w:r w:rsidRPr="00FA264D">
        <w:rPr>
          <w:rFonts w:hint="cs"/>
          <w:rtl/>
        </w:rPr>
        <w:t xml:space="preserve">, פ"ד מב(2) 650, 656 (1988)). </w:t>
      </w:r>
      <w:r>
        <w:rPr>
          <w:rFonts w:hint="cs"/>
          <w:rtl/>
        </w:rPr>
        <w:t xml:space="preserve">עוד </w:t>
      </w:r>
      <w:r w:rsidRPr="00FA264D">
        <w:rPr>
          <w:rFonts w:hint="cs"/>
          <w:rtl/>
        </w:rPr>
        <w:t>נקבע כי גם הלוואה שבכוונת הלווה להחזירה, עשויה להוות טובת הנאה אם מועד פירעונה מוארך "</w:t>
      </w:r>
      <w:r w:rsidR="00707D34">
        <w:rPr>
          <w:rFonts w:hint="cs"/>
          <w:rtl/>
        </w:rPr>
        <w:t xml:space="preserve">[...] </w:t>
      </w:r>
      <w:r w:rsidRPr="00FA264D">
        <w:rPr>
          <w:rFonts w:hint="cs"/>
          <w:rtl/>
        </w:rPr>
        <w:t xml:space="preserve">ללא כוונה של ממש לגבות את הריבית ההסכמית" (ע"פ 4506/15 </w:t>
      </w:r>
      <w:r w:rsidRPr="00FA264D">
        <w:rPr>
          <w:rFonts w:ascii="Century" w:hAnsi="Century" w:cs="Miriam" w:hint="cs"/>
          <w:b/>
          <w:spacing w:val="0"/>
          <w:sz w:val="22"/>
          <w:szCs w:val="24"/>
          <w:rtl/>
        </w:rPr>
        <w:t>בר נ' מדינת ישראל</w:t>
      </w:r>
      <w:r w:rsidRPr="00FA264D">
        <w:rPr>
          <w:rFonts w:hint="cs"/>
          <w:rtl/>
        </w:rPr>
        <w:t xml:space="preserve">, פסקה 14 לפסק דינו של השופט </w:t>
      </w:r>
      <w:r w:rsidRPr="00FA264D">
        <w:rPr>
          <w:rFonts w:ascii="Century" w:hAnsi="Century" w:cs="Miriam" w:hint="cs"/>
          <w:b/>
          <w:spacing w:val="0"/>
          <w:sz w:val="22"/>
          <w:szCs w:val="24"/>
          <w:rtl/>
        </w:rPr>
        <w:t>י' עמית</w:t>
      </w:r>
      <w:r w:rsidRPr="00FA264D">
        <w:rPr>
          <w:rFonts w:hint="cs"/>
          <w:rtl/>
        </w:rPr>
        <w:t xml:space="preserve"> (11.12.2016)). בנוסף, ביחס לעובדי מדינה קבע נציב שירות המדינה כי "מתנה" לפי חוק המתנות יכולה להיות, בין היתר, "הענקת הלוואה על-ידי מי שעוסק במתן הלוואות בתנאים טובים מן המקובל" או "הענקת הלוואות על-ידי מי שאינו עוסק בדרך כלל במתן הלוואות </w:t>
      </w:r>
      <w:r w:rsidRPr="00FA264D">
        <w:rPr>
          <w:rtl/>
        </w:rPr>
        <w:t>–</w:t>
      </w:r>
      <w:r w:rsidRPr="00FA264D">
        <w:rPr>
          <w:rFonts w:hint="cs"/>
          <w:rtl/>
        </w:rPr>
        <w:t xml:space="preserve"> גם אם </w:t>
      </w:r>
      <w:r w:rsidR="00707D34">
        <w:rPr>
          <w:rFonts w:hint="cs"/>
          <w:rtl/>
        </w:rPr>
        <w:t>ההלוואה היא בתנאים המקובלים" (סעיף</w:t>
      </w:r>
      <w:r w:rsidRPr="00FA264D">
        <w:rPr>
          <w:rFonts w:hint="cs"/>
          <w:rtl/>
        </w:rPr>
        <w:t xml:space="preserve"> 3 להנחיית נציב שירות המדינה 4.1 "</w:t>
      </w:r>
      <w:r w:rsidRPr="00FA264D">
        <w:rPr>
          <w:rFonts w:hint="eastAsia"/>
          <w:rtl/>
        </w:rPr>
        <w:t>קבלת</w:t>
      </w:r>
      <w:r w:rsidRPr="00FA264D">
        <w:rPr>
          <w:rtl/>
        </w:rPr>
        <w:t xml:space="preserve"> </w:t>
      </w:r>
      <w:r w:rsidRPr="00FA264D">
        <w:rPr>
          <w:rFonts w:hint="eastAsia"/>
          <w:rtl/>
        </w:rPr>
        <w:t>מתנות</w:t>
      </w:r>
      <w:r w:rsidRPr="00FA264D">
        <w:rPr>
          <w:rtl/>
        </w:rPr>
        <w:t xml:space="preserve"> </w:t>
      </w:r>
      <w:r w:rsidRPr="00FA264D">
        <w:rPr>
          <w:rFonts w:hint="eastAsia"/>
          <w:rtl/>
        </w:rPr>
        <w:t>וטובות</w:t>
      </w:r>
      <w:r w:rsidRPr="00FA264D">
        <w:rPr>
          <w:rtl/>
        </w:rPr>
        <w:t xml:space="preserve"> </w:t>
      </w:r>
      <w:r w:rsidRPr="00FA264D">
        <w:rPr>
          <w:rFonts w:hint="eastAsia"/>
          <w:rtl/>
        </w:rPr>
        <w:t>הנאה</w:t>
      </w:r>
      <w:r w:rsidRPr="00FA264D">
        <w:rPr>
          <w:rtl/>
        </w:rPr>
        <w:t xml:space="preserve"> </w:t>
      </w:r>
      <w:r w:rsidRPr="00FA264D">
        <w:rPr>
          <w:rFonts w:hint="eastAsia"/>
          <w:rtl/>
        </w:rPr>
        <w:t>לפי</w:t>
      </w:r>
      <w:r w:rsidRPr="00FA264D">
        <w:rPr>
          <w:rtl/>
        </w:rPr>
        <w:t xml:space="preserve"> </w:t>
      </w:r>
      <w:r w:rsidRPr="00FA264D">
        <w:rPr>
          <w:rFonts w:hint="eastAsia"/>
          <w:rtl/>
        </w:rPr>
        <w:t>חוק</w:t>
      </w:r>
      <w:r w:rsidRPr="00FA264D">
        <w:rPr>
          <w:rtl/>
        </w:rPr>
        <w:t xml:space="preserve"> </w:t>
      </w:r>
      <w:r w:rsidRPr="00FA264D">
        <w:rPr>
          <w:rFonts w:hint="eastAsia"/>
          <w:rtl/>
        </w:rPr>
        <w:t>שירות</w:t>
      </w:r>
      <w:r w:rsidRPr="00FA264D">
        <w:rPr>
          <w:rtl/>
        </w:rPr>
        <w:t xml:space="preserve"> </w:t>
      </w:r>
      <w:r w:rsidRPr="00FA264D">
        <w:rPr>
          <w:rFonts w:hint="eastAsia"/>
          <w:rtl/>
        </w:rPr>
        <w:t>הציבור</w:t>
      </w:r>
      <w:r w:rsidRPr="00FA264D">
        <w:rPr>
          <w:rtl/>
        </w:rPr>
        <w:t xml:space="preserve"> (</w:t>
      </w:r>
      <w:r w:rsidRPr="00FA264D">
        <w:rPr>
          <w:rFonts w:hint="eastAsia"/>
          <w:rtl/>
        </w:rPr>
        <w:t>מתנות</w:t>
      </w:r>
      <w:r w:rsidRPr="00FA264D">
        <w:rPr>
          <w:rtl/>
        </w:rPr>
        <w:t xml:space="preserve">), </w:t>
      </w:r>
      <w:r w:rsidRPr="00FA264D">
        <w:rPr>
          <w:rFonts w:hint="eastAsia"/>
          <w:rtl/>
        </w:rPr>
        <w:t>התש</w:t>
      </w:r>
      <w:r w:rsidRPr="00FA264D">
        <w:rPr>
          <w:rtl/>
        </w:rPr>
        <w:t>''</w:t>
      </w:r>
      <w:r w:rsidRPr="00FA264D">
        <w:rPr>
          <w:rFonts w:hint="eastAsia"/>
          <w:rtl/>
        </w:rPr>
        <w:t>ם</w:t>
      </w:r>
      <w:r w:rsidRPr="00FA264D">
        <w:rPr>
          <w:rtl/>
        </w:rPr>
        <w:t>-1979 –</w:t>
      </w:r>
      <w:r w:rsidRPr="00FA264D">
        <w:rPr>
          <w:rFonts w:hint="cs"/>
          <w:rtl/>
        </w:rPr>
        <w:t xml:space="preserve"> </w:t>
      </w:r>
      <w:r w:rsidRPr="00FA264D">
        <w:rPr>
          <w:rFonts w:hint="eastAsia"/>
          <w:rtl/>
        </w:rPr>
        <w:t>הודעת</w:t>
      </w:r>
      <w:r w:rsidRPr="00FA264D">
        <w:rPr>
          <w:rtl/>
        </w:rPr>
        <w:t xml:space="preserve"> </w:t>
      </w:r>
      <w:r w:rsidRPr="00FA264D">
        <w:rPr>
          <w:rFonts w:hint="eastAsia"/>
          <w:rtl/>
        </w:rPr>
        <w:t>ריענון</w:t>
      </w:r>
      <w:r w:rsidRPr="00FA264D">
        <w:rPr>
          <w:rFonts w:hint="cs"/>
          <w:rtl/>
        </w:rPr>
        <w:t>" (19.3.2013)).</w:t>
      </w:r>
      <w:r>
        <w:rPr>
          <w:rFonts w:hint="cs"/>
          <w:rtl/>
        </w:rPr>
        <w:t xml:space="preserve"> </w:t>
      </w:r>
    </w:p>
    <w:p w14:paraId="4EC29525" w14:textId="77777777" w:rsidR="00F125D1" w:rsidRDefault="00F125D1" w:rsidP="00F125D1">
      <w:pPr>
        <w:pStyle w:val="Ruller4"/>
        <w:numPr>
          <w:ilvl w:val="0"/>
          <w:numId w:val="0"/>
        </w:numPr>
        <w:rPr>
          <w:rtl/>
        </w:rPr>
      </w:pPr>
    </w:p>
    <w:p w14:paraId="19E08D07" w14:textId="5736063F" w:rsidR="00F125D1" w:rsidRDefault="00F125D1" w:rsidP="00106813">
      <w:pPr>
        <w:pStyle w:val="Ruller4"/>
        <w:rPr>
          <w:rtl/>
        </w:rPr>
      </w:pPr>
      <w:r>
        <w:rPr>
          <w:rFonts w:hint="cs"/>
          <w:rtl/>
        </w:rPr>
        <w:t xml:space="preserve">קביעות אלו אינן חלות באופן ישיר על ענייננו, ואולם אני סבורה כי יש ממש בעמדת היועצת המשפטית לממשלה לפיה הגמישות שהעניק פרטרידג' לח"כ נתניהו במתן ההלוואה, ובפרט ביחס להחזר ההלוואה, מהווה "טובת הנאה" שלא ניתנה בעדה תמורה. העובדה שח"כ נתניהו הגיש ביום 2.1.2020, לאחר נטילת ההלוואה, בקשה לקבלת </w:t>
      </w:r>
      <w:r w:rsidR="00106813">
        <w:rPr>
          <w:rFonts w:hint="cs"/>
          <w:rtl/>
        </w:rPr>
        <w:t>מענק</w:t>
      </w:r>
      <w:r>
        <w:rPr>
          <w:rFonts w:hint="cs"/>
          <w:rtl/>
        </w:rPr>
        <w:t xml:space="preserve"> מפרטרידג' בשווי </w:t>
      </w:r>
      <w:r w:rsidR="00106813" w:rsidRPr="00106813">
        <w:rPr>
          <w:rFonts w:ascii="Century" w:hAnsi="Century" w:cs="Miriam" w:hint="cs"/>
          <w:b/>
          <w:spacing w:val="0"/>
          <w:sz w:val="22"/>
          <w:szCs w:val="24"/>
          <w:rtl/>
        </w:rPr>
        <w:t>ה</w:t>
      </w:r>
      <w:r w:rsidRPr="008A3CA1">
        <w:rPr>
          <w:rFonts w:ascii="Century" w:hAnsi="Century" w:cs="Miriam" w:hint="cs"/>
          <w:b/>
          <w:spacing w:val="0"/>
          <w:szCs w:val="24"/>
          <w:rtl/>
        </w:rPr>
        <w:t>גבוה</w:t>
      </w:r>
      <w:r w:rsidRPr="008A3CA1">
        <w:rPr>
          <w:rFonts w:hint="cs"/>
          <w:rtl/>
        </w:rPr>
        <w:t xml:space="preserve"> </w:t>
      </w:r>
      <w:r>
        <w:rPr>
          <w:rFonts w:hint="cs"/>
          <w:rtl/>
        </w:rPr>
        <w:t xml:space="preserve">מסכום ההלוואה, </w:t>
      </w:r>
      <w:r w:rsidR="00106813">
        <w:rPr>
          <w:rFonts w:hint="cs"/>
          <w:rtl/>
        </w:rPr>
        <w:t>והעובדה ש</w:t>
      </w:r>
      <w:r>
        <w:rPr>
          <w:rFonts w:hint="cs"/>
          <w:rtl/>
        </w:rPr>
        <w:t xml:space="preserve">במהלך הדיון ביום 11.5.2020 אישר בא כוחו של ח"כ נתניהו כי </w:t>
      </w:r>
      <w:r w:rsidR="00106813">
        <w:rPr>
          <w:rFonts w:hint="cs"/>
          <w:rtl/>
        </w:rPr>
        <w:t>מענק זה מיועד ל</w:t>
      </w:r>
      <w:r>
        <w:rPr>
          <w:rFonts w:hint="cs"/>
          <w:rtl/>
        </w:rPr>
        <w:t xml:space="preserve">שמש, בין היתר, להחזר ההלוואה ממנו (עמ' 20-19 לפרוטוקול הדיון) </w:t>
      </w:r>
      <w:r>
        <w:rPr>
          <w:rtl/>
        </w:rPr>
        <w:t>–</w:t>
      </w:r>
      <w:r>
        <w:rPr>
          <w:rFonts w:hint="cs"/>
          <w:rtl/>
        </w:rPr>
        <w:t xml:space="preserve"> מעידה כי פרטרידג' עצמו כלל אינו מעוניין בהחזר שלה. זאת, אף מבלי להתייחס לכך שבידי הלווה </w:t>
      </w:r>
      <w:r>
        <w:rPr>
          <w:rtl/>
        </w:rPr>
        <w:t>–</w:t>
      </w:r>
      <w:r>
        <w:rPr>
          <w:rFonts w:hint="cs"/>
          <w:rtl/>
        </w:rPr>
        <w:t xml:space="preserve"> ח"כ נתניהו </w:t>
      </w:r>
      <w:r>
        <w:rPr>
          <w:rtl/>
        </w:rPr>
        <w:t>–</w:t>
      </w:r>
      <w:r>
        <w:rPr>
          <w:rFonts w:hint="cs"/>
          <w:rtl/>
        </w:rPr>
        <w:t xml:space="preserve"> ניתנה האפשרות לבחור את אורך תקופת ההלוואה (5 שנים או 10 שנים). התנהלות כזו שונה בתכלית מהתנהלות מקובלת של מלווה מסחרי ולא ניתן להתייחס לכך בביטול כאשר מדובר בסכומי כסף כה משמעותיים.</w:t>
      </w:r>
    </w:p>
    <w:p w14:paraId="568EFE30" w14:textId="77777777" w:rsidR="00F125D1" w:rsidRDefault="00F125D1" w:rsidP="00F125D1">
      <w:pPr>
        <w:pStyle w:val="Ruller41"/>
        <w:rPr>
          <w:rtl/>
        </w:rPr>
      </w:pPr>
    </w:p>
    <w:p w14:paraId="46BA5D91" w14:textId="201A8492" w:rsidR="00F125D1" w:rsidRDefault="00F125D1" w:rsidP="00F125D1">
      <w:pPr>
        <w:pStyle w:val="Ruller4"/>
        <w:rPr>
          <w:rtl/>
        </w:rPr>
      </w:pPr>
      <w:r>
        <w:rPr>
          <w:rFonts w:hint="cs"/>
          <w:rtl/>
        </w:rPr>
        <w:t xml:space="preserve"> יתרה מכך, נראה כי טובת ההנאה הגלומה בהלוואה ניתנה לח"כ נתניהו בשל היותו עובד ציבור. בהקשר זה, מרבית הטעמים שצוינו לעיל ביחס למענק ממיליקובסקי חלים גם ביחס להלוואה מפרטרידג', ובכללם בכירות מעמדו של ראש הממשלה, ההיקף הגבוה של ההלוואה ובפרט </w:t>
      </w:r>
      <w:r>
        <w:rPr>
          <w:rtl/>
        </w:rPr>
        <w:t>–</w:t>
      </w:r>
      <w:r>
        <w:rPr>
          <w:rFonts w:hint="cs"/>
          <w:rtl/>
        </w:rPr>
        <w:t xml:space="preserve"> העובדה שמדובר בהלוואה שח"כ נתניהו תלוי בה לצורך מימון הגנתו המשפטית והתמודדות בהליכים הפליליים המתנהלים נגדו. הדבר אף </w:t>
      </w:r>
      <w:r>
        <w:rPr>
          <w:rFonts w:hint="cs"/>
          <w:rtl/>
        </w:rPr>
        <w:lastRenderedPageBreak/>
        <w:t>הודגש בפנייה מיום 6.6.2019 מטעם בא כוחו למבקר לצורך אישור ההלוואה, בה צוינה "הדחיפות בקבלת הסיוע". לכך יש להוסיף כי בשונה מאופי היחסים בין ח"כ נתניהו למיליקובסקי, בהחלטת ועדת ההיתרים מיום 20.2.2019 צוין כי הקשר בין ח"כ נתניהו לפרטרידג' נוצר בשנת 1999 או שנת 2000 "</w:t>
      </w:r>
      <w:r w:rsidR="009928C4">
        <w:rPr>
          <w:rFonts w:hint="cs"/>
          <w:rtl/>
        </w:rPr>
        <w:t xml:space="preserve">[...] </w:t>
      </w:r>
      <w:r>
        <w:rPr>
          <w:rFonts w:hint="cs"/>
          <w:rtl/>
        </w:rPr>
        <w:t xml:space="preserve">כקשר בין בעל הון לפוליטיקאי בכיר, על כל המשתמע מכך" (עמ' 7-6 להחלטה). </w:t>
      </w:r>
    </w:p>
    <w:p w14:paraId="76A44D41" w14:textId="77777777" w:rsidR="00F125D1" w:rsidRDefault="00F125D1" w:rsidP="00F125D1">
      <w:pPr>
        <w:pStyle w:val="Ruller41"/>
        <w:rPr>
          <w:rtl/>
        </w:rPr>
      </w:pPr>
    </w:p>
    <w:p w14:paraId="18349EB1" w14:textId="48A190D8" w:rsidR="00F125D1" w:rsidRDefault="00F125D1" w:rsidP="00FC6869">
      <w:pPr>
        <w:pStyle w:val="Ruller4"/>
      </w:pPr>
      <w:r>
        <w:rPr>
          <w:rFonts w:hint="cs"/>
          <w:rtl/>
        </w:rPr>
        <w:t>כאמור, על פי סעיף 2(א) לחוק המתנות, עובד ציבור אינו רשאי להמשיך להחזיק בטובת הנאה שלא בתמורה שהוענקה לו באשר הוא עובד ציבור</w:t>
      </w:r>
      <w:r w:rsidR="00EB612A">
        <w:rPr>
          <w:rFonts w:hint="cs"/>
          <w:rtl/>
        </w:rPr>
        <w:t>,</w:t>
      </w:r>
      <w:r w:rsidR="00FC6869">
        <w:rPr>
          <w:rFonts w:hint="cs"/>
          <w:rtl/>
        </w:rPr>
        <w:t xml:space="preserve"> בהיותה מתנה האסורה. על כן, </w:t>
      </w:r>
      <w:r>
        <w:rPr>
          <w:rFonts w:hint="cs"/>
          <w:rtl/>
        </w:rPr>
        <w:t>הסדר ניגוד העניינים שנע</w:t>
      </w:r>
      <w:r w:rsidR="00FC6869">
        <w:rPr>
          <w:rFonts w:hint="cs"/>
          <w:rtl/>
        </w:rPr>
        <w:t>רך לח"כ נתניהו ביחס להלוואה זו</w:t>
      </w:r>
      <w:r w:rsidR="006C18AE">
        <w:rPr>
          <w:rFonts w:hint="cs"/>
          <w:rtl/>
        </w:rPr>
        <w:t>,</w:t>
      </w:r>
      <w:r w:rsidR="00FC6869">
        <w:rPr>
          <w:rFonts w:hint="cs"/>
          <w:rtl/>
        </w:rPr>
        <w:t xml:space="preserve"> בזיקה לכללי אשר, </w:t>
      </w:r>
      <w:r>
        <w:rPr>
          <w:rFonts w:hint="cs"/>
          <w:rtl/>
        </w:rPr>
        <w:t xml:space="preserve">אין בכוחו להוציא את ההלוואה מגדר </w:t>
      </w:r>
      <w:r w:rsidR="00C93C7F">
        <w:rPr>
          <w:rFonts w:hint="cs"/>
          <w:rtl/>
        </w:rPr>
        <w:t xml:space="preserve">היותה </w:t>
      </w:r>
      <w:r>
        <w:rPr>
          <w:rFonts w:hint="cs"/>
          <w:rtl/>
        </w:rPr>
        <w:t>מתנה אסורה</w:t>
      </w:r>
      <w:r w:rsidR="00FC6869">
        <w:rPr>
          <w:rFonts w:hint="cs"/>
          <w:rtl/>
        </w:rPr>
        <w:t xml:space="preserve"> על פי החוק</w:t>
      </w:r>
      <w:r w:rsidR="00C93C7F">
        <w:rPr>
          <w:rFonts w:hint="cs"/>
          <w:rtl/>
        </w:rPr>
        <w:t>, כאמור</w:t>
      </w:r>
      <w:r>
        <w:rPr>
          <w:rFonts w:hint="cs"/>
          <w:rtl/>
        </w:rPr>
        <w:t xml:space="preserve">. </w:t>
      </w:r>
    </w:p>
    <w:p w14:paraId="35B8AB51" w14:textId="77777777" w:rsidR="00F125D1" w:rsidRPr="00F20401" w:rsidRDefault="00F125D1" w:rsidP="00F125D1">
      <w:pPr>
        <w:pStyle w:val="Ruller4"/>
        <w:numPr>
          <w:ilvl w:val="0"/>
          <w:numId w:val="0"/>
        </w:numPr>
        <w:rPr>
          <w:rtl/>
        </w:rPr>
      </w:pPr>
    </w:p>
    <w:p w14:paraId="0891130D" w14:textId="77777777" w:rsidR="00F125D1" w:rsidRDefault="00F125D1" w:rsidP="00F125D1">
      <w:pPr>
        <w:pStyle w:val="Ruller4"/>
        <w:numPr>
          <w:ilvl w:val="0"/>
          <w:numId w:val="0"/>
        </w:numPr>
        <w:rPr>
          <w:rtl/>
        </w:rPr>
      </w:pPr>
      <w:r>
        <w:rPr>
          <w:rtl/>
        </w:rPr>
        <w:tab/>
      </w:r>
      <w:r>
        <w:rPr>
          <w:rFonts w:hint="cs"/>
          <w:rtl/>
        </w:rPr>
        <w:t xml:space="preserve">עם זאת, בענייננו מתקיימות נסיבות חריגות </w:t>
      </w:r>
      <w:r>
        <w:rPr>
          <w:rtl/>
        </w:rPr>
        <w:t>–</w:t>
      </w:r>
      <w:r>
        <w:rPr>
          <w:rFonts w:hint="cs"/>
          <w:rtl/>
        </w:rPr>
        <w:t xml:space="preserve"> שלא ניתן להתעלם מהן </w:t>
      </w:r>
      <w:r>
        <w:rPr>
          <w:rtl/>
        </w:rPr>
        <w:t>–</w:t>
      </w:r>
      <w:r>
        <w:rPr>
          <w:rFonts w:hint="cs"/>
          <w:rtl/>
        </w:rPr>
        <w:t xml:space="preserve"> ואשר יש בהן כדי להוביל לתוצאה אופרטיבית השונה מזו שנקבעה לגבי המענק ממיליקובסקי. </w:t>
      </w:r>
    </w:p>
    <w:p w14:paraId="40949E48" w14:textId="77777777" w:rsidR="00F125D1" w:rsidRDefault="00F125D1" w:rsidP="00F125D1">
      <w:pPr>
        <w:pStyle w:val="Ruller41"/>
        <w:rPr>
          <w:rtl/>
        </w:rPr>
      </w:pPr>
    </w:p>
    <w:p w14:paraId="208911B7" w14:textId="3F9A8B5E" w:rsidR="00F125D1" w:rsidRPr="004E63BA" w:rsidRDefault="00F125D1" w:rsidP="00141650">
      <w:pPr>
        <w:pStyle w:val="Ruller4"/>
        <w:rPr>
          <w:rtl/>
        </w:rPr>
      </w:pPr>
      <w:r>
        <w:rPr>
          <w:rFonts w:hint="cs"/>
          <w:rtl/>
        </w:rPr>
        <w:t xml:space="preserve">בשונה מהמענק שקיבל ח"כ נתניהו ממיליקובסקי, אשר לא דווח כלל בזמן אמת, ההלוואה מפרטרידג' ניטלה רק לאחר שנעשתה פנייה מקדימה למבקר המדינה ולאחר שהמבקר בחן אותה ואישר כי לעמדתו אין מדובר בטובת הנאה. בא כוחו של ח"כ נתניהו אף פנה ליועץ כבר ביום 14.8.2019, לצורך עריכת הסדר ניגוד עניינים בהתאם להנחיית </w:t>
      </w:r>
      <w:r w:rsidRPr="004E63BA">
        <w:rPr>
          <w:rFonts w:hint="cs"/>
          <w:rtl/>
        </w:rPr>
        <w:t>המבקר. כלומר, נטילת ההלוואה נעשתה בידיעת ה</w:t>
      </w:r>
      <w:r>
        <w:rPr>
          <w:rFonts w:hint="cs"/>
          <w:rtl/>
        </w:rPr>
        <w:t>מבקר והיועץ, וזאת להבדיל מהמענק ממיליקובסקי שעצם קיומו</w:t>
      </w:r>
      <w:r w:rsidRPr="004E63BA">
        <w:rPr>
          <w:rFonts w:hint="cs"/>
          <w:rtl/>
        </w:rPr>
        <w:t xml:space="preserve"> דווח לגורמים הרלוונטיים רק בדיעבד. </w:t>
      </w:r>
      <w:r>
        <w:rPr>
          <w:rFonts w:hint="cs"/>
          <w:rtl/>
        </w:rPr>
        <w:t xml:space="preserve">בעניין זה </w:t>
      </w:r>
      <w:r w:rsidRPr="004E63BA">
        <w:rPr>
          <w:rFonts w:hint="cs"/>
          <w:rtl/>
        </w:rPr>
        <w:t>קיים</w:t>
      </w:r>
      <w:r>
        <w:rPr>
          <w:rFonts w:hint="cs"/>
          <w:rtl/>
        </w:rPr>
        <w:t>,</w:t>
      </w:r>
      <w:r w:rsidRPr="004E63BA">
        <w:rPr>
          <w:rFonts w:hint="cs"/>
          <w:rtl/>
        </w:rPr>
        <w:t xml:space="preserve"> אפוא</w:t>
      </w:r>
      <w:r>
        <w:rPr>
          <w:rFonts w:hint="cs"/>
          <w:rtl/>
        </w:rPr>
        <w:t xml:space="preserve">, רכיב משמעותי ביותר של הסתמכות </w:t>
      </w:r>
      <w:r w:rsidRPr="004E63BA">
        <w:rPr>
          <w:rFonts w:hint="cs"/>
          <w:rtl/>
        </w:rPr>
        <w:t>על עמדות הגורמים המוסמכים ב</w:t>
      </w:r>
      <w:r>
        <w:rPr>
          <w:rFonts w:hint="cs"/>
          <w:rtl/>
        </w:rPr>
        <w:t>יחס ל</w:t>
      </w:r>
      <w:r w:rsidRPr="004E63BA">
        <w:rPr>
          <w:rFonts w:hint="cs"/>
          <w:rtl/>
        </w:rPr>
        <w:t>נטילת ההלוואה, ויש להתחשב</w:t>
      </w:r>
      <w:r>
        <w:rPr>
          <w:rFonts w:hint="cs"/>
          <w:rtl/>
        </w:rPr>
        <w:t xml:space="preserve"> בכך לצורך קביעת </w:t>
      </w:r>
      <w:r w:rsidRPr="004E63BA">
        <w:rPr>
          <w:rFonts w:hint="cs"/>
          <w:rtl/>
        </w:rPr>
        <w:t xml:space="preserve">הסעד המתאים בעתירות </w:t>
      </w:r>
      <w:r>
        <w:rPr>
          <w:rFonts w:hint="cs"/>
          <w:rtl/>
        </w:rPr>
        <w:t xml:space="preserve">שלפנינו </w:t>
      </w:r>
      <w:r w:rsidRPr="004E63BA">
        <w:rPr>
          <w:rFonts w:hint="cs"/>
          <w:rtl/>
        </w:rPr>
        <w:t>(</w:t>
      </w:r>
      <w:r w:rsidR="00141650" w:rsidRPr="00727F66">
        <w:rPr>
          <w:rFonts w:ascii="Century" w:hAnsi="Century" w:hint="cs"/>
          <w:sz w:val="22"/>
          <w:rtl/>
        </w:rPr>
        <w:t xml:space="preserve">ד' </w:t>
      </w:r>
      <w:r w:rsidRPr="00727F66">
        <w:rPr>
          <w:rFonts w:ascii="Century" w:hAnsi="Century" w:hint="cs"/>
          <w:sz w:val="22"/>
          <w:rtl/>
        </w:rPr>
        <w:t>ברק-ארז</w:t>
      </w:r>
      <w:r w:rsidRPr="00141650">
        <w:rPr>
          <w:rFonts w:hint="cs"/>
          <w:rtl/>
        </w:rPr>
        <w:t xml:space="preserve"> </w:t>
      </w:r>
      <w:r w:rsidRPr="004E63BA">
        <w:rPr>
          <w:rFonts w:ascii="Century" w:hAnsi="Century" w:cs="Miriam" w:hint="cs"/>
          <w:b/>
          <w:spacing w:val="0"/>
          <w:sz w:val="22"/>
          <w:szCs w:val="24"/>
          <w:rtl/>
        </w:rPr>
        <w:t>משפט מינהלי</w:t>
      </w:r>
      <w:r w:rsidR="00765AE9">
        <w:rPr>
          <w:rFonts w:hint="cs"/>
          <w:rtl/>
        </w:rPr>
        <w:t>, בעמ'</w:t>
      </w:r>
      <w:r w:rsidRPr="004E63BA">
        <w:rPr>
          <w:rFonts w:hint="cs"/>
          <w:rtl/>
        </w:rPr>
        <w:t xml:space="preserve"> 836).  </w:t>
      </w:r>
    </w:p>
    <w:p w14:paraId="45795FFD" w14:textId="77777777" w:rsidR="00F125D1" w:rsidRDefault="00F125D1" w:rsidP="00F125D1">
      <w:pPr>
        <w:pStyle w:val="Ruller41"/>
        <w:rPr>
          <w:rtl/>
        </w:rPr>
      </w:pPr>
    </w:p>
    <w:p w14:paraId="5C6443D3" w14:textId="26E16F5D" w:rsidR="00F125D1" w:rsidRPr="00351439" w:rsidRDefault="00F125D1" w:rsidP="007E5CDF">
      <w:pPr>
        <w:pStyle w:val="Ruller4"/>
        <w:rPr>
          <w:rtl/>
        </w:rPr>
      </w:pPr>
      <w:r>
        <w:rPr>
          <w:rFonts w:hint="cs"/>
          <w:rtl/>
        </w:rPr>
        <w:t xml:space="preserve">זאת ועוד, </w:t>
      </w:r>
      <w:r w:rsidR="00C93C7F">
        <w:rPr>
          <w:rFonts w:hint="cs"/>
          <w:rtl/>
        </w:rPr>
        <w:t>סוגיית</w:t>
      </w:r>
      <w:r w:rsidRPr="00351439">
        <w:rPr>
          <w:rFonts w:hint="cs"/>
          <w:rtl/>
        </w:rPr>
        <w:t xml:space="preserve"> תחולת</w:t>
      </w:r>
      <w:r w:rsidR="00C93C7F">
        <w:rPr>
          <w:rFonts w:hint="cs"/>
          <w:rtl/>
        </w:rPr>
        <w:t>ו של</w:t>
      </w:r>
      <w:r w:rsidRPr="00351439">
        <w:rPr>
          <w:rFonts w:hint="cs"/>
          <w:rtl/>
        </w:rPr>
        <w:t xml:space="preserve"> חוק המתנות על ההלוואה כלל לא</w:t>
      </w:r>
      <w:r>
        <w:rPr>
          <w:rFonts w:hint="cs"/>
          <w:rtl/>
        </w:rPr>
        <w:t xml:space="preserve"> עלתה מצד העותרות בעתירות המתוקנות ואף לא בתגובתו המקדמית של היועץ לעתירות אלה. לפיכך, </w:t>
      </w:r>
      <w:r w:rsidR="00C93C7F">
        <w:rPr>
          <w:rFonts w:hint="cs"/>
          <w:rtl/>
        </w:rPr>
        <w:t>סוגיה</w:t>
      </w:r>
      <w:r>
        <w:rPr>
          <w:rFonts w:hint="cs"/>
          <w:rtl/>
        </w:rPr>
        <w:t xml:space="preserve"> זו אף לא </w:t>
      </w:r>
      <w:r w:rsidRPr="00351439">
        <w:rPr>
          <w:rFonts w:hint="cs"/>
          <w:rtl/>
        </w:rPr>
        <w:t xml:space="preserve">נכללה </w:t>
      </w:r>
      <w:r w:rsidR="00C93C7F">
        <w:rPr>
          <w:rFonts w:hint="cs"/>
          <w:rtl/>
        </w:rPr>
        <w:t xml:space="preserve">בצו על </w:t>
      </w:r>
      <w:r w:rsidRPr="00351439">
        <w:rPr>
          <w:rFonts w:hint="cs"/>
          <w:rtl/>
        </w:rPr>
        <w:t xml:space="preserve">תנאי שניתן בהליך ביום 22.7.2021. </w:t>
      </w:r>
      <w:r w:rsidR="00C93C7F">
        <w:rPr>
          <w:rFonts w:hint="cs"/>
          <w:rtl/>
        </w:rPr>
        <w:t xml:space="preserve">לראשונה, </w:t>
      </w:r>
      <w:r w:rsidRPr="00351439">
        <w:rPr>
          <w:rFonts w:hint="cs"/>
          <w:rtl/>
        </w:rPr>
        <w:t>נדרש היועץ לסוגיית ההלוואה</w:t>
      </w:r>
      <w:r w:rsidR="00C93C7F">
        <w:rPr>
          <w:rFonts w:hint="cs"/>
          <w:rtl/>
        </w:rPr>
        <w:t xml:space="preserve"> כמתנה אסורה</w:t>
      </w:r>
      <w:r>
        <w:rPr>
          <w:rFonts w:hint="cs"/>
          <w:rtl/>
        </w:rPr>
        <w:t xml:space="preserve"> </w:t>
      </w:r>
      <w:r w:rsidRPr="00351439">
        <w:rPr>
          <w:rFonts w:hint="cs"/>
          <w:rtl/>
        </w:rPr>
        <w:t xml:space="preserve">רק במסגרת כתב התשובה, </w:t>
      </w:r>
      <w:r w:rsidR="00C93C7F">
        <w:rPr>
          <w:rFonts w:hint="cs"/>
          <w:rtl/>
        </w:rPr>
        <w:t xml:space="preserve">ובעקבות </w:t>
      </w:r>
      <w:r>
        <w:rPr>
          <w:rFonts w:hint="cs"/>
          <w:rtl/>
        </w:rPr>
        <w:t xml:space="preserve">כך הצטרפו גם </w:t>
      </w:r>
      <w:r w:rsidRPr="00351439">
        <w:rPr>
          <w:rFonts w:hint="cs"/>
          <w:rtl/>
        </w:rPr>
        <w:t xml:space="preserve">העותרות </w:t>
      </w:r>
      <w:r w:rsidR="007E5CDF">
        <w:rPr>
          <w:rFonts w:hint="cs"/>
          <w:rtl/>
        </w:rPr>
        <w:t>לעמדתו בהקשר זה</w:t>
      </w:r>
      <w:r w:rsidRPr="00351439">
        <w:rPr>
          <w:rFonts w:hint="cs"/>
          <w:rtl/>
        </w:rPr>
        <w:t xml:space="preserve"> במסגרת עיקרי הטיעון</w:t>
      </w:r>
      <w:r>
        <w:rPr>
          <w:rFonts w:hint="cs"/>
          <w:rtl/>
        </w:rPr>
        <w:t xml:space="preserve"> שהוגשו</w:t>
      </w:r>
      <w:r w:rsidRPr="00351439">
        <w:rPr>
          <w:rFonts w:hint="cs"/>
          <w:rtl/>
        </w:rPr>
        <w:t xml:space="preserve"> מטעמן. </w:t>
      </w:r>
    </w:p>
    <w:p w14:paraId="0D8AEA78" w14:textId="77777777" w:rsidR="00F125D1" w:rsidRPr="00484206" w:rsidRDefault="00F125D1" w:rsidP="00F125D1">
      <w:pPr>
        <w:pStyle w:val="Ruller41"/>
        <w:rPr>
          <w:rtl/>
        </w:rPr>
      </w:pPr>
    </w:p>
    <w:p w14:paraId="2551B7E4" w14:textId="5D1C7FB5" w:rsidR="00F125D1" w:rsidRPr="009D682D" w:rsidRDefault="00F125D1" w:rsidP="00F125D1">
      <w:pPr>
        <w:pStyle w:val="Ruller41"/>
        <w:rPr>
          <w:rtl/>
        </w:rPr>
      </w:pPr>
      <w:r>
        <w:rPr>
          <w:rtl/>
        </w:rPr>
        <w:tab/>
      </w:r>
      <w:r>
        <w:rPr>
          <w:rFonts w:hint="cs"/>
          <w:rtl/>
        </w:rPr>
        <w:t>התנהלות דיונית בעיי</w:t>
      </w:r>
      <w:r w:rsidR="007E5CDF">
        <w:rPr>
          <w:rFonts w:hint="cs"/>
          <w:rtl/>
        </w:rPr>
        <w:t>תית זו מצד היועץ והעותרות מחייב</w:t>
      </w:r>
      <w:r>
        <w:rPr>
          <w:rFonts w:hint="cs"/>
          <w:rtl/>
        </w:rPr>
        <w:t xml:space="preserve">ת מענה. אכן, בנסיבות מסוימות ניתן להעניק סעדים החורגים מהסעדים שהתבקשו בעתירה ומנוסחו של הצו על תנאי (ראו: </w:t>
      </w:r>
      <w:r w:rsidRPr="00A76B99">
        <w:rPr>
          <w:rFonts w:hint="cs"/>
          <w:rtl/>
        </w:rPr>
        <w:t xml:space="preserve">בג"ץ </w:t>
      </w:r>
      <w:r>
        <w:rPr>
          <w:rFonts w:hint="cs"/>
          <w:rtl/>
        </w:rPr>
        <w:t>7311</w:t>
      </w:r>
      <w:r w:rsidRPr="00A76B99">
        <w:rPr>
          <w:rFonts w:hint="cs"/>
          <w:rtl/>
        </w:rPr>
        <w:t xml:space="preserve">/02 </w:t>
      </w:r>
      <w:r w:rsidRPr="00A76B99">
        <w:rPr>
          <w:rFonts w:ascii="Century" w:hAnsi="Century" w:cs="Miriam" w:hint="cs"/>
          <w:b/>
          <w:spacing w:val="0"/>
          <w:szCs w:val="24"/>
          <w:rtl/>
        </w:rPr>
        <w:t>האגודה לסיוע ולהגנה על זכויות הבדואים בישראל נ' עיריית באר שבע</w:t>
      </w:r>
      <w:r w:rsidRPr="00A76B99">
        <w:rPr>
          <w:rFonts w:hint="cs"/>
          <w:rtl/>
        </w:rPr>
        <w:t xml:space="preserve">, פסקה 24 לחוות דעתה של השופטת </w:t>
      </w:r>
      <w:r w:rsidRPr="00A76B99">
        <w:rPr>
          <w:rFonts w:ascii="Century" w:hAnsi="Century" w:cs="Miriam" w:hint="cs"/>
          <w:b/>
          <w:spacing w:val="0"/>
          <w:szCs w:val="24"/>
          <w:rtl/>
        </w:rPr>
        <w:t>א' פרוקצ'יה</w:t>
      </w:r>
      <w:r w:rsidRPr="00A76B99">
        <w:rPr>
          <w:rFonts w:hint="cs"/>
          <w:rtl/>
        </w:rPr>
        <w:t xml:space="preserve"> (22.6.2011)</w:t>
      </w:r>
      <w:r>
        <w:rPr>
          <w:rFonts w:hint="cs"/>
          <w:rtl/>
        </w:rPr>
        <w:t xml:space="preserve">), אך </w:t>
      </w:r>
      <w:r>
        <w:rPr>
          <w:rFonts w:hint="cs"/>
          <w:rtl/>
        </w:rPr>
        <w:lastRenderedPageBreak/>
        <w:t>בענייננו נוכח ההסתמכות של ח"כ נתניהו על עמדתם הקודמת של המבקר והיועץ וכן בהת</w:t>
      </w:r>
      <w:r w:rsidR="00FC6869">
        <w:rPr>
          <w:rFonts w:hint="cs"/>
          <w:rtl/>
        </w:rPr>
        <w:t>חשב בכך שלא הייתה כל מניעה להעלו</w:t>
      </w:r>
      <w:r>
        <w:rPr>
          <w:rFonts w:hint="cs"/>
          <w:rtl/>
        </w:rPr>
        <w:t>ת</w:t>
      </w:r>
      <w:r w:rsidR="00FC6869">
        <w:rPr>
          <w:rFonts w:hint="cs"/>
          <w:rtl/>
        </w:rPr>
        <w:t xml:space="preserve"> מלכתחילה את</w:t>
      </w:r>
      <w:r>
        <w:rPr>
          <w:rFonts w:hint="cs"/>
          <w:rtl/>
        </w:rPr>
        <w:t xml:space="preserve"> </w:t>
      </w:r>
      <w:r w:rsidR="007E5CDF">
        <w:rPr>
          <w:rFonts w:hint="cs"/>
          <w:rtl/>
        </w:rPr>
        <w:t>ה</w:t>
      </w:r>
      <w:r>
        <w:rPr>
          <w:rFonts w:hint="cs"/>
          <w:rtl/>
        </w:rPr>
        <w:t>טענות שהועלו בדיעבד</w:t>
      </w:r>
      <w:r w:rsidR="007E5CDF">
        <w:rPr>
          <w:rFonts w:hint="cs"/>
          <w:rtl/>
        </w:rPr>
        <w:t>,</w:t>
      </w:r>
      <w:r>
        <w:rPr>
          <w:rFonts w:hint="cs"/>
          <w:rtl/>
        </w:rPr>
        <w:t xml:space="preserve"> </w:t>
      </w:r>
      <w:r w:rsidR="00FC6869">
        <w:rPr>
          <w:rFonts w:hint="cs"/>
          <w:rtl/>
        </w:rPr>
        <w:t xml:space="preserve">וזאת </w:t>
      </w:r>
      <w:r>
        <w:rPr>
          <w:rFonts w:hint="cs"/>
          <w:rtl/>
        </w:rPr>
        <w:t xml:space="preserve">בשלב מוקדם יותר של ההליך וטרם מתן הצו על תנאי </w:t>
      </w:r>
      <w:r>
        <w:rPr>
          <w:rtl/>
        </w:rPr>
        <w:t>–</w:t>
      </w:r>
      <w:r>
        <w:rPr>
          <w:rFonts w:hint="cs"/>
          <w:rtl/>
        </w:rPr>
        <w:t xml:space="preserve"> אני סבורה כי אף שהגענו למסקנה כי ההלוואה מפרטרידג' היא למעשה מתנה אסורה, יש קושי ממשי להורות על השבה מיידית של ההלוואה.</w:t>
      </w:r>
    </w:p>
    <w:p w14:paraId="4B086571" w14:textId="77777777" w:rsidR="00F125D1" w:rsidRDefault="00F125D1" w:rsidP="00F125D1">
      <w:pPr>
        <w:pStyle w:val="Ruller41"/>
        <w:rPr>
          <w:rtl/>
        </w:rPr>
      </w:pPr>
    </w:p>
    <w:p w14:paraId="1C28820F" w14:textId="40C4224A" w:rsidR="00F125D1" w:rsidRDefault="00F125D1" w:rsidP="00AF381C">
      <w:pPr>
        <w:pStyle w:val="Ruller4"/>
        <w:rPr>
          <w:rtl/>
        </w:rPr>
      </w:pPr>
      <w:r>
        <w:rPr>
          <w:rFonts w:hint="cs"/>
          <w:rtl/>
        </w:rPr>
        <w:t xml:space="preserve">היועצת המשפטית לממשלה והעותרות מסכימות אף הן כי בשים לב להשתלשלות העניינים המפורטת לעיל, אין מקום להורות על השבת ההלוואה באופן מיידי, ולשיטתן יש לאפשר לח"כ נתניהו להשיב את ההלוואה במלואה, בצירוף הריבית שהוסכם עליה, בתוך 5 שנים ממועד קבלתה, ומבלי שתמומש אופציית הארכת תקופת ההלוואה ב-5 שנים נוספות. היועצת </w:t>
      </w:r>
      <w:r w:rsidR="00AF381C">
        <w:rPr>
          <w:rFonts w:hint="cs"/>
          <w:rtl/>
        </w:rPr>
        <w:t>טענה</w:t>
      </w:r>
      <w:r>
        <w:rPr>
          <w:rFonts w:hint="cs"/>
          <w:rtl/>
        </w:rPr>
        <w:t xml:space="preserve"> </w:t>
      </w:r>
      <w:r>
        <w:rPr>
          <w:rtl/>
        </w:rPr>
        <w:t>–</w:t>
      </w:r>
      <w:r>
        <w:rPr>
          <w:rFonts w:hint="cs"/>
          <w:rtl/>
        </w:rPr>
        <w:t xml:space="preserve"> והעותרות הצטרפו לדרישה זו אף הן </w:t>
      </w:r>
      <w:r>
        <w:rPr>
          <w:rtl/>
        </w:rPr>
        <w:t>–</w:t>
      </w:r>
      <w:r>
        <w:rPr>
          <w:rFonts w:hint="cs"/>
          <w:rtl/>
        </w:rPr>
        <w:t xml:space="preserve"> כי במהלך תקופה זו</w:t>
      </w:r>
      <w:r w:rsidR="00AF381C">
        <w:rPr>
          <w:rFonts w:hint="cs"/>
          <w:rtl/>
        </w:rPr>
        <w:t xml:space="preserve"> מן הראוי כי</w:t>
      </w:r>
      <w:r>
        <w:rPr>
          <w:rFonts w:hint="cs"/>
          <w:rtl/>
        </w:rPr>
        <w:t xml:space="preserve"> מבקר המדינה יוסיף לפקח על ביצוע החזר ההלוואה באותו אופן שבו נעשה הפיקוח בתקופת כהונת ח"כ נתניהו כראש הממשלה, וזאת אף שמשטר הצהרות ההון שחל על שרים מחמיר מזה החל על חברי כנסת (השוו בין כלל 10 לכללי אשר לכלל 15 לכללי האתיקה לחברי הכנסת). ח"כ נתניהו הסכים להמשך הפיקוח של המבקר, אך עמד על כך שאין מקום לשלול ממנו את האפשרות להאריך את הסכם ההלוואה ב-5 שנים נוספות (פסקאות 55-54 לכתב התשובה מטעמו מיום 7.12.2021). באת כוח המבקר הבהירה </w:t>
      </w:r>
      <w:r w:rsidR="00AF381C">
        <w:rPr>
          <w:rFonts w:hint="cs"/>
          <w:rtl/>
        </w:rPr>
        <w:t>מצידה</w:t>
      </w:r>
      <w:r>
        <w:rPr>
          <w:rFonts w:hint="cs"/>
          <w:rtl/>
        </w:rPr>
        <w:t xml:space="preserve"> כי המבקר נכון להמשיך לפקח על החזר ההלוואה, בין אם תקופת ההלוואה תעמוד על 5 שנים ובין אם תעמוד על 10 שנים (עמ' 13 לפרוטוקול הדיון</w:t>
      </w:r>
      <w:r w:rsidR="00AF381C">
        <w:rPr>
          <w:rFonts w:hint="cs"/>
          <w:rtl/>
        </w:rPr>
        <w:t xml:space="preserve"> מיום 11.7.2022</w:t>
      </w:r>
      <w:r>
        <w:rPr>
          <w:rFonts w:hint="cs"/>
          <w:rtl/>
        </w:rPr>
        <w:t>).</w:t>
      </w:r>
    </w:p>
    <w:p w14:paraId="59124367" w14:textId="77777777" w:rsidR="00F125D1" w:rsidRPr="005B6D02" w:rsidRDefault="00F125D1" w:rsidP="00F125D1">
      <w:pPr>
        <w:pStyle w:val="Ruller41"/>
      </w:pPr>
    </w:p>
    <w:p w14:paraId="2CB0AAF9" w14:textId="194E7209" w:rsidR="00F125D1" w:rsidRDefault="00F125D1" w:rsidP="008F3CE1">
      <w:pPr>
        <w:pStyle w:val="Ruller4"/>
        <w:rPr>
          <w:rtl/>
        </w:rPr>
      </w:pPr>
      <w:r>
        <w:rPr>
          <w:rFonts w:hint="cs"/>
          <w:rtl/>
        </w:rPr>
        <w:t>דוקטרינת התוצאה היחסית</w:t>
      </w:r>
      <w:r w:rsidRPr="005B6D02">
        <w:rPr>
          <w:rFonts w:ascii="FrankRuehl" w:hAnsi="FrankRuehl"/>
          <w:color w:val="000000"/>
          <w:sz w:val="28"/>
          <w:rtl/>
        </w:rPr>
        <w:t xml:space="preserve"> </w:t>
      </w:r>
      <w:r w:rsidR="00B3091A">
        <w:rPr>
          <w:rFonts w:ascii="FrankRuehl" w:hAnsi="FrankRuehl" w:hint="cs"/>
          <w:color w:val="000000"/>
          <w:sz w:val="28"/>
          <w:rtl/>
        </w:rPr>
        <w:t>"</w:t>
      </w:r>
      <w:r w:rsidRPr="005B6D02">
        <w:rPr>
          <w:rFonts w:ascii="FrankRuehl" w:hAnsi="FrankRuehl"/>
          <w:color w:val="000000"/>
          <w:sz w:val="28"/>
          <w:rtl/>
        </w:rPr>
        <w:t>מאפשרת לבית המשפט להעניק סעד המשקף איזון הולם ומידתי בין מכלול האינטרסים העומדים על כפות המאזניים</w:t>
      </w:r>
      <w:r w:rsidRPr="00942398">
        <w:rPr>
          <w:rFonts w:hint="cs"/>
          <w:rtl/>
        </w:rPr>
        <w:t>" (</w:t>
      </w:r>
      <w:r w:rsidRPr="00942398">
        <w:rPr>
          <w:rFonts w:hint="eastAsia"/>
          <w:rtl/>
        </w:rPr>
        <w:t>עע</w:t>
      </w:r>
      <w:r w:rsidRPr="00942398">
        <w:rPr>
          <w:rtl/>
        </w:rPr>
        <w:t>"</w:t>
      </w:r>
      <w:r w:rsidRPr="00942398">
        <w:rPr>
          <w:rFonts w:hint="eastAsia"/>
          <w:rtl/>
        </w:rPr>
        <w:t>מ</w:t>
      </w:r>
      <w:r w:rsidRPr="00942398">
        <w:rPr>
          <w:rtl/>
        </w:rPr>
        <w:t xml:space="preserve"> 867/11 </w:t>
      </w:r>
      <w:r w:rsidRPr="005B6D02">
        <w:rPr>
          <w:rFonts w:ascii="Century" w:hAnsi="Century" w:cs="Miriam" w:hint="eastAsia"/>
          <w:b/>
          <w:spacing w:val="0"/>
          <w:szCs w:val="24"/>
          <w:rtl/>
        </w:rPr>
        <w:t>עיריית</w:t>
      </w:r>
      <w:r w:rsidRPr="005B6D02">
        <w:rPr>
          <w:rFonts w:ascii="Century" w:hAnsi="Century" w:cs="Miriam"/>
          <w:b/>
          <w:spacing w:val="0"/>
          <w:szCs w:val="24"/>
          <w:rtl/>
        </w:rPr>
        <w:t xml:space="preserve"> </w:t>
      </w:r>
      <w:r w:rsidRPr="005B6D02">
        <w:rPr>
          <w:rFonts w:ascii="Century" w:hAnsi="Century" w:cs="Miriam" w:hint="eastAsia"/>
          <w:b/>
          <w:spacing w:val="0"/>
          <w:szCs w:val="24"/>
          <w:rtl/>
        </w:rPr>
        <w:t>תל</w:t>
      </w:r>
      <w:r w:rsidRPr="005B6D02">
        <w:rPr>
          <w:rFonts w:ascii="Century" w:hAnsi="Century" w:cs="Miriam"/>
          <w:b/>
          <w:spacing w:val="0"/>
          <w:szCs w:val="24"/>
          <w:rtl/>
        </w:rPr>
        <w:t xml:space="preserve"> </w:t>
      </w:r>
      <w:r w:rsidRPr="005B6D02">
        <w:rPr>
          <w:rFonts w:ascii="Century" w:hAnsi="Century" w:cs="Miriam" w:hint="eastAsia"/>
          <w:b/>
          <w:spacing w:val="0"/>
          <w:szCs w:val="24"/>
          <w:rtl/>
        </w:rPr>
        <w:t>אביב</w:t>
      </w:r>
      <w:r w:rsidRPr="005B6D02">
        <w:rPr>
          <w:rFonts w:ascii="Century" w:hAnsi="Century" w:cs="Miriam"/>
          <w:b/>
          <w:spacing w:val="0"/>
          <w:szCs w:val="24"/>
          <w:rtl/>
        </w:rPr>
        <w:t>-</w:t>
      </w:r>
      <w:r w:rsidRPr="005B6D02">
        <w:rPr>
          <w:rFonts w:ascii="Century" w:hAnsi="Century" w:cs="Miriam" w:hint="eastAsia"/>
          <w:b/>
          <w:spacing w:val="0"/>
          <w:szCs w:val="24"/>
          <w:rtl/>
        </w:rPr>
        <w:t>יפו</w:t>
      </w:r>
      <w:r w:rsidRPr="005B6D02">
        <w:rPr>
          <w:rFonts w:ascii="Century" w:hAnsi="Century" w:cs="Miriam"/>
          <w:b/>
          <w:spacing w:val="0"/>
          <w:szCs w:val="24"/>
          <w:rtl/>
        </w:rPr>
        <w:t xml:space="preserve"> </w:t>
      </w:r>
      <w:r w:rsidRPr="005B6D02">
        <w:rPr>
          <w:rFonts w:ascii="Century" w:hAnsi="Century" w:cs="Miriam" w:hint="eastAsia"/>
          <w:b/>
          <w:spacing w:val="0"/>
          <w:szCs w:val="24"/>
          <w:rtl/>
        </w:rPr>
        <w:t>נ</w:t>
      </w:r>
      <w:r w:rsidRPr="005B6D02">
        <w:rPr>
          <w:rFonts w:ascii="Century" w:hAnsi="Century" w:cs="Miriam"/>
          <w:b/>
          <w:spacing w:val="0"/>
          <w:szCs w:val="24"/>
          <w:rtl/>
        </w:rPr>
        <w:t xml:space="preserve">' </w:t>
      </w:r>
      <w:r w:rsidRPr="005B6D02">
        <w:rPr>
          <w:rFonts w:ascii="Century" w:hAnsi="Century" w:cs="Miriam" w:hint="eastAsia"/>
          <w:b/>
          <w:spacing w:val="0"/>
          <w:szCs w:val="24"/>
          <w:rtl/>
        </w:rPr>
        <w:t>אי</w:t>
      </w:r>
      <w:r w:rsidRPr="005B6D02">
        <w:rPr>
          <w:rFonts w:ascii="Century" w:hAnsi="Century" w:cs="Miriam"/>
          <w:b/>
          <w:spacing w:val="0"/>
          <w:szCs w:val="24"/>
          <w:rtl/>
        </w:rPr>
        <w:t>.</w:t>
      </w:r>
      <w:r w:rsidRPr="005B6D02">
        <w:rPr>
          <w:rFonts w:ascii="Century" w:hAnsi="Century" w:cs="Miriam" w:hint="eastAsia"/>
          <w:b/>
          <w:spacing w:val="0"/>
          <w:szCs w:val="24"/>
          <w:rtl/>
        </w:rPr>
        <w:t>בי</w:t>
      </w:r>
      <w:r w:rsidRPr="005B6D02">
        <w:rPr>
          <w:rFonts w:ascii="Century" w:hAnsi="Century" w:cs="Miriam"/>
          <w:b/>
          <w:spacing w:val="0"/>
          <w:szCs w:val="24"/>
          <w:rtl/>
        </w:rPr>
        <w:t>.</w:t>
      </w:r>
      <w:r w:rsidRPr="005B6D02">
        <w:rPr>
          <w:rFonts w:ascii="Century" w:hAnsi="Century" w:cs="Miriam" w:hint="eastAsia"/>
          <w:b/>
          <w:spacing w:val="0"/>
          <w:szCs w:val="24"/>
          <w:rtl/>
        </w:rPr>
        <w:t>סי</w:t>
      </w:r>
      <w:r w:rsidRPr="005B6D02">
        <w:rPr>
          <w:rFonts w:ascii="Century" w:hAnsi="Century" w:cs="Miriam"/>
          <w:b/>
          <w:spacing w:val="0"/>
          <w:szCs w:val="24"/>
          <w:rtl/>
        </w:rPr>
        <w:t xml:space="preserve"> </w:t>
      </w:r>
      <w:r w:rsidRPr="005B6D02">
        <w:rPr>
          <w:rFonts w:ascii="Century" w:hAnsi="Century" w:cs="Miriam" w:hint="eastAsia"/>
          <w:b/>
          <w:spacing w:val="0"/>
          <w:szCs w:val="24"/>
          <w:rtl/>
        </w:rPr>
        <w:t>ניהול</w:t>
      </w:r>
      <w:r w:rsidRPr="005B6D02">
        <w:rPr>
          <w:rFonts w:ascii="Century" w:hAnsi="Century" w:cs="Miriam"/>
          <w:b/>
          <w:spacing w:val="0"/>
          <w:szCs w:val="24"/>
          <w:rtl/>
        </w:rPr>
        <w:t xml:space="preserve"> </w:t>
      </w:r>
      <w:r w:rsidRPr="005B6D02">
        <w:rPr>
          <w:rFonts w:ascii="Century" w:hAnsi="Century" w:cs="Miriam" w:hint="eastAsia"/>
          <w:b/>
          <w:spacing w:val="0"/>
          <w:szCs w:val="24"/>
          <w:rtl/>
        </w:rPr>
        <w:t>ואחזקה</w:t>
      </w:r>
      <w:r w:rsidRPr="005B6D02">
        <w:rPr>
          <w:rFonts w:ascii="Century" w:hAnsi="Century" w:cs="Miriam"/>
          <w:b/>
          <w:spacing w:val="0"/>
          <w:szCs w:val="24"/>
          <w:rtl/>
        </w:rPr>
        <w:t xml:space="preserve"> </w:t>
      </w:r>
      <w:r w:rsidRPr="005B6D02">
        <w:rPr>
          <w:rFonts w:ascii="Century" w:hAnsi="Century" w:cs="Miriam" w:hint="eastAsia"/>
          <w:b/>
          <w:spacing w:val="0"/>
          <w:szCs w:val="24"/>
          <w:rtl/>
        </w:rPr>
        <w:t>בע</w:t>
      </w:r>
      <w:r w:rsidRPr="005B6D02">
        <w:rPr>
          <w:rFonts w:ascii="Century" w:hAnsi="Century" w:cs="Miriam"/>
          <w:b/>
          <w:spacing w:val="0"/>
          <w:szCs w:val="24"/>
          <w:rtl/>
        </w:rPr>
        <w:t>"</w:t>
      </w:r>
      <w:r w:rsidRPr="005B6D02">
        <w:rPr>
          <w:rFonts w:ascii="Century" w:hAnsi="Century" w:cs="Miriam" w:hint="eastAsia"/>
          <w:b/>
          <w:spacing w:val="0"/>
          <w:szCs w:val="24"/>
          <w:rtl/>
        </w:rPr>
        <w:t>מ</w:t>
      </w:r>
      <w:r w:rsidRPr="00942398">
        <w:rPr>
          <w:rtl/>
        </w:rPr>
        <w:t xml:space="preserve">, </w:t>
      </w:r>
      <w:r w:rsidRPr="00942398">
        <w:rPr>
          <w:rFonts w:hint="cs"/>
          <w:rtl/>
        </w:rPr>
        <w:t xml:space="preserve">פסקה </w:t>
      </w:r>
      <w:r w:rsidRPr="00942398">
        <w:rPr>
          <w:rtl/>
        </w:rPr>
        <w:t xml:space="preserve">46 </w:t>
      </w:r>
      <w:r w:rsidRPr="00942398">
        <w:rPr>
          <w:rFonts w:hint="eastAsia"/>
          <w:rtl/>
        </w:rPr>
        <w:t>לפסק</w:t>
      </w:r>
      <w:r w:rsidRPr="00942398">
        <w:rPr>
          <w:rtl/>
        </w:rPr>
        <w:t xml:space="preserve"> </w:t>
      </w:r>
      <w:r w:rsidRPr="00942398">
        <w:rPr>
          <w:rFonts w:hint="eastAsia"/>
          <w:rtl/>
        </w:rPr>
        <w:t>דינו</w:t>
      </w:r>
      <w:r w:rsidRPr="00942398">
        <w:rPr>
          <w:rtl/>
        </w:rPr>
        <w:t xml:space="preserve"> </w:t>
      </w:r>
      <w:r w:rsidRPr="00942398">
        <w:rPr>
          <w:rFonts w:hint="eastAsia"/>
          <w:rtl/>
        </w:rPr>
        <w:t>של</w:t>
      </w:r>
      <w:r w:rsidRPr="00942398">
        <w:rPr>
          <w:rtl/>
        </w:rPr>
        <w:t xml:space="preserve"> </w:t>
      </w:r>
      <w:r w:rsidRPr="00942398">
        <w:rPr>
          <w:rFonts w:hint="eastAsia"/>
          <w:rtl/>
        </w:rPr>
        <w:t>השופט</w:t>
      </w:r>
      <w:r w:rsidRPr="00942398">
        <w:rPr>
          <w:rtl/>
        </w:rPr>
        <w:t xml:space="preserve"> </w:t>
      </w:r>
      <w:r w:rsidRPr="005B6D02">
        <w:rPr>
          <w:rFonts w:ascii="Century" w:hAnsi="Century" w:cs="Miriam" w:hint="cs"/>
          <w:b/>
          <w:spacing w:val="0"/>
          <w:szCs w:val="24"/>
          <w:rtl/>
        </w:rPr>
        <w:t xml:space="preserve">ע' </w:t>
      </w:r>
      <w:r w:rsidRPr="005B6D02">
        <w:rPr>
          <w:rFonts w:ascii="Century" w:hAnsi="Century" w:cs="Miriam" w:hint="eastAsia"/>
          <w:b/>
          <w:spacing w:val="0"/>
          <w:szCs w:val="24"/>
          <w:rtl/>
        </w:rPr>
        <w:t>פוגלמן</w:t>
      </w:r>
      <w:r w:rsidRPr="00942398">
        <w:rPr>
          <w:rtl/>
        </w:rPr>
        <w:t xml:space="preserve"> (</w:t>
      </w:r>
      <w:r w:rsidR="00520D6B">
        <w:rPr>
          <w:rFonts w:hint="cs"/>
          <w:rtl/>
        </w:rPr>
        <w:t>28.12.2014</w:t>
      </w:r>
      <w:r w:rsidRPr="00942398">
        <w:rPr>
          <w:rtl/>
        </w:rPr>
        <w:t>)</w:t>
      </w:r>
      <w:r w:rsidRPr="00942398">
        <w:rPr>
          <w:rFonts w:hint="cs"/>
          <w:rtl/>
        </w:rPr>
        <w:t xml:space="preserve">; ראו גם: </w:t>
      </w:r>
      <w:r>
        <w:rPr>
          <w:rFonts w:hint="cs"/>
          <w:rtl/>
        </w:rPr>
        <w:t xml:space="preserve">ד' </w:t>
      </w:r>
      <w:r w:rsidRPr="00942398">
        <w:rPr>
          <w:rFonts w:hint="cs"/>
          <w:rtl/>
        </w:rPr>
        <w:t xml:space="preserve">ברק-ארז </w:t>
      </w:r>
      <w:r w:rsidRPr="005B6D02">
        <w:rPr>
          <w:rFonts w:ascii="Century" w:hAnsi="Century" w:cs="Miriam" w:hint="cs"/>
          <w:b/>
          <w:spacing w:val="0"/>
          <w:szCs w:val="24"/>
          <w:rtl/>
        </w:rPr>
        <w:t>משפט מינהלי</w:t>
      </w:r>
      <w:r w:rsidRPr="00942398">
        <w:rPr>
          <w:rFonts w:hint="cs"/>
          <w:rtl/>
        </w:rPr>
        <w:t>, בעמ' 796-795</w:t>
      </w:r>
      <w:r w:rsidRPr="00942398">
        <w:rPr>
          <w:rtl/>
        </w:rPr>
        <w:t>)</w:t>
      </w:r>
      <w:r w:rsidRPr="00942398">
        <w:rPr>
          <w:rFonts w:hint="cs"/>
          <w:rtl/>
        </w:rPr>
        <w:t xml:space="preserve">. </w:t>
      </w:r>
      <w:r w:rsidR="008F3CE1">
        <w:rPr>
          <w:rFonts w:hint="cs"/>
          <w:rtl/>
        </w:rPr>
        <w:t xml:space="preserve">בענייננו, ולנוכח </w:t>
      </w:r>
      <w:r w:rsidRPr="00CE0CF5">
        <w:rPr>
          <w:rFonts w:hint="cs"/>
          <w:rtl/>
        </w:rPr>
        <w:t>הסתמכות</w:t>
      </w:r>
      <w:r w:rsidR="008F3CE1">
        <w:rPr>
          <w:rFonts w:hint="cs"/>
          <w:rtl/>
        </w:rPr>
        <w:t>ו של</w:t>
      </w:r>
      <w:r w:rsidRPr="00CE0CF5">
        <w:rPr>
          <w:rFonts w:hint="cs"/>
          <w:rtl/>
        </w:rPr>
        <w:t xml:space="preserve"> ח"כ נתניהו על עמדות המבקר והיועץ בנטילת ההלוואה </w:t>
      </w:r>
      <w:r>
        <w:rPr>
          <w:rFonts w:hint="cs"/>
          <w:rtl/>
        </w:rPr>
        <w:t>ו</w:t>
      </w:r>
      <w:r w:rsidR="008F3CE1">
        <w:rPr>
          <w:rFonts w:hint="cs"/>
          <w:rtl/>
        </w:rPr>
        <w:t xml:space="preserve">כן </w:t>
      </w:r>
      <w:r w:rsidRPr="00CE0CF5">
        <w:rPr>
          <w:rFonts w:hint="cs"/>
          <w:rtl/>
        </w:rPr>
        <w:t xml:space="preserve">לנוכח </w:t>
      </w:r>
      <w:r>
        <w:rPr>
          <w:rFonts w:hint="cs"/>
          <w:rtl/>
        </w:rPr>
        <w:t xml:space="preserve">ההתנהלות הדיונית הבעייתית של היועץ והעותרות, שעליה </w:t>
      </w:r>
      <w:r w:rsidRPr="00CE0CF5">
        <w:rPr>
          <w:rFonts w:hint="cs"/>
          <w:rtl/>
        </w:rPr>
        <w:t>עמדתי לעיל</w:t>
      </w:r>
      <w:r>
        <w:rPr>
          <w:rFonts w:hint="cs"/>
          <w:rtl/>
        </w:rPr>
        <w:t xml:space="preserve">, </w:t>
      </w:r>
      <w:r w:rsidR="008F3CE1">
        <w:rPr>
          <w:rFonts w:hint="cs"/>
          <w:rtl/>
        </w:rPr>
        <w:t>אני סבורה כי אין</w:t>
      </w:r>
      <w:r w:rsidRPr="00CE0CF5">
        <w:rPr>
          <w:rFonts w:hint="cs"/>
          <w:rtl/>
        </w:rPr>
        <w:t xml:space="preserve"> מקום להתערב בתוכנו של ההסכם ההלוואה ולשלול את האפשרות שעוגנה בו להאריך את</w:t>
      </w:r>
      <w:r>
        <w:rPr>
          <w:rFonts w:hint="cs"/>
          <w:rtl/>
        </w:rPr>
        <w:t xml:space="preserve"> תקופת ההלוואה ב-5 שנים נוספות, בכפוף לפיקוח מבקר המדינה על החזר ההלוואה, פיקוח שכל הצדדים מסכימים לו. במילים אחרות, אף של</w:t>
      </w:r>
      <w:r w:rsidRPr="00CE0CF5">
        <w:rPr>
          <w:rFonts w:hint="cs"/>
          <w:rtl/>
        </w:rPr>
        <w:t xml:space="preserve">שיטתי סעיף 2(א) לחוק המתנות חל ביחס להלוואה מפרטרידג', אני סבורה כי </w:t>
      </w:r>
      <w:r>
        <w:rPr>
          <w:rFonts w:hint="cs"/>
          <w:rtl/>
        </w:rPr>
        <w:t xml:space="preserve">בנסיבות שתוארו </w:t>
      </w:r>
      <w:r w:rsidRPr="00CE0CF5">
        <w:rPr>
          <w:rFonts w:hint="cs"/>
          <w:rtl/>
        </w:rPr>
        <w:t>יש</w:t>
      </w:r>
      <w:r>
        <w:rPr>
          <w:rFonts w:hint="cs"/>
          <w:rtl/>
        </w:rPr>
        <w:t xml:space="preserve"> </w:t>
      </w:r>
      <w:r w:rsidRPr="00CE0CF5">
        <w:rPr>
          <w:rFonts w:hint="cs"/>
          <w:rtl/>
        </w:rPr>
        <w:t>לקבוע</w:t>
      </w:r>
      <w:r w:rsidR="00FC6869">
        <w:rPr>
          <w:rFonts w:hint="cs"/>
          <w:rtl/>
        </w:rPr>
        <w:t xml:space="preserve"> שהסכם ההלוואה יוסיף לעמוד בתוקפו</w:t>
      </w:r>
      <w:r w:rsidRPr="00CE0CF5">
        <w:rPr>
          <w:rFonts w:hint="cs"/>
          <w:rtl/>
        </w:rPr>
        <w:t xml:space="preserve"> כלשונו, בכפוף להמשך</w:t>
      </w:r>
      <w:r w:rsidR="00FC6869">
        <w:rPr>
          <w:rFonts w:hint="cs"/>
          <w:rtl/>
        </w:rPr>
        <w:t xml:space="preserve"> פיקוח המבקר על החזר ההלוואה</w:t>
      </w:r>
      <w:r>
        <w:rPr>
          <w:rFonts w:hint="cs"/>
          <w:rtl/>
        </w:rPr>
        <w:t xml:space="preserve"> באותה מתכונת שבה נעשה הפיקוח בתקופת כהונת ח"כ נתניהו כראש הממשלה.</w:t>
      </w:r>
    </w:p>
    <w:p w14:paraId="109BE328" w14:textId="77777777" w:rsidR="00F125D1" w:rsidRDefault="00F125D1" w:rsidP="00F125D1">
      <w:pPr>
        <w:pStyle w:val="Ruller41"/>
        <w:rPr>
          <w:rtl/>
        </w:rPr>
      </w:pPr>
    </w:p>
    <w:p w14:paraId="4766410F" w14:textId="523BAF59" w:rsidR="00F125D1" w:rsidRDefault="008F3CE1" w:rsidP="00F125D1">
      <w:pPr>
        <w:pStyle w:val="Ruller4"/>
      </w:pPr>
      <w:r>
        <w:rPr>
          <w:rFonts w:hint="cs"/>
          <w:rtl/>
        </w:rPr>
        <w:t xml:space="preserve">לכך אוסיף כי </w:t>
      </w:r>
      <w:r w:rsidR="00F125D1">
        <w:rPr>
          <w:rFonts w:hint="cs"/>
          <w:rtl/>
        </w:rPr>
        <w:t>בהינתן תחולת חוק המתנות על ההלוואה מ</w:t>
      </w:r>
      <w:r w:rsidR="00F125D1" w:rsidRPr="00CE0CF5">
        <w:rPr>
          <w:rFonts w:hint="cs"/>
          <w:rtl/>
        </w:rPr>
        <w:t>פרטרידג'</w:t>
      </w:r>
      <w:r w:rsidR="00F125D1">
        <w:rPr>
          <w:rFonts w:hint="cs"/>
          <w:rtl/>
        </w:rPr>
        <w:t xml:space="preserve">, אין לוועדת ההיתרים סמכות להעניק היתר לקבלת טובת הנאה בהקשר זה ולפיכך, מתייתרות טענות העותרות ביחס להחלטת המבקר שלא להפנות את ח"כ נתניהו לקבלת היתר מוועדת ההיתרים. </w:t>
      </w:r>
    </w:p>
    <w:p w14:paraId="38DAB9E3" w14:textId="77777777" w:rsidR="00F125D1" w:rsidRDefault="00F125D1" w:rsidP="00F125D1">
      <w:pPr>
        <w:pStyle w:val="Ruller4"/>
        <w:numPr>
          <w:ilvl w:val="0"/>
          <w:numId w:val="0"/>
        </w:numPr>
        <w:rPr>
          <w:rtl/>
        </w:rPr>
      </w:pPr>
    </w:p>
    <w:p w14:paraId="3A1A0059" w14:textId="7620FAF3" w:rsidR="00F125D1" w:rsidRDefault="00F125D1" w:rsidP="0011198D">
      <w:pPr>
        <w:pStyle w:val="Ruller4"/>
        <w:numPr>
          <w:ilvl w:val="0"/>
          <w:numId w:val="0"/>
        </w:numPr>
        <w:rPr>
          <w:rtl/>
        </w:rPr>
      </w:pPr>
      <w:r>
        <w:rPr>
          <w:rtl/>
        </w:rPr>
        <w:tab/>
      </w:r>
      <w:r>
        <w:rPr>
          <w:rFonts w:hint="cs"/>
          <w:rtl/>
        </w:rPr>
        <w:t xml:space="preserve">עם זאת, במהלך הדיון בעתירות דנן התברר כי קיימת אי-בהירות ביחס לזהות הגורם המוסמך לקבוע קביעות </w:t>
      </w:r>
      <w:r w:rsidR="00E5334E">
        <w:rPr>
          <w:rFonts w:hint="cs"/>
          <w:rtl/>
        </w:rPr>
        <w:t xml:space="preserve">מראש </w:t>
      </w:r>
      <w:r>
        <w:rPr>
          <w:rFonts w:hint="cs"/>
          <w:rtl/>
        </w:rPr>
        <w:t>לענ</w:t>
      </w:r>
      <w:r w:rsidR="00E5334E">
        <w:rPr>
          <w:rFonts w:hint="cs"/>
          <w:rtl/>
        </w:rPr>
        <w:t>י</w:t>
      </w:r>
      <w:r>
        <w:rPr>
          <w:rFonts w:hint="cs"/>
          <w:rtl/>
        </w:rPr>
        <w:t>ין</w:t>
      </w:r>
      <w:r w:rsidR="00E5334E">
        <w:rPr>
          <w:rFonts w:hint="cs"/>
          <w:rtl/>
        </w:rPr>
        <w:t xml:space="preserve"> תחולת</w:t>
      </w:r>
      <w:r>
        <w:rPr>
          <w:rFonts w:hint="cs"/>
          <w:rtl/>
        </w:rPr>
        <w:t xml:space="preserve"> כללי אשר. לפיכך, לפני סיום ראיתי לנכון להעיר </w:t>
      </w:r>
      <w:r w:rsidR="0011198D">
        <w:rPr>
          <w:rFonts w:hint="cs"/>
          <w:rtl/>
        </w:rPr>
        <w:t xml:space="preserve">בהקשר זה </w:t>
      </w:r>
      <w:r>
        <w:rPr>
          <w:rFonts w:hint="cs"/>
          <w:rtl/>
        </w:rPr>
        <w:t>הערות קצרות אחדות.</w:t>
      </w:r>
    </w:p>
    <w:p w14:paraId="128C29BB" w14:textId="77777777" w:rsidR="00F125D1" w:rsidRDefault="00F125D1" w:rsidP="00F125D1">
      <w:pPr>
        <w:pStyle w:val="Ruller4"/>
        <w:numPr>
          <w:ilvl w:val="0"/>
          <w:numId w:val="0"/>
        </w:numPr>
        <w:rPr>
          <w:rtl/>
        </w:rPr>
      </w:pPr>
    </w:p>
    <w:p w14:paraId="2629A4C8" w14:textId="77777777" w:rsidR="00F125D1" w:rsidRPr="00E40E71" w:rsidRDefault="00F125D1" w:rsidP="00F125D1">
      <w:pPr>
        <w:pStyle w:val="Ruller41"/>
        <w:rPr>
          <w:rFonts w:ascii="Century" w:hAnsi="Century" w:cs="Miriam"/>
          <w:b/>
          <w:spacing w:val="0"/>
          <w:szCs w:val="24"/>
          <w:rtl/>
        </w:rPr>
      </w:pPr>
      <w:r w:rsidRPr="00E40E71">
        <w:rPr>
          <w:rFonts w:ascii="Century" w:hAnsi="Century" w:cs="Miriam" w:hint="cs"/>
          <w:b/>
          <w:spacing w:val="0"/>
          <w:szCs w:val="24"/>
          <w:rtl/>
        </w:rPr>
        <w:t>הכרעה מראש בדבר קיומה של סטייה מכללי אשר</w:t>
      </w:r>
    </w:p>
    <w:p w14:paraId="26A348D3" w14:textId="77777777" w:rsidR="00F125D1" w:rsidRPr="00014E99" w:rsidRDefault="00F125D1" w:rsidP="00F125D1">
      <w:pPr>
        <w:pStyle w:val="Ruller41"/>
        <w:rPr>
          <w:rtl/>
        </w:rPr>
      </w:pPr>
    </w:p>
    <w:p w14:paraId="612D9B05" w14:textId="58E11717" w:rsidR="00F125D1" w:rsidRDefault="00F125D1" w:rsidP="00F125D1">
      <w:pPr>
        <w:pStyle w:val="Ruller4"/>
      </w:pPr>
      <w:r>
        <w:rPr>
          <w:rFonts w:hint="cs"/>
          <w:rtl/>
        </w:rPr>
        <w:t>ככלל, היועצת המשפטית לממשלה היא הפרשנית המוסמכת של הדין עבור חברי הממשלה (</w:t>
      </w:r>
      <w:r w:rsidRPr="006D437D">
        <w:rPr>
          <w:rFonts w:hint="eastAsia"/>
          <w:rtl/>
        </w:rPr>
        <w:t>בג</w:t>
      </w:r>
      <w:r w:rsidRPr="006D437D">
        <w:rPr>
          <w:rtl/>
        </w:rPr>
        <w:t>"</w:t>
      </w:r>
      <w:r w:rsidRPr="006D437D">
        <w:rPr>
          <w:rFonts w:hint="eastAsia"/>
          <w:rtl/>
        </w:rPr>
        <w:t>ץ</w:t>
      </w:r>
      <w:r w:rsidRPr="006D437D">
        <w:rPr>
          <w:rtl/>
        </w:rPr>
        <w:t xml:space="preserve"> 4267/93 </w:t>
      </w:r>
      <w:r w:rsidRPr="006D437D">
        <w:rPr>
          <w:rFonts w:ascii="Century" w:hAnsi="Century" w:cs="Miriam" w:hint="eastAsia"/>
          <w:b/>
          <w:spacing w:val="0"/>
          <w:sz w:val="22"/>
          <w:szCs w:val="24"/>
          <w:rtl/>
        </w:rPr>
        <w:t>אמיתי</w:t>
      </w:r>
      <w:r w:rsidRPr="006D437D">
        <w:rPr>
          <w:rFonts w:ascii="Century" w:hAnsi="Century" w:cs="Miriam"/>
          <w:b/>
          <w:spacing w:val="0"/>
          <w:sz w:val="22"/>
          <w:szCs w:val="24"/>
          <w:rtl/>
        </w:rPr>
        <w:t xml:space="preserve"> – </w:t>
      </w:r>
      <w:r w:rsidRPr="006D437D">
        <w:rPr>
          <w:rFonts w:ascii="Century" w:hAnsi="Century" w:cs="Miriam" w:hint="eastAsia"/>
          <w:b/>
          <w:spacing w:val="0"/>
          <w:sz w:val="22"/>
          <w:szCs w:val="24"/>
          <w:rtl/>
        </w:rPr>
        <w:t>אזרחים</w:t>
      </w:r>
      <w:r w:rsidRPr="006D437D">
        <w:rPr>
          <w:rFonts w:ascii="Century" w:hAnsi="Century" w:cs="Miriam"/>
          <w:b/>
          <w:spacing w:val="0"/>
          <w:sz w:val="22"/>
          <w:szCs w:val="24"/>
          <w:rtl/>
        </w:rPr>
        <w:t xml:space="preserve"> </w:t>
      </w:r>
      <w:r w:rsidRPr="006D437D">
        <w:rPr>
          <w:rFonts w:ascii="Century" w:hAnsi="Century" w:cs="Miriam" w:hint="eastAsia"/>
          <w:b/>
          <w:spacing w:val="0"/>
          <w:sz w:val="22"/>
          <w:szCs w:val="24"/>
          <w:rtl/>
        </w:rPr>
        <w:t>למען</w:t>
      </w:r>
      <w:r w:rsidRPr="006D437D">
        <w:rPr>
          <w:rFonts w:ascii="Century" w:hAnsi="Century" w:cs="Miriam"/>
          <w:b/>
          <w:spacing w:val="0"/>
          <w:sz w:val="22"/>
          <w:szCs w:val="24"/>
          <w:rtl/>
        </w:rPr>
        <w:t xml:space="preserve"> </w:t>
      </w:r>
      <w:r w:rsidRPr="006D437D">
        <w:rPr>
          <w:rFonts w:ascii="Century" w:hAnsi="Century" w:cs="Miriam" w:hint="eastAsia"/>
          <w:b/>
          <w:spacing w:val="0"/>
          <w:sz w:val="22"/>
          <w:szCs w:val="24"/>
          <w:rtl/>
        </w:rPr>
        <w:t>מינהל</w:t>
      </w:r>
      <w:r w:rsidRPr="006D437D">
        <w:rPr>
          <w:rFonts w:ascii="Century" w:hAnsi="Century" w:cs="Miriam"/>
          <w:b/>
          <w:spacing w:val="0"/>
          <w:sz w:val="22"/>
          <w:szCs w:val="24"/>
          <w:rtl/>
        </w:rPr>
        <w:t xml:space="preserve"> </w:t>
      </w:r>
      <w:r w:rsidRPr="006D437D">
        <w:rPr>
          <w:rFonts w:ascii="Century" w:hAnsi="Century" w:cs="Miriam" w:hint="eastAsia"/>
          <w:b/>
          <w:spacing w:val="0"/>
          <w:sz w:val="22"/>
          <w:szCs w:val="24"/>
          <w:rtl/>
        </w:rPr>
        <w:t>תקין</w:t>
      </w:r>
      <w:r w:rsidRPr="006D437D">
        <w:rPr>
          <w:rFonts w:ascii="Century" w:hAnsi="Century" w:cs="Miriam"/>
          <w:b/>
          <w:spacing w:val="0"/>
          <w:sz w:val="22"/>
          <w:szCs w:val="24"/>
          <w:rtl/>
        </w:rPr>
        <w:t xml:space="preserve"> </w:t>
      </w:r>
      <w:r w:rsidRPr="006D437D">
        <w:rPr>
          <w:rFonts w:ascii="Century" w:hAnsi="Century" w:cs="Miriam" w:hint="eastAsia"/>
          <w:b/>
          <w:spacing w:val="0"/>
          <w:sz w:val="22"/>
          <w:szCs w:val="24"/>
          <w:rtl/>
        </w:rPr>
        <w:t>וטוהר</w:t>
      </w:r>
      <w:r w:rsidRPr="006D437D">
        <w:rPr>
          <w:rFonts w:ascii="Century" w:hAnsi="Century" w:cs="Miriam"/>
          <w:b/>
          <w:spacing w:val="0"/>
          <w:sz w:val="22"/>
          <w:szCs w:val="24"/>
          <w:rtl/>
        </w:rPr>
        <w:t xml:space="preserve"> </w:t>
      </w:r>
      <w:r w:rsidRPr="006D437D">
        <w:rPr>
          <w:rFonts w:ascii="Century" w:hAnsi="Century" w:cs="Miriam" w:hint="eastAsia"/>
          <w:b/>
          <w:spacing w:val="0"/>
          <w:sz w:val="22"/>
          <w:szCs w:val="24"/>
          <w:rtl/>
        </w:rPr>
        <w:t>המידות</w:t>
      </w:r>
      <w:r w:rsidRPr="006D437D">
        <w:rPr>
          <w:rFonts w:ascii="Century" w:hAnsi="Century" w:cs="Miriam"/>
          <w:b/>
          <w:spacing w:val="0"/>
          <w:sz w:val="22"/>
          <w:szCs w:val="24"/>
          <w:rtl/>
        </w:rPr>
        <w:t xml:space="preserve"> </w:t>
      </w:r>
      <w:r w:rsidRPr="006D437D">
        <w:rPr>
          <w:rFonts w:ascii="Century" w:hAnsi="Century" w:cs="Miriam" w:hint="eastAsia"/>
          <w:b/>
          <w:spacing w:val="0"/>
          <w:sz w:val="22"/>
          <w:szCs w:val="24"/>
          <w:rtl/>
        </w:rPr>
        <w:t>נ</w:t>
      </w:r>
      <w:r w:rsidRPr="006D437D">
        <w:rPr>
          <w:rFonts w:ascii="Century" w:hAnsi="Century" w:cs="Miriam"/>
          <w:b/>
          <w:spacing w:val="0"/>
          <w:sz w:val="22"/>
          <w:szCs w:val="24"/>
          <w:rtl/>
        </w:rPr>
        <w:t xml:space="preserve">' </w:t>
      </w:r>
      <w:r w:rsidRPr="006D437D">
        <w:rPr>
          <w:rFonts w:ascii="Century" w:hAnsi="Century" w:cs="Miriam" w:hint="eastAsia"/>
          <w:b/>
          <w:spacing w:val="0"/>
          <w:sz w:val="22"/>
          <w:szCs w:val="24"/>
          <w:rtl/>
        </w:rPr>
        <w:t>ראש</w:t>
      </w:r>
      <w:r w:rsidRPr="006D437D">
        <w:rPr>
          <w:rFonts w:ascii="Century" w:hAnsi="Century" w:cs="Miriam"/>
          <w:b/>
          <w:spacing w:val="0"/>
          <w:sz w:val="22"/>
          <w:szCs w:val="24"/>
          <w:rtl/>
        </w:rPr>
        <w:t xml:space="preserve"> </w:t>
      </w:r>
      <w:r w:rsidRPr="006D437D">
        <w:rPr>
          <w:rFonts w:ascii="Century" w:hAnsi="Century" w:cs="Miriam" w:hint="eastAsia"/>
          <w:b/>
          <w:spacing w:val="0"/>
          <w:sz w:val="22"/>
          <w:szCs w:val="24"/>
          <w:rtl/>
        </w:rPr>
        <w:t>ממשלת</w:t>
      </w:r>
      <w:r w:rsidRPr="006D437D">
        <w:rPr>
          <w:rFonts w:ascii="Century" w:hAnsi="Century" w:cs="Miriam"/>
          <w:b/>
          <w:spacing w:val="0"/>
          <w:sz w:val="22"/>
          <w:szCs w:val="24"/>
          <w:rtl/>
        </w:rPr>
        <w:t xml:space="preserve"> </w:t>
      </w:r>
      <w:r w:rsidRPr="006D437D">
        <w:rPr>
          <w:rFonts w:ascii="Century" w:hAnsi="Century" w:cs="Miriam" w:hint="eastAsia"/>
          <w:b/>
          <w:spacing w:val="0"/>
          <w:sz w:val="22"/>
          <w:szCs w:val="24"/>
          <w:rtl/>
        </w:rPr>
        <w:t>ישראל</w:t>
      </w:r>
      <w:r w:rsidRPr="006D437D">
        <w:rPr>
          <w:rtl/>
        </w:rPr>
        <w:t xml:space="preserve">, </w:t>
      </w:r>
      <w:r w:rsidRPr="006D437D">
        <w:rPr>
          <w:rFonts w:hint="eastAsia"/>
          <w:rtl/>
        </w:rPr>
        <w:t>פ</w:t>
      </w:r>
      <w:r w:rsidRPr="006D437D">
        <w:rPr>
          <w:rtl/>
        </w:rPr>
        <w:t>"</w:t>
      </w:r>
      <w:r w:rsidRPr="006D437D">
        <w:rPr>
          <w:rFonts w:hint="eastAsia"/>
          <w:rtl/>
        </w:rPr>
        <w:t>ד</w:t>
      </w:r>
      <w:r w:rsidRPr="006D437D">
        <w:rPr>
          <w:rtl/>
        </w:rPr>
        <w:t xml:space="preserve"> </w:t>
      </w:r>
      <w:r w:rsidRPr="006D437D">
        <w:rPr>
          <w:rFonts w:hint="eastAsia"/>
          <w:rtl/>
        </w:rPr>
        <w:t>מז</w:t>
      </w:r>
      <w:r w:rsidRPr="006D437D">
        <w:rPr>
          <w:rtl/>
        </w:rPr>
        <w:t>(5) 441, 473 (1993)</w:t>
      </w:r>
      <w:r>
        <w:rPr>
          <w:rFonts w:hint="cs"/>
          <w:rtl/>
        </w:rPr>
        <w:t xml:space="preserve"> (להלן: </w:t>
      </w:r>
      <w:r w:rsidRPr="006D437D">
        <w:rPr>
          <w:rFonts w:ascii="Century" w:hAnsi="Century" w:cs="Miriam" w:hint="cs"/>
          <w:b/>
          <w:spacing w:val="0"/>
          <w:sz w:val="22"/>
          <w:szCs w:val="24"/>
          <w:rtl/>
        </w:rPr>
        <w:t>עניין אמיתי</w:t>
      </w:r>
      <w:r>
        <w:rPr>
          <w:rFonts w:hint="cs"/>
          <w:rtl/>
        </w:rPr>
        <w:t xml:space="preserve">)). על כן, ככל שחבר ממשלה מקבל דבר מה מאדם אחר ומתעורר בו ספק שמא מדובר בטובת הנאה שניתנה לו שלא בתמורה באשר הוא עובד ציבור, עליו לפנות ליועצת המשפטית לממשלה כדי שתחווה את דעתה בעניין תחולת חוק המתנות. על קביעה עקרונית זו לא חלקו הצדדים בהליכים דנן. המחלוקת בין הצדדים התמקדה בזהות הגורם המוסמך לקבוע </w:t>
      </w:r>
      <w:r w:rsidRPr="00C40B67">
        <w:rPr>
          <w:rFonts w:ascii="Century" w:hAnsi="Century" w:cs="Miriam" w:hint="cs"/>
          <w:b/>
          <w:spacing w:val="0"/>
          <w:sz w:val="22"/>
          <w:szCs w:val="24"/>
          <w:rtl/>
        </w:rPr>
        <w:t>מראש</w:t>
      </w:r>
      <w:r w:rsidRPr="00C40B67">
        <w:rPr>
          <w:rFonts w:hint="cs"/>
          <w:rtl/>
        </w:rPr>
        <w:t xml:space="preserve"> </w:t>
      </w:r>
      <w:r>
        <w:rPr>
          <w:rFonts w:hint="cs"/>
          <w:rtl/>
        </w:rPr>
        <w:t xml:space="preserve">(במובן של </w:t>
      </w:r>
      <w:r>
        <w:t>pre-ruling</w:t>
      </w:r>
      <w:r>
        <w:rPr>
          <w:rFonts w:hint="cs"/>
          <w:rtl/>
        </w:rPr>
        <w:t>) כי התנהלות מסוימת של שר מהווה סטייה מכללי אשר, ובפרט מכלל 6(3)(א) האוסר על קבלת טובות הנאה זולת השכר המשולם</w:t>
      </w:r>
      <w:r w:rsidR="005F4ED7">
        <w:rPr>
          <w:rFonts w:hint="cs"/>
          <w:rtl/>
        </w:rPr>
        <w:t xml:space="preserve"> לו</w:t>
      </w:r>
      <w:r>
        <w:rPr>
          <w:rFonts w:hint="cs"/>
          <w:rtl/>
        </w:rPr>
        <w:t xml:space="preserve"> על ידי המדינה. בהקשר זה סברו המבקר וח"כ נתניהו כי סמכות זו מוקנית למבקר בלבד; העותרות סברו כי מדובר בסמכות המוקנית ליועצת המשפטית לממשלה ולמערך הייעוץ המשפטי לממשלה; ואילו היועצת סברה כי קיימים מספר גורמים המחזיקים בסמכות זו </w:t>
      </w:r>
      <w:r>
        <w:rPr>
          <w:rtl/>
        </w:rPr>
        <w:t>–</w:t>
      </w:r>
      <w:r>
        <w:rPr>
          <w:rFonts w:hint="cs"/>
          <w:rtl/>
        </w:rPr>
        <w:t xml:space="preserve"> היועצת עצמה, המבקר וועדת ההיתרים (שרשאית לקבוע כי פנייה אליה נעשתה שלא לצורך אם נמצא כי אין סטייה מכללי אשר).</w:t>
      </w:r>
    </w:p>
    <w:p w14:paraId="2DA0FCE3" w14:textId="77777777" w:rsidR="00F125D1" w:rsidRDefault="00F125D1" w:rsidP="00F125D1">
      <w:pPr>
        <w:pStyle w:val="Ruller4"/>
        <w:numPr>
          <w:ilvl w:val="0"/>
          <w:numId w:val="0"/>
        </w:numPr>
        <w:rPr>
          <w:rtl/>
        </w:rPr>
      </w:pPr>
    </w:p>
    <w:p w14:paraId="141263CA" w14:textId="7CF8CB44" w:rsidR="00F125D1" w:rsidRDefault="00F125D1" w:rsidP="00822EDA">
      <w:pPr>
        <w:pStyle w:val="Ruller4"/>
        <w:rPr>
          <w:rtl/>
        </w:rPr>
      </w:pPr>
      <w:r>
        <w:rPr>
          <w:rFonts w:hint="cs"/>
          <w:rtl/>
        </w:rPr>
        <w:t xml:space="preserve">כללי אשר עצמם אינם מתייחסים באופן מפורש לאפשרות של פנייה לקבלת ייעוץ מקדים מגורם כלשהו בנוגע לכללים. זאת, להבדיל מדו"ח הוועדה הציבורית לעניין גיבוש כללי האתיקה לחברי הממשלה משנת 2008 (להלן: </w:t>
      </w:r>
      <w:r w:rsidRPr="00E40E71">
        <w:rPr>
          <w:rFonts w:ascii="Century" w:hAnsi="Century" w:cs="Miriam" w:hint="cs"/>
          <w:b/>
          <w:spacing w:val="0"/>
          <w:sz w:val="22"/>
          <w:szCs w:val="24"/>
          <w:rtl/>
        </w:rPr>
        <w:t>דו"ח ועדת שמגר</w:t>
      </w:r>
      <w:r>
        <w:rPr>
          <w:rFonts w:hint="cs"/>
          <w:rtl/>
        </w:rPr>
        <w:t xml:space="preserve">), שהציע לקבוע קוד אתי מקיף </w:t>
      </w:r>
      <w:r w:rsidR="00822EDA">
        <w:rPr>
          <w:rtl/>
        </w:rPr>
        <w:t>–</w:t>
      </w:r>
      <w:r w:rsidR="00822EDA">
        <w:rPr>
          <w:rFonts w:hint="cs"/>
          <w:rtl/>
        </w:rPr>
        <w:t xml:space="preserve"> שלמרבה הצער לא אומץ עד היום </w:t>
      </w:r>
      <w:r w:rsidR="00822EDA">
        <w:rPr>
          <w:rtl/>
        </w:rPr>
        <w:t>–</w:t>
      </w:r>
      <w:r w:rsidR="00822EDA">
        <w:rPr>
          <w:rFonts w:hint="cs"/>
          <w:rtl/>
        </w:rPr>
        <w:t xml:space="preserve"> ואשר </w:t>
      </w:r>
      <w:r>
        <w:rPr>
          <w:rFonts w:hint="cs"/>
          <w:rtl/>
        </w:rPr>
        <w:t xml:space="preserve">במסגרתו נכללה גם הצעה להקים ועדת אתיקה שתהיה רשאית לצד תפקידה כוועדה למתן היתרים לחריגה מכללי האתיקה, "ליתן ייעוץ מוקדם לחבר ממשלה [...] בעקבות פנייתו, כיצד ראוי שינהג במקרה מסוים" (כלל 109(4) לכללים המוצעים בדו"ח ועדת שמגר). </w:t>
      </w:r>
    </w:p>
    <w:p w14:paraId="208AEF43" w14:textId="77777777" w:rsidR="00F125D1" w:rsidRPr="00FE5132" w:rsidRDefault="00F125D1" w:rsidP="00F125D1">
      <w:pPr>
        <w:pStyle w:val="Ruller41"/>
      </w:pPr>
    </w:p>
    <w:p w14:paraId="0D099DA2" w14:textId="5BA302D2" w:rsidR="00F125D1" w:rsidRPr="000F545F" w:rsidRDefault="00F125D1" w:rsidP="00007D44">
      <w:pPr>
        <w:pStyle w:val="Ruller4"/>
        <w:rPr>
          <w:rtl/>
        </w:rPr>
      </w:pPr>
      <w:r>
        <w:rPr>
          <w:rFonts w:hint="cs"/>
          <w:rtl/>
        </w:rPr>
        <w:t xml:space="preserve">לגישתי, בעניינים כה רגישים הנוגעים לטוהר המידות של חברי הממשלה קיים קושי בקביעה כי יוענקו סמכויות מקבילות למספר גורמים, </w:t>
      </w:r>
      <w:r w:rsidR="0049235A">
        <w:rPr>
          <w:rFonts w:hint="cs"/>
          <w:rtl/>
        </w:rPr>
        <w:t>ולו בשל החשש ל</w:t>
      </w:r>
      <w:r>
        <w:rPr>
          <w:rFonts w:hint="cs"/>
          <w:rtl/>
        </w:rPr>
        <w:t>הכרעות סותרות. קיימים טעמים התומכים בעמדת העותרות לפיה סמכות ההכרעה מראש בדבר סטייה מכללי אשר</w:t>
      </w:r>
      <w:r w:rsidR="0049235A">
        <w:rPr>
          <w:rFonts w:hint="cs"/>
          <w:rtl/>
        </w:rPr>
        <w:t>,</w:t>
      </w:r>
      <w:r>
        <w:rPr>
          <w:rFonts w:hint="cs"/>
          <w:rtl/>
        </w:rPr>
        <w:t xml:space="preserve"> תוטל על היועצת המשפטית לממשלה. זאת, בהיותה הפרשנית המוסמכת של הדין עבור הרשות המבצעת</w:t>
      </w:r>
      <w:r w:rsidR="00B35693">
        <w:rPr>
          <w:rFonts w:hint="cs"/>
          <w:rtl/>
        </w:rPr>
        <w:t xml:space="preserve"> וכמי</w:t>
      </w:r>
      <w:r>
        <w:rPr>
          <w:rFonts w:hint="cs"/>
          <w:rtl/>
        </w:rPr>
        <w:t xml:space="preserve"> שחוות דעתה המשפטית משקפת </w:t>
      </w:r>
      <w:r w:rsidRPr="000F545F">
        <w:rPr>
          <w:rFonts w:hint="cs"/>
          <w:rtl/>
        </w:rPr>
        <w:t>עבור</w:t>
      </w:r>
      <w:r>
        <w:rPr>
          <w:rFonts w:hint="cs"/>
          <w:rtl/>
        </w:rPr>
        <w:t xml:space="preserve"> </w:t>
      </w:r>
      <w:r w:rsidR="00007D44">
        <w:rPr>
          <w:rFonts w:hint="cs"/>
          <w:rtl/>
        </w:rPr>
        <w:t>השרים</w:t>
      </w:r>
      <w:r w:rsidRPr="000F545F">
        <w:rPr>
          <w:rFonts w:hint="cs"/>
          <w:rtl/>
        </w:rPr>
        <w:t xml:space="preserve"> את המצב המשפטי המצוי (עניין </w:t>
      </w:r>
      <w:r w:rsidRPr="000F545F">
        <w:rPr>
          <w:rFonts w:ascii="Century" w:hAnsi="Century" w:cs="Miriam" w:hint="cs"/>
          <w:b/>
          <w:spacing w:val="0"/>
          <w:sz w:val="22"/>
          <w:szCs w:val="24"/>
          <w:rtl/>
        </w:rPr>
        <w:t>אמיתי</w:t>
      </w:r>
      <w:r w:rsidRPr="000F545F">
        <w:rPr>
          <w:rFonts w:hint="cs"/>
          <w:rtl/>
        </w:rPr>
        <w:t xml:space="preserve">, בעמ' 473). </w:t>
      </w:r>
      <w:r>
        <w:rPr>
          <w:rFonts w:hint="cs"/>
          <w:rtl/>
        </w:rPr>
        <w:t xml:space="preserve">מטעם </w:t>
      </w:r>
      <w:r w:rsidRPr="000F545F">
        <w:rPr>
          <w:rFonts w:hint="cs"/>
          <w:rtl/>
        </w:rPr>
        <w:t xml:space="preserve">זה </w:t>
      </w:r>
      <w:r>
        <w:rPr>
          <w:rFonts w:hint="cs"/>
          <w:rtl/>
        </w:rPr>
        <w:t xml:space="preserve">נקבע </w:t>
      </w:r>
      <w:r w:rsidRPr="000F545F">
        <w:rPr>
          <w:rFonts w:hint="cs"/>
          <w:rtl/>
        </w:rPr>
        <w:t>אך לאחרונה כי היועץ המשפטי</w:t>
      </w:r>
      <w:r w:rsidR="00CA15A6">
        <w:rPr>
          <w:rFonts w:hint="cs"/>
          <w:rtl/>
        </w:rPr>
        <w:t xml:space="preserve"> לממשלה הוא הגורם המוסמך "[...] לקבוע </w:t>
      </w:r>
      <w:r w:rsidRPr="000F545F">
        <w:rPr>
          <w:rFonts w:hint="cs"/>
          <w:rtl/>
        </w:rPr>
        <w:t>שקיים חשש להימצאותו של שר במצב של ניגוד עניינים וכן לקבוע את הה</w:t>
      </w:r>
      <w:r>
        <w:rPr>
          <w:rFonts w:hint="cs"/>
          <w:rtl/>
        </w:rPr>
        <w:t>גבלות הקונקרטיות שיש לגזור מכך"</w:t>
      </w:r>
      <w:r w:rsidR="00942BB8">
        <w:rPr>
          <w:rFonts w:hint="cs"/>
          <w:rtl/>
        </w:rPr>
        <w:t>,</w:t>
      </w:r>
      <w:r>
        <w:rPr>
          <w:rFonts w:hint="cs"/>
          <w:rtl/>
        </w:rPr>
        <w:t xml:space="preserve"> בהתאם לכלל 7 לכללי אשר </w:t>
      </w:r>
      <w:r w:rsidRPr="000F545F">
        <w:rPr>
          <w:rFonts w:hint="cs"/>
          <w:rtl/>
        </w:rPr>
        <w:t xml:space="preserve">(עניין </w:t>
      </w:r>
      <w:r w:rsidRPr="000F545F">
        <w:rPr>
          <w:rFonts w:ascii="Century" w:hAnsi="Century" w:cs="Miriam" w:hint="cs"/>
          <w:b/>
          <w:spacing w:val="0"/>
          <w:sz w:val="22"/>
          <w:szCs w:val="24"/>
          <w:rtl/>
        </w:rPr>
        <w:t>הסדר ניגוד העניינים</w:t>
      </w:r>
      <w:r w:rsidRPr="000F545F">
        <w:rPr>
          <w:rFonts w:hint="cs"/>
          <w:rtl/>
        </w:rPr>
        <w:t>, בפסקה 24 לפסק דיני). מסקנתי באותו עניין לא התבססה</w:t>
      </w:r>
      <w:r>
        <w:rPr>
          <w:rFonts w:hint="cs"/>
          <w:rtl/>
        </w:rPr>
        <w:t>, עם זאת,</w:t>
      </w:r>
      <w:r w:rsidRPr="000F545F">
        <w:rPr>
          <w:rFonts w:hint="cs"/>
          <w:rtl/>
        </w:rPr>
        <w:t xml:space="preserve"> על סמכות שהוקנתה </w:t>
      </w:r>
      <w:r>
        <w:rPr>
          <w:rFonts w:hint="cs"/>
          <w:rtl/>
        </w:rPr>
        <w:t>ליועץ</w:t>
      </w:r>
      <w:r w:rsidRPr="000F545F">
        <w:rPr>
          <w:rFonts w:hint="cs"/>
          <w:rtl/>
        </w:rPr>
        <w:t xml:space="preserve"> בכללי אשר</w:t>
      </w:r>
      <w:r>
        <w:rPr>
          <w:rFonts w:hint="cs"/>
          <w:rtl/>
        </w:rPr>
        <w:t xml:space="preserve"> עצמם</w:t>
      </w:r>
      <w:r w:rsidRPr="000F545F">
        <w:rPr>
          <w:rFonts w:hint="cs"/>
          <w:rtl/>
        </w:rPr>
        <w:t>, אלא על סמכותו מכוח הדין הכללי, שכללי אשר אינם גורעים ממנה</w:t>
      </w:r>
      <w:r>
        <w:rPr>
          <w:rFonts w:hint="cs"/>
          <w:rtl/>
        </w:rPr>
        <w:t xml:space="preserve"> בהקשר זה</w:t>
      </w:r>
      <w:r w:rsidRPr="000F545F">
        <w:rPr>
          <w:rFonts w:hint="cs"/>
          <w:rtl/>
        </w:rPr>
        <w:t xml:space="preserve"> (</w:t>
      </w:r>
      <w:r w:rsidRPr="000F545F">
        <w:rPr>
          <w:rFonts w:ascii="Century" w:hAnsi="Century" w:cs="Miriam" w:hint="cs"/>
          <w:b/>
          <w:spacing w:val="0"/>
          <w:sz w:val="22"/>
          <w:szCs w:val="24"/>
          <w:rtl/>
        </w:rPr>
        <w:t>שם</w:t>
      </w:r>
      <w:r w:rsidRPr="000F545F">
        <w:rPr>
          <w:rFonts w:hint="cs"/>
          <w:rtl/>
        </w:rPr>
        <w:t xml:space="preserve">). </w:t>
      </w:r>
    </w:p>
    <w:p w14:paraId="44F0FD7C" w14:textId="77777777" w:rsidR="00F125D1" w:rsidRDefault="00F125D1" w:rsidP="00F125D1">
      <w:pPr>
        <w:pStyle w:val="Ruller4"/>
        <w:numPr>
          <w:ilvl w:val="0"/>
          <w:numId w:val="0"/>
        </w:numPr>
        <w:rPr>
          <w:rtl/>
        </w:rPr>
      </w:pPr>
    </w:p>
    <w:p w14:paraId="6C394946" w14:textId="409EF4CD" w:rsidR="00F125D1" w:rsidRDefault="00F125D1" w:rsidP="00F125D1">
      <w:pPr>
        <w:pStyle w:val="Ruller4"/>
        <w:numPr>
          <w:ilvl w:val="0"/>
          <w:numId w:val="0"/>
        </w:numPr>
        <w:rPr>
          <w:rtl/>
        </w:rPr>
      </w:pPr>
      <w:r>
        <w:rPr>
          <w:rtl/>
        </w:rPr>
        <w:tab/>
      </w:r>
      <w:r>
        <w:rPr>
          <w:rFonts w:hint="cs"/>
          <w:rtl/>
        </w:rPr>
        <w:t xml:space="preserve">ואולם, לגישתי, עיון בכללי אשר מוביל למסקנה שלגבי כלל 6(3) שעניינו איסור קבלת שכר וטובות הנאה זולת שכר המשולם מהמדינה </w:t>
      </w:r>
      <w:r>
        <w:rPr>
          <w:rtl/>
        </w:rPr>
        <w:t>–</w:t>
      </w:r>
      <w:r>
        <w:rPr>
          <w:rFonts w:hint="cs"/>
          <w:rtl/>
        </w:rPr>
        <w:t xml:space="preserve"> הסמכות לקבוע האם במקרה מסוים ניתנת לשר "טובת הנאה", נתונה למבקר המדינה. זאת, בהינתן העובדה שלמבקר מוענק מעמד ייחודי כמי שאמון על בדיקת עמידתם של השרים בכללי אשר בדיעבד (כלל 11(א)), וכמי שנדרש להביע את עמדתו בפני ועדת ההיתרים ביחס לכל מקרה שנשמע בפניה (כלל 21</w:t>
      </w:r>
      <w:r w:rsidR="00CA15A6">
        <w:rPr>
          <w:rFonts w:hint="cs"/>
          <w:rtl/>
        </w:rPr>
        <w:t>(א)</w:t>
      </w:r>
      <w:r>
        <w:rPr>
          <w:rFonts w:hint="cs"/>
          <w:rtl/>
        </w:rPr>
        <w:t xml:space="preserve">; להרחבה בנוגע למעמדו הייחודי של המבקר ביחס לכללי אשר, ראו: </w:t>
      </w:r>
      <w:r w:rsidRPr="004F450A">
        <w:rPr>
          <w:rFonts w:ascii="Century" w:hAnsi="Century" w:cs="Miriam" w:hint="cs"/>
          <w:b/>
          <w:spacing w:val="0"/>
          <w:sz w:val="22"/>
          <w:szCs w:val="24"/>
          <w:rtl/>
        </w:rPr>
        <w:t>שפניץ</w:t>
      </w:r>
      <w:r>
        <w:rPr>
          <w:rFonts w:hint="cs"/>
          <w:rtl/>
        </w:rPr>
        <w:t>, בעמ'</w:t>
      </w:r>
      <w:r w:rsidRPr="004F450A">
        <w:rPr>
          <w:rFonts w:hint="cs"/>
          <w:rtl/>
        </w:rPr>
        <w:t xml:space="preserve"> </w:t>
      </w:r>
      <w:r>
        <w:rPr>
          <w:rFonts w:hint="cs"/>
          <w:rtl/>
        </w:rPr>
        <w:t xml:space="preserve">531). לכך יש להוסיף כי המבקר הוא הגורם החשוף להצהרות ההון של חברי הממשלה (כללים 10 ו-17), ועל כן בפניו מצוי המידע הרלוונטי לצורך הכרעה בדבר קיומה של חריגה מכללי אשר ביחס לכלל 6(3). </w:t>
      </w:r>
    </w:p>
    <w:p w14:paraId="6CBCEA5A" w14:textId="77777777" w:rsidR="00F125D1" w:rsidRDefault="00F125D1" w:rsidP="00F125D1">
      <w:pPr>
        <w:pStyle w:val="Ruller4"/>
        <w:numPr>
          <w:ilvl w:val="0"/>
          <w:numId w:val="0"/>
        </w:numPr>
        <w:rPr>
          <w:rtl/>
        </w:rPr>
      </w:pPr>
    </w:p>
    <w:p w14:paraId="26777C80" w14:textId="104E0A5A" w:rsidR="00F125D1" w:rsidRDefault="00F125D1" w:rsidP="0018752E">
      <w:pPr>
        <w:pStyle w:val="Ruller4"/>
        <w:rPr>
          <w:rtl/>
        </w:rPr>
      </w:pPr>
      <w:r>
        <w:rPr>
          <w:rFonts w:hint="cs"/>
          <w:rtl/>
        </w:rPr>
        <w:t xml:space="preserve">לסיכום סוגיה זו </w:t>
      </w:r>
      <w:r>
        <w:rPr>
          <w:rtl/>
        </w:rPr>
        <w:t>–</w:t>
      </w:r>
      <w:r>
        <w:rPr>
          <w:rFonts w:hint="cs"/>
          <w:rtl/>
        </w:rPr>
        <w:t xml:space="preserve"> לדעתי במענה לפנייה מצד חבר ממשלה, רשאי המבקר </w:t>
      </w:r>
      <w:r w:rsidR="00942BB8">
        <w:rPr>
          <w:rFonts w:hint="cs"/>
          <w:rtl/>
        </w:rPr>
        <w:t>לקבוע</w:t>
      </w:r>
      <w:r>
        <w:rPr>
          <w:rFonts w:hint="cs"/>
          <w:rtl/>
        </w:rPr>
        <w:t xml:space="preserve"> אם התנהלותו של אותו חבר ממשלה אין בה משום סטייה מכלל</w:t>
      </w:r>
      <w:r w:rsidR="00942BB8">
        <w:rPr>
          <w:rFonts w:hint="cs"/>
          <w:rtl/>
        </w:rPr>
        <w:t xml:space="preserve"> 6(3) לכללי</w:t>
      </w:r>
      <w:r>
        <w:rPr>
          <w:rFonts w:hint="cs"/>
          <w:rtl/>
        </w:rPr>
        <w:t xml:space="preserve"> אשר, או </w:t>
      </w:r>
      <w:r w:rsidRPr="00347B0F">
        <w:rPr>
          <w:rFonts w:hint="cs"/>
          <w:rtl/>
        </w:rPr>
        <w:t>שמא יש בה סטייה כזו והיא מחייבת על כן פנייה לוועדת ההיתרים. ברי כי קביעות המבקר בהקשר זה נתונות לביקורת שיפוטית</w:t>
      </w:r>
      <w:r w:rsidR="00942BB8" w:rsidRPr="00347B0F">
        <w:rPr>
          <w:rFonts w:hint="cs"/>
          <w:rtl/>
        </w:rPr>
        <w:t>,</w:t>
      </w:r>
      <w:r w:rsidRPr="00347B0F">
        <w:rPr>
          <w:rFonts w:hint="cs"/>
          <w:rtl/>
        </w:rPr>
        <w:t xml:space="preserve"> ככל קביעה של גורם מנהלי אחר. לכך</w:t>
      </w:r>
      <w:r>
        <w:rPr>
          <w:rFonts w:hint="cs"/>
          <w:rtl/>
        </w:rPr>
        <w:t xml:space="preserve"> יש להוסיף כי ככל שחבר ממשלה פנה ליועצת המשפטית לממשלה בעניין תחולת חוק המתנות והיא הגיעה למסקנה כי החוק לא חל בנסיבות העניין, היא רשאית כמובן להמליץ לאותו חבר הממשלה לפנות למבקר לצורך קבלת קביעה מקדימה בנוגע לתחולת כללי אשר בנסיבות העניין. עם זאת, חבר ממשלה רשאי לפנות באופן ישיר לוועדת ההיתרים מבלי להיוועץ קודם לכן במבקר, ובכך אין כדי לגרוע מסמכות הוועדה </w:t>
      </w:r>
      <w:r w:rsidRPr="006D7407">
        <w:rPr>
          <w:rFonts w:hint="cs"/>
          <w:rtl/>
        </w:rPr>
        <w:t xml:space="preserve">לקבוע כי לא היה צורך בפנייה לוועדה משום </w:t>
      </w:r>
      <w:r>
        <w:rPr>
          <w:rFonts w:hint="cs"/>
          <w:rtl/>
        </w:rPr>
        <w:t>שאין מדובר</w:t>
      </w:r>
      <w:r w:rsidRPr="006D7407">
        <w:rPr>
          <w:rFonts w:hint="cs"/>
          <w:rtl/>
        </w:rPr>
        <w:t xml:space="preserve"> </w:t>
      </w:r>
      <w:r>
        <w:rPr>
          <w:rFonts w:hint="cs"/>
          <w:rtl/>
        </w:rPr>
        <w:t>ב</w:t>
      </w:r>
      <w:r w:rsidRPr="006D7407">
        <w:rPr>
          <w:rFonts w:hint="cs"/>
          <w:rtl/>
        </w:rPr>
        <w:t>סטייה מכללי אשר (</w:t>
      </w:r>
      <w:r>
        <w:rPr>
          <w:rFonts w:hint="cs"/>
          <w:rtl/>
        </w:rPr>
        <w:t>כך אף נעשה בהחלטות קודמות של הוועדה, וראו לדוגמה</w:t>
      </w:r>
      <w:r w:rsidRPr="006D7407">
        <w:rPr>
          <w:rFonts w:hint="cs"/>
          <w:rtl/>
        </w:rPr>
        <w:t xml:space="preserve">: פסקה 8 להחלטת ועדת ההיתרים 4/2014 </w:t>
      </w:r>
      <w:r w:rsidRPr="006D7407">
        <w:rPr>
          <w:rFonts w:hint="cs"/>
          <w:rtl/>
        </w:rPr>
        <w:lastRenderedPageBreak/>
        <w:t>מיום 9.6.2014 בעניינה של השרה יעל גרמן; פסקה 8 להחלטת ועדת ההיתרים 2/2015 מיום 11.8.2015 בעניינו של השר אופיר אקוניס).</w:t>
      </w:r>
    </w:p>
    <w:p w14:paraId="1CEFD89E" w14:textId="4BDD259D" w:rsidR="007563FF" w:rsidRDefault="007563FF" w:rsidP="007563FF">
      <w:pPr>
        <w:pStyle w:val="Ruller41"/>
        <w:rPr>
          <w:rtl/>
        </w:rPr>
      </w:pPr>
    </w:p>
    <w:p w14:paraId="7DF8CF9F" w14:textId="0FF7B9B1" w:rsidR="007563FF" w:rsidRPr="00E93F55" w:rsidRDefault="007563FF" w:rsidP="0086224F">
      <w:pPr>
        <w:pStyle w:val="Ruller4"/>
        <w:rPr>
          <w:rtl/>
        </w:rPr>
      </w:pPr>
      <w:r w:rsidRPr="00E93F55">
        <w:rPr>
          <w:rFonts w:hint="cs"/>
          <w:rtl/>
        </w:rPr>
        <w:t xml:space="preserve">אחר </w:t>
      </w:r>
      <w:r w:rsidR="003C76C4" w:rsidRPr="00E93F55">
        <w:rPr>
          <w:rFonts w:hint="cs"/>
          <w:rtl/>
        </w:rPr>
        <w:t>ה</w:t>
      </w:r>
      <w:r w:rsidRPr="00E93F55">
        <w:rPr>
          <w:rFonts w:hint="cs"/>
          <w:rtl/>
        </w:rPr>
        <w:t xml:space="preserve">דברים </w:t>
      </w:r>
      <w:r w:rsidR="003C76C4" w:rsidRPr="00E93F55">
        <w:rPr>
          <w:rFonts w:hint="cs"/>
          <w:rtl/>
        </w:rPr>
        <w:t>ה</w:t>
      </w:r>
      <w:r w:rsidRPr="00E93F55">
        <w:rPr>
          <w:rFonts w:hint="cs"/>
          <w:rtl/>
        </w:rPr>
        <w:t>אלה</w:t>
      </w:r>
      <w:r w:rsidR="003F344F" w:rsidRPr="00E93F55">
        <w:rPr>
          <w:rFonts w:hint="cs"/>
          <w:rtl/>
        </w:rPr>
        <w:t>,</w:t>
      </w:r>
      <w:r w:rsidRPr="00E93F55">
        <w:rPr>
          <w:rFonts w:hint="cs"/>
          <w:rtl/>
        </w:rPr>
        <w:t xml:space="preserve"> </w:t>
      </w:r>
      <w:r w:rsidR="00C81F91" w:rsidRPr="00E93F55">
        <w:rPr>
          <w:rFonts w:hint="cs"/>
          <w:rtl/>
        </w:rPr>
        <w:t>מצאתי</w:t>
      </w:r>
      <w:r w:rsidR="0086224F" w:rsidRPr="00E93F55">
        <w:rPr>
          <w:rFonts w:hint="cs"/>
          <w:rtl/>
        </w:rPr>
        <w:t xml:space="preserve"> אף אני</w:t>
      </w:r>
      <w:r w:rsidR="00C81F91" w:rsidRPr="00E93F55">
        <w:rPr>
          <w:rFonts w:hint="cs"/>
          <w:rtl/>
        </w:rPr>
        <w:t xml:space="preserve"> להצטרף להערתו של חברי המשנה לנשיאה </w:t>
      </w:r>
      <w:r w:rsidR="00C81F91" w:rsidRPr="00E93F55">
        <w:rPr>
          <w:rFonts w:ascii="Century" w:hAnsi="Century" w:cs="Miriam" w:hint="cs"/>
          <w:b/>
          <w:spacing w:val="0"/>
          <w:sz w:val="22"/>
          <w:szCs w:val="24"/>
          <w:rtl/>
        </w:rPr>
        <w:t>פוגלמן</w:t>
      </w:r>
      <w:r w:rsidR="00C81F91" w:rsidRPr="00E93F55">
        <w:rPr>
          <w:rFonts w:hint="cs"/>
          <w:rtl/>
        </w:rPr>
        <w:t xml:space="preserve"> (בסעיף 4 לחוות דעתו)</w:t>
      </w:r>
      <w:r w:rsidR="0086224F" w:rsidRPr="00E93F55">
        <w:rPr>
          <w:rFonts w:hint="cs"/>
          <w:rtl/>
        </w:rPr>
        <w:t xml:space="preserve"> לפיה בבואו לבחון פנייה מצד חבר ממשלה בעניין תחולת סעיף 6(3) לכללי אשר, ניתן לצפות כי מבקר המדינה ייוועץ בעניין זה</w:t>
      </w:r>
      <w:r w:rsidR="00C81F91" w:rsidRPr="00E93F55">
        <w:rPr>
          <w:rFonts w:hint="cs"/>
          <w:rtl/>
        </w:rPr>
        <w:t xml:space="preserve"> עם היועצת המשפטית לממשלה</w:t>
      </w:r>
      <w:r w:rsidR="0086224F" w:rsidRPr="00E93F55">
        <w:rPr>
          <w:rFonts w:hint="cs"/>
          <w:rtl/>
        </w:rPr>
        <w:t>.</w:t>
      </w:r>
    </w:p>
    <w:p w14:paraId="2526A0D5" w14:textId="67C7C0EF" w:rsidR="00F125D1" w:rsidRDefault="00F125D1" w:rsidP="00F125D1">
      <w:pPr>
        <w:pStyle w:val="Ruller41"/>
        <w:rPr>
          <w:rFonts w:ascii="Century" w:hAnsi="Century" w:cs="Miriam"/>
          <w:b/>
          <w:spacing w:val="0"/>
          <w:szCs w:val="24"/>
          <w:rtl/>
        </w:rPr>
      </w:pPr>
    </w:p>
    <w:p w14:paraId="55F4C97E" w14:textId="77777777" w:rsidR="00F125D1" w:rsidRDefault="00F125D1" w:rsidP="00F125D1">
      <w:pPr>
        <w:pStyle w:val="Ruller41"/>
        <w:rPr>
          <w:rFonts w:ascii="Century" w:hAnsi="Century" w:cs="Miriam"/>
          <w:b/>
          <w:spacing w:val="0"/>
          <w:szCs w:val="24"/>
          <w:rtl/>
        </w:rPr>
      </w:pPr>
      <w:r>
        <w:rPr>
          <w:rFonts w:ascii="Century" w:hAnsi="Century" w:cs="Miriam" w:hint="cs"/>
          <w:b/>
          <w:spacing w:val="0"/>
          <w:szCs w:val="24"/>
          <w:rtl/>
        </w:rPr>
        <w:t>סוף דבר</w:t>
      </w:r>
    </w:p>
    <w:p w14:paraId="2AE2D6DE" w14:textId="77777777" w:rsidR="00F125D1" w:rsidRDefault="00F125D1" w:rsidP="00F125D1">
      <w:pPr>
        <w:pStyle w:val="Ruller41"/>
        <w:rPr>
          <w:rFonts w:ascii="Century" w:hAnsi="Century" w:cs="Miriam"/>
          <w:b/>
          <w:spacing w:val="0"/>
          <w:szCs w:val="24"/>
          <w:rtl/>
        </w:rPr>
      </w:pPr>
    </w:p>
    <w:p w14:paraId="5B59D24C" w14:textId="74347451" w:rsidR="00F125D1" w:rsidRDefault="00F125D1" w:rsidP="00F125D1">
      <w:pPr>
        <w:pStyle w:val="Ruller4"/>
        <w:rPr>
          <w:rtl/>
        </w:rPr>
      </w:pPr>
      <w:r>
        <w:rPr>
          <w:rFonts w:hint="cs"/>
          <w:rtl/>
        </w:rPr>
        <w:t>לא אחת הערנו כי "</w:t>
      </w:r>
      <w:r w:rsidR="004B2A21">
        <w:rPr>
          <w:rFonts w:hint="cs"/>
          <w:rtl/>
        </w:rPr>
        <w:t xml:space="preserve">[...] </w:t>
      </w:r>
      <w:r w:rsidRPr="00B84CA0">
        <w:rPr>
          <w:rFonts w:ascii="FrankRuehl" w:hAnsi="FrankRuehl"/>
          <w:color w:val="000000"/>
          <w:sz w:val="28"/>
          <w:rtl/>
        </w:rPr>
        <w:t>בשל חשיבותו של קוד אתי לקידום ולביסוס תרבות שלטונית ראויה, הגיעה השעה להשלים את הדיון בכללי האתיקה לממשלה ויפה שעה אחת קודם</w:t>
      </w:r>
      <w:r>
        <w:rPr>
          <w:rFonts w:hint="cs"/>
          <w:rtl/>
        </w:rPr>
        <w:t>" (</w:t>
      </w:r>
      <w:r w:rsidRPr="005449D1">
        <w:rPr>
          <w:rFonts w:hint="eastAsia"/>
          <w:rtl/>
        </w:rPr>
        <w:t>בג</w:t>
      </w:r>
      <w:r w:rsidRPr="005449D1">
        <w:rPr>
          <w:rtl/>
        </w:rPr>
        <w:t>"</w:t>
      </w:r>
      <w:r w:rsidRPr="005449D1">
        <w:rPr>
          <w:rFonts w:hint="eastAsia"/>
          <w:rtl/>
        </w:rPr>
        <w:t>ץ</w:t>
      </w:r>
      <w:r w:rsidRPr="005449D1">
        <w:rPr>
          <w:rtl/>
        </w:rPr>
        <w:t xml:space="preserve"> 3095/15 </w:t>
      </w:r>
      <w:r w:rsidRPr="003B2C22">
        <w:rPr>
          <w:rFonts w:ascii="Century" w:hAnsi="Century" w:cs="Miriam" w:hint="eastAsia"/>
          <w:b/>
          <w:spacing w:val="0"/>
          <w:sz w:val="22"/>
          <w:szCs w:val="24"/>
          <w:rtl/>
        </w:rPr>
        <w:t>התנועה</w:t>
      </w:r>
      <w:r w:rsidRPr="003B2C22">
        <w:rPr>
          <w:rFonts w:ascii="Century" w:hAnsi="Century" w:cs="Miriam"/>
          <w:b/>
          <w:spacing w:val="0"/>
          <w:sz w:val="22"/>
          <w:szCs w:val="24"/>
          <w:rtl/>
        </w:rPr>
        <w:t xml:space="preserve"> </w:t>
      </w:r>
      <w:r w:rsidRPr="003B2C22">
        <w:rPr>
          <w:rFonts w:ascii="Century" w:hAnsi="Century" w:cs="Miriam" w:hint="eastAsia"/>
          <w:b/>
          <w:spacing w:val="0"/>
          <w:sz w:val="22"/>
          <w:szCs w:val="24"/>
          <w:rtl/>
        </w:rPr>
        <w:t>למען</w:t>
      </w:r>
      <w:r w:rsidRPr="003B2C22">
        <w:rPr>
          <w:rFonts w:ascii="Century" w:hAnsi="Century" w:cs="Miriam"/>
          <w:b/>
          <w:spacing w:val="0"/>
          <w:sz w:val="22"/>
          <w:szCs w:val="24"/>
          <w:rtl/>
        </w:rPr>
        <w:t xml:space="preserve"> </w:t>
      </w:r>
      <w:r w:rsidRPr="003B2C22">
        <w:rPr>
          <w:rFonts w:ascii="Century" w:hAnsi="Century" w:cs="Miriam" w:hint="eastAsia"/>
          <w:b/>
          <w:spacing w:val="0"/>
          <w:sz w:val="22"/>
          <w:szCs w:val="24"/>
          <w:rtl/>
        </w:rPr>
        <w:t>איכות</w:t>
      </w:r>
      <w:r w:rsidRPr="003B2C22">
        <w:rPr>
          <w:rFonts w:ascii="Century" w:hAnsi="Century" w:cs="Miriam"/>
          <w:b/>
          <w:spacing w:val="0"/>
          <w:sz w:val="22"/>
          <w:szCs w:val="24"/>
          <w:rtl/>
        </w:rPr>
        <w:t xml:space="preserve"> </w:t>
      </w:r>
      <w:r w:rsidRPr="003B2C22">
        <w:rPr>
          <w:rFonts w:ascii="Century" w:hAnsi="Century" w:cs="Miriam" w:hint="eastAsia"/>
          <w:b/>
          <w:spacing w:val="0"/>
          <w:sz w:val="22"/>
          <w:szCs w:val="24"/>
          <w:rtl/>
        </w:rPr>
        <w:t>השלטון</w:t>
      </w:r>
      <w:r w:rsidRPr="003B2C22">
        <w:rPr>
          <w:rFonts w:ascii="Century" w:hAnsi="Century" w:cs="Miriam"/>
          <w:b/>
          <w:spacing w:val="0"/>
          <w:sz w:val="22"/>
          <w:szCs w:val="24"/>
          <w:rtl/>
        </w:rPr>
        <w:t xml:space="preserve"> </w:t>
      </w:r>
      <w:r w:rsidRPr="003B2C22">
        <w:rPr>
          <w:rFonts w:ascii="Century" w:hAnsi="Century" w:cs="Miriam" w:hint="eastAsia"/>
          <w:b/>
          <w:spacing w:val="0"/>
          <w:sz w:val="22"/>
          <w:szCs w:val="24"/>
          <w:rtl/>
        </w:rPr>
        <w:t>בישראל</w:t>
      </w:r>
      <w:r w:rsidRPr="003B2C22">
        <w:rPr>
          <w:rFonts w:ascii="Century" w:hAnsi="Century" w:cs="Miriam"/>
          <w:b/>
          <w:spacing w:val="0"/>
          <w:sz w:val="22"/>
          <w:szCs w:val="24"/>
          <w:rtl/>
        </w:rPr>
        <w:t xml:space="preserve"> </w:t>
      </w:r>
      <w:r w:rsidRPr="003B2C22">
        <w:rPr>
          <w:rFonts w:ascii="Century" w:hAnsi="Century" w:cs="Miriam" w:hint="eastAsia"/>
          <w:b/>
          <w:spacing w:val="0"/>
          <w:sz w:val="22"/>
          <w:szCs w:val="24"/>
          <w:rtl/>
        </w:rPr>
        <w:t>נ</w:t>
      </w:r>
      <w:r w:rsidRPr="003B2C22">
        <w:rPr>
          <w:rFonts w:ascii="Century" w:hAnsi="Century" w:cs="Miriam"/>
          <w:b/>
          <w:spacing w:val="0"/>
          <w:sz w:val="22"/>
          <w:szCs w:val="24"/>
          <w:rtl/>
        </w:rPr>
        <w:t xml:space="preserve">' </w:t>
      </w:r>
      <w:r w:rsidRPr="003B2C22">
        <w:rPr>
          <w:rFonts w:ascii="Century" w:hAnsi="Century" w:cs="Miriam" w:hint="eastAsia"/>
          <w:b/>
          <w:spacing w:val="0"/>
          <w:sz w:val="22"/>
          <w:szCs w:val="24"/>
          <w:rtl/>
        </w:rPr>
        <w:t>ראש</w:t>
      </w:r>
      <w:r w:rsidRPr="003B2C22">
        <w:rPr>
          <w:rFonts w:ascii="Century" w:hAnsi="Century" w:cs="Miriam"/>
          <w:b/>
          <w:spacing w:val="0"/>
          <w:sz w:val="22"/>
          <w:szCs w:val="24"/>
          <w:rtl/>
        </w:rPr>
        <w:t xml:space="preserve"> </w:t>
      </w:r>
      <w:r w:rsidRPr="003B2C22">
        <w:rPr>
          <w:rFonts w:ascii="Century" w:hAnsi="Century" w:cs="Miriam" w:hint="eastAsia"/>
          <w:b/>
          <w:spacing w:val="0"/>
          <w:sz w:val="22"/>
          <w:szCs w:val="24"/>
          <w:rtl/>
        </w:rPr>
        <w:t>ממשלת</w:t>
      </w:r>
      <w:r w:rsidRPr="003B2C22">
        <w:rPr>
          <w:rFonts w:ascii="Century" w:hAnsi="Century" w:cs="Miriam"/>
          <w:b/>
          <w:spacing w:val="0"/>
          <w:sz w:val="22"/>
          <w:szCs w:val="24"/>
          <w:rtl/>
        </w:rPr>
        <w:t xml:space="preserve"> </w:t>
      </w:r>
      <w:r w:rsidRPr="003B2C22">
        <w:rPr>
          <w:rFonts w:ascii="Century" w:hAnsi="Century" w:cs="Miriam" w:hint="eastAsia"/>
          <w:b/>
          <w:spacing w:val="0"/>
          <w:sz w:val="22"/>
          <w:szCs w:val="24"/>
          <w:rtl/>
        </w:rPr>
        <w:t>ישראל</w:t>
      </w:r>
      <w:r>
        <w:rPr>
          <w:rFonts w:hint="cs"/>
          <w:rtl/>
        </w:rPr>
        <w:t xml:space="preserve">, פסקה 21 לפסק דיני </w:t>
      </w:r>
      <w:r w:rsidRPr="005449D1">
        <w:rPr>
          <w:rtl/>
        </w:rPr>
        <w:t>(13.</w:t>
      </w:r>
      <w:r>
        <w:rPr>
          <w:rFonts w:hint="cs"/>
          <w:rtl/>
        </w:rPr>
        <w:t>8</w:t>
      </w:r>
      <w:r w:rsidRPr="005449D1">
        <w:rPr>
          <w:rtl/>
        </w:rPr>
        <w:t>.2015)</w:t>
      </w:r>
      <w:r>
        <w:rPr>
          <w:rFonts w:hint="cs"/>
          <w:rtl/>
        </w:rPr>
        <w:t xml:space="preserve">; ראו גם: </w:t>
      </w:r>
      <w:r w:rsidRPr="00720B45">
        <w:rPr>
          <w:rFonts w:ascii="Century" w:hAnsi="Century" w:cs="Miriam" w:hint="cs"/>
          <w:b/>
          <w:spacing w:val="0"/>
          <w:sz w:val="22"/>
          <w:szCs w:val="24"/>
          <w:rtl/>
        </w:rPr>
        <w:t>עניין הסדר ניגוד העניינים</w:t>
      </w:r>
      <w:r>
        <w:rPr>
          <w:rFonts w:hint="cs"/>
          <w:rtl/>
        </w:rPr>
        <w:t xml:space="preserve">, בפסקה 5 לחוות דעתו של המשנה לנשיאה </w:t>
      </w:r>
      <w:r w:rsidRPr="00720B45">
        <w:rPr>
          <w:rFonts w:ascii="Century" w:hAnsi="Century" w:cs="Miriam" w:hint="cs"/>
          <w:b/>
          <w:spacing w:val="0"/>
          <w:sz w:val="22"/>
          <w:szCs w:val="24"/>
          <w:rtl/>
        </w:rPr>
        <w:t>ח' מלצר</w:t>
      </w:r>
      <w:r>
        <w:rPr>
          <w:rFonts w:hint="cs"/>
          <w:rtl/>
        </w:rPr>
        <w:t>). ההליכים דנן שבו והמחישו את הצורך באימוץ קוד אתי כזה אשר ידריך את כל הנוגעים ב</w:t>
      </w:r>
      <w:r w:rsidR="00F86A70">
        <w:rPr>
          <w:rFonts w:hint="cs"/>
          <w:rtl/>
        </w:rPr>
        <w:t>דבר, כפי שהציעה בשעתו ועדת שמגר</w:t>
      </w:r>
      <w:r>
        <w:rPr>
          <w:rFonts w:hint="cs"/>
          <w:rtl/>
        </w:rPr>
        <w:t xml:space="preserve"> בדו"ח שהגישה</w:t>
      </w:r>
      <w:r w:rsidR="00F86A70">
        <w:rPr>
          <w:rFonts w:hint="cs"/>
          <w:rtl/>
        </w:rPr>
        <w:t>,</w:t>
      </w:r>
      <w:r>
        <w:rPr>
          <w:rFonts w:hint="cs"/>
          <w:rtl/>
        </w:rPr>
        <w:t xml:space="preserve"> אשר כלל הצעות בהיבטים רבים שאינם מוסדרים כיום בחוק המתנות או בכללי אשר, לרבות ההצעה להסדר ספציפי ביחס למימון הוצאות משפטיות (כלל 58 לכללים המוצעים בדו"ח). </w:t>
      </w:r>
    </w:p>
    <w:p w14:paraId="1FE58AAC" w14:textId="77777777" w:rsidR="00F125D1" w:rsidRDefault="00F125D1" w:rsidP="00F125D1">
      <w:pPr>
        <w:pStyle w:val="Ruller41"/>
        <w:rPr>
          <w:rtl/>
        </w:rPr>
      </w:pPr>
    </w:p>
    <w:p w14:paraId="4405B2E3" w14:textId="511A4662" w:rsidR="00F125D1" w:rsidRDefault="00F125D1" w:rsidP="00F86A70">
      <w:pPr>
        <w:pStyle w:val="Ruller41"/>
        <w:rPr>
          <w:rtl/>
        </w:rPr>
      </w:pPr>
      <w:r>
        <w:rPr>
          <w:rtl/>
        </w:rPr>
        <w:tab/>
      </w:r>
      <w:r>
        <w:rPr>
          <w:rFonts w:hint="cs"/>
          <w:rtl/>
        </w:rPr>
        <w:t xml:space="preserve">עד שיאומץ קוד אתי כזה, מוטב </w:t>
      </w:r>
      <w:r w:rsidR="00F86A70">
        <w:rPr>
          <w:rFonts w:hint="cs"/>
          <w:rtl/>
        </w:rPr>
        <w:t>כי</w:t>
      </w:r>
      <w:r>
        <w:rPr>
          <w:rFonts w:hint="cs"/>
          <w:rtl/>
        </w:rPr>
        <w:t xml:space="preserve"> חברי הממשלה ינקטו משנה זהירות, וככל שמתעורר </w:t>
      </w:r>
      <w:r w:rsidR="00F86A70">
        <w:rPr>
          <w:rFonts w:hint="cs"/>
          <w:rtl/>
        </w:rPr>
        <w:t>אצלם</w:t>
      </w:r>
      <w:r>
        <w:rPr>
          <w:rFonts w:hint="cs"/>
          <w:rtl/>
        </w:rPr>
        <w:t xml:space="preserve"> ספק ביחס לכללים החלים עליהם, ייוועצו בגורמים הרלוונטיים וינקטו בצעדים הנדרשים על מנת להימנע מן ההשלכות הכרוכות בהפרת כללים אלה.  </w:t>
      </w:r>
    </w:p>
    <w:p w14:paraId="29AC9678" w14:textId="77777777" w:rsidR="00F125D1" w:rsidRDefault="00F125D1" w:rsidP="00F125D1">
      <w:pPr>
        <w:pStyle w:val="Ruller41"/>
        <w:rPr>
          <w:rtl/>
        </w:rPr>
      </w:pPr>
    </w:p>
    <w:p w14:paraId="5D153190" w14:textId="3EECB723" w:rsidR="00F125D1" w:rsidRDefault="00F125D1" w:rsidP="0097557B">
      <w:pPr>
        <w:pStyle w:val="Ruller4"/>
        <w:rPr>
          <w:rtl/>
        </w:rPr>
      </w:pPr>
      <w:r>
        <w:rPr>
          <w:rFonts w:hint="cs"/>
          <w:rtl/>
        </w:rPr>
        <w:t>בנסיבות המקרה ש</w:t>
      </w:r>
      <w:r w:rsidR="00F86A70">
        <w:rPr>
          <w:rFonts w:hint="cs"/>
          <w:rtl/>
        </w:rPr>
        <w:t>ל</w:t>
      </w:r>
      <w:r>
        <w:rPr>
          <w:rFonts w:hint="cs"/>
          <w:rtl/>
        </w:rPr>
        <w:t xml:space="preserve">פנינו, אציע לחבריי לקבוע כי ח"כ נתניהו ישיב סכום של 270,000 דולר לעיזבונו של מיליקובסקי, בהתאם לאמור בפסקה </w:t>
      </w:r>
      <w:r w:rsidR="00711FD2">
        <w:rPr>
          <w:rFonts w:hint="cs"/>
          <w:rtl/>
        </w:rPr>
        <w:t>44</w:t>
      </w:r>
      <w:r w:rsidR="0097557B">
        <w:rPr>
          <w:rFonts w:hint="cs"/>
          <w:rtl/>
        </w:rPr>
        <w:t xml:space="preserve"> לעיל.</w:t>
      </w:r>
      <w:r w:rsidR="00F86A70">
        <w:rPr>
          <w:rFonts w:hint="cs"/>
          <w:rtl/>
        </w:rPr>
        <w:t xml:space="preserve"> </w:t>
      </w:r>
      <w:r w:rsidR="0097557B">
        <w:rPr>
          <w:rFonts w:hint="cs"/>
          <w:rtl/>
        </w:rPr>
        <w:t>עוד</w:t>
      </w:r>
      <w:r>
        <w:rPr>
          <w:rFonts w:hint="cs"/>
          <w:rtl/>
        </w:rPr>
        <w:t xml:space="preserve"> אציע</w:t>
      </w:r>
      <w:r w:rsidR="00C0066C">
        <w:rPr>
          <w:rFonts w:hint="cs"/>
          <w:rtl/>
        </w:rPr>
        <w:t xml:space="preserve"> </w:t>
      </w:r>
      <w:r w:rsidR="00F86A70">
        <w:rPr>
          <w:rFonts w:hint="cs"/>
          <w:rtl/>
        </w:rPr>
        <w:t xml:space="preserve">כי </w:t>
      </w:r>
      <w:r w:rsidR="0097557B">
        <w:rPr>
          <w:rFonts w:hint="cs"/>
          <w:rtl/>
        </w:rPr>
        <w:t xml:space="preserve">נורה שביצועו של </w:t>
      </w:r>
      <w:r>
        <w:rPr>
          <w:rFonts w:hint="cs"/>
          <w:rtl/>
        </w:rPr>
        <w:t>הסכם ההלוואה שנכרת בין ח"כ נתניהו לפרטרידג'</w:t>
      </w:r>
      <w:r w:rsidR="00C0066C">
        <w:rPr>
          <w:rFonts w:hint="cs"/>
          <w:rtl/>
        </w:rPr>
        <w:t xml:space="preserve"> </w:t>
      </w:r>
      <w:r w:rsidR="0097557B">
        <w:rPr>
          <w:rFonts w:hint="cs"/>
          <w:rtl/>
        </w:rPr>
        <w:t>יהא כפוף</w:t>
      </w:r>
      <w:r>
        <w:rPr>
          <w:rFonts w:hint="cs"/>
          <w:rtl/>
        </w:rPr>
        <w:t xml:space="preserve"> להמשך פיקוח מבקר המדינה על החזר ההלוואה, כאמור בפסקה </w:t>
      </w:r>
      <w:r w:rsidR="00711FD2">
        <w:rPr>
          <w:rFonts w:hint="cs"/>
          <w:rtl/>
        </w:rPr>
        <w:t>54</w:t>
      </w:r>
      <w:r>
        <w:rPr>
          <w:rFonts w:hint="cs"/>
          <w:rtl/>
        </w:rPr>
        <w:t xml:space="preserve"> לעיל. </w:t>
      </w:r>
      <w:r w:rsidR="0097557B">
        <w:rPr>
          <w:rFonts w:hint="cs"/>
          <w:rtl/>
        </w:rPr>
        <w:t>לבסוף אציע כי נוכח התוצאה שאליה הגענו כל צד ישא בהוצאותיו.</w:t>
      </w:r>
    </w:p>
    <w:p w14:paraId="4CC4AA17" w14:textId="69D64C08" w:rsidR="003F1F97" w:rsidRDefault="003F1F97" w:rsidP="00F125D1">
      <w:pPr>
        <w:rPr>
          <w:szCs w:val="20"/>
          <w:rtl/>
        </w:rPr>
      </w:pPr>
    </w:p>
    <w:p w14:paraId="5D2FB9FA" w14:textId="70743A3D" w:rsidR="00CE3E58" w:rsidRDefault="00CE3E58" w:rsidP="00F125D1">
      <w:pPr>
        <w:rPr>
          <w:szCs w:val="20"/>
          <w:rtl/>
        </w:rPr>
      </w:pPr>
    </w:p>
    <w:p w14:paraId="1C508D7B" w14:textId="4CC92B0D" w:rsidR="001821FB" w:rsidRDefault="001821FB" w:rsidP="00F125D1">
      <w:pPr>
        <w:rPr>
          <w:szCs w:val="20"/>
          <w:rtl/>
        </w:rPr>
      </w:pPr>
    </w:p>
    <w:p w14:paraId="534213EF" w14:textId="3DE99560" w:rsidR="00CE3E58" w:rsidRDefault="00CE3E58" w:rsidP="00F125D1">
      <w:pPr>
        <w:rPr>
          <w:szCs w:val="20"/>
          <w:rtl/>
        </w:rPr>
      </w:pPr>
    </w:p>
    <w:p w14:paraId="4514632F" w14:textId="77777777" w:rsidR="001821FB" w:rsidRDefault="001821FB" w:rsidP="00F125D1">
      <w:pPr>
        <w:rPr>
          <w:szCs w:val="20"/>
          <w:rtl/>
        </w:rPr>
      </w:pPr>
    </w:p>
    <w:tbl>
      <w:tblPr>
        <w:bidiVisual/>
        <w:tblW w:w="8363" w:type="dxa"/>
        <w:tblLook w:val="01E0" w:firstRow="1" w:lastRow="1" w:firstColumn="1" w:lastColumn="1" w:noHBand="0" w:noVBand="0"/>
      </w:tblPr>
      <w:tblGrid>
        <w:gridCol w:w="2782"/>
        <w:gridCol w:w="2797"/>
        <w:gridCol w:w="2784"/>
      </w:tblGrid>
      <w:tr w:rsidR="00CE3E58" w:rsidRPr="0097533F" w14:paraId="6394801D" w14:textId="77777777" w:rsidTr="005521C7">
        <w:tc>
          <w:tcPr>
            <w:tcW w:w="2842" w:type="dxa"/>
            <w:shd w:val="clear" w:color="auto" w:fill="auto"/>
          </w:tcPr>
          <w:p w14:paraId="1ED75426" w14:textId="77777777" w:rsidR="00CE3E58" w:rsidRPr="0097533F" w:rsidRDefault="00CE3E58" w:rsidP="005521C7">
            <w:pPr>
              <w:pStyle w:val="Ruller41"/>
              <w:rPr>
                <w:color w:val="FFFFFF" w:themeColor="background1"/>
                <w:rtl/>
              </w:rPr>
            </w:pPr>
            <w:r w:rsidRPr="0097533F">
              <w:rPr>
                <w:color w:val="FFFFFF" w:themeColor="background1"/>
                <w:rtl/>
              </w:rPr>
              <w:t>ה נ ש י א ה</w:t>
            </w:r>
          </w:p>
        </w:tc>
        <w:tc>
          <w:tcPr>
            <w:tcW w:w="2843" w:type="dxa"/>
            <w:shd w:val="clear" w:color="auto" w:fill="auto"/>
          </w:tcPr>
          <w:p w14:paraId="45C3F472" w14:textId="77777777" w:rsidR="00CE3E58" w:rsidRPr="0097533F" w:rsidRDefault="00CE3E58" w:rsidP="005521C7">
            <w:pPr>
              <w:pStyle w:val="Ruller41"/>
              <w:jc w:val="center"/>
              <w:rPr>
                <w:color w:val="FFFFFF" w:themeColor="background1"/>
                <w:rtl/>
              </w:rPr>
            </w:pPr>
            <w:r w:rsidRPr="0097533F">
              <w:rPr>
                <w:color w:val="FFFFFF" w:themeColor="background1"/>
                <w:rtl/>
              </w:rPr>
              <w:t>המשנה לנשיאה</w:t>
            </w:r>
          </w:p>
        </w:tc>
        <w:tc>
          <w:tcPr>
            <w:tcW w:w="2843" w:type="dxa"/>
            <w:shd w:val="clear" w:color="auto" w:fill="auto"/>
          </w:tcPr>
          <w:p w14:paraId="09858D90" w14:textId="43851D72" w:rsidR="00CE3E58" w:rsidRPr="0097533F" w:rsidRDefault="00CE3E58" w:rsidP="005521C7">
            <w:pPr>
              <w:pStyle w:val="Ruller41"/>
              <w:jc w:val="center"/>
              <w:rPr>
                <w:color w:val="FFFFFF" w:themeColor="background1"/>
                <w:rtl/>
              </w:rPr>
            </w:pPr>
            <w:r w:rsidRPr="00CE3E58">
              <w:rPr>
                <w:rFonts w:ascii="FrankRuehl" w:hAnsi="FrankRuehl"/>
                <w:sz w:val="28"/>
                <w:rtl/>
              </w:rPr>
              <w:t> ה נ ש י א ה</w:t>
            </w:r>
            <w:r w:rsidRPr="0097533F">
              <w:rPr>
                <w:color w:val="FFFFFF" w:themeColor="background1"/>
                <w:rtl/>
              </w:rPr>
              <w:t xml:space="preserve"> ש ו פ ט ת</w:t>
            </w:r>
          </w:p>
        </w:tc>
      </w:tr>
    </w:tbl>
    <w:p w14:paraId="548A2028" w14:textId="5105EE6F" w:rsidR="00CE3E58" w:rsidRDefault="00CE3E58" w:rsidP="00F125D1">
      <w:pPr>
        <w:rPr>
          <w:szCs w:val="20"/>
          <w:rtl/>
        </w:rPr>
      </w:pPr>
    </w:p>
    <w:p w14:paraId="6B98EA12" w14:textId="09CB6467" w:rsidR="00CE3E58" w:rsidRDefault="00CE3E58" w:rsidP="00F125D1">
      <w:pPr>
        <w:rPr>
          <w:szCs w:val="20"/>
          <w:rtl/>
        </w:rPr>
      </w:pPr>
    </w:p>
    <w:p w14:paraId="5AD76C67" w14:textId="0EDE9C1C" w:rsidR="00CE3E58" w:rsidRDefault="00CE3E58" w:rsidP="00F125D1">
      <w:pPr>
        <w:rPr>
          <w:szCs w:val="20"/>
          <w:rtl/>
        </w:rPr>
      </w:pPr>
    </w:p>
    <w:p w14:paraId="3CB0F9E3" w14:textId="2065FF2E" w:rsidR="00CE3E58" w:rsidRDefault="00CE3E58" w:rsidP="00F125D1">
      <w:pPr>
        <w:rPr>
          <w:szCs w:val="20"/>
          <w:rtl/>
        </w:rPr>
      </w:pPr>
    </w:p>
    <w:p w14:paraId="3C88CE10" w14:textId="54F37228" w:rsidR="00CE3E58" w:rsidRDefault="00CE3E58" w:rsidP="00F125D1">
      <w:pPr>
        <w:rPr>
          <w:szCs w:val="20"/>
          <w:rtl/>
        </w:rPr>
      </w:pPr>
    </w:p>
    <w:p w14:paraId="1A6F4B70" w14:textId="7F01CAA1" w:rsidR="00CE3E58" w:rsidRDefault="00CE3E58" w:rsidP="00F125D1">
      <w:pPr>
        <w:rPr>
          <w:szCs w:val="20"/>
          <w:rtl/>
        </w:rPr>
      </w:pPr>
    </w:p>
    <w:p w14:paraId="5F58D78F" w14:textId="77777777" w:rsidR="00CE3E58" w:rsidRPr="00CE3E58" w:rsidRDefault="00CE3E58" w:rsidP="00CE3E58">
      <w:pPr>
        <w:pStyle w:val="BODYVERDICT"/>
        <w:rPr>
          <w:rFonts w:ascii="Century" w:hAnsi="Century" w:cs="Miriam"/>
          <w:b/>
          <w:spacing w:val="0"/>
          <w:szCs w:val="24"/>
          <w:rtl/>
        </w:rPr>
      </w:pPr>
      <w:r w:rsidRPr="00CE3E58">
        <w:rPr>
          <w:rFonts w:ascii="Century" w:hAnsi="Century" w:cs="Miriam"/>
          <w:b/>
          <w:spacing w:val="0"/>
          <w:szCs w:val="24"/>
          <w:u w:val="single"/>
          <w:rtl/>
        </w:rPr>
        <w:t>המשנה לנשיאה ע' פוגלמן</w:t>
      </w:r>
      <w:r w:rsidRPr="00CE3E58">
        <w:rPr>
          <w:rFonts w:ascii="Century" w:hAnsi="Century" w:cs="Miriam"/>
          <w:b/>
          <w:spacing w:val="0"/>
          <w:szCs w:val="24"/>
          <w:rtl/>
        </w:rPr>
        <w:t>:</w:t>
      </w:r>
    </w:p>
    <w:p w14:paraId="6E52804F" w14:textId="77777777" w:rsidR="00CE3E58" w:rsidRPr="00CE3E58" w:rsidRDefault="00CE3E58" w:rsidP="00CE3E58">
      <w:pPr>
        <w:pStyle w:val="Ruller41"/>
        <w:rPr>
          <w:rFonts w:ascii="Century" w:hAnsi="Century"/>
          <w:rtl/>
        </w:rPr>
      </w:pPr>
    </w:p>
    <w:p w14:paraId="6E113E19" w14:textId="77777777" w:rsidR="00CE3E58" w:rsidRPr="00CE3E58" w:rsidRDefault="00CE3E58" w:rsidP="00CE3E58">
      <w:pPr>
        <w:pStyle w:val="Ruller4"/>
        <w:numPr>
          <w:ilvl w:val="0"/>
          <w:numId w:val="0"/>
        </w:numPr>
        <w:rPr>
          <w:rFonts w:ascii="Century" w:hAnsi="Century"/>
          <w:sz w:val="22"/>
          <w:rtl/>
        </w:rPr>
      </w:pPr>
      <w:r w:rsidRPr="00CE3E58">
        <w:rPr>
          <w:rtl/>
        </w:rPr>
        <w:tab/>
      </w:r>
      <w:r w:rsidRPr="00CE3E58">
        <w:rPr>
          <w:rFonts w:hint="cs"/>
          <w:rtl/>
        </w:rPr>
        <w:t xml:space="preserve">אני מצטרף בהסכמה לחוות דעתה המקיפה של חברתי הנשיאה </w:t>
      </w:r>
      <w:r w:rsidRPr="00CE3E58">
        <w:rPr>
          <w:rFonts w:ascii="Century" w:hAnsi="Century" w:cs="Miriam" w:hint="cs"/>
          <w:b/>
          <w:spacing w:val="0"/>
          <w:sz w:val="22"/>
          <w:szCs w:val="24"/>
          <w:rtl/>
        </w:rPr>
        <w:t>א' חיות</w:t>
      </w:r>
      <w:r w:rsidRPr="00CE3E58">
        <w:rPr>
          <w:rFonts w:ascii="Century" w:hAnsi="Century" w:hint="cs"/>
          <w:sz w:val="22"/>
          <w:rtl/>
        </w:rPr>
        <w:t>, בנתון להערות הקצרות שלהלן.</w:t>
      </w:r>
    </w:p>
    <w:p w14:paraId="26883866" w14:textId="77777777" w:rsidR="00CE3E58" w:rsidRPr="00CE3E58" w:rsidRDefault="00CE3E58" w:rsidP="00CE3E58">
      <w:pPr>
        <w:pStyle w:val="Ruller41"/>
        <w:rPr>
          <w:rtl/>
        </w:rPr>
      </w:pPr>
    </w:p>
    <w:p w14:paraId="52E86982" w14:textId="4DAB6FDD" w:rsidR="00CE3E58" w:rsidRPr="00CE3E58" w:rsidRDefault="00CE3E58" w:rsidP="00CE3E58">
      <w:pPr>
        <w:pStyle w:val="Ruller4"/>
        <w:numPr>
          <w:ilvl w:val="0"/>
          <w:numId w:val="39"/>
        </w:numPr>
        <w:rPr>
          <w:rFonts w:ascii="FrankRuehl" w:hAnsi="FrankRuehl"/>
          <w:sz w:val="28"/>
          <w:rtl/>
        </w:rPr>
      </w:pPr>
      <w:r w:rsidRPr="00CE3E58">
        <w:rPr>
          <w:rFonts w:hint="cs"/>
          <w:rtl/>
        </w:rPr>
        <w:t xml:space="preserve">ראשית, בכל הנוגע למענק שקיבל חבר הכנסת נתניהו (להלן: </w:t>
      </w:r>
      <w:r w:rsidRPr="00CE3E58">
        <w:rPr>
          <w:rFonts w:ascii="Century" w:hAnsi="Century" w:cs="Miriam" w:hint="cs"/>
          <w:b/>
          <w:spacing w:val="0"/>
          <w:sz w:val="22"/>
          <w:szCs w:val="24"/>
          <w:rtl/>
        </w:rPr>
        <w:t>נתניהו</w:t>
      </w:r>
      <w:r w:rsidRPr="00CE3E58">
        <w:rPr>
          <w:rFonts w:hint="cs"/>
          <w:rtl/>
        </w:rPr>
        <w:t xml:space="preserve">) מבן דודו נתן מיליקובסקי ז"ל (להלן: </w:t>
      </w:r>
      <w:r w:rsidRPr="00CE3E58">
        <w:rPr>
          <w:rFonts w:ascii="Century" w:hAnsi="Century" w:cs="Miriam" w:hint="cs"/>
          <w:b/>
          <w:spacing w:val="0"/>
          <w:sz w:val="22"/>
          <w:szCs w:val="24"/>
          <w:rtl/>
        </w:rPr>
        <w:t>מיליקובסקי</w:t>
      </w:r>
      <w:r w:rsidRPr="00CE3E58">
        <w:rPr>
          <w:rFonts w:hint="cs"/>
          <w:rtl/>
        </w:rPr>
        <w:t xml:space="preserve">). המחלוקת בין הצדדים בכל הנוגע לתחולת </w:t>
      </w:r>
      <w:r w:rsidRPr="00CE3E58">
        <w:rPr>
          <w:rFonts w:hint="eastAsia"/>
          <w:rtl/>
        </w:rPr>
        <w:t>חוק</w:t>
      </w:r>
      <w:r w:rsidRPr="00CE3E58">
        <w:rPr>
          <w:rtl/>
        </w:rPr>
        <w:t xml:space="preserve"> </w:t>
      </w:r>
      <w:r w:rsidRPr="00CE3E58">
        <w:rPr>
          <w:rFonts w:hint="eastAsia"/>
          <w:rtl/>
        </w:rPr>
        <w:t>שירות</w:t>
      </w:r>
      <w:r w:rsidRPr="00CE3E58">
        <w:rPr>
          <w:rtl/>
        </w:rPr>
        <w:t xml:space="preserve"> </w:t>
      </w:r>
      <w:r w:rsidRPr="00CE3E58">
        <w:rPr>
          <w:rFonts w:hint="eastAsia"/>
          <w:rtl/>
        </w:rPr>
        <w:t>הציבור</w:t>
      </w:r>
      <w:r w:rsidRPr="00CE3E58">
        <w:rPr>
          <w:rtl/>
        </w:rPr>
        <w:t xml:space="preserve"> (</w:t>
      </w:r>
      <w:r w:rsidRPr="00CE3E58">
        <w:rPr>
          <w:rFonts w:hint="eastAsia"/>
          <w:rtl/>
        </w:rPr>
        <w:t>מתנות</w:t>
      </w:r>
      <w:r w:rsidRPr="00CE3E58">
        <w:rPr>
          <w:rtl/>
        </w:rPr>
        <w:t xml:space="preserve">), </w:t>
      </w:r>
      <w:r w:rsidRPr="00CE3E58">
        <w:rPr>
          <w:rFonts w:hint="cs"/>
          <w:rtl/>
        </w:rPr>
        <w:t>ה</w:t>
      </w:r>
      <w:r w:rsidRPr="00CE3E58">
        <w:rPr>
          <w:rFonts w:hint="eastAsia"/>
          <w:rtl/>
        </w:rPr>
        <w:t>תש</w:t>
      </w:r>
      <w:r w:rsidRPr="00CE3E58">
        <w:rPr>
          <w:rtl/>
        </w:rPr>
        <w:t>"</w:t>
      </w:r>
      <w:r w:rsidRPr="00CE3E58">
        <w:rPr>
          <w:rFonts w:hint="eastAsia"/>
          <w:rtl/>
        </w:rPr>
        <w:t>ם</w:t>
      </w:r>
      <w:r w:rsidRPr="00CE3E58">
        <w:rPr>
          <w:rtl/>
        </w:rPr>
        <w:t>-1979</w:t>
      </w:r>
      <w:r w:rsidRPr="00CE3E58">
        <w:rPr>
          <w:rFonts w:hint="cs"/>
          <w:rtl/>
        </w:rPr>
        <w:t xml:space="preserve"> (להלן: </w:t>
      </w:r>
      <w:r w:rsidRPr="00CE3E58">
        <w:rPr>
          <w:rFonts w:ascii="Century" w:hAnsi="Century" w:cs="Miriam" w:hint="cs"/>
          <w:b/>
          <w:spacing w:val="0"/>
          <w:sz w:val="22"/>
          <w:szCs w:val="24"/>
          <w:rtl/>
        </w:rPr>
        <w:t>חוק המתנות</w:t>
      </w:r>
      <w:r w:rsidRPr="00CE3E58">
        <w:rPr>
          <w:rFonts w:hint="cs"/>
          <w:rtl/>
        </w:rPr>
        <w:t xml:space="preserve">) עניינה בשאלה אם המענק בסך 300,000 דולר ניתן לנתניהו "באשר הוא עובד ציבור" (להלן: </w:t>
      </w:r>
      <w:r w:rsidRPr="00CE3E58">
        <w:rPr>
          <w:rFonts w:ascii="Century" w:hAnsi="Century" w:cs="Miriam" w:hint="cs"/>
          <w:b/>
          <w:spacing w:val="0"/>
          <w:sz w:val="22"/>
          <w:szCs w:val="24"/>
          <w:rtl/>
        </w:rPr>
        <w:t>המענק</w:t>
      </w:r>
      <w:r w:rsidRPr="00CE3E58">
        <w:rPr>
          <w:rFonts w:hint="cs"/>
          <w:rtl/>
        </w:rPr>
        <w:t xml:space="preserve">). עמדת היועצת המשפטית שהובאה לפנינו צידדה בקיומה של חזקה שלפיה מתנות שניתנות לחברי ממשלה ניתנות להם באשר הם עובדי ציבור. חברתי הנשיאה מציינת כי לחזקה מעין זו אין עיגון בהוראות חוק המתנות או בפסיקת בית משפט זה ביחס לחוק האמור. </w:t>
      </w:r>
      <w:r w:rsidRPr="00CE3E58">
        <w:rPr>
          <w:rFonts w:hint="eastAsia"/>
          <w:rtl/>
        </w:rPr>
        <w:t>כמתואר</w:t>
      </w:r>
      <w:r w:rsidRPr="00CE3E58">
        <w:rPr>
          <w:rtl/>
        </w:rPr>
        <w:t xml:space="preserve"> </w:t>
      </w:r>
      <w:r w:rsidRPr="00CE3E58">
        <w:rPr>
          <w:rFonts w:hint="eastAsia"/>
          <w:rtl/>
        </w:rPr>
        <w:t>בחוות</w:t>
      </w:r>
      <w:r w:rsidRPr="00CE3E58">
        <w:rPr>
          <w:rtl/>
        </w:rPr>
        <w:t xml:space="preserve"> </w:t>
      </w:r>
      <w:r w:rsidRPr="00CE3E58">
        <w:rPr>
          <w:rFonts w:hint="eastAsia"/>
          <w:rtl/>
        </w:rPr>
        <w:t>דעתה</w:t>
      </w:r>
      <w:r w:rsidRPr="00CE3E58">
        <w:rPr>
          <w:rtl/>
        </w:rPr>
        <w:t>,</w:t>
      </w:r>
      <w:r w:rsidRPr="00CE3E58">
        <w:rPr>
          <w:rFonts w:hint="cs"/>
          <w:rtl/>
        </w:rPr>
        <w:t xml:space="preserve"> במסגרת פסק דין </w:t>
      </w:r>
      <w:r w:rsidRPr="00CE3E58">
        <w:rPr>
          <w:rFonts w:ascii="Century" w:hAnsi="Century" w:cs="Miriam" w:hint="eastAsia"/>
          <w:b/>
          <w:spacing w:val="0"/>
          <w:sz w:val="22"/>
          <w:szCs w:val="24"/>
          <w:rtl/>
        </w:rPr>
        <w:t>סויסא</w:t>
      </w:r>
      <w:r w:rsidRPr="00CE3E58">
        <w:rPr>
          <w:rtl/>
        </w:rPr>
        <w:t xml:space="preserve"> </w:t>
      </w:r>
      <w:r w:rsidRPr="00CE3E58">
        <w:rPr>
          <w:rFonts w:hint="cs"/>
          <w:rtl/>
        </w:rPr>
        <w:t xml:space="preserve">הוחלט כי כדי לקבוע אם מתנה ניתנה לעובד הציבור </w:t>
      </w:r>
      <w:r w:rsidRPr="00CE3E58">
        <w:rPr>
          <w:rtl/>
        </w:rPr>
        <w:t>"</w:t>
      </w:r>
      <w:r w:rsidRPr="00CE3E58">
        <w:rPr>
          <w:rFonts w:hint="eastAsia"/>
          <w:rtl/>
        </w:rPr>
        <w:t>באשר</w:t>
      </w:r>
      <w:r w:rsidRPr="00CE3E58">
        <w:rPr>
          <w:rtl/>
        </w:rPr>
        <w:t xml:space="preserve"> </w:t>
      </w:r>
      <w:r w:rsidRPr="00CE3E58">
        <w:rPr>
          <w:rFonts w:hint="eastAsia"/>
          <w:rtl/>
        </w:rPr>
        <w:t>הוא</w:t>
      </w:r>
      <w:r w:rsidRPr="00CE3E58">
        <w:rPr>
          <w:rtl/>
        </w:rPr>
        <w:t xml:space="preserve"> </w:t>
      </w:r>
      <w:r w:rsidRPr="00CE3E58">
        <w:rPr>
          <w:rFonts w:hint="eastAsia"/>
          <w:rtl/>
        </w:rPr>
        <w:t>עובד</w:t>
      </w:r>
      <w:r w:rsidRPr="00CE3E58">
        <w:rPr>
          <w:rtl/>
        </w:rPr>
        <w:t xml:space="preserve"> </w:t>
      </w:r>
      <w:r w:rsidRPr="00CE3E58">
        <w:rPr>
          <w:rFonts w:hint="eastAsia"/>
          <w:rtl/>
        </w:rPr>
        <w:t>ציבור</w:t>
      </w:r>
      <w:r w:rsidRPr="00CE3E58">
        <w:rPr>
          <w:rtl/>
        </w:rPr>
        <w:t xml:space="preserve">" </w:t>
      </w:r>
      <w:r w:rsidRPr="00CE3E58">
        <w:rPr>
          <w:rFonts w:ascii="Century" w:hAnsi="Century" w:hint="eastAsia"/>
          <w:sz w:val="22"/>
          <w:rtl/>
        </w:rPr>
        <w:t>יש</w:t>
      </w:r>
      <w:r w:rsidRPr="00CE3E58">
        <w:rPr>
          <w:rFonts w:ascii="Century" w:hAnsi="Century"/>
          <w:sz w:val="22"/>
          <w:rtl/>
        </w:rPr>
        <w:t xml:space="preserve"> </w:t>
      </w:r>
      <w:r w:rsidRPr="00CE3E58">
        <w:rPr>
          <w:rFonts w:ascii="Century" w:hAnsi="Century" w:hint="eastAsia"/>
          <w:sz w:val="22"/>
          <w:rtl/>
        </w:rPr>
        <w:t>לבחון</w:t>
      </w:r>
      <w:r w:rsidRPr="00CE3E58">
        <w:rPr>
          <w:rFonts w:ascii="Century" w:hAnsi="Century"/>
          <w:sz w:val="22"/>
          <w:rtl/>
        </w:rPr>
        <w:t xml:space="preserve"> </w:t>
      </w:r>
      <w:r w:rsidRPr="00CE3E58">
        <w:rPr>
          <w:rFonts w:ascii="Century" w:hAnsi="Century" w:hint="eastAsia"/>
          <w:sz w:val="22"/>
          <w:rtl/>
        </w:rPr>
        <w:t>אם</w:t>
      </w:r>
      <w:r w:rsidRPr="00CE3E58">
        <w:rPr>
          <w:rFonts w:ascii="Century" w:hAnsi="Century"/>
          <w:sz w:val="22"/>
          <w:rtl/>
        </w:rPr>
        <w:t xml:space="preserve"> </w:t>
      </w:r>
      <w:r w:rsidRPr="00CE3E58">
        <w:rPr>
          <w:rFonts w:ascii="Century" w:hAnsi="Century" w:hint="eastAsia"/>
          <w:sz w:val="22"/>
          <w:rtl/>
        </w:rPr>
        <w:t>הטעם</w:t>
      </w:r>
      <w:r w:rsidRPr="00CE3E58">
        <w:rPr>
          <w:rFonts w:ascii="Century" w:hAnsi="Century"/>
          <w:sz w:val="22"/>
          <w:rtl/>
        </w:rPr>
        <w:t xml:space="preserve"> </w:t>
      </w:r>
      <w:r w:rsidRPr="00CE3E58">
        <w:rPr>
          <w:rFonts w:ascii="Century" w:hAnsi="Century" w:hint="eastAsia"/>
          <w:sz w:val="22"/>
          <w:rtl/>
        </w:rPr>
        <w:t>למתן</w:t>
      </w:r>
      <w:r w:rsidRPr="00CE3E58">
        <w:rPr>
          <w:rFonts w:ascii="Century" w:hAnsi="Century"/>
          <w:sz w:val="22"/>
          <w:rtl/>
        </w:rPr>
        <w:t xml:space="preserve"> </w:t>
      </w:r>
      <w:r w:rsidRPr="00CE3E58">
        <w:rPr>
          <w:rFonts w:ascii="Century" w:hAnsi="Century" w:hint="eastAsia"/>
          <w:sz w:val="22"/>
          <w:rtl/>
        </w:rPr>
        <w:t>המתנה</w:t>
      </w:r>
      <w:r w:rsidRPr="00CE3E58">
        <w:rPr>
          <w:rFonts w:ascii="Century" w:hAnsi="Century"/>
          <w:sz w:val="22"/>
          <w:rtl/>
        </w:rPr>
        <w:t xml:space="preserve"> </w:t>
      </w:r>
      <w:r w:rsidRPr="00CE3E58">
        <w:rPr>
          <w:rFonts w:ascii="Century" w:hAnsi="Century" w:hint="eastAsia"/>
          <w:sz w:val="22"/>
          <w:rtl/>
        </w:rPr>
        <w:t>הוא</w:t>
      </w:r>
      <w:r w:rsidRPr="00CE3E58">
        <w:rPr>
          <w:rFonts w:ascii="Century" w:hAnsi="Century"/>
          <w:sz w:val="22"/>
          <w:rtl/>
        </w:rPr>
        <w:t xml:space="preserve"> </w:t>
      </w:r>
      <w:r w:rsidRPr="00CE3E58">
        <w:rPr>
          <w:rFonts w:ascii="Century" w:hAnsi="Century" w:hint="eastAsia"/>
          <w:sz w:val="22"/>
          <w:rtl/>
        </w:rPr>
        <w:t>הטעם</w:t>
      </w:r>
      <w:r w:rsidRPr="00CE3E58">
        <w:rPr>
          <w:rFonts w:ascii="Century" w:hAnsi="Century"/>
          <w:sz w:val="22"/>
          <w:rtl/>
        </w:rPr>
        <w:t xml:space="preserve"> </w:t>
      </w:r>
      <w:r w:rsidRPr="00CE3E58">
        <w:rPr>
          <w:rFonts w:ascii="Century" w:hAnsi="Century" w:hint="eastAsia"/>
          <w:sz w:val="22"/>
          <w:rtl/>
        </w:rPr>
        <w:t>היחיד</w:t>
      </w:r>
      <w:r w:rsidRPr="00CE3E58">
        <w:rPr>
          <w:rFonts w:ascii="Century" w:hAnsi="Century"/>
          <w:sz w:val="22"/>
          <w:rtl/>
        </w:rPr>
        <w:t xml:space="preserve"> </w:t>
      </w:r>
      <w:r w:rsidRPr="00CE3E58">
        <w:rPr>
          <w:rFonts w:ascii="Century" w:hAnsi="Century" w:hint="eastAsia"/>
          <w:sz w:val="22"/>
          <w:rtl/>
        </w:rPr>
        <w:t>או</w:t>
      </w:r>
      <w:r w:rsidRPr="00CE3E58">
        <w:rPr>
          <w:rFonts w:ascii="Century" w:hAnsi="Century"/>
          <w:sz w:val="22"/>
          <w:rtl/>
        </w:rPr>
        <w:t xml:space="preserve"> </w:t>
      </w:r>
      <w:r w:rsidRPr="00CE3E58">
        <w:rPr>
          <w:rFonts w:ascii="Century" w:hAnsi="Century" w:hint="eastAsia"/>
          <w:sz w:val="22"/>
          <w:rtl/>
        </w:rPr>
        <w:t>הדומיננטי</w:t>
      </w:r>
      <w:r w:rsidRPr="00CE3E58">
        <w:rPr>
          <w:rFonts w:ascii="Century" w:hAnsi="Century"/>
          <w:sz w:val="22"/>
          <w:rtl/>
        </w:rPr>
        <w:t xml:space="preserve"> </w:t>
      </w:r>
      <w:r w:rsidRPr="00CE3E58">
        <w:rPr>
          <w:rFonts w:ascii="Century" w:hAnsi="Century" w:hint="eastAsia"/>
          <w:sz w:val="22"/>
          <w:rtl/>
        </w:rPr>
        <w:t>להענקתה</w:t>
      </w:r>
      <w:r w:rsidRPr="00CE3E58">
        <w:rPr>
          <w:rFonts w:ascii="Century" w:hAnsi="Century" w:hint="cs"/>
          <w:sz w:val="22"/>
          <w:rtl/>
        </w:rPr>
        <w:t xml:space="preserve"> (בג"ץ 7074/93 </w:t>
      </w:r>
      <w:r w:rsidRPr="00CE3E58">
        <w:rPr>
          <w:rFonts w:ascii="Century" w:hAnsi="Century" w:cs="Miriam" w:hint="cs"/>
          <w:b/>
          <w:spacing w:val="0"/>
          <w:sz w:val="22"/>
          <w:szCs w:val="24"/>
          <w:rtl/>
        </w:rPr>
        <w:t>סויסא נ' היועץ המשפטי לממשלה</w:t>
      </w:r>
      <w:r w:rsidRPr="00CE3E58">
        <w:rPr>
          <w:rFonts w:ascii="Century" w:hAnsi="Century" w:hint="cs"/>
          <w:sz w:val="22"/>
          <w:rtl/>
        </w:rPr>
        <w:t xml:space="preserve">, פ"ד מח(2) 749, 791 (1994) (להלן: עניין </w:t>
      </w:r>
      <w:r w:rsidRPr="00CE3E58">
        <w:rPr>
          <w:rFonts w:ascii="Century" w:hAnsi="Century" w:cs="Miriam" w:hint="cs"/>
          <w:b/>
          <w:spacing w:val="0"/>
          <w:sz w:val="22"/>
          <w:szCs w:val="24"/>
          <w:rtl/>
        </w:rPr>
        <w:t>סויסא</w:t>
      </w:r>
      <w:r w:rsidRPr="00CE3E58">
        <w:rPr>
          <w:rFonts w:ascii="Century" w:hAnsi="Century" w:hint="cs"/>
          <w:sz w:val="22"/>
          <w:rtl/>
        </w:rPr>
        <w:t>)).</w:t>
      </w:r>
      <w:r w:rsidRPr="00CE3E58">
        <w:rPr>
          <w:rFonts w:hint="cs"/>
          <w:rtl/>
        </w:rPr>
        <w:t xml:space="preserve"> החזקה שאליה מתייחסת היועצת המשפטית לממשלה מזכירה, במידת מה, את החזקה שקבועה במשפט הפלילי ביחס לעבירת השוחד, שלפיה </w:t>
      </w:r>
      <w:r w:rsidRPr="00CE3E58">
        <w:rPr>
          <w:rFonts w:ascii="FrankRuehl" w:hAnsi="FrankRuehl"/>
          <w:sz w:val="28"/>
          <w:rtl/>
        </w:rPr>
        <w:t xml:space="preserve">מתת </w:t>
      </w:r>
      <w:r w:rsidRPr="00CE3E58">
        <w:rPr>
          <w:rFonts w:ascii="FrankRuehl" w:hAnsi="FrankRuehl" w:hint="cs"/>
          <w:sz w:val="28"/>
          <w:rtl/>
        </w:rPr>
        <w:t xml:space="preserve">שניתנת </w:t>
      </w:r>
      <w:r w:rsidRPr="00CE3E58">
        <w:rPr>
          <w:rFonts w:ascii="FrankRuehl" w:hAnsi="FrankRuehl"/>
          <w:sz w:val="28"/>
          <w:rtl/>
        </w:rPr>
        <w:t xml:space="preserve">לעובד הציבור מאת אדם הנמצא עמו בקשר רשמי, ניתנת </w:t>
      </w:r>
      <w:r w:rsidRPr="00CE3E58">
        <w:rPr>
          <w:rFonts w:ascii="Century" w:hAnsi="Century" w:cs="Miriam"/>
          <w:b/>
          <w:spacing w:val="0"/>
          <w:sz w:val="22"/>
          <w:szCs w:val="24"/>
          <w:rtl/>
        </w:rPr>
        <w:t>בעד פעולה הקשורה לתפקידו</w:t>
      </w:r>
      <w:r w:rsidRPr="00CE3E58">
        <w:rPr>
          <w:rFonts w:ascii="FrankRuehl" w:hAnsi="FrankRuehl" w:hint="cs"/>
          <w:sz w:val="28"/>
          <w:rtl/>
        </w:rPr>
        <w:t xml:space="preserve"> (ע"פ 1877/99 </w:t>
      </w:r>
      <w:r w:rsidRPr="00CE3E58">
        <w:rPr>
          <w:rFonts w:ascii="Century" w:hAnsi="Century" w:cs="Miriam" w:hint="cs"/>
          <w:b/>
          <w:spacing w:val="0"/>
          <w:sz w:val="22"/>
          <w:szCs w:val="24"/>
          <w:rtl/>
        </w:rPr>
        <w:t>מדינת ישראל נ' בן עטר</w:t>
      </w:r>
      <w:r w:rsidRPr="00CE3E58">
        <w:rPr>
          <w:rFonts w:ascii="Century" w:hAnsi="Century" w:hint="cs"/>
          <w:sz w:val="22"/>
          <w:rtl/>
        </w:rPr>
        <w:t>, פ"ד נג(4) 695, 710 (1999)</w:t>
      </w:r>
      <w:r w:rsidRPr="00CE3E58">
        <w:rPr>
          <w:rFonts w:ascii="FrankRuehl" w:hAnsi="FrankRuehl" w:hint="cs"/>
          <w:sz w:val="28"/>
          <w:rtl/>
        </w:rPr>
        <w:t xml:space="preserve">). מכאן שעשוי להתעורר מתח מסוים בין המבחן שנקבע בעניין חוק המתנות לבין זה שבדין הפלילי, למשל בנסיבות שבהן קיבל חבר ממשלה מתנה ממי שמצוי עמו ב"קשר רשמי": בעוד שבגדר המשפט הפלילי ניתן יהיה להחיל חזקה שמדובר במתנה שניתנה "בעד פעולה הקשורה בתפקידו"; בהקשרו של חוק המתנות, לכאורה, לא ניתן יהיה לעשות שימוש בחזקה כאמור (כמשתמע גם מחוות דעתה של חברתי). מתח זה מתחדד נוכח העקרונות שניצבים בבסיס חוק המתנות ובראשם "הרצון לקבוע כללי התנהגות של עובדי הציבור, שהם רחבים יותר מאלה המכוסים על-ידי עבירת השוחד או הפרת האמונים" (עניין </w:t>
      </w:r>
      <w:r w:rsidRPr="00CE3E58">
        <w:rPr>
          <w:rFonts w:ascii="Century" w:hAnsi="Century" w:cs="Miriam" w:hint="cs"/>
          <w:b/>
          <w:spacing w:val="0"/>
          <w:sz w:val="22"/>
          <w:szCs w:val="24"/>
          <w:rtl/>
        </w:rPr>
        <w:t>סויסא</w:t>
      </w:r>
      <w:r w:rsidRPr="00CE3E58">
        <w:rPr>
          <w:rFonts w:ascii="Century" w:hAnsi="Century" w:hint="cs"/>
          <w:sz w:val="22"/>
          <w:rtl/>
        </w:rPr>
        <w:t>, בעמ' 790</w:t>
      </w:r>
      <w:r w:rsidRPr="00CE3E58">
        <w:rPr>
          <w:rFonts w:ascii="FrankRuehl" w:hAnsi="FrankRuehl" w:hint="cs"/>
          <w:sz w:val="28"/>
          <w:rtl/>
        </w:rPr>
        <w:t>).</w:t>
      </w:r>
    </w:p>
    <w:p w14:paraId="392492DE" w14:textId="77777777" w:rsidR="00CE3E58" w:rsidRPr="00CE3E58" w:rsidRDefault="00CE3E58" w:rsidP="00CE3E58">
      <w:pPr>
        <w:pStyle w:val="Ruller41"/>
      </w:pPr>
    </w:p>
    <w:p w14:paraId="4B23250A" w14:textId="77777777" w:rsidR="00CE3E58" w:rsidRPr="00CE3E58" w:rsidRDefault="00CE3E58" w:rsidP="00CE3E58">
      <w:pPr>
        <w:pStyle w:val="Ruller4"/>
      </w:pPr>
      <w:r w:rsidRPr="00CE3E58">
        <w:rPr>
          <w:rFonts w:ascii="Century" w:hAnsi="Century" w:hint="cs"/>
          <w:sz w:val="22"/>
          <w:rtl/>
        </w:rPr>
        <w:t>ואולם, איני סבור כי נסיבות המקרה דנן מחייבות הכרעה בשאלת שימוש בחזקה האמורה בהקשרו של חוק המתנות וזאת נוכח המסקנה שאליה הגיעה חברתי, ושאליה אני מצטרף כאמור, שלפיה הטעם הדומיננטי להעברת המענק ממיליקובסקי לנתניהו הוא היותו של נתניהו עובד ציבור (אף מבלי להידרש לקיומה של חזקה עובדתית כאמור).</w:t>
      </w:r>
      <w:r w:rsidRPr="00CE3E58">
        <w:rPr>
          <w:rFonts w:hint="cs"/>
          <w:rtl/>
        </w:rPr>
        <w:t xml:space="preserve"> כפי שמציינת חברתי, מדובר בהעברת סכום כסף נכבד ביותר (300 אלף דולר); שמועבר </w:t>
      </w:r>
      <w:r w:rsidRPr="00CE3E58">
        <w:rPr>
          <w:rFonts w:hint="cs"/>
          <w:rtl/>
        </w:rPr>
        <w:lastRenderedPageBreak/>
        <w:t xml:space="preserve">לידי ראש הממשלה; מאת קרוב משפחה, אך כזה שמצוי עמו גם בקשרים עסקיים. לנסיבות אלו יש להוסיף את היעדר הדיווח על קבלת הכספים </w:t>
      </w:r>
      <w:r w:rsidRPr="00CE3E58">
        <w:rPr>
          <w:rtl/>
        </w:rPr>
        <w:t>–</w:t>
      </w:r>
      <w:r w:rsidRPr="00CE3E58">
        <w:rPr>
          <w:rFonts w:hint="cs"/>
          <w:rtl/>
        </w:rPr>
        <w:t xml:space="preserve"> גם לאחר שהיה ברור מעל לכל צל של ספק כי היה על נתניהו לעשות כן (ראו פסקה 40 לחוות דעתה של חברתי).</w:t>
      </w:r>
    </w:p>
    <w:p w14:paraId="1E50DB09" w14:textId="77777777" w:rsidR="00CE3E58" w:rsidRPr="00CE3E58" w:rsidRDefault="00CE3E58" w:rsidP="00CE3E58">
      <w:pPr>
        <w:pStyle w:val="Ruller4"/>
        <w:numPr>
          <w:ilvl w:val="0"/>
          <w:numId w:val="0"/>
        </w:numPr>
      </w:pPr>
    </w:p>
    <w:p w14:paraId="1EEF990D" w14:textId="3AC9DA38" w:rsidR="00CE3E58" w:rsidRPr="00CE3E58" w:rsidRDefault="00CE3E58" w:rsidP="005C4C19">
      <w:pPr>
        <w:pStyle w:val="Ruller4"/>
        <w:rPr>
          <w:rtl/>
        </w:rPr>
      </w:pPr>
      <w:r w:rsidRPr="00CE3E58">
        <w:rPr>
          <w:rFonts w:hint="cs"/>
          <w:rtl/>
        </w:rPr>
        <w:t>בהקשר זה אבקש להוסיף שהתנהלות נתניהו מול ועדת ההיתרים אינה חפה מקשיים. אזכיר כי כעולה מדברי נתניהו ומהחומרים שלפנינו, המענק (בסך 300,000 דולר), הועבר לידיו ולידי רעייתו בתקופה שבין מרץ 2017 לבין מרץ 2018. בחודש מרץ 2018, בסמוך לאחר סיום קבלת המענק, פנה בא כוחו של נתניהו לי</w:t>
      </w:r>
      <w:r w:rsidR="005C4C19">
        <w:rPr>
          <w:rFonts w:hint="cs"/>
          <w:rtl/>
        </w:rPr>
        <w:t>ועצת המשפטי</w:t>
      </w:r>
      <w:r w:rsidRPr="00CE3E58">
        <w:rPr>
          <w:rFonts w:hint="cs"/>
          <w:rtl/>
        </w:rPr>
        <w:t xml:space="preserve">ת </w:t>
      </w:r>
      <w:r w:rsidR="005C4C19">
        <w:rPr>
          <w:rFonts w:hint="cs"/>
          <w:rtl/>
        </w:rPr>
        <w:t xml:space="preserve">של </w:t>
      </w:r>
      <w:r w:rsidRPr="00CE3E58">
        <w:rPr>
          <w:rFonts w:hint="cs"/>
          <w:rtl/>
        </w:rPr>
        <w:t xml:space="preserve">משרד ראש הממשלה במטרה להסתייע במיליקובסקי ובמר ספנסר פרטרידג' (להלן: </w:t>
      </w:r>
      <w:r w:rsidRPr="00CE3E58">
        <w:rPr>
          <w:rFonts w:ascii="Century" w:hAnsi="Century" w:cs="Miriam" w:hint="cs"/>
          <w:b/>
          <w:spacing w:val="0"/>
          <w:sz w:val="22"/>
          <w:szCs w:val="24"/>
          <w:rtl/>
        </w:rPr>
        <w:t>פרטרידג'</w:t>
      </w:r>
      <w:r w:rsidRPr="00CE3E58">
        <w:rPr>
          <w:rFonts w:hint="cs"/>
          <w:rtl/>
        </w:rPr>
        <w:t xml:space="preserve">) לצורך מימון הגנתו המשפטית. באותו מכתב אין ולו זכר לעובדה כי עד למועד סמוך לכך, קיבלו נתניהו ורעייתו מאות אלפי דולרים מאותו אדם שבו נתניהו מבקש להסתייע (ויוער שכעולה מהחומרים שלפנינו אותו מענק לא הוזכר גם במסגרת הצהרת ההון של נתניהו; ראו נספח מש/10 לתצהיר התשובה מטעם היועץ המשפטי לממשלה, בעמ' 6). לאחר שליחת המכתב, ביקש היועץ המשפטי לממשלה דאז לברר את טיב הקשר בין נתניהו לבין מיליקובסקי ופרטרידג' </w:t>
      </w:r>
      <w:r w:rsidRPr="00CE3E58">
        <w:rPr>
          <w:rtl/>
        </w:rPr>
        <w:t>–</w:t>
      </w:r>
      <w:r w:rsidRPr="00CE3E58">
        <w:rPr>
          <w:rFonts w:hint="cs"/>
          <w:rtl/>
        </w:rPr>
        <w:t xml:space="preserve"> ודומה כי אף במסגרת הליך זה לא תוארו מלוא העובדות ביחס לקשרי נתניהו ומיליקובסקי. בתום הבירור העובדתי, היועץ המשפטי לממשלה קבע כי קבלת המימון מחייבת היתר מהוועדה למתן היתרים לפי פרק ד' להודעה בדבר הכללים למניעת ניגוד העניינים של שרים וסגני שרים, התשס"ג-2003 (להלן: </w:t>
      </w:r>
      <w:r w:rsidRPr="00CE3E58">
        <w:rPr>
          <w:rFonts w:ascii="Century" w:hAnsi="Century" w:cs="Miriam" w:hint="cs"/>
          <w:b/>
          <w:spacing w:val="0"/>
          <w:sz w:val="22"/>
          <w:szCs w:val="24"/>
          <w:rtl/>
        </w:rPr>
        <w:t>ועדת ההיתרים</w:t>
      </w:r>
      <w:r w:rsidRPr="00CE3E58">
        <w:rPr>
          <w:rFonts w:hint="cs"/>
          <w:rtl/>
        </w:rPr>
        <w:t xml:space="preserve"> ו-</w:t>
      </w:r>
      <w:r w:rsidRPr="00CE3E58">
        <w:rPr>
          <w:rFonts w:ascii="Century" w:hAnsi="Century" w:cs="Miriam" w:hint="cs"/>
          <w:b/>
          <w:spacing w:val="0"/>
          <w:sz w:val="22"/>
          <w:szCs w:val="24"/>
          <w:rtl/>
        </w:rPr>
        <w:t>כללי אשר</w:t>
      </w:r>
      <w:r w:rsidRPr="00CE3E58">
        <w:rPr>
          <w:rFonts w:hint="cs"/>
          <w:rtl/>
        </w:rPr>
        <w:t>). משכך, למצער בשלב זה היה בידי נתניהו ובאי כוחו להבין שמאות אלפי הדולרים שכבר הועברו לידיו חייבו קבלת היתר. חרף האמור, רק חודשים לאחר מכן, לאחר שוועדת ההיתרים דחתה את בקשת נתניהו להיתר, הובא המענק לידיעת מבקר המדינה (והיועץ המשפטי לממשלה). בהמשך, הגיש נתניהו עתירה נגד ועדת ההיתרים שבמסגרתה נקבע בהסכמה שעניינו של נתניהו יובא לדיון משלים לפני הוועדה, וזאת כנגד הודעת בא כוחו "שי</w:t>
      </w:r>
      <w:r w:rsidRPr="00CE3E58">
        <w:rPr>
          <w:rFonts w:ascii="FrankRuehl" w:hAnsi="FrankRuehl"/>
          <w:sz w:val="28"/>
          <w:rtl/>
        </w:rPr>
        <w:t xml:space="preserve">מציא </w:t>
      </w:r>
      <w:r w:rsidRPr="00CE3E58">
        <w:rPr>
          <w:rFonts w:ascii="FrankRuehl" w:hAnsi="FrankRuehl" w:hint="cs"/>
          <w:sz w:val="28"/>
          <w:rtl/>
        </w:rPr>
        <w:t xml:space="preserve">[לוועדת ההיתרים </w:t>
      </w:r>
      <w:r w:rsidRPr="00CE3E58">
        <w:rPr>
          <w:rFonts w:ascii="FrankRuehl" w:hAnsi="FrankRuehl"/>
          <w:sz w:val="28"/>
          <w:rtl/>
        </w:rPr>
        <w:t>–</w:t>
      </w:r>
      <w:r w:rsidRPr="00CE3E58">
        <w:rPr>
          <w:rFonts w:ascii="FrankRuehl" w:hAnsi="FrankRuehl" w:hint="cs"/>
          <w:sz w:val="28"/>
          <w:rtl/>
        </w:rPr>
        <w:t xml:space="preserve"> ע' פ'] </w:t>
      </w:r>
      <w:r w:rsidRPr="00CE3E58">
        <w:rPr>
          <w:rFonts w:ascii="FrankRuehl" w:hAnsi="FrankRuehl"/>
          <w:sz w:val="28"/>
          <w:rtl/>
        </w:rPr>
        <w:t xml:space="preserve">לבקשתה כל פרטים שיתבקשו על ידה לצורך הדיון המשלים כאמור" </w:t>
      </w:r>
      <w:r w:rsidRPr="00CE3E58">
        <w:rPr>
          <w:rFonts w:hint="cs"/>
          <w:rtl/>
        </w:rPr>
        <w:t xml:space="preserve">(בג"ץ 1820/19 </w:t>
      </w:r>
      <w:r w:rsidRPr="00CE3E58">
        <w:rPr>
          <w:rFonts w:ascii="Century" w:hAnsi="Century" w:cs="Miriam" w:hint="cs"/>
          <w:b/>
          <w:spacing w:val="0"/>
          <w:sz w:val="22"/>
          <w:szCs w:val="24"/>
          <w:rtl/>
        </w:rPr>
        <w:t>ראש הממשלה נ' הוועדה למתן היתרים</w:t>
      </w:r>
      <w:r w:rsidRPr="00CE3E58">
        <w:rPr>
          <w:rFonts w:ascii="Century" w:hAnsi="Century" w:hint="cs"/>
          <w:sz w:val="22"/>
          <w:rtl/>
        </w:rPr>
        <w:t xml:space="preserve"> (18.3.2019)</w:t>
      </w:r>
      <w:r w:rsidRPr="00CE3E58">
        <w:rPr>
          <w:rFonts w:hint="cs"/>
          <w:rtl/>
        </w:rPr>
        <w:t>). חרף האמור, נתניהו ובאי כוחו לא העבירו לידי ועדת ההיתרים את החומרים שהתבקשו על ידה וביום 24.6.2019 נדחתה פעם נוספת בקשת נתניהו לקבל סיוע במימון הוצאותיו המשפטיות. כחודשיים לאחר מכן, התגלה נתון נוסף ביחס למענק: רק עשירית ממנו שימשה את נתניהו, ואילו היתר שימש לפי הטענה את אשתו. למותר לציין כי על חבר ממשלה שמבקש לקבל מוועדת ההיתרים אישור לחרוג מכללי אשר, להציג לפני הוועדה את המידע המלא לאשורו ללא דיחוי.</w:t>
      </w:r>
    </w:p>
    <w:p w14:paraId="68CF44B6" w14:textId="77777777" w:rsidR="00CE3E58" w:rsidRPr="00CE3E58" w:rsidRDefault="00CE3E58" w:rsidP="00CE3E58">
      <w:pPr>
        <w:pStyle w:val="Ruller41"/>
      </w:pPr>
    </w:p>
    <w:p w14:paraId="728BF4C6" w14:textId="77777777" w:rsidR="00CE3E58" w:rsidRPr="00CE3E58" w:rsidRDefault="00CE3E58" w:rsidP="00CE3E58">
      <w:pPr>
        <w:pStyle w:val="Ruller4"/>
      </w:pPr>
      <w:r w:rsidRPr="00CE3E58">
        <w:rPr>
          <w:rFonts w:hint="cs"/>
          <w:rtl/>
        </w:rPr>
        <w:lastRenderedPageBreak/>
        <w:t xml:space="preserve">הערה נוספת נוגעת לקבלת הלוואה שניתנת בתנאי שוק כטובת הנאה. כזכור, עמדת מבקר המדינה שלפיה ההלוואה שניתנה לנתניהו מפרטרידג' אינה טובת הנאה ולכן אינה מחייבת פניה לוועדת ההיתרים נשענה על התפיסה שמאחר שמדובר בהלוואה בתנאי השוק, אין מדובר בהטבה. היועץ המשפטי לממשלה חלק על עמדה זו (ראו סעיף 84 לתצהיר התשובה מטעם היועץ המשפטי לממשלה). לשיטתי עצם העובדה שתנאי ההלוואה הינם </w:t>
      </w:r>
      <w:r w:rsidRPr="00CE3E58">
        <w:rPr>
          <w:rtl/>
        </w:rPr>
        <w:t>–</w:t>
      </w:r>
      <w:r w:rsidRPr="00CE3E58">
        <w:rPr>
          <w:rFonts w:hint="cs"/>
          <w:rtl/>
        </w:rPr>
        <w:t xml:space="preserve"> על פני הדברים </w:t>
      </w:r>
      <w:r w:rsidRPr="00CE3E58">
        <w:rPr>
          <w:rtl/>
        </w:rPr>
        <w:t>–</w:t>
      </w:r>
      <w:r w:rsidRPr="00CE3E58">
        <w:rPr>
          <w:rFonts w:hint="cs"/>
          <w:rtl/>
        </w:rPr>
        <w:t xml:space="preserve"> תנאי שוק, אינה מלמדת בהכרח שההלוואה אינה ניתנת בתנאים מיטיבים וכי היא אינה מגלמת טובת הנאה. הלוואה על ידי מי שאינו עוסק בדרך כלל במתן הלוואות עשויה לגלם טובת הנאה ניכרת בין היתר בשל יכולתו הפחותה לפקח על החזרתן או לנקוט הליכים לגבייתן (כמו גם היכרותו עם המנגנונים לעשות כן); ובשל האפשרות שנתונה לו להיטיב את תנאיהן (דוגמת שינוי שיעור הריבית או מועדי ההחזרה; ראו והשוו: </w:t>
      </w:r>
      <w:r w:rsidRPr="00CE3E58">
        <w:rPr>
          <w:rFonts w:hint="eastAsia"/>
          <w:rtl/>
        </w:rPr>
        <w:t>ע</w:t>
      </w:r>
      <w:r w:rsidRPr="00CE3E58">
        <w:rPr>
          <w:rtl/>
        </w:rPr>
        <w:t>"</w:t>
      </w:r>
      <w:r w:rsidRPr="00CE3E58">
        <w:rPr>
          <w:rFonts w:hint="eastAsia"/>
          <w:rtl/>
        </w:rPr>
        <w:t>פ</w:t>
      </w:r>
      <w:r w:rsidRPr="00CE3E58">
        <w:rPr>
          <w:rtl/>
        </w:rPr>
        <w:t xml:space="preserve"> 150/88 </w:t>
      </w:r>
      <w:r w:rsidRPr="00CE3E58">
        <w:rPr>
          <w:rFonts w:ascii="Century" w:hAnsi="Century" w:cs="Miriam" w:hint="eastAsia"/>
          <w:b/>
          <w:spacing w:val="0"/>
          <w:sz w:val="22"/>
          <w:szCs w:val="24"/>
          <w:rtl/>
        </w:rPr>
        <w:t>לושי</w:t>
      </w:r>
      <w:r w:rsidRPr="00CE3E58">
        <w:rPr>
          <w:rFonts w:ascii="Century" w:hAnsi="Century" w:cs="Miriam"/>
          <w:b/>
          <w:spacing w:val="0"/>
          <w:sz w:val="22"/>
          <w:szCs w:val="24"/>
          <w:rtl/>
        </w:rPr>
        <w:t xml:space="preserve"> </w:t>
      </w:r>
      <w:r w:rsidRPr="00CE3E58">
        <w:rPr>
          <w:rFonts w:ascii="Century" w:hAnsi="Century" w:cs="Miriam" w:hint="eastAsia"/>
          <w:b/>
          <w:spacing w:val="0"/>
          <w:sz w:val="22"/>
          <w:szCs w:val="24"/>
          <w:rtl/>
        </w:rPr>
        <w:t>נ</w:t>
      </w:r>
      <w:r w:rsidRPr="00CE3E58">
        <w:rPr>
          <w:rFonts w:ascii="Century" w:hAnsi="Century" w:cs="Miriam"/>
          <w:b/>
          <w:spacing w:val="0"/>
          <w:sz w:val="22"/>
          <w:szCs w:val="24"/>
          <w:rtl/>
        </w:rPr>
        <w:t xml:space="preserve">' </w:t>
      </w:r>
      <w:r w:rsidRPr="00CE3E58">
        <w:rPr>
          <w:rFonts w:ascii="Century" w:hAnsi="Century" w:cs="Miriam" w:hint="eastAsia"/>
          <w:b/>
          <w:spacing w:val="0"/>
          <w:sz w:val="22"/>
          <w:szCs w:val="24"/>
          <w:rtl/>
        </w:rPr>
        <w:t>מדינת</w:t>
      </w:r>
      <w:r w:rsidRPr="00CE3E58">
        <w:rPr>
          <w:rFonts w:ascii="Century" w:hAnsi="Century" w:cs="Miriam"/>
          <w:b/>
          <w:spacing w:val="0"/>
          <w:sz w:val="22"/>
          <w:szCs w:val="24"/>
          <w:rtl/>
        </w:rPr>
        <w:t xml:space="preserve"> </w:t>
      </w:r>
      <w:r w:rsidRPr="00CE3E58">
        <w:rPr>
          <w:rFonts w:ascii="Century" w:hAnsi="Century" w:cs="Miriam" w:hint="eastAsia"/>
          <w:b/>
          <w:spacing w:val="0"/>
          <w:sz w:val="22"/>
          <w:szCs w:val="24"/>
          <w:rtl/>
        </w:rPr>
        <w:t>ישראל</w:t>
      </w:r>
      <w:r w:rsidRPr="00CE3E58">
        <w:rPr>
          <w:rtl/>
        </w:rPr>
        <w:t xml:space="preserve">, </w:t>
      </w:r>
      <w:r w:rsidRPr="00CE3E58">
        <w:rPr>
          <w:rFonts w:hint="eastAsia"/>
          <w:rtl/>
        </w:rPr>
        <w:t>פ</w:t>
      </w:r>
      <w:r w:rsidRPr="00CE3E58">
        <w:rPr>
          <w:rtl/>
        </w:rPr>
        <w:t>"</w:t>
      </w:r>
      <w:r w:rsidRPr="00CE3E58">
        <w:rPr>
          <w:rFonts w:hint="eastAsia"/>
          <w:rtl/>
        </w:rPr>
        <w:t>ד</w:t>
      </w:r>
      <w:r w:rsidRPr="00CE3E58">
        <w:rPr>
          <w:rtl/>
        </w:rPr>
        <w:t xml:space="preserve"> </w:t>
      </w:r>
      <w:r w:rsidRPr="00CE3E58">
        <w:rPr>
          <w:rFonts w:hint="eastAsia"/>
          <w:rtl/>
        </w:rPr>
        <w:t>מב</w:t>
      </w:r>
      <w:r w:rsidRPr="00CE3E58">
        <w:rPr>
          <w:rtl/>
        </w:rPr>
        <w:t>(2) 650, 656 (1988)</w:t>
      </w:r>
      <w:r w:rsidRPr="00CE3E58">
        <w:rPr>
          <w:rFonts w:hint="cs"/>
          <w:rtl/>
        </w:rPr>
        <w:t xml:space="preserve">). לא בכדי הזכיר נציב שירות המדינה בהודעת ריענון כי גם מתן הלוואה בתנאים מקובלים </w:t>
      </w:r>
      <w:r w:rsidRPr="00CE3E58">
        <w:rPr>
          <w:rFonts w:ascii="Century" w:hAnsi="Century" w:hint="cs"/>
          <w:sz w:val="22"/>
          <w:rtl/>
        </w:rPr>
        <w:t xml:space="preserve">על ידי מי שאינו עוסק בדרך כלל במתן הלוואות היא בעלת "ערך חומרי" (הנחיות נציב שירות המדינה 4.1 "קבלת מתנות וטובות הנאה לפי חוק שירות הציבור (מתנות), התש"ם-1979 </w:t>
      </w:r>
      <w:r w:rsidRPr="00CE3E58">
        <w:rPr>
          <w:rFonts w:ascii="Century" w:hAnsi="Century"/>
          <w:sz w:val="22"/>
          <w:rtl/>
        </w:rPr>
        <w:t>–</w:t>
      </w:r>
      <w:r w:rsidRPr="00CE3E58">
        <w:rPr>
          <w:rFonts w:ascii="Century" w:hAnsi="Century" w:hint="cs"/>
          <w:sz w:val="22"/>
          <w:rtl/>
        </w:rPr>
        <w:t xml:space="preserve"> הודעת ריענון" (19.3.2013)).</w:t>
      </w:r>
      <w:r w:rsidRPr="00CE3E58">
        <w:rPr>
          <w:rFonts w:hint="cs"/>
          <w:rtl/>
        </w:rPr>
        <w:t xml:space="preserve"> ואכן, ענייננו הוא דוגמה לכך, וזאת מאחר שזמן קצר לאחר מתן ההלוואה ביקש נתניהו לקבל מפרטרידג' </w:t>
      </w:r>
      <w:r w:rsidRPr="00CE3E58">
        <w:rPr>
          <w:rFonts w:ascii="Century" w:hAnsi="Century" w:cs="Miriam" w:hint="cs"/>
          <w:b/>
          <w:spacing w:val="0"/>
          <w:sz w:val="22"/>
          <w:szCs w:val="24"/>
          <w:rtl/>
        </w:rPr>
        <w:t xml:space="preserve">מענק </w:t>
      </w:r>
      <w:r w:rsidRPr="00CE3E58">
        <w:rPr>
          <w:rFonts w:ascii="Century" w:hAnsi="Century" w:hint="cs"/>
          <w:sz w:val="22"/>
          <w:rtl/>
        </w:rPr>
        <w:t>שנועד, בין היתר, להחזיר את ההלוואה. ברי כי אין מדובר בהתנהלות שדומה לקבלת הלוואה בתנאי שוק, וזאת הגם שתנאי הסכם ההלוואה, על פניהם "אינם חורגים מתנאי הלוואה שהיו ניתנים ללקוח במגזר הבנקאות הפרטית" (מכתבו של היועץ המשפטי למבקר המדינה מיום 2.9.2019). ואולם, מן הטעמים שציינה חברתי בחוות דעתה, אף אני סבור כי יש לקבוע שהסכם ההלוואה יעמוד בתקפו כלשונו, בכפוף להמשך פיקוח המבקר על החזרתה.</w:t>
      </w:r>
    </w:p>
    <w:p w14:paraId="7E3A3707" w14:textId="77777777" w:rsidR="00CE3E58" w:rsidRPr="00CE3E58" w:rsidRDefault="00CE3E58" w:rsidP="00CE3E58">
      <w:pPr>
        <w:pStyle w:val="Ruller4"/>
        <w:numPr>
          <w:ilvl w:val="0"/>
          <w:numId w:val="0"/>
        </w:numPr>
      </w:pPr>
    </w:p>
    <w:p w14:paraId="1A5E055A" w14:textId="77777777" w:rsidR="00CE3E58" w:rsidRPr="00CE3E58" w:rsidRDefault="00CE3E58" w:rsidP="00CE3E58">
      <w:pPr>
        <w:pStyle w:val="Ruller4"/>
      </w:pPr>
      <w:r w:rsidRPr="00CE3E58">
        <w:rPr>
          <w:rFonts w:ascii="Century" w:hAnsi="Century" w:hint="cs"/>
          <w:sz w:val="22"/>
          <w:rtl/>
        </w:rPr>
        <w:t xml:space="preserve">לבסוף, בכל הנוגע לזהותו של הגורם המוסמך להכריע מראש בדבר קיומה או אי-קיומה של סטייה מכללי אשר, נוכח הטעמים עליהם עמדה חברתי בחוות דעתה, בהינתן </w:t>
      </w:r>
      <w:proofErr w:type="spellStart"/>
      <w:r w:rsidRPr="00CE3E58">
        <w:rPr>
          <w:rFonts w:ascii="Century" w:hAnsi="Century" w:hint="cs"/>
          <w:sz w:val="22"/>
          <w:rtl/>
        </w:rPr>
        <w:t>המאטריה</w:t>
      </w:r>
      <w:proofErr w:type="spellEnd"/>
      <w:r w:rsidRPr="00CE3E58">
        <w:rPr>
          <w:rFonts w:ascii="Century" w:hAnsi="Century" w:hint="cs"/>
          <w:sz w:val="22"/>
          <w:rtl/>
        </w:rPr>
        <w:t xml:space="preserve"> הפרטיקולרית, ואפיוניו המיוחדים של מוסד מבקר המדינה שאינו נמנה על הרשות המבצעת, אני מצרף דעתי לדעת חברתי שהגורם המוסמך הוא מבקר המדינה. אדגיש, כי הכרעה זו אינה פשוטה, וזאת מאחר שהיועצת המשפטית היא ככלל כתובתו של חבר ממשלה בשאלה שנוגעת לפרשנות הדין. זאת ועוד, בשאלה שנוגעת לתחולת חוק המתנות, על חבר ממשלה לפנות ליועצת המשפטית לממשלה </w:t>
      </w:r>
      <w:r w:rsidRPr="00CE3E58">
        <w:rPr>
          <w:rFonts w:ascii="Century" w:hAnsi="Century"/>
          <w:sz w:val="22"/>
          <w:rtl/>
        </w:rPr>
        <w:t>–</w:t>
      </w:r>
      <w:r w:rsidRPr="00CE3E58">
        <w:rPr>
          <w:rFonts w:ascii="Century" w:hAnsi="Century" w:hint="cs"/>
          <w:sz w:val="22"/>
          <w:rtl/>
        </w:rPr>
        <w:t xml:space="preserve"> והתיק דנן מלמדנו על קו התפר הדק שבין חוק המתנות לבין כללי אשר במקרים מסוימים. משכך, אעיר כי הנחתי היא שכאשר תתבקש מהמבקר הכרעה מעין זו, בבחינת </w:t>
      </w:r>
      <w:r w:rsidRPr="00CE3E58">
        <w:rPr>
          <w:rFonts w:ascii="Century" w:hAnsi="Century" w:cs="Miriam"/>
          <w:bCs/>
          <w:spacing w:val="0"/>
          <w:sz w:val="22"/>
          <w:szCs w:val="24"/>
        </w:rPr>
        <w:t>pre-ruling</w:t>
      </w:r>
      <w:r w:rsidRPr="00CE3E58">
        <w:rPr>
          <w:rFonts w:ascii="Century" w:hAnsi="Century" w:hint="cs"/>
          <w:sz w:val="22"/>
          <w:rtl/>
        </w:rPr>
        <w:t xml:space="preserve"> בשאל</w:t>
      </w:r>
      <w:r w:rsidRPr="00CE3E58">
        <w:rPr>
          <w:rFonts w:ascii="Century" w:hAnsi="Century" w:hint="eastAsia"/>
          <w:sz w:val="22"/>
          <w:rtl/>
        </w:rPr>
        <w:t>ת</w:t>
      </w:r>
      <w:r w:rsidRPr="00CE3E58">
        <w:rPr>
          <w:rFonts w:ascii="Century" w:hAnsi="Century"/>
          <w:sz w:val="22"/>
          <w:rtl/>
        </w:rPr>
        <w:t xml:space="preserve"> </w:t>
      </w:r>
      <w:r w:rsidRPr="00CE3E58">
        <w:rPr>
          <w:rFonts w:ascii="Century" w:hAnsi="Century" w:hint="eastAsia"/>
          <w:sz w:val="22"/>
          <w:rtl/>
        </w:rPr>
        <w:t>יישומם</w:t>
      </w:r>
      <w:r w:rsidRPr="00CE3E58">
        <w:rPr>
          <w:rFonts w:ascii="Century" w:hAnsi="Century"/>
          <w:sz w:val="22"/>
          <w:rtl/>
        </w:rPr>
        <w:t xml:space="preserve"> </w:t>
      </w:r>
      <w:r w:rsidRPr="00CE3E58">
        <w:rPr>
          <w:rFonts w:ascii="Century" w:hAnsi="Century" w:hint="eastAsia"/>
          <w:sz w:val="22"/>
          <w:rtl/>
        </w:rPr>
        <w:t>של</w:t>
      </w:r>
      <w:r w:rsidRPr="00CE3E58">
        <w:rPr>
          <w:rFonts w:ascii="Century" w:hAnsi="Century"/>
          <w:sz w:val="22"/>
          <w:rtl/>
        </w:rPr>
        <w:t xml:space="preserve"> </w:t>
      </w:r>
      <w:r w:rsidRPr="00CE3E58">
        <w:rPr>
          <w:rFonts w:ascii="Century" w:hAnsi="Century" w:hint="eastAsia"/>
          <w:sz w:val="22"/>
          <w:rtl/>
        </w:rPr>
        <w:t>כללי</w:t>
      </w:r>
      <w:r w:rsidRPr="00CE3E58">
        <w:rPr>
          <w:rFonts w:ascii="Century" w:hAnsi="Century"/>
          <w:sz w:val="22"/>
          <w:rtl/>
        </w:rPr>
        <w:t xml:space="preserve"> </w:t>
      </w:r>
      <w:r w:rsidRPr="00CE3E58">
        <w:rPr>
          <w:rFonts w:ascii="Century" w:hAnsi="Century" w:hint="eastAsia"/>
          <w:sz w:val="22"/>
          <w:rtl/>
        </w:rPr>
        <w:t>אשר</w:t>
      </w:r>
      <w:r w:rsidRPr="00CE3E58">
        <w:rPr>
          <w:rFonts w:ascii="Century" w:hAnsi="Century"/>
          <w:sz w:val="22"/>
          <w:rtl/>
        </w:rPr>
        <w:t xml:space="preserve">, </w:t>
      </w:r>
      <w:r w:rsidRPr="00CE3E58">
        <w:rPr>
          <w:rFonts w:ascii="Century" w:hAnsi="Century" w:hint="eastAsia"/>
          <w:sz w:val="22"/>
          <w:rtl/>
        </w:rPr>
        <w:t>הדבר</w:t>
      </w:r>
      <w:r w:rsidRPr="00CE3E58">
        <w:rPr>
          <w:rFonts w:ascii="Century" w:hAnsi="Century"/>
          <w:sz w:val="22"/>
          <w:rtl/>
        </w:rPr>
        <w:t xml:space="preserve"> </w:t>
      </w:r>
      <w:r w:rsidRPr="00CE3E58">
        <w:rPr>
          <w:rFonts w:ascii="Century" w:hAnsi="Century" w:hint="eastAsia"/>
          <w:sz w:val="22"/>
          <w:rtl/>
        </w:rPr>
        <w:t>ייעשה</w:t>
      </w:r>
      <w:r w:rsidRPr="00CE3E58">
        <w:rPr>
          <w:rFonts w:ascii="Century" w:hAnsi="Century"/>
          <w:sz w:val="22"/>
          <w:rtl/>
        </w:rPr>
        <w:t xml:space="preserve"> </w:t>
      </w:r>
      <w:r w:rsidRPr="00CE3E58">
        <w:rPr>
          <w:rFonts w:ascii="Century" w:hAnsi="Century" w:hint="eastAsia"/>
          <w:sz w:val="22"/>
          <w:rtl/>
        </w:rPr>
        <w:t>תוך</w:t>
      </w:r>
      <w:r w:rsidRPr="00CE3E58">
        <w:rPr>
          <w:rFonts w:ascii="Century" w:hAnsi="Century"/>
          <w:sz w:val="22"/>
          <w:rtl/>
        </w:rPr>
        <w:t xml:space="preserve"> </w:t>
      </w:r>
      <w:r w:rsidRPr="00CE3E58">
        <w:rPr>
          <w:rFonts w:ascii="Century" w:hAnsi="Century" w:hint="eastAsia"/>
          <w:sz w:val="22"/>
          <w:rtl/>
        </w:rPr>
        <w:t>היוועצות</w:t>
      </w:r>
      <w:r w:rsidRPr="00CE3E58">
        <w:rPr>
          <w:rFonts w:ascii="Century" w:hAnsi="Century"/>
          <w:sz w:val="22"/>
          <w:rtl/>
        </w:rPr>
        <w:t xml:space="preserve"> </w:t>
      </w:r>
      <w:r w:rsidRPr="00CE3E58">
        <w:rPr>
          <w:rFonts w:ascii="Century" w:hAnsi="Century" w:hint="eastAsia"/>
          <w:sz w:val="22"/>
          <w:rtl/>
        </w:rPr>
        <w:t>ביועצת</w:t>
      </w:r>
      <w:r w:rsidRPr="00CE3E58">
        <w:rPr>
          <w:rFonts w:ascii="Century" w:hAnsi="Century"/>
          <w:sz w:val="22"/>
          <w:rtl/>
        </w:rPr>
        <w:t xml:space="preserve"> </w:t>
      </w:r>
      <w:r w:rsidRPr="00CE3E58">
        <w:rPr>
          <w:rFonts w:ascii="Century" w:hAnsi="Century" w:hint="eastAsia"/>
          <w:sz w:val="22"/>
          <w:rtl/>
        </w:rPr>
        <w:t>המשפטית</w:t>
      </w:r>
      <w:r w:rsidRPr="00CE3E58">
        <w:rPr>
          <w:rFonts w:ascii="Century" w:hAnsi="Century"/>
          <w:sz w:val="22"/>
          <w:rtl/>
        </w:rPr>
        <w:t xml:space="preserve"> </w:t>
      </w:r>
      <w:r w:rsidRPr="00CE3E58">
        <w:rPr>
          <w:rFonts w:ascii="Century" w:hAnsi="Century" w:hint="eastAsia"/>
          <w:sz w:val="22"/>
          <w:rtl/>
        </w:rPr>
        <w:t>לממשלה</w:t>
      </w:r>
      <w:r w:rsidRPr="00CE3E58">
        <w:rPr>
          <w:rFonts w:ascii="Century" w:hAnsi="Century"/>
          <w:sz w:val="22"/>
          <w:rtl/>
        </w:rPr>
        <w:t xml:space="preserve">, </w:t>
      </w:r>
      <w:r w:rsidRPr="00CE3E58">
        <w:rPr>
          <w:rFonts w:ascii="Century" w:hAnsi="Century" w:hint="eastAsia"/>
          <w:sz w:val="22"/>
          <w:rtl/>
        </w:rPr>
        <w:t>וזאת</w:t>
      </w:r>
      <w:r w:rsidRPr="00CE3E58">
        <w:rPr>
          <w:rFonts w:ascii="Century" w:hAnsi="Century"/>
          <w:sz w:val="22"/>
          <w:rtl/>
        </w:rPr>
        <w:t xml:space="preserve"> </w:t>
      </w:r>
      <w:r w:rsidRPr="00CE3E58">
        <w:rPr>
          <w:rFonts w:ascii="Century" w:hAnsi="Century" w:hint="eastAsia"/>
          <w:sz w:val="22"/>
          <w:rtl/>
        </w:rPr>
        <w:t>במטרה</w:t>
      </w:r>
      <w:r w:rsidRPr="00CE3E58">
        <w:rPr>
          <w:rFonts w:ascii="Century" w:hAnsi="Century"/>
          <w:sz w:val="22"/>
          <w:rtl/>
        </w:rPr>
        <w:t xml:space="preserve"> </w:t>
      </w:r>
      <w:r w:rsidRPr="00CE3E58">
        <w:rPr>
          <w:rFonts w:ascii="Century" w:hAnsi="Century" w:hint="eastAsia"/>
          <w:sz w:val="22"/>
          <w:rtl/>
        </w:rPr>
        <w:t>לצמצם</w:t>
      </w:r>
      <w:r w:rsidRPr="00CE3E58">
        <w:rPr>
          <w:rFonts w:ascii="Century" w:hAnsi="Century"/>
          <w:sz w:val="22"/>
          <w:rtl/>
        </w:rPr>
        <w:t xml:space="preserve"> </w:t>
      </w:r>
      <w:r w:rsidRPr="00CE3E58">
        <w:rPr>
          <w:rFonts w:ascii="Century" w:hAnsi="Century" w:hint="eastAsia"/>
          <w:sz w:val="22"/>
          <w:rtl/>
        </w:rPr>
        <w:t>עד</w:t>
      </w:r>
      <w:r w:rsidRPr="00CE3E58">
        <w:rPr>
          <w:rFonts w:ascii="Century" w:hAnsi="Century"/>
          <w:sz w:val="22"/>
          <w:rtl/>
        </w:rPr>
        <w:t xml:space="preserve"> </w:t>
      </w:r>
      <w:r w:rsidRPr="00CE3E58">
        <w:rPr>
          <w:rFonts w:ascii="Century" w:hAnsi="Century" w:hint="eastAsia"/>
          <w:sz w:val="22"/>
          <w:rtl/>
        </w:rPr>
        <w:t>כמה</w:t>
      </w:r>
      <w:r w:rsidRPr="00CE3E58">
        <w:rPr>
          <w:rFonts w:ascii="Century" w:hAnsi="Century"/>
          <w:sz w:val="22"/>
          <w:rtl/>
        </w:rPr>
        <w:t xml:space="preserve"> </w:t>
      </w:r>
      <w:r w:rsidRPr="00CE3E58">
        <w:rPr>
          <w:rFonts w:ascii="Century" w:hAnsi="Century" w:hint="eastAsia"/>
          <w:sz w:val="22"/>
          <w:rtl/>
        </w:rPr>
        <w:t>שניתן</w:t>
      </w:r>
      <w:r w:rsidRPr="00CE3E58">
        <w:rPr>
          <w:rFonts w:ascii="Century" w:hAnsi="Century"/>
          <w:sz w:val="22"/>
          <w:rtl/>
        </w:rPr>
        <w:t xml:space="preserve"> </w:t>
      </w:r>
      <w:r w:rsidRPr="00CE3E58">
        <w:rPr>
          <w:rFonts w:ascii="Century" w:hAnsi="Century" w:hint="eastAsia"/>
          <w:sz w:val="22"/>
          <w:rtl/>
        </w:rPr>
        <w:t>את</w:t>
      </w:r>
      <w:r w:rsidRPr="00CE3E58">
        <w:rPr>
          <w:rFonts w:ascii="Century" w:hAnsi="Century"/>
          <w:sz w:val="22"/>
          <w:rtl/>
        </w:rPr>
        <w:t xml:space="preserve"> </w:t>
      </w:r>
      <w:r w:rsidRPr="00CE3E58">
        <w:rPr>
          <w:rFonts w:ascii="Century" w:hAnsi="Century" w:hint="eastAsia"/>
          <w:sz w:val="22"/>
          <w:rtl/>
        </w:rPr>
        <w:t>החשש</w:t>
      </w:r>
      <w:r w:rsidRPr="00CE3E58">
        <w:rPr>
          <w:rFonts w:ascii="Century" w:hAnsi="Century"/>
          <w:sz w:val="22"/>
          <w:rtl/>
        </w:rPr>
        <w:t xml:space="preserve"> </w:t>
      </w:r>
      <w:r w:rsidRPr="00CE3E58">
        <w:rPr>
          <w:rFonts w:ascii="Century" w:hAnsi="Century" w:hint="eastAsia"/>
          <w:sz w:val="22"/>
          <w:rtl/>
        </w:rPr>
        <w:t>מהכרעות</w:t>
      </w:r>
      <w:r w:rsidRPr="00CE3E58">
        <w:rPr>
          <w:rFonts w:ascii="Century" w:hAnsi="Century"/>
          <w:sz w:val="22"/>
          <w:rtl/>
        </w:rPr>
        <w:t xml:space="preserve"> </w:t>
      </w:r>
      <w:r w:rsidRPr="00CE3E58">
        <w:rPr>
          <w:rFonts w:ascii="Century" w:hAnsi="Century" w:hint="eastAsia"/>
          <w:sz w:val="22"/>
          <w:rtl/>
        </w:rPr>
        <w:t>סותרות</w:t>
      </w:r>
      <w:r w:rsidRPr="00CE3E58">
        <w:rPr>
          <w:rFonts w:ascii="Century" w:hAnsi="Century"/>
          <w:sz w:val="22"/>
          <w:rtl/>
        </w:rPr>
        <w:t>.</w:t>
      </w:r>
      <w:r w:rsidRPr="00CE3E58">
        <w:rPr>
          <w:rFonts w:ascii="Century" w:hAnsi="Century" w:hint="cs"/>
          <w:sz w:val="22"/>
          <w:rtl/>
        </w:rPr>
        <w:t xml:space="preserve"> עוד אבהיר שאין בכך </w:t>
      </w:r>
      <w:r w:rsidRPr="00CE3E58">
        <w:rPr>
          <w:rFonts w:ascii="Century" w:hAnsi="Century" w:hint="cs"/>
          <w:sz w:val="22"/>
          <w:rtl/>
        </w:rPr>
        <w:lastRenderedPageBreak/>
        <w:t xml:space="preserve">כדי לגרוע מאפשרותו של חבר ממשלה לפנות לוועדת ההיתרים במישרין, </w:t>
      </w:r>
      <w:r w:rsidRPr="00CE3E58">
        <w:rPr>
          <w:rFonts w:hint="cs"/>
          <w:rtl/>
        </w:rPr>
        <w:t xml:space="preserve">ומסמכות האחרונה לקבוע כי לא נדרשה פנייה אליה משאין מדובר לשיטתה בסטייה מכללי אשר. </w:t>
      </w:r>
    </w:p>
    <w:p w14:paraId="24000046" w14:textId="77777777" w:rsidR="00CE3E58" w:rsidRPr="00CE3E58" w:rsidRDefault="00CE3E58" w:rsidP="00CE3E58">
      <w:pPr>
        <w:pStyle w:val="Ruller4"/>
        <w:numPr>
          <w:ilvl w:val="0"/>
          <w:numId w:val="0"/>
        </w:numPr>
        <w:rPr>
          <w:rtl/>
        </w:rPr>
      </w:pPr>
    </w:p>
    <w:p w14:paraId="2F174836" w14:textId="1569AB18" w:rsidR="00CE3E58" w:rsidRDefault="00CE3E58" w:rsidP="00CE3E58">
      <w:pPr>
        <w:pStyle w:val="Ruller4"/>
        <w:numPr>
          <w:ilvl w:val="0"/>
          <w:numId w:val="0"/>
        </w:numPr>
        <w:rPr>
          <w:rtl/>
        </w:rPr>
      </w:pPr>
      <w:r w:rsidRPr="00CE3E58">
        <w:rPr>
          <w:rFonts w:ascii="Century" w:hAnsi="Century"/>
          <w:sz w:val="22"/>
          <w:rtl/>
        </w:rPr>
        <w:tab/>
      </w:r>
      <w:r w:rsidRPr="00CE3E58">
        <w:rPr>
          <w:rFonts w:ascii="Century" w:hAnsi="Century" w:hint="cs"/>
          <w:sz w:val="22"/>
          <w:rtl/>
        </w:rPr>
        <w:t>סוף דבר: אני מצטרף אפוא גם לתוצאה המוצעת על ידי חברתי בכל הנוגע להחזרת הכספים שקיבלו נתניהו ורעייתו לעיזבונו של מיליקובסקי ולהסכם ההלוואה שנכרת בין נתניהו לבין פרטרידג' (כמפורט בפסקה 61 לחוות דעתה).</w:t>
      </w:r>
    </w:p>
    <w:p w14:paraId="11D56547" w14:textId="7E3C0FF1" w:rsidR="00CE3E58" w:rsidRDefault="00CE3E58" w:rsidP="00CE3E58">
      <w:pPr>
        <w:pStyle w:val="Ruller41"/>
        <w:rPr>
          <w:rtl/>
        </w:rPr>
      </w:pPr>
    </w:p>
    <w:p w14:paraId="66B8C8EA" w14:textId="573A6A43" w:rsidR="00397BB3" w:rsidRPr="00CE3E58" w:rsidRDefault="00397BB3" w:rsidP="00CE3E58">
      <w:pPr>
        <w:pStyle w:val="Ruller41"/>
        <w:rPr>
          <w:rtl/>
        </w:rPr>
      </w:pPr>
    </w:p>
    <w:p w14:paraId="10381BA1" w14:textId="53864EDD" w:rsidR="00CE3E58" w:rsidRDefault="00CE3E58" w:rsidP="00F125D1">
      <w:pPr>
        <w:rPr>
          <w:szCs w:val="20"/>
          <w:rtl/>
        </w:rPr>
      </w:pPr>
    </w:p>
    <w:tbl>
      <w:tblPr>
        <w:bidiVisual/>
        <w:tblW w:w="8363" w:type="dxa"/>
        <w:tblLook w:val="01E0" w:firstRow="1" w:lastRow="1" w:firstColumn="1" w:lastColumn="1" w:noHBand="0" w:noVBand="0"/>
      </w:tblPr>
      <w:tblGrid>
        <w:gridCol w:w="2783"/>
        <w:gridCol w:w="2797"/>
        <w:gridCol w:w="2783"/>
      </w:tblGrid>
      <w:tr w:rsidR="00CE3E58" w:rsidRPr="0097533F" w14:paraId="7A5A97BB" w14:textId="77777777" w:rsidTr="00CE3E58">
        <w:tc>
          <w:tcPr>
            <w:tcW w:w="2783" w:type="dxa"/>
            <w:shd w:val="clear" w:color="auto" w:fill="auto"/>
          </w:tcPr>
          <w:p w14:paraId="667DC68F" w14:textId="210786A1" w:rsidR="00CE3E58" w:rsidRPr="00CE3E58" w:rsidRDefault="00CE3E58" w:rsidP="00CE3E58">
            <w:pPr>
              <w:pStyle w:val="Ruller41"/>
              <w:rPr>
                <w:rtl/>
              </w:rPr>
            </w:pPr>
            <w:r w:rsidRPr="00CE3E58">
              <w:rPr>
                <w:rFonts w:ascii="FrankRuehl" w:hAnsi="FrankRuehl"/>
                <w:sz w:val="28"/>
                <w:rtl/>
              </w:rPr>
              <w:t> </w:t>
            </w:r>
          </w:p>
        </w:tc>
        <w:tc>
          <w:tcPr>
            <w:tcW w:w="2797" w:type="dxa"/>
            <w:shd w:val="clear" w:color="auto" w:fill="auto"/>
          </w:tcPr>
          <w:p w14:paraId="02375CAE" w14:textId="667589FE" w:rsidR="00CE3E58" w:rsidRPr="00CE3E58" w:rsidRDefault="00CE3E58" w:rsidP="00CE3E58">
            <w:pPr>
              <w:pStyle w:val="Ruller41"/>
              <w:jc w:val="center"/>
              <w:rPr>
                <w:rtl/>
              </w:rPr>
            </w:pPr>
            <w:r w:rsidRPr="00CE3E58">
              <w:rPr>
                <w:rFonts w:ascii="FrankRuehl" w:hAnsi="FrankRuehl"/>
                <w:sz w:val="28"/>
                <w:rtl/>
              </w:rPr>
              <w:t> </w:t>
            </w:r>
          </w:p>
        </w:tc>
        <w:tc>
          <w:tcPr>
            <w:tcW w:w="2783" w:type="dxa"/>
            <w:shd w:val="clear" w:color="auto" w:fill="auto"/>
          </w:tcPr>
          <w:p w14:paraId="20EB34F0" w14:textId="00821A9C" w:rsidR="00CE3E58" w:rsidRPr="00CE3E58" w:rsidRDefault="00CE3E58" w:rsidP="00CE3E58">
            <w:pPr>
              <w:pStyle w:val="Ruller41"/>
              <w:jc w:val="center"/>
              <w:rPr>
                <w:rtl/>
              </w:rPr>
            </w:pPr>
            <w:r w:rsidRPr="00CE3E58">
              <w:rPr>
                <w:rFonts w:ascii="FrankRuehl" w:hAnsi="FrankRuehl"/>
                <w:sz w:val="28"/>
                <w:rtl/>
              </w:rPr>
              <w:t>המשנה לנשיאה</w:t>
            </w:r>
          </w:p>
        </w:tc>
      </w:tr>
    </w:tbl>
    <w:p w14:paraId="628C4761" w14:textId="6F80F20F" w:rsidR="00CE3E58" w:rsidRDefault="00CE3E58" w:rsidP="00F125D1">
      <w:pPr>
        <w:rPr>
          <w:szCs w:val="20"/>
          <w:rtl/>
        </w:rPr>
      </w:pPr>
    </w:p>
    <w:p w14:paraId="766A5119" w14:textId="17E696AA" w:rsidR="00CE3E58" w:rsidRDefault="00CE3E58" w:rsidP="00F125D1">
      <w:pPr>
        <w:rPr>
          <w:szCs w:val="20"/>
          <w:rtl/>
        </w:rPr>
      </w:pPr>
    </w:p>
    <w:p w14:paraId="71352160" w14:textId="77777777" w:rsidR="00B05529" w:rsidRDefault="00B05529" w:rsidP="00B05529">
      <w:pPr>
        <w:pStyle w:val="BODYVERDICT"/>
      </w:pPr>
    </w:p>
    <w:p w14:paraId="1E4E45A1" w14:textId="77777777" w:rsidR="00B05529" w:rsidRPr="00503A3E" w:rsidRDefault="00B05529" w:rsidP="00B05529">
      <w:pPr>
        <w:pStyle w:val="BODYVERDICT"/>
        <w:rPr>
          <w:rFonts w:cs="Miriam"/>
          <w:sz w:val="24"/>
          <w:szCs w:val="24"/>
          <w:u w:val="single"/>
          <w:rtl/>
        </w:rPr>
      </w:pPr>
      <w:r>
        <w:rPr>
          <w:rFonts w:cs="Miriam"/>
          <w:sz w:val="24"/>
          <w:szCs w:val="24"/>
          <w:u w:val="single"/>
          <w:rtl/>
        </w:rPr>
        <w:t>השופטת ד' ברק-ארז:</w:t>
      </w:r>
    </w:p>
    <w:p w14:paraId="3BD1FEBD" w14:textId="77777777" w:rsidR="00B05529" w:rsidRDefault="00B05529" w:rsidP="00B05529">
      <w:pPr>
        <w:pStyle w:val="Ruller41"/>
        <w:rPr>
          <w:rtl/>
        </w:rPr>
      </w:pPr>
    </w:p>
    <w:p w14:paraId="02267CEB" w14:textId="17B6E7A0" w:rsidR="00B05529" w:rsidRPr="00B97652" w:rsidRDefault="00B05529" w:rsidP="00B05529">
      <w:pPr>
        <w:pStyle w:val="Ruller41"/>
        <w:rPr>
          <w:rtl/>
        </w:rPr>
      </w:pPr>
      <w:r>
        <w:rPr>
          <w:rtl/>
        </w:rPr>
        <w:tab/>
      </w:r>
      <w:r>
        <w:rPr>
          <w:rFonts w:hint="cs"/>
          <w:rtl/>
        </w:rPr>
        <w:t>הדיון שבפנינו חידד פעם נוספת את החשיבות הרבה הנודעת לאיסורים החלים על קבלת טובות הנאה על-ידי עובדי ציבור. אלה קשורים בטבורם לעיקרון הרחב והחשוב שעניינו האיסור על הימצאותם של עובדי ציבור במצבים שבהם מתעורר חשש לקיומו של ניגוד עניינים. ההסדר הסטטוטור</w:t>
      </w:r>
      <w:r>
        <w:rPr>
          <w:rFonts w:hint="eastAsia"/>
          <w:rtl/>
        </w:rPr>
        <w:t>י</w:t>
      </w:r>
      <w:r>
        <w:rPr>
          <w:rFonts w:hint="cs"/>
          <w:rtl/>
        </w:rPr>
        <w:t xml:space="preserve"> המעוגן בחוק שירות הציבור (מתנות), התש"ם-1979 הוא אחד הביטויים הקונקרטיים של עיקרון זה, בהתחשב בסכנה הממשית להימצאות במצב של ניגוד עניינים על רקע קבלת מתנות, ולו אף ללא מודעות לכך. ההסדר הסטטוטורי שנקבע מושתת על התפיסה כי יש לצמצם ככל הניתן מראש את פוטנציאל ניגוד האינטרסים בקרב מקבלי ההחלטות, בבחינת "טובה מניעה מתרופה", מתוך שאיפה לשמירה על טוהר המידות של בעלי תפקיד בשירות הציבורי (</w:t>
      </w:r>
      <w:r w:rsidRPr="00B94367">
        <w:rPr>
          <w:rFonts w:ascii="Century" w:hAnsi="Century" w:hint="cs"/>
          <w:rtl/>
        </w:rPr>
        <w:t>ראו</w:t>
      </w:r>
      <w:r>
        <w:rPr>
          <w:rFonts w:ascii="Century" w:hAnsi="Century" w:hint="cs"/>
          <w:rtl/>
        </w:rPr>
        <w:t xml:space="preserve"> גם</w:t>
      </w:r>
      <w:r w:rsidRPr="00B94367">
        <w:rPr>
          <w:rFonts w:ascii="Century" w:hAnsi="Century" w:hint="cs"/>
          <w:rtl/>
        </w:rPr>
        <w:t xml:space="preserve">: </w:t>
      </w:r>
      <w:r w:rsidRPr="00B94367">
        <w:rPr>
          <w:rFonts w:ascii="Century" w:hAnsi="Century" w:hint="eastAsia"/>
          <w:rtl/>
        </w:rPr>
        <w:t>דפנה</w:t>
      </w:r>
      <w:r w:rsidRPr="00B94367">
        <w:rPr>
          <w:rFonts w:ascii="Century" w:hAnsi="Century"/>
          <w:rtl/>
        </w:rPr>
        <w:t xml:space="preserve"> </w:t>
      </w:r>
      <w:r w:rsidRPr="00B94367">
        <w:rPr>
          <w:rFonts w:ascii="Century" w:hAnsi="Century" w:hint="eastAsia"/>
          <w:rtl/>
        </w:rPr>
        <w:t>ברק</w:t>
      </w:r>
      <w:r w:rsidRPr="00B94367">
        <w:rPr>
          <w:rFonts w:ascii="Century" w:hAnsi="Century"/>
          <w:rtl/>
        </w:rPr>
        <w:t>-</w:t>
      </w:r>
      <w:r w:rsidRPr="00B94367">
        <w:rPr>
          <w:rFonts w:ascii="Century" w:hAnsi="Century" w:hint="eastAsia"/>
          <w:rtl/>
        </w:rPr>
        <w:t>ארז</w:t>
      </w:r>
      <w:r w:rsidRPr="00B94367">
        <w:rPr>
          <w:rFonts w:ascii="Century" w:hAnsi="Century"/>
          <w:rtl/>
        </w:rPr>
        <w:t xml:space="preserve">, </w:t>
      </w:r>
      <w:r w:rsidR="00773275">
        <w:rPr>
          <w:rFonts w:ascii="Century" w:hAnsi="Century" w:hint="cs"/>
          <w:rtl/>
        </w:rPr>
        <w:t>"</w:t>
      </w:r>
      <w:r w:rsidRPr="00B94367">
        <w:rPr>
          <w:rFonts w:ascii="Century" w:hAnsi="Century" w:hint="eastAsia"/>
          <w:rtl/>
        </w:rPr>
        <w:t>המשפט</w:t>
      </w:r>
      <w:r w:rsidRPr="00B94367">
        <w:rPr>
          <w:rFonts w:ascii="Century" w:hAnsi="Century"/>
          <w:rtl/>
        </w:rPr>
        <w:t xml:space="preserve"> </w:t>
      </w:r>
      <w:r w:rsidRPr="00B94367">
        <w:rPr>
          <w:rFonts w:ascii="Century" w:hAnsi="Century" w:hint="eastAsia"/>
          <w:rtl/>
        </w:rPr>
        <w:t>המנהלי</w:t>
      </w:r>
      <w:r w:rsidRPr="00B94367">
        <w:rPr>
          <w:rFonts w:ascii="Century" w:hAnsi="Century"/>
          <w:rtl/>
        </w:rPr>
        <w:t xml:space="preserve"> </w:t>
      </w:r>
      <w:r w:rsidRPr="00B94367">
        <w:rPr>
          <w:rFonts w:ascii="Century" w:hAnsi="Century" w:hint="eastAsia"/>
          <w:rtl/>
        </w:rPr>
        <w:t>והמאבק</w:t>
      </w:r>
      <w:r w:rsidRPr="00B94367">
        <w:rPr>
          <w:rFonts w:ascii="Century" w:hAnsi="Century"/>
          <w:rtl/>
        </w:rPr>
        <w:t xml:space="preserve"> </w:t>
      </w:r>
      <w:r w:rsidRPr="00B94367">
        <w:rPr>
          <w:rFonts w:ascii="Century" w:hAnsi="Century" w:hint="eastAsia"/>
          <w:rtl/>
        </w:rPr>
        <w:t>בשחיתות</w:t>
      </w:r>
      <w:r w:rsidRPr="00B94367">
        <w:rPr>
          <w:rFonts w:ascii="Century" w:hAnsi="Century"/>
          <w:rtl/>
        </w:rPr>
        <w:t xml:space="preserve"> </w:t>
      </w:r>
      <w:r w:rsidRPr="00B94367">
        <w:rPr>
          <w:rFonts w:ascii="Century" w:hAnsi="Century" w:hint="eastAsia"/>
          <w:rtl/>
        </w:rPr>
        <w:t>השלטונית</w:t>
      </w:r>
      <w:r w:rsidR="00773275">
        <w:rPr>
          <w:rFonts w:ascii="Century" w:hAnsi="Century" w:hint="cs"/>
          <w:rtl/>
        </w:rPr>
        <w:t>"</w:t>
      </w:r>
      <w:bookmarkStart w:id="6" w:name="_GoBack"/>
      <w:bookmarkEnd w:id="6"/>
      <w:r w:rsidRPr="00B94367">
        <w:rPr>
          <w:rFonts w:ascii="Century" w:hAnsi="Century"/>
          <w:rtl/>
        </w:rPr>
        <w:t xml:space="preserve"> </w:t>
      </w:r>
      <w:r w:rsidRPr="00B94367">
        <w:rPr>
          <w:rFonts w:ascii="Century" w:hAnsi="Century" w:cs="Miriam" w:hint="eastAsia"/>
          <w:b/>
          <w:spacing w:val="0"/>
          <w:szCs w:val="24"/>
          <w:rtl/>
        </w:rPr>
        <w:t>משפטים</w:t>
      </w:r>
      <w:r w:rsidRPr="00B94367">
        <w:rPr>
          <w:rFonts w:ascii="Century" w:hAnsi="Century"/>
          <w:rtl/>
        </w:rPr>
        <w:t xml:space="preserve"> </w:t>
      </w:r>
      <w:r w:rsidRPr="00B94367">
        <w:rPr>
          <w:rFonts w:ascii="Century" w:hAnsi="Century" w:hint="eastAsia"/>
          <w:rtl/>
        </w:rPr>
        <w:t>לז</w:t>
      </w:r>
      <w:r w:rsidRPr="00B94367">
        <w:rPr>
          <w:rFonts w:ascii="Century" w:hAnsi="Century"/>
          <w:rtl/>
        </w:rPr>
        <w:t xml:space="preserve"> 667</w:t>
      </w:r>
      <w:r w:rsidRPr="00B94367">
        <w:rPr>
          <w:rFonts w:ascii="Century" w:hAnsi="Century" w:hint="cs"/>
          <w:rtl/>
        </w:rPr>
        <w:t>, 680</w:t>
      </w:r>
      <w:r w:rsidRPr="00B94367">
        <w:rPr>
          <w:rFonts w:ascii="Century" w:hAnsi="Century"/>
          <w:rtl/>
        </w:rPr>
        <w:t xml:space="preserve"> (2007)</w:t>
      </w:r>
      <w:r w:rsidRPr="00B94367">
        <w:rPr>
          <w:rFonts w:ascii="Century" w:hAnsi="Century" w:hint="cs"/>
          <w:rtl/>
        </w:rPr>
        <w:t xml:space="preserve">; </w:t>
      </w:r>
      <w:r w:rsidRPr="00B94367">
        <w:rPr>
          <w:rFonts w:ascii="Century" w:hAnsi="Century" w:hint="eastAsia"/>
          <w:rtl/>
        </w:rPr>
        <w:t>דפנה</w:t>
      </w:r>
      <w:r w:rsidRPr="00B94367">
        <w:rPr>
          <w:rFonts w:ascii="Century" w:hAnsi="Century"/>
          <w:rtl/>
        </w:rPr>
        <w:t xml:space="preserve"> </w:t>
      </w:r>
      <w:r w:rsidRPr="00B94367">
        <w:rPr>
          <w:rFonts w:ascii="Century" w:hAnsi="Century" w:hint="eastAsia"/>
          <w:rtl/>
        </w:rPr>
        <w:t>ברק</w:t>
      </w:r>
      <w:r>
        <w:rPr>
          <w:rFonts w:ascii="Century" w:hAnsi="Century" w:hint="cs"/>
          <w:rtl/>
        </w:rPr>
        <w:t>-</w:t>
      </w:r>
      <w:r w:rsidRPr="00B94367">
        <w:rPr>
          <w:rFonts w:ascii="Century" w:hAnsi="Century" w:hint="eastAsia"/>
          <w:rtl/>
        </w:rPr>
        <w:t>ארז</w:t>
      </w:r>
      <w:r w:rsidRPr="00B94367">
        <w:rPr>
          <w:rFonts w:ascii="Century" w:hAnsi="Century"/>
          <w:rtl/>
        </w:rPr>
        <w:t xml:space="preserve"> "</w:t>
      </w:r>
      <w:r w:rsidRPr="00B94367">
        <w:rPr>
          <w:rFonts w:ascii="Century" w:hAnsi="Century" w:hint="eastAsia"/>
          <w:rtl/>
        </w:rPr>
        <w:t>אינטרסים</w:t>
      </w:r>
      <w:r w:rsidRPr="00B94367">
        <w:rPr>
          <w:rFonts w:ascii="Century" w:hAnsi="Century"/>
          <w:rtl/>
        </w:rPr>
        <w:t xml:space="preserve"> </w:t>
      </w:r>
      <w:r w:rsidRPr="00B94367">
        <w:rPr>
          <w:rFonts w:ascii="Century" w:hAnsi="Century" w:hint="eastAsia"/>
          <w:rtl/>
        </w:rPr>
        <w:t>נוגדים</w:t>
      </w:r>
      <w:r w:rsidRPr="00B94367">
        <w:rPr>
          <w:rFonts w:ascii="Century" w:hAnsi="Century"/>
          <w:rtl/>
        </w:rPr>
        <w:t xml:space="preserve"> </w:t>
      </w:r>
      <w:r w:rsidRPr="00B94367">
        <w:rPr>
          <w:rFonts w:ascii="Century" w:hAnsi="Century" w:hint="eastAsia"/>
          <w:rtl/>
        </w:rPr>
        <w:t>וניגוד</w:t>
      </w:r>
      <w:r w:rsidRPr="00B94367">
        <w:rPr>
          <w:rFonts w:ascii="Century" w:hAnsi="Century"/>
          <w:rtl/>
        </w:rPr>
        <w:t xml:space="preserve"> </w:t>
      </w:r>
      <w:r w:rsidRPr="00B94367">
        <w:rPr>
          <w:rFonts w:ascii="Century" w:hAnsi="Century" w:hint="eastAsia"/>
          <w:rtl/>
        </w:rPr>
        <w:t>אינטרסים</w:t>
      </w:r>
      <w:r w:rsidRPr="00B94367">
        <w:rPr>
          <w:rFonts w:ascii="Century" w:hAnsi="Century"/>
          <w:rtl/>
        </w:rPr>
        <w:t xml:space="preserve"> </w:t>
      </w:r>
      <w:r w:rsidRPr="00B94367">
        <w:rPr>
          <w:rFonts w:ascii="Century" w:hAnsi="Century" w:hint="eastAsia"/>
          <w:rtl/>
        </w:rPr>
        <w:t>במשפט</w:t>
      </w:r>
      <w:r w:rsidRPr="00B94367">
        <w:rPr>
          <w:rFonts w:ascii="Century" w:hAnsi="Century"/>
          <w:rtl/>
        </w:rPr>
        <w:t xml:space="preserve"> </w:t>
      </w:r>
      <w:r w:rsidRPr="00B94367">
        <w:rPr>
          <w:rFonts w:ascii="Century" w:hAnsi="Century" w:hint="eastAsia"/>
          <w:rtl/>
        </w:rPr>
        <w:t>המנהלי</w:t>
      </w:r>
      <w:r w:rsidRPr="00B94367">
        <w:rPr>
          <w:rFonts w:ascii="Century" w:hAnsi="Century"/>
          <w:rtl/>
        </w:rPr>
        <w:t xml:space="preserve">" </w:t>
      </w:r>
      <w:r w:rsidRPr="00B94367">
        <w:rPr>
          <w:rFonts w:ascii="Century" w:hAnsi="Century" w:cs="Miriam" w:hint="eastAsia"/>
          <w:b/>
          <w:spacing w:val="0"/>
          <w:szCs w:val="24"/>
          <w:rtl/>
        </w:rPr>
        <w:t>ניגוד</w:t>
      </w:r>
      <w:r w:rsidRPr="00B94367">
        <w:rPr>
          <w:rFonts w:ascii="Century" w:hAnsi="Century" w:cs="Miriam"/>
          <w:b/>
          <w:spacing w:val="0"/>
          <w:szCs w:val="24"/>
          <w:rtl/>
        </w:rPr>
        <w:t xml:space="preserve"> </w:t>
      </w:r>
      <w:r w:rsidRPr="00B94367">
        <w:rPr>
          <w:rFonts w:ascii="Century" w:hAnsi="Century" w:cs="Miriam" w:hint="eastAsia"/>
          <w:b/>
          <w:spacing w:val="0"/>
          <w:szCs w:val="24"/>
          <w:rtl/>
        </w:rPr>
        <w:t>עניינים</w:t>
      </w:r>
      <w:r w:rsidRPr="00B94367">
        <w:rPr>
          <w:rFonts w:ascii="Century" w:hAnsi="Century" w:cs="Miriam"/>
          <w:b/>
          <w:spacing w:val="0"/>
          <w:szCs w:val="24"/>
          <w:rtl/>
        </w:rPr>
        <w:t xml:space="preserve"> </w:t>
      </w:r>
      <w:r w:rsidRPr="00B94367">
        <w:rPr>
          <w:rFonts w:ascii="Century" w:hAnsi="Century" w:cs="Miriam" w:hint="eastAsia"/>
          <w:b/>
          <w:spacing w:val="0"/>
          <w:szCs w:val="24"/>
          <w:rtl/>
        </w:rPr>
        <w:t>במרחב</w:t>
      </w:r>
      <w:r w:rsidRPr="00B94367">
        <w:rPr>
          <w:rFonts w:ascii="Century" w:hAnsi="Century" w:cs="Miriam"/>
          <w:b/>
          <w:spacing w:val="0"/>
          <w:szCs w:val="24"/>
          <w:rtl/>
        </w:rPr>
        <w:t xml:space="preserve"> </w:t>
      </w:r>
      <w:r w:rsidRPr="00B94367">
        <w:rPr>
          <w:rFonts w:ascii="Century" w:hAnsi="Century" w:cs="Miriam" w:hint="eastAsia"/>
          <w:b/>
          <w:spacing w:val="0"/>
          <w:szCs w:val="24"/>
          <w:rtl/>
        </w:rPr>
        <w:t>הציבורי</w:t>
      </w:r>
      <w:r w:rsidRPr="00B94367">
        <w:rPr>
          <w:rFonts w:ascii="Century" w:hAnsi="Century" w:cs="Miriam"/>
          <w:b/>
          <w:spacing w:val="0"/>
          <w:szCs w:val="24"/>
          <w:rtl/>
        </w:rPr>
        <w:t xml:space="preserve"> </w:t>
      </w:r>
      <w:r>
        <w:rPr>
          <w:rFonts w:ascii="Century" w:hAnsi="Century"/>
          <w:rtl/>
        </w:rPr>
        <w:t>–</w:t>
      </w:r>
      <w:r w:rsidRPr="00B94367">
        <w:rPr>
          <w:rFonts w:ascii="Century" w:hAnsi="Century" w:cs="Miriam"/>
          <w:b/>
          <w:spacing w:val="0"/>
          <w:szCs w:val="24"/>
          <w:rtl/>
        </w:rPr>
        <w:t xml:space="preserve"> </w:t>
      </w:r>
      <w:r w:rsidRPr="00B94367">
        <w:rPr>
          <w:rFonts w:ascii="Century" w:hAnsi="Century" w:cs="Miriam" w:hint="eastAsia"/>
          <w:b/>
          <w:spacing w:val="0"/>
          <w:szCs w:val="24"/>
          <w:rtl/>
        </w:rPr>
        <w:t>משפט</w:t>
      </w:r>
      <w:r w:rsidRPr="00B94367">
        <w:rPr>
          <w:rFonts w:ascii="Century" w:hAnsi="Century" w:cs="Miriam"/>
          <w:b/>
          <w:spacing w:val="0"/>
          <w:szCs w:val="24"/>
          <w:rtl/>
        </w:rPr>
        <w:t xml:space="preserve">, </w:t>
      </w:r>
      <w:r w:rsidRPr="00B94367">
        <w:rPr>
          <w:rFonts w:ascii="Century" w:hAnsi="Century" w:cs="Miriam" w:hint="eastAsia"/>
          <w:b/>
          <w:spacing w:val="0"/>
          <w:szCs w:val="24"/>
          <w:rtl/>
        </w:rPr>
        <w:t>תרבות</w:t>
      </w:r>
      <w:r w:rsidRPr="00B94367">
        <w:rPr>
          <w:rFonts w:ascii="Century" w:hAnsi="Century" w:cs="Miriam"/>
          <w:b/>
          <w:spacing w:val="0"/>
          <w:szCs w:val="24"/>
          <w:rtl/>
        </w:rPr>
        <w:t xml:space="preserve">, </w:t>
      </w:r>
      <w:r w:rsidRPr="00B94367">
        <w:rPr>
          <w:rFonts w:ascii="Century" w:hAnsi="Century" w:cs="Miriam" w:hint="eastAsia"/>
          <w:b/>
          <w:spacing w:val="0"/>
          <w:szCs w:val="24"/>
          <w:rtl/>
        </w:rPr>
        <w:t>אתיקה</w:t>
      </w:r>
      <w:r w:rsidRPr="00B94367">
        <w:rPr>
          <w:rFonts w:ascii="Century" w:hAnsi="Century" w:cs="Miriam"/>
          <w:b/>
          <w:spacing w:val="0"/>
          <w:szCs w:val="24"/>
          <w:rtl/>
        </w:rPr>
        <w:t xml:space="preserve">, </w:t>
      </w:r>
      <w:r w:rsidRPr="00B94367">
        <w:rPr>
          <w:rFonts w:ascii="Century" w:hAnsi="Century" w:cs="Miriam" w:hint="eastAsia"/>
          <w:b/>
          <w:spacing w:val="0"/>
          <w:szCs w:val="24"/>
          <w:rtl/>
        </w:rPr>
        <w:t>פוליטיקה</w:t>
      </w:r>
      <w:r w:rsidRPr="00B94367">
        <w:rPr>
          <w:rFonts w:ascii="Century" w:hAnsi="Century"/>
          <w:rtl/>
        </w:rPr>
        <w:t xml:space="preserve"> 209, 217-216</w:t>
      </w:r>
      <w:r w:rsidRPr="00B94367">
        <w:rPr>
          <w:rFonts w:ascii="Century" w:hAnsi="Century" w:hint="cs"/>
          <w:rtl/>
        </w:rPr>
        <w:t xml:space="preserve"> (דפנה ברק-ארז, דורון נבות ומרדכי קרמניצר עורכים, 2009)). </w:t>
      </w:r>
    </w:p>
    <w:p w14:paraId="1992F833" w14:textId="77777777" w:rsidR="00B05529" w:rsidRDefault="00B05529" w:rsidP="00B05529">
      <w:pPr>
        <w:pStyle w:val="Ruller41"/>
        <w:rPr>
          <w:rtl/>
        </w:rPr>
      </w:pPr>
    </w:p>
    <w:p w14:paraId="3648722E" w14:textId="77777777" w:rsidR="00B05529" w:rsidRDefault="00B05529" w:rsidP="00B05529">
      <w:pPr>
        <w:pStyle w:val="Ruller41"/>
        <w:rPr>
          <w:rtl/>
        </w:rPr>
      </w:pPr>
      <w:r>
        <w:rPr>
          <w:rtl/>
        </w:rPr>
        <w:tab/>
      </w:r>
      <w:r>
        <w:rPr>
          <w:rFonts w:hint="cs"/>
          <w:rtl/>
        </w:rPr>
        <w:t xml:space="preserve">אשר על כן, בעיקרו של דבר, אני מסכימה לפסק דינה המקיף והמשכנע של חברתי הנשיאה </w:t>
      </w:r>
      <w:r w:rsidRPr="0027283E">
        <w:rPr>
          <w:rFonts w:ascii="Century" w:hAnsi="Century" w:cs="Miriam" w:hint="cs"/>
          <w:b/>
          <w:spacing w:val="0"/>
          <w:szCs w:val="24"/>
          <w:rtl/>
        </w:rPr>
        <w:t>א' חיות</w:t>
      </w:r>
      <w:r>
        <w:rPr>
          <w:rFonts w:ascii="Century" w:hAnsi="Century" w:hint="cs"/>
          <w:rtl/>
        </w:rPr>
        <w:t xml:space="preserve">. כמו כן, אני מבקשת להצטרף </w:t>
      </w:r>
      <w:r w:rsidRPr="00507876">
        <w:rPr>
          <w:rFonts w:ascii="Century" w:hAnsi="Century" w:hint="cs"/>
          <w:rtl/>
        </w:rPr>
        <w:t>להער</w:t>
      </w:r>
      <w:r>
        <w:rPr>
          <w:rFonts w:hint="cs"/>
          <w:rtl/>
        </w:rPr>
        <w:t xml:space="preserve">ותיו של חברי המשנה לנשיאה </w:t>
      </w:r>
      <w:r w:rsidRPr="0027283E">
        <w:rPr>
          <w:rFonts w:ascii="Century" w:hAnsi="Century" w:cs="Miriam" w:hint="cs"/>
          <w:b/>
          <w:spacing w:val="0"/>
          <w:szCs w:val="24"/>
          <w:rtl/>
        </w:rPr>
        <w:t>ע' פוגלמן</w:t>
      </w:r>
      <w:r>
        <w:rPr>
          <w:rFonts w:hint="cs"/>
          <w:rtl/>
        </w:rPr>
        <w:t xml:space="preserve">. בהקשר זה, אבקש להדגיש, כי התייעצות של מבקר המדינה עם מערך הייעוץ המשפטי לממשלה מהווה, לטעמי, מענה ראוי למתח שהוצג בכל הנוגע לזהות הגורם המוסמך להכריע מראש באשר לקיומה של סטייה מהכללים למניעת ניגוד עניינים של שרים וסגני שרים, התשס"ג-2003 ("כללי אשר"). עוד אוסיף, כי הטענה שיש מקום לאמץ חזקה ולפיה מתנה אשר קיבל חבר ממשלה ניתנה לו באשר הוא עובד ציבור  </w:t>
      </w:r>
      <w:r>
        <w:rPr>
          <w:rFonts w:hint="cs"/>
          <w:rtl/>
        </w:rPr>
        <w:lastRenderedPageBreak/>
        <w:t xml:space="preserve">(כאשר אין מדובר במתנות קטנות ערך וסבירות שהוחרגו מהחוק), תואמת לכאורה את ניסיון החיים, וכשלעצמי הייתי נוטה לסבור שיש מקום לקבלה. זאת, מבלי לגרוע מהיותה חזקה הניתנת לסתירה בהתאם לנסיבותיו הפרטניות של כל מקרה, בדומה לחזקות אחרות המעוגנות בניסיון החיים. אולם, כפי שציין חברי המשנה לנשיאה, בסופו של דבר, אף אני סבורה כי במקרה דנן שאלה זו אינה נצרכת להכרעה על-ידינו.  </w:t>
      </w:r>
    </w:p>
    <w:p w14:paraId="14511B4A" w14:textId="77777777" w:rsidR="00B05529" w:rsidRDefault="00B05529" w:rsidP="00B05529">
      <w:pPr>
        <w:pStyle w:val="Ruller41"/>
        <w:rPr>
          <w:rtl/>
        </w:rPr>
      </w:pPr>
    </w:p>
    <w:p w14:paraId="1662D5FC" w14:textId="2E608A3B" w:rsidR="003C1907" w:rsidRDefault="003C1907" w:rsidP="00F125D1">
      <w:pPr>
        <w:rPr>
          <w:szCs w:val="20"/>
          <w:rtl/>
        </w:rPr>
      </w:pPr>
    </w:p>
    <w:p w14:paraId="48A3CD0E" w14:textId="529A4393" w:rsidR="003C1907" w:rsidRDefault="003C1907" w:rsidP="00F125D1">
      <w:pPr>
        <w:rPr>
          <w:szCs w:val="20"/>
          <w:rtl/>
        </w:rPr>
      </w:pPr>
    </w:p>
    <w:p w14:paraId="031F3D44" w14:textId="57E90D91" w:rsidR="003C1907" w:rsidRDefault="003C1907" w:rsidP="00F125D1">
      <w:pPr>
        <w:rPr>
          <w:szCs w:val="20"/>
          <w:rtl/>
        </w:rPr>
      </w:pPr>
    </w:p>
    <w:p w14:paraId="22BA5EE6" w14:textId="25274A81" w:rsidR="003C1907" w:rsidRDefault="003C1907" w:rsidP="00F125D1">
      <w:pPr>
        <w:rPr>
          <w:szCs w:val="20"/>
          <w:rtl/>
        </w:rPr>
      </w:pPr>
    </w:p>
    <w:tbl>
      <w:tblPr>
        <w:bidiVisual/>
        <w:tblW w:w="8363" w:type="dxa"/>
        <w:tblLook w:val="01E0" w:firstRow="1" w:lastRow="1" w:firstColumn="1" w:lastColumn="1" w:noHBand="0" w:noVBand="0"/>
      </w:tblPr>
      <w:tblGrid>
        <w:gridCol w:w="2783"/>
        <w:gridCol w:w="2797"/>
        <w:gridCol w:w="2783"/>
      </w:tblGrid>
      <w:tr w:rsidR="00B05529" w:rsidRPr="00CE3E58" w14:paraId="79C9C841" w14:textId="77777777" w:rsidTr="001E7C42">
        <w:tc>
          <w:tcPr>
            <w:tcW w:w="2783" w:type="dxa"/>
            <w:shd w:val="clear" w:color="auto" w:fill="auto"/>
          </w:tcPr>
          <w:p w14:paraId="69C60AE8" w14:textId="79B1A48A" w:rsidR="00B05529" w:rsidRPr="00CE3E58" w:rsidRDefault="00B05529" w:rsidP="001E7C42">
            <w:pPr>
              <w:pStyle w:val="Ruller41"/>
              <w:rPr>
                <w:rtl/>
              </w:rPr>
            </w:pPr>
          </w:p>
        </w:tc>
        <w:tc>
          <w:tcPr>
            <w:tcW w:w="2797" w:type="dxa"/>
            <w:shd w:val="clear" w:color="auto" w:fill="auto"/>
          </w:tcPr>
          <w:p w14:paraId="6D9D6116" w14:textId="771B9F0D" w:rsidR="00B05529" w:rsidRPr="00CE3E58" w:rsidRDefault="00B05529" w:rsidP="001E7C42">
            <w:pPr>
              <w:pStyle w:val="Ruller41"/>
              <w:jc w:val="center"/>
              <w:rPr>
                <w:rtl/>
              </w:rPr>
            </w:pPr>
          </w:p>
        </w:tc>
        <w:tc>
          <w:tcPr>
            <w:tcW w:w="2783" w:type="dxa"/>
            <w:shd w:val="clear" w:color="auto" w:fill="auto"/>
          </w:tcPr>
          <w:p w14:paraId="49A27E08" w14:textId="77777777" w:rsidR="00B05529" w:rsidRPr="00CE3E58" w:rsidRDefault="00B05529" w:rsidP="001E7C42">
            <w:pPr>
              <w:pStyle w:val="Ruller41"/>
              <w:jc w:val="center"/>
              <w:rPr>
                <w:rtl/>
              </w:rPr>
            </w:pPr>
            <w:r>
              <w:rPr>
                <w:rFonts w:ascii="FrankRuehl" w:hAnsi="FrankRuehl" w:hint="cs"/>
                <w:sz w:val="28"/>
                <w:rtl/>
              </w:rPr>
              <w:t xml:space="preserve">ש ו פ ט ת </w:t>
            </w:r>
          </w:p>
        </w:tc>
      </w:tr>
    </w:tbl>
    <w:p w14:paraId="6F61FDF8" w14:textId="59EA04C6" w:rsidR="003C1907" w:rsidRDefault="003C1907" w:rsidP="00F125D1">
      <w:pPr>
        <w:rPr>
          <w:szCs w:val="20"/>
          <w:rtl/>
        </w:rPr>
      </w:pPr>
    </w:p>
    <w:p w14:paraId="5FCA956D" w14:textId="0934CCCE" w:rsidR="003C1907" w:rsidRDefault="003C1907" w:rsidP="00F125D1">
      <w:pPr>
        <w:rPr>
          <w:szCs w:val="20"/>
          <w:rtl/>
        </w:rPr>
      </w:pPr>
    </w:p>
    <w:p w14:paraId="7983CA9C" w14:textId="459AA1B2" w:rsidR="003C1907" w:rsidRDefault="003C1907" w:rsidP="00F125D1">
      <w:pPr>
        <w:rPr>
          <w:szCs w:val="20"/>
          <w:rtl/>
        </w:rPr>
      </w:pPr>
    </w:p>
    <w:p w14:paraId="0D62038D" w14:textId="261D9AC8" w:rsidR="003C1907" w:rsidRDefault="003C1907" w:rsidP="00F125D1">
      <w:pPr>
        <w:rPr>
          <w:szCs w:val="20"/>
          <w:rtl/>
        </w:rPr>
      </w:pPr>
    </w:p>
    <w:p w14:paraId="38E07787" w14:textId="1C2CE61F" w:rsidR="003C1907" w:rsidRDefault="003C1907" w:rsidP="00F125D1">
      <w:pPr>
        <w:rPr>
          <w:szCs w:val="20"/>
          <w:rtl/>
        </w:rPr>
      </w:pPr>
    </w:p>
    <w:p w14:paraId="018506F6" w14:textId="34280905" w:rsidR="003C1907" w:rsidRDefault="003C1907" w:rsidP="00F125D1">
      <w:pPr>
        <w:rPr>
          <w:szCs w:val="20"/>
          <w:rtl/>
        </w:rPr>
      </w:pPr>
    </w:p>
    <w:p w14:paraId="7EEED224" w14:textId="3D8E4236" w:rsidR="003C1907" w:rsidRPr="008B6765" w:rsidRDefault="008B6765" w:rsidP="00F125D1">
      <w:pPr>
        <w:rPr>
          <w:rFonts w:ascii="Century" w:hAnsi="Century" w:cs="FrankRuehl"/>
          <w:spacing w:val="10"/>
          <w:sz w:val="22"/>
          <w:szCs w:val="28"/>
          <w:rtl/>
        </w:rPr>
      </w:pPr>
      <w:r>
        <w:rPr>
          <w:szCs w:val="20"/>
          <w:rtl/>
        </w:rPr>
        <w:tab/>
      </w:r>
      <w:r w:rsidRPr="008B6765">
        <w:rPr>
          <w:rFonts w:ascii="Century" w:hAnsi="Century" w:cs="FrankRuehl" w:hint="cs"/>
          <w:spacing w:val="10"/>
          <w:sz w:val="22"/>
          <w:szCs w:val="28"/>
          <w:rtl/>
        </w:rPr>
        <w:t>הוחלט כאמור בפסק דינה של הנשיאה</w:t>
      </w:r>
      <w:r>
        <w:rPr>
          <w:rFonts w:ascii="Century" w:hAnsi="Century" w:cs="FrankRuehl" w:hint="cs"/>
          <w:spacing w:val="10"/>
          <w:sz w:val="22"/>
          <w:szCs w:val="28"/>
          <w:rtl/>
        </w:rPr>
        <w:t xml:space="preserve"> </w:t>
      </w:r>
      <w:r w:rsidRPr="008B6765">
        <w:rPr>
          <w:rFonts w:ascii="Miriam" w:hAnsi="Miriam" w:cs="Miriam"/>
          <w:spacing w:val="10"/>
          <w:rtl/>
        </w:rPr>
        <w:t>א' חיות</w:t>
      </w:r>
      <w:r w:rsidRPr="008B6765">
        <w:rPr>
          <w:rFonts w:ascii="Century" w:hAnsi="Century" w:cs="FrankRuehl" w:hint="cs"/>
          <w:spacing w:val="10"/>
          <w:sz w:val="22"/>
          <w:szCs w:val="28"/>
          <w:rtl/>
        </w:rPr>
        <w:t xml:space="preserve">. </w:t>
      </w:r>
    </w:p>
    <w:p w14:paraId="6F6EC439" w14:textId="7B579A87" w:rsidR="003C1907" w:rsidRPr="008B6765" w:rsidRDefault="003C1907" w:rsidP="00F125D1">
      <w:pPr>
        <w:rPr>
          <w:rFonts w:ascii="Century" w:hAnsi="Century" w:cs="FrankRuehl"/>
          <w:spacing w:val="10"/>
          <w:sz w:val="22"/>
          <w:szCs w:val="28"/>
          <w:rtl/>
        </w:rPr>
      </w:pPr>
    </w:p>
    <w:p w14:paraId="6AD017AA" w14:textId="7803FED8" w:rsidR="003C1907" w:rsidRDefault="003C1907" w:rsidP="00F125D1">
      <w:pPr>
        <w:rPr>
          <w:szCs w:val="20"/>
          <w:rtl/>
        </w:rPr>
      </w:pPr>
    </w:p>
    <w:p w14:paraId="4C549130" w14:textId="48567BCE" w:rsidR="003C1907" w:rsidRDefault="003C1907" w:rsidP="00F125D1">
      <w:pPr>
        <w:rPr>
          <w:szCs w:val="20"/>
          <w:rtl/>
        </w:rPr>
      </w:pPr>
    </w:p>
    <w:p w14:paraId="38D861AE" w14:textId="2E781F27" w:rsidR="003C1907" w:rsidRDefault="003C1907" w:rsidP="00F125D1">
      <w:pPr>
        <w:rPr>
          <w:szCs w:val="20"/>
          <w:rtl/>
        </w:rPr>
      </w:pPr>
    </w:p>
    <w:p w14:paraId="220611EF" w14:textId="4B621890" w:rsidR="003C1907" w:rsidRPr="003C1907" w:rsidRDefault="003C1907" w:rsidP="00A246F4">
      <w:pPr>
        <w:rPr>
          <w:rFonts w:ascii="Century" w:hAnsi="Century" w:cs="FrankRuehl"/>
          <w:spacing w:val="10"/>
          <w:sz w:val="22"/>
          <w:szCs w:val="28"/>
          <w:rtl/>
        </w:rPr>
      </w:pPr>
      <w:r>
        <w:rPr>
          <w:szCs w:val="20"/>
          <w:rtl/>
        </w:rPr>
        <w:tab/>
      </w:r>
      <w:r w:rsidRPr="003C1907">
        <w:rPr>
          <w:rFonts w:ascii="Century" w:hAnsi="Century" w:cs="FrankRuehl"/>
          <w:spacing w:val="10"/>
          <w:sz w:val="22"/>
          <w:szCs w:val="28"/>
          <w:rtl/>
        </w:rPr>
        <w:t xml:space="preserve">ניתן היום, </w:t>
      </w:r>
      <w:r>
        <w:rPr>
          <w:rFonts w:ascii="Century" w:hAnsi="Century" w:cs="FrankRuehl" w:hint="cs"/>
          <w:spacing w:val="10"/>
          <w:sz w:val="22"/>
          <w:szCs w:val="28"/>
          <w:rtl/>
        </w:rPr>
        <w:t>י"</w:t>
      </w:r>
      <w:r w:rsidR="00A246F4">
        <w:rPr>
          <w:rFonts w:ascii="Century" w:hAnsi="Century" w:cs="FrankRuehl" w:hint="cs"/>
          <w:spacing w:val="10"/>
          <w:sz w:val="22"/>
          <w:szCs w:val="28"/>
          <w:rtl/>
        </w:rPr>
        <w:t>ד</w:t>
      </w:r>
      <w:r w:rsidRPr="003C1907">
        <w:rPr>
          <w:rFonts w:ascii="Century" w:hAnsi="Century" w:cs="FrankRuehl"/>
          <w:spacing w:val="10"/>
          <w:sz w:val="22"/>
          <w:szCs w:val="28"/>
          <w:rtl/>
        </w:rPr>
        <w:t xml:space="preserve"> בתשרי התשפ"ג (</w:t>
      </w:r>
      <w:r w:rsidRPr="003C1907">
        <w:rPr>
          <w:rFonts w:ascii="Century" w:hAnsi="Century" w:cs="FrankRuehl" w:hint="eastAsia"/>
          <w:spacing w:val="10"/>
          <w:sz w:val="22"/>
          <w:szCs w:val="28"/>
          <w:rtl/>
        </w:rPr>
        <w:t>‏</w:t>
      </w:r>
      <w:r w:rsidR="00A246F4">
        <w:rPr>
          <w:rFonts w:ascii="Century" w:hAnsi="Century" w:cs="FrankRuehl" w:hint="cs"/>
          <w:spacing w:val="10"/>
          <w:sz w:val="22"/>
          <w:szCs w:val="28"/>
          <w:rtl/>
        </w:rPr>
        <w:t>9</w:t>
      </w:r>
      <w:r w:rsidRPr="003C1907">
        <w:rPr>
          <w:rFonts w:ascii="Century" w:hAnsi="Century" w:cs="FrankRuehl"/>
          <w:spacing w:val="10"/>
          <w:sz w:val="22"/>
          <w:szCs w:val="28"/>
          <w:rtl/>
        </w:rPr>
        <w:t>.10.2022).</w:t>
      </w:r>
    </w:p>
    <w:p w14:paraId="6354F29D" w14:textId="77777777" w:rsidR="003C1907" w:rsidRDefault="003C1907" w:rsidP="00F125D1">
      <w:pPr>
        <w:rPr>
          <w:szCs w:val="20"/>
          <w:rtl/>
        </w:rPr>
      </w:pPr>
    </w:p>
    <w:p w14:paraId="3682DEC5" w14:textId="6F82FD4B" w:rsidR="003C1907" w:rsidRDefault="003C1907" w:rsidP="00F125D1">
      <w:pPr>
        <w:rPr>
          <w:szCs w:val="20"/>
          <w:rtl/>
        </w:rPr>
      </w:pPr>
    </w:p>
    <w:p w14:paraId="0F3C1FB5" w14:textId="1A7ABE68" w:rsidR="003C1907" w:rsidRDefault="003C1907" w:rsidP="00F125D1">
      <w:pPr>
        <w:rPr>
          <w:szCs w:val="20"/>
          <w:rtl/>
        </w:rPr>
      </w:pPr>
    </w:p>
    <w:p w14:paraId="71E74D9B" w14:textId="77777777" w:rsidR="00B05529" w:rsidRDefault="00B05529" w:rsidP="00F125D1">
      <w:pPr>
        <w:rPr>
          <w:szCs w:val="20"/>
          <w:rtl/>
        </w:rPr>
      </w:pPr>
    </w:p>
    <w:p w14:paraId="28CFAE39" w14:textId="6D0D7DE1" w:rsidR="003C1907" w:rsidRDefault="003C1907" w:rsidP="00F125D1">
      <w:pPr>
        <w:rPr>
          <w:szCs w:val="20"/>
          <w:rtl/>
        </w:rPr>
      </w:pPr>
    </w:p>
    <w:p w14:paraId="39A31E2B" w14:textId="30DA7352" w:rsidR="003C1907" w:rsidRDefault="003C1907" w:rsidP="00F125D1">
      <w:pPr>
        <w:rPr>
          <w:szCs w:val="20"/>
          <w:rtl/>
        </w:rPr>
      </w:pPr>
    </w:p>
    <w:tbl>
      <w:tblPr>
        <w:bidiVisual/>
        <w:tblW w:w="8363" w:type="dxa"/>
        <w:tblLook w:val="01E0" w:firstRow="1" w:lastRow="1" w:firstColumn="1" w:lastColumn="1" w:noHBand="0" w:noVBand="0"/>
      </w:tblPr>
      <w:tblGrid>
        <w:gridCol w:w="2783"/>
        <w:gridCol w:w="2797"/>
        <w:gridCol w:w="2783"/>
      </w:tblGrid>
      <w:tr w:rsidR="003C1907" w:rsidRPr="00CE3E58" w14:paraId="6CA5A505" w14:textId="77777777" w:rsidTr="005521C7">
        <w:tc>
          <w:tcPr>
            <w:tcW w:w="2783" w:type="dxa"/>
            <w:shd w:val="clear" w:color="auto" w:fill="auto"/>
          </w:tcPr>
          <w:p w14:paraId="7657A9E6" w14:textId="7EEBEC91" w:rsidR="003C1907" w:rsidRPr="00CE3E58" w:rsidRDefault="003C1907" w:rsidP="005521C7">
            <w:pPr>
              <w:pStyle w:val="Ruller41"/>
              <w:rPr>
                <w:rtl/>
              </w:rPr>
            </w:pPr>
            <w:r w:rsidRPr="00CE3E58">
              <w:rPr>
                <w:rFonts w:ascii="FrankRuehl" w:hAnsi="FrankRuehl"/>
                <w:sz w:val="28"/>
                <w:rtl/>
              </w:rPr>
              <w:t> </w:t>
            </w:r>
            <w:r>
              <w:rPr>
                <w:rFonts w:hint="cs"/>
                <w:rtl/>
              </w:rPr>
              <w:t xml:space="preserve">ה נ ש י א ה </w:t>
            </w:r>
          </w:p>
        </w:tc>
        <w:tc>
          <w:tcPr>
            <w:tcW w:w="2797" w:type="dxa"/>
            <w:shd w:val="clear" w:color="auto" w:fill="auto"/>
          </w:tcPr>
          <w:p w14:paraId="1C1DC83B" w14:textId="42E5026D" w:rsidR="003C1907" w:rsidRPr="00CE3E58" w:rsidRDefault="003C1907" w:rsidP="005521C7">
            <w:pPr>
              <w:pStyle w:val="Ruller41"/>
              <w:jc w:val="center"/>
              <w:rPr>
                <w:rtl/>
              </w:rPr>
            </w:pPr>
            <w:r w:rsidRPr="00CE3E58">
              <w:rPr>
                <w:rFonts w:ascii="FrankRuehl" w:hAnsi="FrankRuehl"/>
                <w:sz w:val="28"/>
                <w:rtl/>
              </w:rPr>
              <w:t> המשנה לנשיאה</w:t>
            </w:r>
          </w:p>
        </w:tc>
        <w:tc>
          <w:tcPr>
            <w:tcW w:w="2783" w:type="dxa"/>
            <w:shd w:val="clear" w:color="auto" w:fill="auto"/>
          </w:tcPr>
          <w:p w14:paraId="3D9733A9" w14:textId="6D58E6E0" w:rsidR="003C1907" w:rsidRPr="00CE3E58" w:rsidRDefault="003C1907" w:rsidP="005521C7">
            <w:pPr>
              <w:pStyle w:val="Ruller41"/>
              <w:jc w:val="center"/>
              <w:rPr>
                <w:rtl/>
              </w:rPr>
            </w:pPr>
            <w:r>
              <w:rPr>
                <w:rFonts w:ascii="FrankRuehl" w:hAnsi="FrankRuehl" w:hint="cs"/>
                <w:sz w:val="28"/>
                <w:rtl/>
              </w:rPr>
              <w:t xml:space="preserve">ש ו פ ט ת </w:t>
            </w:r>
          </w:p>
        </w:tc>
      </w:tr>
    </w:tbl>
    <w:p w14:paraId="4786CFE1" w14:textId="5607A65A" w:rsidR="003C1907" w:rsidRDefault="003C1907" w:rsidP="00F125D1">
      <w:pPr>
        <w:rPr>
          <w:szCs w:val="20"/>
          <w:rtl/>
        </w:rPr>
      </w:pPr>
    </w:p>
    <w:p w14:paraId="0D3E761A" w14:textId="77777777" w:rsidR="00854B79" w:rsidRDefault="00854B79" w:rsidP="00854B79">
      <w:pPr>
        <w:rPr>
          <w:szCs w:val="16"/>
        </w:rPr>
      </w:pPr>
      <w:r>
        <w:rPr>
          <w:szCs w:val="16"/>
          <w:rtl/>
        </w:rPr>
        <w:t>_________________________</w:t>
      </w:r>
    </w:p>
    <w:p w14:paraId="30456AC9" w14:textId="3C5DA6DE" w:rsidR="00854B79" w:rsidRDefault="00854B79" w:rsidP="00854B79">
      <w:pPr>
        <w:pStyle w:val="Ruller38"/>
        <w:rPr>
          <w:rtl/>
        </w:rPr>
      </w:pPr>
      <w:r>
        <w:rPr>
          <w:rFonts w:hint="cs"/>
          <w:sz w:val="16"/>
        </w:rPr>
        <w:t xml:space="preserve"> </w:t>
      </w:r>
      <w:r>
        <w:rPr>
          <w:sz w:val="16"/>
        </w:rPr>
        <w:t xml:space="preserve">  19056040_V27.docx   </w:t>
      </w:r>
      <w:r w:rsidR="00525979">
        <w:rPr>
          <w:rFonts w:hint="cs"/>
          <w:sz w:val="16"/>
          <w:rtl/>
        </w:rPr>
        <w:t>אש</w:t>
      </w:r>
    </w:p>
    <w:p w14:paraId="721E625B" w14:textId="77777777" w:rsidR="00854B79" w:rsidRDefault="00854B79" w:rsidP="00854B79">
      <w:pPr>
        <w:pStyle w:val="Ruller38"/>
        <w:rPr>
          <w:rtl/>
        </w:rPr>
      </w:pPr>
      <w:r>
        <w:rPr>
          <w:rtl/>
        </w:rPr>
        <w:t xml:space="preserve">מרכז מידע, טל' 077-2703333, 3852* ; אתר אינטרנט,  </w:t>
      </w:r>
      <w:hyperlink r:id="rId8" w:history="1">
        <w:r>
          <w:rPr>
            <w:rStyle w:val="Hyperlink"/>
            <w:sz w:val="16"/>
          </w:rPr>
          <w:t>https://supreme.court.gov.il</w:t>
        </w:r>
      </w:hyperlink>
    </w:p>
    <w:p w14:paraId="7E85A7D4" w14:textId="77777777" w:rsidR="00854B79" w:rsidRPr="00F125D1" w:rsidRDefault="00854B79" w:rsidP="00F125D1">
      <w:pPr>
        <w:rPr>
          <w:szCs w:val="20"/>
          <w:rtl/>
        </w:rPr>
      </w:pPr>
    </w:p>
    <w:sectPr w:rsidR="00854B79" w:rsidRPr="00F125D1" w:rsidSect="00591983">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84DCC" w14:textId="77777777" w:rsidR="009D4515" w:rsidRDefault="009D4515">
      <w:r>
        <w:separator/>
      </w:r>
    </w:p>
  </w:endnote>
  <w:endnote w:type="continuationSeparator" w:id="0">
    <w:p w14:paraId="2B238EF9" w14:textId="77777777" w:rsidR="009D4515" w:rsidRDefault="009D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rial TUR">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C83AF" w14:textId="77777777" w:rsidR="009D4515" w:rsidRDefault="009D4515">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Pr>
        <w:rStyle w:val="a4"/>
        <w:noProof/>
        <w:rtl/>
      </w:rPr>
      <w:t>1</w:t>
    </w:r>
    <w:r>
      <w:rPr>
        <w:rStyle w:val="a4"/>
        <w:rtl/>
      </w:rPr>
      <w:fldChar w:fldCharType="end"/>
    </w:r>
  </w:p>
  <w:p w14:paraId="59E4AF95" w14:textId="77777777" w:rsidR="009D4515" w:rsidRDefault="009D4515">
    <w:pPr>
      <w:pStyle w:val="a3"/>
      <w:rPr>
        <w:rtl/>
      </w:rPr>
    </w:pPr>
  </w:p>
  <w:p w14:paraId="3530CD42" w14:textId="77777777" w:rsidR="009D4515" w:rsidRDefault="009D451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6FDAA" w14:textId="77777777" w:rsidR="009D4515" w:rsidRDefault="009D4515">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3771C" w14:textId="77777777" w:rsidR="009D4515" w:rsidRPr="00F959DB" w:rsidRDefault="009D4515" w:rsidP="00914156">
    <w:pPr>
      <w:pStyle w:val="a3"/>
      <w:bidi w:val="0"/>
      <w:jc w:val="right"/>
      <w:rPr>
        <w:sz w:val="16"/>
        <w:szCs w:val="16"/>
      </w:rPr>
    </w:pPr>
    <w:bookmarkStart w:id="7" w:name="footer_line"/>
    <w:bookmarkEnd w:id="7"/>
  </w:p>
  <w:p w14:paraId="3D3D35A1" w14:textId="77777777" w:rsidR="009D4515" w:rsidRDefault="009D4515">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49690" w14:textId="77777777" w:rsidR="009D4515" w:rsidRDefault="009D4515">
      <w:r>
        <w:separator/>
      </w:r>
    </w:p>
  </w:footnote>
  <w:footnote w:type="continuationSeparator" w:id="0">
    <w:p w14:paraId="58C84EE8" w14:textId="77777777" w:rsidR="009D4515" w:rsidRDefault="009D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AF00C" w14:textId="77777777" w:rsidR="009D4515" w:rsidRDefault="009D4515">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Pr>
        <w:rStyle w:val="a4"/>
        <w:noProof/>
        <w:rtl/>
      </w:rPr>
      <w:t>1</w:t>
    </w:r>
    <w:r>
      <w:rPr>
        <w:rStyle w:val="a4"/>
        <w:rtl/>
      </w:rPr>
      <w:fldChar w:fldCharType="end"/>
    </w:r>
  </w:p>
  <w:p w14:paraId="41D8052E" w14:textId="77777777" w:rsidR="009D4515" w:rsidRDefault="009D4515">
    <w:pPr>
      <w:pStyle w:val="a5"/>
      <w:rPr>
        <w:rtl/>
      </w:rPr>
    </w:pPr>
  </w:p>
  <w:p w14:paraId="174B8344" w14:textId="77777777" w:rsidR="009D4515" w:rsidRDefault="009D451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8584" w14:textId="226E6563" w:rsidR="009D4515" w:rsidRDefault="009D4515">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773275">
      <w:rPr>
        <w:rStyle w:val="a4"/>
        <w:noProof/>
        <w:rtl/>
      </w:rPr>
      <w:t>35</w:t>
    </w:r>
    <w:r>
      <w:rPr>
        <w:rStyle w:val="a4"/>
        <w:rtl/>
      </w:rPr>
      <w:fldChar w:fldCharType="end"/>
    </w:r>
  </w:p>
  <w:p w14:paraId="2320D01A" w14:textId="77777777" w:rsidR="009D4515" w:rsidRDefault="009D4515">
    <w:pPr>
      <w:pStyle w:val="a5"/>
      <w:rPr>
        <w:rtl/>
      </w:rPr>
    </w:pPr>
  </w:p>
  <w:p w14:paraId="3CDC434C" w14:textId="77777777" w:rsidR="009D4515" w:rsidRDefault="009D451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9D4515" w14:paraId="6B479741" w14:textId="77777777" w:rsidTr="00EC23AC">
      <w:trPr>
        <w:trHeight w:val="342"/>
      </w:trPr>
      <w:tc>
        <w:tcPr>
          <w:tcW w:w="9828" w:type="dxa"/>
        </w:tcPr>
        <w:p w14:paraId="44CF99AF" w14:textId="77777777" w:rsidR="009D4515" w:rsidRPr="002F7BB6" w:rsidRDefault="009D4515" w:rsidP="00045B4D">
          <w:pPr>
            <w:pStyle w:val="Casenameintextbody"/>
            <w:jc w:val="center"/>
            <w:rPr>
              <w:u w:val="none"/>
              <w:rtl/>
            </w:rPr>
          </w:pPr>
          <w:r w:rsidRPr="002F7BB6">
            <w:rPr>
              <w:noProof/>
              <w:sz w:val="16"/>
              <w:szCs w:val="18"/>
              <w:u w:val="none"/>
              <w:rtl/>
            </w:rPr>
            <w:drawing>
              <wp:inline distT="0" distB="0" distL="0" distR="0" wp14:anchorId="162A47B2" wp14:editId="6F0D2F68">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14:paraId="348279CC" w14:textId="77777777" w:rsidR="009D4515" w:rsidRDefault="009D4515" w:rsidP="00045B4D">
    <w:pPr>
      <w:pStyle w:val="a5"/>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C23B7"/>
    <w:multiLevelType w:val="hybridMultilevel"/>
    <w:tmpl w:val="06C4ED1C"/>
    <w:lvl w:ilvl="0" w:tplc="C3B80E66">
      <w:start w:val="1"/>
      <w:numFmt w:val="hebrew1"/>
      <w:lvlText w:val="(%1)"/>
      <w:lvlJc w:val="left"/>
      <w:pPr>
        <w:ind w:left="765" w:hanging="405"/>
      </w:pPr>
      <w:rPr>
        <w:rFonts w:ascii="Century" w:eastAsia="Times New Roman" w:hAnsi="Century" w:cs="FrankRuehl"/>
        <w:sz w:val="22"/>
      </w:rPr>
    </w:lvl>
    <w:lvl w:ilvl="1" w:tplc="A65A38BC" w:tentative="1">
      <w:start w:val="1"/>
      <w:numFmt w:val="lowerLetter"/>
      <w:lvlText w:val="%2."/>
      <w:lvlJc w:val="left"/>
      <w:pPr>
        <w:ind w:left="1440" w:hanging="360"/>
      </w:pPr>
    </w:lvl>
    <w:lvl w:ilvl="2" w:tplc="1598DC72" w:tentative="1">
      <w:start w:val="1"/>
      <w:numFmt w:val="lowerRoman"/>
      <w:lvlText w:val="%3."/>
      <w:lvlJc w:val="right"/>
      <w:pPr>
        <w:ind w:left="2160" w:hanging="180"/>
      </w:pPr>
    </w:lvl>
    <w:lvl w:ilvl="3" w:tplc="916C4068" w:tentative="1">
      <w:start w:val="1"/>
      <w:numFmt w:val="decimal"/>
      <w:lvlText w:val="%4."/>
      <w:lvlJc w:val="left"/>
      <w:pPr>
        <w:ind w:left="2880" w:hanging="360"/>
      </w:pPr>
    </w:lvl>
    <w:lvl w:ilvl="4" w:tplc="5E2A0C6E" w:tentative="1">
      <w:start w:val="1"/>
      <w:numFmt w:val="lowerLetter"/>
      <w:lvlText w:val="%5."/>
      <w:lvlJc w:val="left"/>
      <w:pPr>
        <w:ind w:left="3600" w:hanging="360"/>
      </w:pPr>
    </w:lvl>
    <w:lvl w:ilvl="5" w:tplc="36D6321C" w:tentative="1">
      <w:start w:val="1"/>
      <w:numFmt w:val="lowerRoman"/>
      <w:lvlText w:val="%6."/>
      <w:lvlJc w:val="right"/>
      <w:pPr>
        <w:ind w:left="4320" w:hanging="180"/>
      </w:pPr>
    </w:lvl>
    <w:lvl w:ilvl="6" w:tplc="E304D6CA" w:tentative="1">
      <w:start w:val="1"/>
      <w:numFmt w:val="decimal"/>
      <w:lvlText w:val="%7."/>
      <w:lvlJc w:val="left"/>
      <w:pPr>
        <w:ind w:left="5040" w:hanging="360"/>
      </w:pPr>
    </w:lvl>
    <w:lvl w:ilvl="7" w:tplc="8C74E142" w:tentative="1">
      <w:start w:val="1"/>
      <w:numFmt w:val="lowerLetter"/>
      <w:lvlText w:val="%8."/>
      <w:lvlJc w:val="left"/>
      <w:pPr>
        <w:ind w:left="5760" w:hanging="360"/>
      </w:pPr>
    </w:lvl>
    <w:lvl w:ilvl="8" w:tplc="51185516" w:tentative="1">
      <w:start w:val="1"/>
      <w:numFmt w:val="lowerRoman"/>
      <w:lvlText w:val="%9."/>
      <w:lvlJc w:val="right"/>
      <w:pPr>
        <w:ind w:left="6480" w:hanging="180"/>
      </w:pPr>
    </w:lvl>
  </w:abstractNum>
  <w:abstractNum w:abstractNumId="11" w15:restartNumberingAfterBreak="0">
    <w:nsid w:val="08A6001B"/>
    <w:multiLevelType w:val="hybridMultilevel"/>
    <w:tmpl w:val="9EEE8E66"/>
    <w:lvl w:ilvl="0" w:tplc="F7422F42">
      <w:start w:val="1"/>
      <w:numFmt w:val="decimal"/>
      <w:pStyle w:val="Ruller4"/>
      <w:lvlText w:val="%1."/>
      <w:lvlJc w:val="left"/>
      <w:pPr>
        <w:tabs>
          <w:tab w:val="num" w:pos="907"/>
        </w:tabs>
        <w:ind w:left="0" w:firstLine="0"/>
      </w:pPr>
      <w:rPr>
        <w:rFonts w:ascii="FrankRuehl" w:hAnsi="FrankRuehl" w:cs="FrankRuehl" w:hint="default"/>
        <w:sz w:val="28"/>
        <w:szCs w:val="28"/>
      </w:rPr>
    </w:lvl>
    <w:lvl w:ilvl="1" w:tplc="7B9A2D6C" w:tentative="1">
      <w:start w:val="1"/>
      <w:numFmt w:val="lowerLetter"/>
      <w:lvlText w:val="%2."/>
      <w:lvlJc w:val="left"/>
      <w:pPr>
        <w:tabs>
          <w:tab w:val="num" w:pos="1440"/>
        </w:tabs>
        <w:ind w:left="1440" w:hanging="360"/>
      </w:pPr>
    </w:lvl>
    <w:lvl w:ilvl="2" w:tplc="07A6EF58" w:tentative="1">
      <w:start w:val="1"/>
      <w:numFmt w:val="lowerRoman"/>
      <w:lvlText w:val="%3."/>
      <w:lvlJc w:val="right"/>
      <w:pPr>
        <w:tabs>
          <w:tab w:val="num" w:pos="2160"/>
        </w:tabs>
        <w:ind w:left="2160" w:hanging="180"/>
      </w:pPr>
    </w:lvl>
    <w:lvl w:ilvl="3" w:tplc="A220561C" w:tentative="1">
      <w:start w:val="1"/>
      <w:numFmt w:val="decimal"/>
      <w:lvlText w:val="%4."/>
      <w:lvlJc w:val="left"/>
      <w:pPr>
        <w:tabs>
          <w:tab w:val="num" w:pos="2880"/>
        </w:tabs>
        <w:ind w:left="2880" w:hanging="360"/>
      </w:pPr>
    </w:lvl>
    <w:lvl w:ilvl="4" w:tplc="C5087CC0" w:tentative="1">
      <w:start w:val="1"/>
      <w:numFmt w:val="lowerLetter"/>
      <w:lvlText w:val="%5."/>
      <w:lvlJc w:val="left"/>
      <w:pPr>
        <w:tabs>
          <w:tab w:val="num" w:pos="3600"/>
        </w:tabs>
        <w:ind w:left="3600" w:hanging="360"/>
      </w:pPr>
    </w:lvl>
    <w:lvl w:ilvl="5" w:tplc="324A93DE" w:tentative="1">
      <w:start w:val="1"/>
      <w:numFmt w:val="lowerRoman"/>
      <w:lvlText w:val="%6."/>
      <w:lvlJc w:val="right"/>
      <w:pPr>
        <w:tabs>
          <w:tab w:val="num" w:pos="4320"/>
        </w:tabs>
        <w:ind w:left="4320" w:hanging="180"/>
      </w:pPr>
    </w:lvl>
    <w:lvl w:ilvl="6" w:tplc="403A4C36" w:tentative="1">
      <w:start w:val="1"/>
      <w:numFmt w:val="decimal"/>
      <w:lvlText w:val="%7."/>
      <w:lvlJc w:val="left"/>
      <w:pPr>
        <w:tabs>
          <w:tab w:val="num" w:pos="5040"/>
        </w:tabs>
        <w:ind w:left="5040" w:hanging="360"/>
      </w:pPr>
    </w:lvl>
    <w:lvl w:ilvl="7" w:tplc="32149C10" w:tentative="1">
      <w:start w:val="1"/>
      <w:numFmt w:val="lowerLetter"/>
      <w:lvlText w:val="%8."/>
      <w:lvlJc w:val="left"/>
      <w:pPr>
        <w:tabs>
          <w:tab w:val="num" w:pos="5760"/>
        </w:tabs>
        <w:ind w:left="5760" w:hanging="360"/>
      </w:pPr>
    </w:lvl>
    <w:lvl w:ilvl="8" w:tplc="B770E112" w:tentative="1">
      <w:start w:val="1"/>
      <w:numFmt w:val="lowerRoman"/>
      <w:lvlText w:val="%9."/>
      <w:lvlJc w:val="right"/>
      <w:pPr>
        <w:tabs>
          <w:tab w:val="num" w:pos="6480"/>
        </w:tabs>
        <w:ind w:left="6480" w:hanging="180"/>
      </w:pPr>
    </w:lvl>
  </w:abstractNum>
  <w:abstractNum w:abstractNumId="12" w15:restartNumberingAfterBreak="0">
    <w:nsid w:val="16922500"/>
    <w:multiLevelType w:val="hybridMultilevel"/>
    <w:tmpl w:val="DB5CD04A"/>
    <w:lvl w:ilvl="0" w:tplc="D08C2942">
      <w:start w:val="1"/>
      <w:numFmt w:val="hebrew1"/>
      <w:lvlText w:val="%1."/>
      <w:lvlJc w:val="left"/>
      <w:pPr>
        <w:ind w:left="720" w:hanging="360"/>
      </w:pPr>
      <w:rPr>
        <w:rFonts w:hint="default"/>
      </w:rPr>
    </w:lvl>
    <w:lvl w:ilvl="1" w:tplc="16900590" w:tentative="1">
      <w:start w:val="1"/>
      <w:numFmt w:val="lowerLetter"/>
      <w:lvlText w:val="%2."/>
      <w:lvlJc w:val="left"/>
      <w:pPr>
        <w:ind w:left="1440" w:hanging="360"/>
      </w:pPr>
    </w:lvl>
    <w:lvl w:ilvl="2" w:tplc="B0263A2E" w:tentative="1">
      <w:start w:val="1"/>
      <w:numFmt w:val="lowerRoman"/>
      <w:lvlText w:val="%3."/>
      <w:lvlJc w:val="right"/>
      <w:pPr>
        <w:ind w:left="2160" w:hanging="180"/>
      </w:pPr>
    </w:lvl>
    <w:lvl w:ilvl="3" w:tplc="653C4F68" w:tentative="1">
      <w:start w:val="1"/>
      <w:numFmt w:val="decimal"/>
      <w:lvlText w:val="%4."/>
      <w:lvlJc w:val="left"/>
      <w:pPr>
        <w:ind w:left="2880" w:hanging="360"/>
      </w:pPr>
    </w:lvl>
    <w:lvl w:ilvl="4" w:tplc="AB46320C" w:tentative="1">
      <w:start w:val="1"/>
      <w:numFmt w:val="lowerLetter"/>
      <w:lvlText w:val="%5."/>
      <w:lvlJc w:val="left"/>
      <w:pPr>
        <w:ind w:left="3600" w:hanging="360"/>
      </w:pPr>
    </w:lvl>
    <w:lvl w:ilvl="5" w:tplc="5B2AB076" w:tentative="1">
      <w:start w:val="1"/>
      <w:numFmt w:val="lowerRoman"/>
      <w:lvlText w:val="%6."/>
      <w:lvlJc w:val="right"/>
      <w:pPr>
        <w:ind w:left="4320" w:hanging="180"/>
      </w:pPr>
    </w:lvl>
    <w:lvl w:ilvl="6" w:tplc="194CDBA8" w:tentative="1">
      <w:start w:val="1"/>
      <w:numFmt w:val="decimal"/>
      <w:lvlText w:val="%7."/>
      <w:lvlJc w:val="left"/>
      <w:pPr>
        <w:ind w:left="5040" w:hanging="360"/>
      </w:pPr>
    </w:lvl>
    <w:lvl w:ilvl="7" w:tplc="7BF6214E" w:tentative="1">
      <w:start w:val="1"/>
      <w:numFmt w:val="lowerLetter"/>
      <w:lvlText w:val="%8."/>
      <w:lvlJc w:val="left"/>
      <w:pPr>
        <w:ind w:left="5760" w:hanging="360"/>
      </w:pPr>
    </w:lvl>
    <w:lvl w:ilvl="8" w:tplc="2DE0736A" w:tentative="1">
      <w:start w:val="1"/>
      <w:numFmt w:val="lowerRoman"/>
      <w:lvlText w:val="%9."/>
      <w:lvlJc w:val="right"/>
      <w:pPr>
        <w:ind w:left="6480" w:hanging="180"/>
      </w:pPr>
    </w:lvl>
  </w:abstractNum>
  <w:abstractNum w:abstractNumId="13" w15:restartNumberingAfterBreak="0">
    <w:nsid w:val="1945111E"/>
    <w:multiLevelType w:val="hybridMultilevel"/>
    <w:tmpl w:val="A0649760"/>
    <w:lvl w:ilvl="0" w:tplc="0696F682">
      <w:start w:val="1"/>
      <w:numFmt w:val="bullet"/>
      <w:lvlText w:val=""/>
      <w:lvlJc w:val="left"/>
      <w:pPr>
        <w:ind w:left="720" w:hanging="360"/>
      </w:pPr>
      <w:rPr>
        <w:rFonts w:ascii="Symbol" w:hAnsi="Symbol" w:hint="default"/>
      </w:rPr>
    </w:lvl>
    <w:lvl w:ilvl="1" w:tplc="8BEED58E" w:tentative="1">
      <w:start w:val="1"/>
      <w:numFmt w:val="bullet"/>
      <w:lvlText w:val="o"/>
      <w:lvlJc w:val="left"/>
      <w:pPr>
        <w:ind w:left="1440" w:hanging="360"/>
      </w:pPr>
      <w:rPr>
        <w:rFonts w:ascii="Courier New" w:hAnsi="Courier New" w:cs="Courier New" w:hint="default"/>
      </w:rPr>
    </w:lvl>
    <w:lvl w:ilvl="2" w:tplc="66CE76D4" w:tentative="1">
      <w:start w:val="1"/>
      <w:numFmt w:val="bullet"/>
      <w:lvlText w:val=""/>
      <w:lvlJc w:val="left"/>
      <w:pPr>
        <w:ind w:left="2160" w:hanging="360"/>
      </w:pPr>
      <w:rPr>
        <w:rFonts w:ascii="Wingdings" w:hAnsi="Wingdings" w:hint="default"/>
      </w:rPr>
    </w:lvl>
    <w:lvl w:ilvl="3" w:tplc="05F040CA" w:tentative="1">
      <w:start w:val="1"/>
      <w:numFmt w:val="bullet"/>
      <w:lvlText w:val=""/>
      <w:lvlJc w:val="left"/>
      <w:pPr>
        <w:ind w:left="2880" w:hanging="360"/>
      </w:pPr>
      <w:rPr>
        <w:rFonts w:ascii="Symbol" w:hAnsi="Symbol" w:hint="default"/>
      </w:rPr>
    </w:lvl>
    <w:lvl w:ilvl="4" w:tplc="F1B2E09E" w:tentative="1">
      <w:start w:val="1"/>
      <w:numFmt w:val="bullet"/>
      <w:lvlText w:val="o"/>
      <w:lvlJc w:val="left"/>
      <w:pPr>
        <w:ind w:left="3600" w:hanging="360"/>
      </w:pPr>
      <w:rPr>
        <w:rFonts w:ascii="Courier New" w:hAnsi="Courier New" w:cs="Courier New" w:hint="default"/>
      </w:rPr>
    </w:lvl>
    <w:lvl w:ilvl="5" w:tplc="D1FEA8CA" w:tentative="1">
      <w:start w:val="1"/>
      <w:numFmt w:val="bullet"/>
      <w:lvlText w:val=""/>
      <w:lvlJc w:val="left"/>
      <w:pPr>
        <w:ind w:left="4320" w:hanging="360"/>
      </w:pPr>
      <w:rPr>
        <w:rFonts w:ascii="Wingdings" w:hAnsi="Wingdings" w:hint="default"/>
      </w:rPr>
    </w:lvl>
    <w:lvl w:ilvl="6" w:tplc="F9DE6038" w:tentative="1">
      <w:start w:val="1"/>
      <w:numFmt w:val="bullet"/>
      <w:lvlText w:val=""/>
      <w:lvlJc w:val="left"/>
      <w:pPr>
        <w:ind w:left="5040" w:hanging="360"/>
      </w:pPr>
      <w:rPr>
        <w:rFonts w:ascii="Symbol" w:hAnsi="Symbol" w:hint="default"/>
      </w:rPr>
    </w:lvl>
    <w:lvl w:ilvl="7" w:tplc="D68EA434" w:tentative="1">
      <w:start w:val="1"/>
      <w:numFmt w:val="bullet"/>
      <w:lvlText w:val="o"/>
      <w:lvlJc w:val="left"/>
      <w:pPr>
        <w:ind w:left="5760" w:hanging="360"/>
      </w:pPr>
      <w:rPr>
        <w:rFonts w:ascii="Courier New" w:hAnsi="Courier New" w:cs="Courier New" w:hint="default"/>
      </w:rPr>
    </w:lvl>
    <w:lvl w:ilvl="8" w:tplc="0A20EF7A" w:tentative="1">
      <w:start w:val="1"/>
      <w:numFmt w:val="bullet"/>
      <w:lvlText w:val=""/>
      <w:lvlJc w:val="left"/>
      <w:pPr>
        <w:ind w:left="6480" w:hanging="360"/>
      </w:pPr>
      <w:rPr>
        <w:rFonts w:ascii="Wingdings" w:hAnsi="Wingdings" w:hint="default"/>
      </w:rPr>
    </w:lvl>
  </w:abstractNum>
  <w:abstractNum w:abstractNumId="14" w15:restartNumberingAfterBreak="0">
    <w:nsid w:val="1C077022"/>
    <w:multiLevelType w:val="hybridMultilevel"/>
    <w:tmpl w:val="1610C6A4"/>
    <w:lvl w:ilvl="0" w:tplc="5B52ABE2">
      <w:start w:val="1"/>
      <w:numFmt w:val="bullet"/>
      <w:lvlText w:val=""/>
      <w:lvlJc w:val="left"/>
      <w:pPr>
        <w:ind w:left="720" w:hanging="360"/>
      </w:pPr>
      <w:rPr>
        <w:rFonts w:ascii="Symbol" w:hAnsi="Symbol" w:hint="default"/>
      </w:rPr>
    </w:lvl>
    <w:lvl w:ilvl="1" w:tplc="80828DC8">
      <w:start w:val="1"/>
      <w:numFmt w:val="bullet"/>
      <w:lvlText w:val="o"/>
      <w:lvlJc w:val="left"/>
      <w:pPr>
        <w:ind w:left="1440" w:hanging="360"/>
      </w:pPr>
      <w:rPr>
        <w:rFonts w:ascii="Courier New" w:hAnsi="Courier New" w:cs="Courier New" w:hint="default"/>
      </w:rPr>
    </w:lvl>
    <w:lvl w:ilvl="2" w:tplc="AF70D0D4">
      <w:start w:val="1"/>
      <w:numFmt w:val="bullet"/>
      <w:lvlText w:val=""/>
      <w:lvlJc w:val="left"/>
      <w:pPr>
        <w:ind w:left="2160" w:hanging="360"/>
      </w:pPr>
      <w:rPr>
        <w:rFonts w:ascii="Wingdings" w:hAnsi="Wingdings" w:hint="default"/>
      </w:rPr>
    </w:lvl>
    <w:lvl w:ilvl="3" w:tplc="DCA2ED1E" w:tentative="1">
      <w:start w:val="1"/>
      <w:numFmt w:val="bullet"/>
      <w:lvlText w:val=""/>
      <w:lvlJc w:val="left"/>
      <w:pPr>
        <w:ind w:left="2880" w:hanging="360"/>
      </w:pPr>
      <w:rPr>
        <w:rFonts w:ascii="Symbol" w:hAnsi="Symbol" w:hint="default"/>
      </w:rPr>
    </w:lvl>
    <w:lvl w:ilvl="4" w:tplc="2C54F4FC" w:tentative="1">
      <w:start w:val="1"/>
      <w:numFmt w:val="bullet"/>
      <w:lvlText w:val="o"/>
      <w:lvlJc w:val="left"/>
      <w:pPr>
        <w:ind w:left="3600" w:hanging="360"/>
      </w:pPr>
      <w:rPr>
        <w:rFonts w:ascii="Courier New" w:hAnsi="Courier New" w:cs="Courier New" w:hint="default"/>
      </w:rPr>
    </w:lvl>
    <w:lvl w:ilvl="5" w:tplc="F984DC0E" w:tentative="1">
      <w:start w:val="1"/>
      <w:numFmt w:val="bullet"/>
      <w:lvlText w:val=""/>
      <w:lvlJc w:val="left"/>
      <w:pPr>
        <w:ind w:left="4320" w:hanging="360"/>
      </w:pPr>
      <w:rPr>
        <w:rFonts w:ascii="Wingdings" w:hAnsi="Wingdings" w:hint="default"/>
      </w:rPr>
    </w:lvl>
    <w:lvl w:ilvl="6" w:tplc="B986C45E" w:tentative="1">
      <w:start w:val="1"/>
      <w:numFmt w:val="bullet"/>
      <w:lvlText w:val=""/>
      <w:lvlJc w:val="left"/>
      <w:pPr>
        <w:ind w:left="5040" w:hanging="360"/>
      </w:pPr>
      <w:rPr>
        <w:rFonts w:ascii="Symbol" w:hAnsi="Symbol" w:hint="default"/>
      </w:rPr>
    </w:lvl>
    <w:lvl w:ilvl="7" w:tplc="CCF6728A" w:tentative="1">
      <w:start w:val="1"/>
      <w:numFmt w:val="bullet"/>
      <w:lvlText w:val="o"/>
      <w:lvlJc w:val="left"/>
      <w:pPr>
        <w:ind w:left="5760" w:hanging="360"/>
      </w:pPr>
      <w:rPr>
        <w:rFonts w:ascii="Courier New" w:hAnsi="Courier New" w:cs="Courier New" w:hint="default"/>
      </w:rPr>
    </w:lvl>
    <w:lvl w:ilvl="8" w:tplc="827A0680" w:tentative="1">
      <w:start w:val="1"/>
      <w:numFmt w:val="bullet"/>
      <w:lvlText w:val=""/>
      <w:lvlJc w:val="left"/>
      <w:pPr>
        <w:ind w:left="6480" w:hanging="360"/>
      </w:pPr>
      <w:rPr>
        <w:rFonts w:ascii="Wingdings" w:hAnsi="Wingdings" w:hint="default"/>
      </w:rPr>
    </w:lvl>
  </w:abstractNum>
  <w:abstractNum w:abstractNumId="15" w15:restartNumberingAfterBreak="0">
    <w:nsid w:val="231A685F"/>
    <w:multiLevelType w:val="hybridMultilevel"/>
    <w:tmpl w:val="C802AE20"/>
    <w:lvl w:ilvl="0" w:tplc="7C707008">
      <w:start w:val="1"/>
      <w:numFmt w:val="decimal"/>
      <w:lvlText w:val="(%1)"/>
      <w:lvlJc w:val="left"/>
      <w:pPr>
        <w:ind w:left="2364" w:hanging="360"/>
      </w:pPr>
      <w:rPr>
        <w:rFonts w:hint="default"/>
        <w:sz w:val="28"/>
      </w:rPr>
    </w:lvl>
    <w:lvl w:ilvl="1" w:tplc="553AFEA0" w:tentative="1">
      <w:start w:val="1"/>
      <w:numFmt w:val="lowerLetter"/>
      <w:lvlText w:val="%2."/>
      <w:lvlJc w:val="left"/>
      <w:pPr>
        <w:ind w:left="3084" w:hanging="360"/>
      </w:pPr>
    </w:lvl>
    <w:lvl w:ilvl="2" w:tplc="CFAA6C10" w:tentative="1">
      <w:start w:val="1"/>
      <w:numFmt w:val="lowerRoman"/>
      <w:lvlText w:val="%3."/>
      <w:lvlJc w:val="right"/>
      <w:pPr>
        <w:ind w:left="3804" w:hanging="180"/>
      </w:pPr>
    </w:lvl>
    <w:lvl w:ilvl="3" w:tplc="17C4033C" w:tentative="1">
      <w:start w:val="1"/>
      <w:numFmt w:val="decimal"/>
      <w:lvlText w:val="%4."/>
      <w:lvlJc w:val="left"/>
      <w:pPr>
        <w:ind w:left="4524" w:hanging="360"/>
      </w:pPr>
    </w:lvl>
    <w:lvl w:ilvl="4" w:tplc="5E4033DC" w:tentative="1">
      <w:start w:val="1"/>
      <w:numFmt w:val="lowerLetter"/>
      <w:lvlText w:val="%5."/>
      <w:lvlJc w:val="left"/>
      <w:pPr>
        <w:ind w:left="5244" w:hanging="360"/>
      </w:pPr>
    </w:lvl>
    <w:lvl w:ilvl="5" w:tplc="C7EAED5A" w:tentative="1">
      <w:start w:val="1"/>
      <w:numFmt w:val="lowerRoman"/>
      <w:lvlText w:val="%6."/>
      <w:lvlJc w:val="right"/>
      <w:pPr>
        <w:ind w:left="5964" w:hanging="180"/>
      </w:pPr>
    </w:lvl>
    <w:lvl w:ilvl="6" w:tplc="42063268" w:tentative="1">
      <w:start w:val="1"/>
      <w:numFmt w:val="decimal"/>
      <w:lvlText w:val="%7."/>
      <w:lvlJc w:val="left"/>
      <w:pPr>
        <w:ind w:left="6684" w:hanging="360"/>
      </w:pPr>
    </w:lvl>
    <w:lvl w:ilvl="7" w:tplc="2556D428" w:tentative="1">
      <w:start w:val="1"/>
      <w:numFmt w:val="lowerLetter"/>
      <w:lvlText w:val="%8."/>
      <w:lvlJc w:val="left"/>
      <w:pPr>
        <w:ind w:left="7404" w:hanging="360"/>
      </w:pPr>
    </w:lvl>
    <w:lvl w:ilvl="8" w:tplc="7C483D26" w:tentative="1">
      <w:start w:val="1"/>
      <w:numFmt w:val="lowerRoman"/>
      <w:lvlText w:val="%9."/>
      <w:lvlJc w:val="right"/>
      <w:pPr>
        <w:ind w:left="8124" w:hanging="180"/>
      </w:pPr>
    </w:lvl>
  </w:abstractNum>
  <w:abstractNum w:abstractNumId="16" w15:restartNumberingAfterBreak="0">
    <w:nsid w:val="23FF1478"/>
    <w:multiLevelType w:val="hybridMultilevel"/>
    <w:tmpl w:val="EAB4A66C"/>
    <w:lvl w:ilvl="0" w:tplc="ACE44DD4">
      <w:start w:val="1"/>
      <w:numFmt w:val="bullet"/>
      <w:lvlText w:val=""/>
      <w:lvlJc w:val="left"/>
      <w:pPr>
        <w:ind w:left="720" w:hanging="360"/>
      </w:pPr>
      <w:rPr>
        <w:rFonts w:ascii="Symbol" w:hAnsi="Symbol" w:hint="default"/>
      </w:rPr>
    </w:lvl>
    <w:lvl w:ilvl="1" w:tplc="2B10890C">
      <w:start w:val="1"/>
      <w:numFmt w:val="bullet"/>
      <w:lvlText w:val="o"/>
      <w:lvlJc w:val="left"/>
      <w:pPr>
        <w:ind w:left="1440" w:hanging="360"/>
      </w:pPr>
      <w:rPr>
        <w:rFonts w:ascii="Courier New" w:hAnsi="Courier New" w:cs="Courier New" w:hint="default"/>
      </w:rPr>
    </w:lvl>
    <w:lvl w:ilvl="2" w:tplc="F20A2422">
      <w:start w:val="1"/>
      <w:numFmt w:val="bullet"/>
      <w:lvlText w:val=""/>
      <w:lvlJc w:val="left"/>
      <w:pPr>
        <w:ind w:left="2160" w:hanging="360"/>
      </w:pPr>
      <w:rPr>
        <w:rFonts w:ascii="Wingdings" w:hAnsi="Wingdings" w:hint="default"/>
      </w:rPr>
    </w:lvl>
    <w:lvl w:ilvl="3" w:tplc="7C2647B6" w:tentative="1">
      <w:start w:val="1"/>
      <w:numFmt w:val="bullet"/>
      <w:lvlText w:val=""/>
      <w:lvlJc w:val="left"/>
      <w:pPr>
        <w:ind w:left="2880" w:hanging="360"/>
      </w:pPr>
      <w:rPr>
        <w:rFonts w:ascii="Symbol" w:hAnsi="Symbol" w:hint="default"/>
      </w:rPr>
    </w:lvl>
    <w:lvl w:ilvl="4" w:tplc="8E7CA4E0" w:tentative="1">
      <w:start w:val="1"/>
      <w:numFmt w:val="bullet"/>
      <w:lvlText w:val="o"/>
      <w:lvlJc w:val="left"/>
      <w:pPr>
        <w:ind w:left="3600" w:hanging="360"/>
      </w:pPr>
      <w:rPr>
        <w:rFonts w:ascii="Courier New" w:hAnsi="Courier New" w:cs="Courier New" w:hint="default"/>
      </w:rPr>
    </w:lvl>
    <w:lvl w:ilvl="5" w:tplc="BFF81592" w:tentative="1">
      <w:start w:val="1"/>
      <w:numFmt w:val="bullet"/>
      <w:lvlText w:val=""/>
      <w:lvlJc w:val="left"/>
      <w:pPr>
        <w:ind w:left="4320" w:hanging="360"/>
      </w:pPr>
      <w:rPr>
        <w:rFonts w:ascii="Wingdings" w:hAnsi="Wingdings" w:hint="default"/>
      </w:rPr>
    </w:lvl>
    <w:lvl w:ilvl="6" w:tplc="F4201852" w:tentative="1">
      <w:start w:val="1"/>
      <w:numFmt w:val="bullet"/>
      <w:lvlText w:val=""/>
      <w:lvlJc w:val="left"/>
      <w:pPr>
        <w:ind w:left="5040" w:hanging="360"/>
      </w:pPr>
      <w:rPr>
        <w:rFonts w:ascii="Symbol" w:hAnsi="Symbol" w:hint="default"/>
      </w:rPr>
    </w:lvl>
    <w:lvl w:ilvl="7" w:tplc="8BBC1748" w:tentative="1">
      <w:start w:val="1"/>
      <w:numFmt w:val="bullet"/>
      <w:lvlText w:val="o"/>
      <w:lvlJc w:val="left"/>
      <w:pPr>
        <w:ind w:left="5760" w:hanging="360"/>
      </w:pPr>
      <w:rPr>
        <w:rFonts w:ascii="Courier New" w:hAnsi="Courier New" w:cs="Courier New" w:hint="default"/>
      </w:rPr>
    </w:lvl>
    <w:lvl w:ilvl="8" w:tplc="A96C2D48" w:tentative="1">
      <w:start w:val="1"/>
      <w:numFmt w:val="bullet"/>
      <w:lvlText w:val=""/>
      <w:lvlJc w:val="left"/>
      <w:pPr>
        <w:ind w:left="6480" w:hanging="360"/>
      </w:pPr>
      <w:rPr>
        <w:rFonts w:ascii="Wingdings" w:hAnsi="Wingdings" w:hint="default"/>
      </w:rPr>
    </w:lvl>
  </w:abstractNum>
  <w:abstractNum w:abstractNumId="17" w15:restartNumberingAfterBreak="0">
    <w:nsid w:val="2E663170"/>
    <w:multiLevelType w:val="hybridMultilevel"/>
    <w:tmpl w:val="B768982E"/>
    <w:lvl w:ilvl="0" w:tplc="BDD8BEAE">
      <w:start w:val="1"/>
      <w:numFmt w:val="bullet"/>
      <w:lvlText w:val=""/>
      <w:lvlJc w:val="left"/>
      <w:pPr>
        <w:ind w:left="720" w:hanging="360"/>
      </w:pPr>
      <w:rPr>
        <w:rFonts w:ascii="Symbol" w:hAnsi="Symbol" w:hint="default"/>
      </w:rPr>
    </w:lvl>
    <w:lvl w:ilvl="1" w:tplc="A53C5EEC" w:tentative="1">
      <w:start w:val="1"/>
      <w:numFmt w:val="bullet"/>
      <w:lvlText w:val="o"/>
      <w:lvlJc w:val="left"/>
      <w:pPr>
        <w:ind w:left="1440" w:hanging="360"/>
      </w:pPr>
      <w:rPr>
        <w:rFonts w:ascii="Courier New" w:hAnsi="Courier New" w:cs="Courier New" w:hint="default"/>
      </w:rPr>
    </w:lvl>
    <w:lvl w:ilvl="2" w:tplc="F80CAA00" w:tentative="1">
      <w:start w:val="1"/>
      <w:numFmt w:val="bullet"/>
      <w:lvlText w:val=""/>
      <w:lvlJc w:val="left"/>
      <w:pPr>
        <w:ind w:left="2160" w:hanging="360"/>
      </w:pPr>
      <w:rPr>
        <w:rFonts w:ascii="Wingdings" w:hAnsi="Wingdings" w:hint="default"/>
      </w:rPr>
    </w:lvl>
    <w:lvl w:ilvl="3" w:tplc="475CF056" w:tentative="1">
      <w:start w:val="1"/>
      <w:numFmt w:val="bullet"/>
      <w:lvlText w:val=""/>
      <w:lvlJc w:val="left"/>
      <w:pPr>
        <w:ind w:left="2880" w:hanging="360"/>
      </w:pPr>
      <w:rPr>
        <w:rFonts w:ascii="Symbol" w:hAnsi="Symbol" w:hint="default"/>
      </w:rPr>
    </w:lvl>
    <w:lvl w:ilvl="4" w:tplc="991A06F4" w:tentative="1">
      <w:start w:val="1"/>
      <w:numFmt w:val="bullet"/>
      <w:lvlText w:val="o"/>
      <w:lvlJc w:val="left"/>
      <w:pPr>
        <w:ind w:left="3600" w:hanging="360"/>
      </w:pPr>
      <w:rPr>
        <w:rFonts w:ascii="Courier New" w:hAnsi="Courier New" w:cs="Courier New" w:hint="default"/>
      </w:rPr>
    </w:lvl>
    <w:lvl w:ilvl="5" w:tplc="06A2CDA2" w:tentative="1">
      <w:start w:val="1"/>
      <w:numFmt w:val="bullet"/>
      <w:lvlText w:val=""/>
      <w:lvlJc w:val="left"/>
      <w:pPr>
        <w:ind w:left="4320" w:hanging="360"/>
      </w:pPr>
      <w:rPr>
        <w:rFonts w:ascii="Wingdings" w:hAnsi="Wingdings" w:hint="default"/>
      </w:rPr>
    </w:lvl>
    <w:lvl w:ilvl="6" w:tplc="76B6825A" w:tentative="1">
      <w:start w:val="1"/>
      <w:numFmt w:val="bullet"/>
      <w:lvlText w:val=""/>
      <w:lvlJc w:val="left"/>
      <w:pPr>
        <w:ind w:left="5040" w:hanging="360"/>
      </w:pPr>
      <w:rPr>
        <w:rFonts w:ascii="Symbol" w:hAnsi="Symbol" w:hint="default"/>
      </w:rPr>
    </w:lvl>
    <w:lvl w:ilvl="7" w:tplc="29DE939C" w:tentative="1">
      <w:start w:val="1"/>
      <w:numFmt w:val="bullet"/>
      <w:lvlText w:val="o"/>
      <w:lvlJc w:val="left"/>
      <w:pPr>
        <w:ind w:left="5760" w:hanging="360"/>
      </w:pPr>
      <w:rPr>
        <w:rFonts w:ascii="Courier New" w:hAnsi="Courier New" w:cs="Courier New" w:hint="default"/>
      </w:rPr>
    </w:lvl>
    <w:lvl w:ilvl="8" w:tplc="64A20BCC" w:tentative="1">
      <w:start w:val="1"/>
      <w:numFmt w:val="bullet"/>
      <w:lvlText w:val=""/>
      <w:lvlJc w:val="left"/>
      <w:pPr>
        <w:ind w:left="6480" w:hanging="360"/>
      </w:pPr>
      <w:rPr>
        <w:rFonts w:ascii="Wingdings" w:hAnsi="Wingdings" w:hint="default"/>
      </w:rPr>
    </w:lvl>
  </w:abstractNum>
  <w:abstractNum w:abstractNumId="18" w15:restartNumberingAfterBreak="0">
    <w:nsid w:val="312512C0"/>
    <w:multiLevelType w:val="hybridMultilevel"/>
    <w:tmpl w:val="28A24E40"/>
    <w:lvl w:ilvl="0" w:tplc="2C7CF914">
      <w:start w:val="1"/>
      <w:numFmt w:val="bullet"/>
      <w:lvlText w:val=""/>
      <w:lvlJc w:val="left"/>
      <w:pPr>
        <w:ind w:left="720" w:hanging="360"/>
      </w:pPr>
      <w:rPr>
        <w:rFonts w:ascii="Symbol" w:hAnsi="Symbol" w:hint="default"/>
      </w:rPr>
    </w:lvl>
    <w:lvl w:ilvl="1" w:tplc="276CBD7C">
      <w:start w:val="1"/>
      <w:numFmt w:val="bullet"/>
      <w:lvlText w:val="o"/>
      <w:lvlJc w:val="left"/>
      <w:pPr>
        <w:ind w:left="1440" w:hanging="360"/>
      </w:pPr>
      <w:rPr>
        <w:rFonts w:ascii="Courier New" w:hAnsi="Courier New" w:cs="Courier New" w:hint="default"/>
      </w:rPr>
    </w:lvl>
    <w:lvl w:ilvl="2" w:tplc="DAFA2D60">
      <w:start w:val="1"/>
      <w:numFmt w:val="bullet"/>
      <w:lvlText w:val=""/>
      <w:lvlJc w:val="left"/>
      <w:pPr>
        <w:ind w:left="2160" w:hanging="360"/>
      </w:pPr>
      <w:rPr>
        <w:rFonts w:ascii="Wingdings" w:hAnsi="Wingdings" w:hint="default"/>
      </w:rPr>
    </w:lvl>
    <w:lvl w:ilvl="3" w:tplc="4BEE775E" w:tentative="1">
      <w:start w:val="1"/>
      <w:numFmt w:val="bullet"/>
      <w:lvlText w:val=""/>
      <w:lvlJc w:val="left"/>
      <w:pPr>
        <w:ind w:left="2880" w:hanging="360"/>
      </w:pPr>
      <w:rPr>
        <w:rFonts w:ascii="Symbol" w:hAnsi="Symbol" w:hint="default"/>
      </w:rPr>
    </w:lvl>
    <w:lvl w:ilvl="4" w:tplc="D61219F8" w:tentative="1">
      <w:start w:val="1"/>
      <w:numFmt w:val="bullet"/>
      <w:lvlText w:val="o"/>
      <w:lvlJc w:val="left"/>
      <w:pPr>
        <w:ind w:left="3600" w:hanging="360"/>
      </w:pPr>
      <w:rPr>
        <w:rFonts w:ascii="Courier New" w:hAnsi="Courier New" w:cs="Courier New" w:hint="default"/>
      </w:rPr>
    </w:lvl>
    <w:lvl w:ilvl="5" w:tplc="AB069246" w:tentative="1">
      <w:start w:val="1"/>
      <w:numFmt w:val="bullet"/>
      <w:lvlText w:val=""/>
      <w:lvlJc w:val="left"/>
      <w:pPr>
        <w:ind w:left="4320" w:hanging="360"/>
      </w:pPr>
      <w:rPr>
        <w:rFonts w:ascii="Wingdings" w:hAnsi="Wingdings" w:hint="default"/>
      </w:rPr>
    </w:lvl>
    <w:lvl w:ilvl="6" w:tplc="344CAC60" w:tentative="1">
      <w:start w:val="1"/>
      <w:numFmt w:val="bullet"/>
      <w:lvlText w:val=""/>
      <w:lvlJc w:val="left"/>
      <w:pPr>
        <w:ind w:left="5040" w:hanging="360"/>
      </w:pPr>
      <w:rPr>
        <w:rFonts w:ascii="Symbol" w:hAnsi="Symbol" w:hint="default"/>
      </w:rPr>
    </w:lvl>
    <w:lvl w:ilvl="7" w:tplc="4D2848CA" w:tentative="1">
      <w:start w:val="1"/>
      <w:numFmt w:val="bullet"/>
      <w:lvlText w:val="o"/>
      <w:lvlJc w:val="left"/>
      <w:pPr>
        <w:ind w:left="5760" w:hanging="360"/>
      </w:pPr>
      <w:rPr>
        <w:rFonts w:ascii="Courier New" w:hAnsi="Courier New" w:cs="Courier New" w:hint="default"/>
      </w:rPr>
    </w:lvl>
    <w:lvl w:ilvl="8" w:tplc="E630763A" w:tentative="1">
      <w:start w:val="1"/>
      <w:numFmt w:val="bullet"/>
      <w:lvlText w:val=""/>
      <w:lvlJc w:val="left"/>
      <w:pPr>
        <w:ind w:left="6480" w:hanging="360"/>
      </w:pPr>
      <w:rPr>
        <w:rFonts w:ascii="Wingdings" w:hAnsi="Wingdings" w:hint="default"/>
      </w:rPr>
    </w:lvl>
  </w:abstractNum>
  <w:abstractNum w:abstractNumId="19" w15:restartNumberingAfterBreak="0">
    <w:nsid w:val="31303AB8"/>
    <w:multiLevelType w:val="hybridMultilevel"/>
    <w:tmpl w:val="8926FB08"/>
    <w:lvl w:ilvl="0" w:tplc="E654D196">
      <w:start w:val="1"/>
      <w:numFmt w:val="decimal"/>
      <w:lvlText w:val="%1."/>
      <w:lvlJc w:val="left"/>
      <w:pPr>
        <w:ind w:left="720" w:hanging="360"/>
      </w:pPr>
      <w:rPr>
        <w:rFonts w:hint="default"/>
      </w:rPr>
    </w:lvl>
    <w:lvl w:ilvl="1" w:tplc="2516182A" w:tentative="1">
      <w:start w:val="1"/>
      <w:numFmt w:val="lowerLetter"/>
      <w:lvlText w:val="%2."/>
      <w:lvlJc w:val="left"/>
      <w:pPr>
        <w:ind w:left="1440" w:hanging="360"/>
      </w:pPr>
    </w:lvl>
    <w:lvl w:ilvl="2" w:tplc="539AD4C0" w:tentative="1">
      <w:start w:val="1"/>
      <w:numFmt w:val="lowerRoman"/>
      <w:lvlText w:val="%3."/>
      <w:lvlJc w:val="right"/>
      <w:pPr>
        <w:ind w:left="2160" w:hanging="180"/>
      </w:pPr>
    </w:lvl>
    <w:lvl w:ilvl="3" w:tplc="4CB2AD52" w:tentative="1">
      <w:start w:val="1"/>
      <w:numFmt w:val="decimal"/>
      <w:lvlText w:val="%4."/>
      <w:lvlJc w:val="left"/>
      <w:pPr>
        <w:ind w:left="2880" w:hanging="360"/>
      </w:pPr>
    </w:lvl>
    <w:lvl w:ilvl="4" w:tplc="D96EDE86" w:tentative="1">
      <w:start w:val="1"/>
      <w:numFmt w:val="lowerLetter"/>
      <w:lvlText w:val="%5."/>
      <w:lvlJc w:val="left"/>
      <w:pPr>
        <w:ind w:left="3600" w:hanging="360"/>
      </w:pPr>
    </w:lvl>
    <w:lvl w:ilvl="5" w:tplc="6B18E4F4" w:tentative="1">
      <w:start w:val="1"/>
      <w:numFmt w:val="lowerRoman"/>
      <w:lvlText w:val="%6."/>
      <w:lvlJc w:val="right"/>
      <w:pPr>
        <w:ind w:left="4320" w:hanging="180"/>
      </w:pPr>
    </w:lvl>
    <w:lvl w:ilvl="6" w:tplc="1C681282" w:tentative="1">
      <w:start w:val="1"/>
      <w:numFmt w:val="decimal"/>
      <w:lvlText w:val="%7."/>
      <w:lvlJc w:val="left"/>
      <w:pPr>
        <w:ind w:left="5040" w:hanging="360"/>
      </w:pPr>
    </w:lvl>
    <w:lvl w:ilvl="7" w:tplc="51FA397A" w:tentative="1">
      <w:start w:val="1"/>
      <w:numFmt w:val="lowerLetter"/>
      <w:lvlText w:val="%8."/>
      <w:lvlJc w:val="left"/>
      <w:pPr>
        <w:ind w:left="5760" w:hanging="360"/>
      </w:pPr>
    </w:lvl>
    <w:lvl w:ilvl="8" w:tplc="4F9EDE1A" w:tentative="1">
      <w:start w:val="1"/>
      <w:numFmt w:val="lowerRoman"/>
      <w:lvlText w:val="%9."/>
      <w:lvlJc w:val="right"/>
      <w:pPr>
        <w:ind w:left="6480" w:hanging="180"/>
      </w:pPr>
    </w:lvl>
  </w:abstractNum>
  <w:abstractNum w:abstractNumId="20" w15:restartNumberingAfterBreak="0">
    <w:nsid w:val="31E42998"/>
    <w:multiLevelType w:val="hybridMultilevel"/>
    <w:tmpl w:val="32D8087A"/>
    <w:lvl w:ilvl="0" w:tplc="86003BCE">
      <w:start w:val="1"/>
      <w:numFmt w:val="bullet"/>
      <w:lvlText w:val=""/>
      <w:lvlJc w:val="left"/>
      <w:pPr>
        <w:ind w:left="720" w:hanging="360"/>
      </w:pPr>
      <w:rPr>
        <w:rFonts w:ascii="Symbol" w:hAnsi="Symbol" w:hint="default"/>
      </w:rPr>
    </w:lvl>
    <w:lvl w:ilvl="1" w:tplc="A0CAF6CC">
      <w:start w:val="1"/>
      <w:numFmt w:val="bullet"/>
      <w:lvlText w:val="o"/>
      <w:lvlJc w:val="left"/>
      <w:pPr>
        <w:ind w:left="1440" w:hanging="360"/>
      </w:pPr>
      <w:rPr>
        <w:rFonts w:ascii="Courier New" w:hAnsi="Courier New" w:cs="Courier New" w:hint="default"/>
      </w:rPr>
    </w:lvl>
    <w:lvl w:ilvl="2" w:tplc="8C785124">
      <w:start w:val="1"/>
      <w:numFmt w:val="bullet"/>
      <w:lvlText w:val=""/>
      <w:lvlJc w:val="left"/>
      <w:pPr>
        <w:ind w:left="2160" w:hanging="360"/>
      </w:pPr>
      <w:rPr>
        <w:rFonts w:ascii="Wingdings" w:hAnsi="Wingdings" w:hint="default"/>
      </w:rPr>
    </w:lvl>
    <w:lvl w:ilvl="3" w:tplc="61D217CA" w:tentative="1">
      <w:start w:val="1"/>
      <w:numFmt w:val="bullet"/>
      <w:lvlText w:val=""/>
      <w:lvlJc w:val="left"/>
      <w:pPr>
        <w:ind w:left="2880" w:hanging="360"/>
      </w:pPr>
      <w:rPr>
        <w:rFonts w:ascii="Symbol" w:hAnsi="Symbol" w:hint="default"/>
      </w:rPr>
    </w:lvl>
    <w:lvl w:ilvl="4" w:tplc="09CA03CA" w:tentative="1">
      <w:start w:val="1"/>
      <w:numFmt w:val="bullet"/>
      <w:lvlText w:val="o"/>
      <w:lvlJc w:val="left"/>
      <w:pPr>
        <w:ind w:left="3600" w:hanging="360"/>
      </w:pPr>
      <w:rPr>
        <w:rFonts w:ascii="Courier New" w:hAnsi="Courier New" w:cs="Courier New" w:hint="default"/>
      </w:rPr>
    </w:lvl>
    <w:lvl w:ilvl="5" w:tplc="AE4AF8F0" w:tentative="1">
      <w:start w:val="1"/>
      <w:numFmt w:val="bullet"/>
      <w:lvlText w:val=""/>
      <w:lvlJc w:val="left"/>
      <w:pPr>
        <w:ind w:left="4320" w:hanging="360"/>
      </w:pPr>
      <w:rPr>
        <w:rFonts w:ascii="Wingdings" w:hAnsi="Wingdings" w:hint="default"/>
      </w:rPr>
    </w:lvl>
    <w:lvl w:ilvl="6" w:tplc="CCD8164C" w:tentative="1">
      <w:start w:val="1"/>
      <w:numFmt w:val="bullet"/>
      <w:lvlText w:val=""/>
      <w:lvlJc w:val="left"/>
      <w:pPr>
        <w:ind w:left="5040" w:hanging="360"/>
      </w:pPr>
      <w:rPr>
        <w:rFonts w:ascii="Symbol" w:hAnsi="Symbol" w:hint="default"/>
      </w:rPr>
    </w:lvl>
    <w:lvl w:ilvl="7" w:tplc="C4347C1A" w:tentative="1">
      <w:start w:val="1"/>
      <w:numFmt w:val="bullet"/>
      <w:lvlText w:val="o"/>
      <w:lvlJc w:val="left"/>
      <w:pPr>
        <w:ind w:left="5760" w:hanging="360"/>
      </w:pPr>
      <w:rPr>
        <w:rFonts w:ascii="Courier New" w:hAnsi="Courier New" w:cs="Courier New" w:hint="default"/>
      </w:rPr>
    </w:lvl>
    <w:lvl w:ilvl="8" w:tplc="552E3B40" w:tentative="1">
      <w:start w:val="1"/>
      <w:numFmt w:val="bullet"/>
      <w:lvlText w:val=""/>
      <w:lvlJc w:val="left"/>
      <w:pPr>
        <w:ind w:left="6480" w:hanging="360"/>
      </w:pPr>
      <w:rPr>
        <w:rFonts w:ascii="Wingdings" w:hAnsi="Wingdings" w:hint="default"/>
      </w:rPr>
    </w:lvl>
  </w:abstractNum>
  <w:abstractNum w:abstractNumId="21" w15:restartNumberingAfterBreak="0">
    <w:nsid w:val="40AC4469"/>
    <w:multiLevelType w:val="hybridMultilevel"/>
    <w:tmpl w:val="5930036C"/>
    <w:lvl w:ilvl="0" w:tplc="0EEA66F8">
      <w:start w:val="1"/>
      <w:numFmt w:val="bullet"/>
      <w:lvlText w:val=""/>
      <w:lvlJc w:val="left"/>
      <w:pPr>
        <w:ind w:left="720" w:hanging="360"/>
      </w:pPr>
      <w:rPr>
        <w:rFonts w:ascii="Symbol" w:hAnsi="Symbol" w:hint="default"/>
      </w:rPr>
    </w:lvl>
    <w:lvl w:ilvl="1" w:tplc="B1C2FFF6">
      <w:start w:val="1"/>
      <w:numFmt w:val="bullet"/>
      <w:lvlText w:val="o"/>
      <w:lvlJc w:val="left"/>
      <w:pPr>
        <w:ind w:left="1440" w:hanging="360"/>
      </w:pPr>
      <w:rPr>
        <w:rFonts w:ascii="Courier New" w:hAnsi="Courier New" w:cs="Courier New" w:hint="default"/>
      </w:rPr>
    </w:lvl>
    <w:lvl w:ilvl="2" w:tplc="4B14A594" w:tentative="1">
      <w:start w:val="1"/>
      <w:numFmt w:val="bullet"/>
      <w:lvlText w:val=""/>
      <w:lvlJc w:val="left"/>
      <w:pPr>
        <w:ind w:left="2160" w:hanging="360"/>
      </w:pPr>
      <w:rPr>
        <w:rFonts w:ascii="Wingdings" w:hAnsi="Wingdings" w:hint="default"/>
      </w:rPr>
    </w:lvl>
    <w:lvl w:ilvl="3" w:tplc="C7C6787A" w:tentative="1">
      <w:start w:val="1"/>
      <w:numFmt w:val="bullet"/>
      <w:lvlText w:val=""/>
      <w:lvlJc w:val="left"/>
      <w:pPr>
        <w:ind w:left="2880" w:hanging="360"/>
      </w:pPr>
      <w:rPr>
        <w:rFonts w:ascii="Symbol" w:hAnsi="Symbol" w:hint="default"/>
      </w:rPr>
    </w:lvl>
    <w:lvl w:ilvl="4" w:tplc="4492E8E4" w:tentative="1">
      <w:start w:val="1"/>
      <w:numFmt w:val="bullet"/>
      <w:lvlText w:val="o"/>
      <w:lvlJc w:val="left"/>
      <w:pPr>
        <w:ind w:left="3600" w:hanging="360"/>
      </w:pPr>
      <w:rPr>
        <w:rFonts w:ascii="Courier New" w:hAnsi="Courier New" w:cs="Courier New" w:hint="default"/>
      </w:rPr>
    </w:lvl>
    <w:lvl w:ilvl="5" w:tplc="37F28C72" w:tentative="1">
      <w:start w:val="1"/>
      <w:numFmt w:val="bullet"/>
      <w:lvlText w:val=""/>
      <w:lvlJc w:val="left"/>
      <w:pPr>
        <w:ind w:left="4320" w:hanging="360"/>
      </w:pPr>
      <w:rPr>
        <w:rFonts w:ascii="Wingdings" w:hAnsi="Wingdings" w:hint="default"/>
      </w:rPr>
    </w:lvl>
    <w:lvl w:ilvl="6" w:tplc="7F0C8F9E" w:tentative="1">
      <w:start w:val="1"/>
      <w:numFmt w:val="bullet"/>
      <w:lvlText w:val=""/>
      <w:lvlJc w:val="left"/>
      <w:pPr>
        <w:ind w:left="5040" w:hanging="360"/>
      </w:pPr>
      <w:rPr>
        <w:rFonts w:ascii="Symbol" w:hAnsi="Symbol" w:hint="default"/>
      </w:rPr>
    </w:lvl>
    <w:lvl w:ilvl="7" w:tplc="13BEA274" w:tentative="1">
      <w:start w:val="1"/>
      <w:numFmt w:val="bullet"/>
      <w:lvlText w:val="o"/>
      <w:lvlJc w:val="left"/>
      <w:pPr>
        <w:ind w:left="5760" w:hanging="360"/>
      </w:pPr>
      <w:rPr>
        <w:rFonts w:ascii="Courier New" w:hAnsi="Courier New" w:cs="Courier New" w:hint="default"/>
      </w:rPr>
    </w:lvl>
    <w:lvl w:ilvl="8" w:tplc="EF869E32" w:tentative="1">
      <w:start w:val="1"/>
      <w:numFmt w:val="bullet"/>
      <w:lvlText w:val=""/>
      <w:lvlJc w:val="left"/>
      <w:pPr>
        <w:ind w:left="6480" w:hanging="360"/>
      </w:pPr>
      <w:rPr>
        <w:rFonts w:ascii="Wingdings" w:hAnsi="Wingdings" w:hint="default"/>
      </w:rPr>
    </w:lvl>
  </w:abstractNum>
  <w:abstractNum w:abstractNumId="22" w15:restartNumberingAfterBreak="0">
    <w:nsid w:val="42A91F1F"/>
    <w:multiLevelType w:val="hybridMultilevel"/>
    <w:tmpl w:val="AC7C8E64"/>
    <w:lvl w:ilvl="0" w:tplc="359892EC">
      <w:start w:val="1"/>
      <w:numFmt w:val="hebrew1"/>
      <w:lvlText w:val="%1."/>
      <w:lvlJc w:val="left"/>
      <w:pPr>
        <w:ind w:left="720" w:hanging="360"/>
      </w:pPr>
      <w:rPr>
        <w:rFonts w:hint="default"/>
      </w:rPr>
    </w:lvl>
    <w:lvl w:ilvl="1" w:tplc="E0664D68" w:tentative="1">
      <w:start w:val="1"/>
      <w:numFmt w:val="lowerLetter"/>
      <w:lvlText w:val="%2."/>
      <w:lvlJc w:val="left"/>
      <w:pPr>
        <w:ind w:left="1440" w:hanging="360"/>
      </w:pPr>
    </w:lvl>
    <w:lvl w:ilvl="2" w:tplc="0A20D838" w:tentative="1">
      <w:start w:val="1"/>
      <w:numFmt w:val="lowerRoman"/>
      <w:lvlText w:val="%3."/>
      <w:lvlJc w:val="right"/>
      <w:pPr>
        <w:ind w:left="2160" w:hanging="180"/>
      </w:pPr>
    </w:lvl>
    <w:lvl w:ilvl="3" w:tplc="5A36326C" w:tentative="1">
      <w:start w:val="1"/>
      <w:numFmt w:val="decimal"/>
      <w:lvlText w:val="%4."/>
      <w:lvlJc w:val="left"/>
      <w:pPr>
        <w:ind w:left="2880" w:hanging="360"/>
      </w:pPr>
    </w:lvl>
    <w:lvl w:ilvl="4" w:tplc="A0F2D416" w:tentative="1">
      <w:start w:val="1"/>
      <w:numFmt w:val="lowerLetter"/>
      <w:lvlText w:val="%5."/>
      <w:lvlJc w:val="left"/>
      <w:pPr>
        <w:ind w:left="3600" w:hanging="360"/>
      </w:pPr>
    </w:lvl>
    <w:lvl w:ilvl="5" w:tplc="0F44E970" w:tentative="1">
      <w:start w:val="1"/>
      <w:numFmt w:val="lowerRoman"/>
      <w:lvlText w:val="%6."/>
      <w:lvlJc w:val="right"/>
      <w:pPr>
        <w:ind w:left="4320" w:hanging="180"/>
      </w:pPr>
    </w:lvl>
    <w:lvl w:ilvl="6" w:tplc="3282FCBE" w:tentative="1">
      <w:start w:val="1"/>
      <w:numFmt w:val="decimal"/>
      <w:lvlText w:val="%7."/>
      <w:lvlJc w:val="left"/>
      <w:pPr>
        <w:ind w:left="5040" w:hanging="360"/>
      </w:pPr>
    </w:lvl>
    <w:lvl w:ilvl="7" w:tplc="C1A8CD30" w:tentative="1">
      <w:start w:val="1"/>
      <w:numFmt w:val="lowerLetter"/>
      <w:lvlText w:val="%8."/>
      <w:lvlJc w:val="left"/>
      <w:pPr>
        <w:ind w:left="5760" w:hanging="360"/>
      </w:pPr>
    </w:lvl>
    <w:lvl w:ilvl="8" w:tplc="494EA610" w:tentative="1">
      <w:start w:val="1"/>
      <w:numFmt w:val="lowerRoman"/>
      <w:lvlText w:val="%9."/>
      <w:lvlJc w:val="right"/>
      <w:pPr>
        <w:ind w:left="6480" w:hanging="180"/>
      </w:pPr>
    </w:lvl>
  </w:abstractNum>
  <w:abstractNum w:abstractNumId="23" w15:restartNumberingAfterBreak="0">
    <w:nsid w:val="467E026E"/>
    <w:multiLevelType w:val="hybridMultilevel"/>
    <w:tmpl w:val="7BB66D2A"/>
    <w:lvl w:ilvl="0" w:tplc="00E48250">
      <w:start w:val="1"/>
      <w:numFmt w:val="decimal"/>
      <w:lvlText w:val="%1."/>
      <w:lvlJc w:val="left"/>
      <w:pPr>
        <w:ind w:left="720" w:hanging="360"/>
      </w:pPr>
      <w:rPr>
        <w:rFonts w:hint="default"/>
      </w:rPr>
    </w:lvl>
    <w:lvl w:ilvl="1" w:tplc="A26817F8" w:tentative="1">
      <w:start w:val="1"/>
      <w:numFmt w:val="lowerLetter"/>
      <w:lvlText w:val="%2."/>
      <w:lvlJc w:val="left"/>
      <w:pPr>
        <w:ind w:left="1440" w:hanging="360"/>
      </w:pPr>
    </w:lvl>
    <w:lvl w:ilvl="2" w:tplc="D2D4A4BE" w:tentative="1">
      <w:start w:val="1"/>
      <w:numFmt w:val="lowerRoman"/>
      <w:lvlText w:val="%3."/>
      <w:lvlJc w:val="right"/>
      <w:pPr>
        <w:ind w:left="2160" w:hanging="180"/>
      </w:pPr>
    </w:lvl>
    <w:lvl w:ilvl="3" w:tplc="A8D68AB0" w:tentative="1">
      <w:start w:val="1"/>
      <w:numFmt w:val="decimal"/>
      <w:lvlText w:val="%4."/>
      <w:lvlJc w:val="left"/>
      <w:pPr>
        <w:ind w:left="2880" w:hanging="360"/>
      </w:pPr>
    </w:lvl>
    <w:lvl w:ilvl="4" w:tplc="1C3C891A" w:tentative="1">
      <w:start w:val="1"/>
      <w:numFmt w:val="lowerLetter"/>
      <w:lvlText w:val="%5."/>
      <w:lvlJc w:val="left"/>
      <w:pPr>
        <w:ind w:left="3600" w:hanging="360"/>
      </w:pPr>
    </w:lvl>
    <w:lvl w:ilvl="5" w:tplc="43F8E55E" w:tentative="1">
      <w:start w:val="1"/>
      <w:numFmt w:val="lowerRoman"/>
      <w:lvlText w:val="%6."/>
      <w:lvlJc w:val="right"/>
      <w:pPr>
        <w:ind w:left="4320" w:hanging="180"/>
      </w:pPr>
    </w:lvl>
    <w:lvl w:ilvl="6" w:tplc="07EEA402" w:tentative="1">
      <w:start w:val="1"/>
      <w:numFmt w:val="decimal"/>
      <w:lvlText w:val="%7."/>
      <w:lvlJc w:val="left"/>
      <w:pPr>
        <w:ind w:left="5040" w:hanging="360"/>
      </w:pPr>
    </w:lvl>
    <w:lvl w:ilvl="7" w:tplc="72EC3574" w:tentative="1">
      <w:start w:val="1"/>
      <w:numFmt w:val="lowerLetter"/>
      <w:lvlText w:val="%8."/>
      <w:lvlJc w:val="left"/>
      <w:pPr>
        <w:ind w:left="5760" w:hanging="360"/>
      </w:pPr>
    </w:lvl>
    <w:lvl w:ilvl="8" w:tplc="FC0E5F10" w:tentative="1">
      <w:start w:val="1"/>
      <w:numFmt w:val="lowerRoman"/>
      <w:lvlText w:val="%9."/>
      <w:lvlJc w:val="right"/>
      <w:pPr>
        <w:ind w:left="6480" w:hanging="180"/>
      </w:pPr>
    </w:lvl>
  </w:abstractNum>
  <w:abstractNum w:abstractNumId="24" w15:restartNumberingAfterBreak="0">
    <w:nsid w:val="46DE6ABF"/>
    <w:multiLevelType w:val="hybridMultilevel"/>
    <w:tmpl w:val="EA2AD048"/>
    <w:lvl w:ilvl="0" w:tplc="669AB670">
      <w:start w:val="1"/>
      <w:numFmt w:val="bullet"/>
      <w:lvlText w:val=""/>
      <w:lvlJc w:val="left"/>
      <w:pPr>
        <w:ind w:left="360" w:hanging="360"/>
      </w:pPr>
      <w:rPr>
        <w:rFonts w:ascii="Symbol" w:eastAsia="Times New Roman" w:hAnsi="Symbol" w:cs="FrankRuehl" w:hint="default"/>
      </w:rPr>
    </w:lvl>
    <w:lvl w:ilvl="1" w:tplc="74FA163E" w:tentative="1">
      <w:start w:val="1"/>
      <w:numFmt w:val="bullet"/>
      <w:lvlText w:val="o"/>
      <w:lvlJc w:val="left"/>
      <w:pPr>
        <w:ind w:left="1080" w:hanging="360"/>
      </w:pPr>
      <w:rPr>
        <w:rFonts w:ascii="Courier New" w:hAnsi="Courier New" w:cs="Courier New" w:hint="default"/>
      </w:rPr>
    </w:lvl>
    <w:lvl w:ilvl="2" w:tplc="9CCCA832" w:tentative="1">
      <w:start w:val="1"/>
      <w:numFmt w:val="bullet"/>
      <w:lvlText w:val=""/>
      <w:lvlJc w:val="left"/>
      <w:pPr>
        <w:ind w:left="1800" w:hanging="360"/>
      </w:pPr>
      <w:rPr>
        <w:rFonts w:ascii="Wingdings" w:hAnsi="Wingdings" w:hint="default"/>
      </w:rPr>
    </w:lvl>
    <w:lvl w:ilvl="3" w:tplc="F7AC3E1C" w:tentative="1">
      <w:start w:val="1"/>
      <w:numFmt w:val="bullet"/>
      <w:lvlText w:val=""/>
      <w:lvlJc w:val="left"/>
      <w:pPr>
        <w:ind w:left="2520" w:hanging="360"/>
      </w:pPr>
      <w:rPr>
        <w:rFonts w:ascii="Symbol" w:hAnsi="Symbol" w:hint="default"/>
      </w:rPr>
    </w:lvl>
    <w:lvl w:ilvl="4" w:tplc="3A788F50" w:tentative="1">
      <w:start w:val="1"/>
      <w:numFmt w:val="bullet"/>
      <w:lvlText w:val="o"/>
      <w:lvlJc w:val="left"/>
      <w:pPr>
        <w:ind w:left="3240" w:hanging="360"/>
      </w:pPr>
      <w:rPr>
        <w:rFonts w:ascii="Courier New" w:hAnsi="Courier New" w:cs="Courier New" w:hint="default"/>
      </w:rPr>
    </w:lvl>
    <w:lvl w:ilvl="5" w:tplc="61F67598" w:tentative="1">
      <w:start w:val="1"/>
      <w:numFmt w:val="bullet"/>
      <w:lvlText w:val=""/>
      <w:lvlJc w:val="left"/>
      <w:pPr>
        <w:ind w:left="3960" w:hanging="360"/>
      </w:pPr>
      <w:rPr>
        <w:rFonts w:ascii="Wingdings" w:hAnsi="Wingdings" w:hint="default"/>
      </w:rPr>
    </w:lvl>
    <w:lvl w:ilvl="6" w:tplc="DEF03D82" w:tentative="1">
      <w:start w:val="1"/>
      <w:numFmt w:val="bullet"/>
      <w:lvlText w:val=""/>
      <w:lvlJc w:val="left"/>
      <w:pPr>
        <w:ind w:left="4680" w:hanging="360"/>
      </w:pPr>
      <w:rPr>
        <w:rFonts w:ascii="Symbol" w:hAnsi="Symbol" w:hint="default"/>
      </w:rPr>
    </w:lvl>
    <w:lvl w:ilvl="7" w:tplc="1AB84708" w:tentative="1">
      <w:start w:val="1"/>
      <w:numFmt w:val="bullet"/>
      <w:lvlText w:val="o"/>
      <w:lvlJc w:val="left"/>
      <w:pPr>
        <w:ind w:left="5400" w:hanging="360"/>
      </w:pPr>
      <w:rPr>
        <w:rFonts w:ascii="Courier New" w:hAnsi="Courier New" w:cs="Courier New" w:hint="default"/>
      </w:rPr>
    </w:lvl>
    <w:lvl w:ilvl="8" w:tplc="8F1C8748" w:tentative="1">
      <w:start w:val="1"/>
      <w:numFmt w:val="bullet"/>
      <w:lvlText w:val=""/>
      <w:lvlJc w:val="left"/>
      <w:pPr>
        <w:ind w:left="6120" w:hanging="360"/>
      </w:pPr>
      <w:rPr>
        <w:rFonts w:ascii="Wingdings" w:hAnsi="Wingdings" w:hint="default"/>
      </w:rPr>
    </w:lvl>
  </w:abstractNum>
  <w:abstractNum w:abstractNumId="25" w15:restartNumberingAfterBreak="0">
    <w:nsid w:val="46E51408"/>
    <w:multiLevelType w:val="hybridMultilevel"/>
    <w:tmpl w:val="3C7A9BC8"/>
    <w:lvl w:ilvl="0" w:tplc="8E3CFDC6">
      <w:start w:val="1"/>
      <w:numFmt w:val="bullet"/>
      <w:lvlText w:val=""/>
      <w:lvlJc w:val="left"/>
      <w:pPr>
        <w:ind w:left="720" w:hanging="360"/>
      </w:pPr>
      <w:rPr>
        <w:rFonts w:ascii="Symbol" w:hAnsi="Symbol" w:hint="default"/>
      </w:rPr>
    </w:lvl>
    <w:lvl w:ilvl="1" w:tplc="63228EE4">
      <w:start w:val="1"/>
      <w:numFmt w:val="bullet"/>
      <w:lvlText w:val="o"/>
      <w:lvlJc w:val="left"/>
      <w:pPr>
        <w:ind w:left="1440" w:hanging="360"/>
      </w:pPr>
      <w:rPr>
        <w:rFonts w:ascii="Courier New" w:hAnsi="Courier New" w:cs="Courier New" w:hint="default"/>
      </w:rPr>
    </w:lvl>
    <w:lvl w:ilvl="2" w:tplc="481EFE04" w:tentative="1">
      <w:start w:val="1"/>
      <w:numFmt w:val="bullet"/>
      <w:lvlText w:val=""/>
      <w:lvlJc w:val="left"/>
      <w:pPr>
        <w:ind w:left="2160" w:hanging="360"/>
      </w:pPr>
      <w:rPr>
        <w:rFonts w:ascii="Wingdings" w:hAnsi="Wingdings" w:hint="default"/>
      </w:rPr>
    </w:lvl>
    <w:lvl w:ilvl="3" w:tplc="AB486740" w:tentative="1">
      <w:start w:val="1"/>
      <w:numFmt w:val="bullet"/>
      <w:lvlText w:val=""/>
      <w:lvlJc w:val="left"/>
      <w:pPr>
        <w:ind w:left="2880" w:hanging="360"/>
      </w:pPr>
      <w:rPr>
        <w:rFonts w:ascii="Symbol" w:hAnsi="Symbol" w:hint="default"/>
      </w:rPr>
    </w:lvl>
    <w:lvl w:ilvl="4" w:tplc="6B9A6F18" w:tentative="1">
      <w:start w:val="1"/>
      <w:numFmt w:val="bullet"/>
      <w:lvlText w:val="o"/>
      <w:lvlJc w:val="left"/>
      <w:pPr>
        <w:ind w:left="3600" w:hanging="360"/>
      </w:pPr>
      <w:rPr>
        <w:rFonts w:ascii="Courier New" w:hAnsi="Courier New" w:cs="Courier New" w:hint="default"/>
      </w:rPr>
    </w:lvl>
    <w:lvl w:ilvl="5" w:tplc="525E3C5C" w:tentative="1">
      <w:start w:val="1"/>
      <w:numFmt w:val="bullet"/>
      <w:lvlText w:val=""/>
      <w:lvlJc w:val="left"/>
      <w:pPr>
        <w:ind w:left="4320" w:hanging="360"/>
      </w:pPr>
      <w:rPr>
        <w:rFonts w:ascii="Wingdings" w:hAnsi="Wingdings" w:hint="default"/>
      </w:rPr>
    </w:lvl>
    <w:lvl w:ilvl="6" w:tplc="E2325080" w:tentative="1">
      <w:start w:val="1"/>
      <w:numFmt w:val="bullet"/>
      <w:lvlText w:val=""/>
      <w:lvlJc w:val="left"/>
      <w:pPr>
        <w:ind w:left="5040" w:hanging="360"/>
      </w:pPr>
      <w:rPr>
        <w:rFonts w:ascii="Symbol" w:hAnsi="Symbol" w:hint="default"/>
      </w:rPr>
    </w:lvl>
    <w:lvl w:ilvl="7" w:tplc="98A211D4" w:tentative="1">
      <w:start w:val="1"/>
      <w:numFmt w:val="bullet"/>
      <w:lvlText w:val="o"/>
      <w:lvlJc w:val="left"/>
      <w:pPr>
        <w:ind w:left="5760" w:hanging="360"/>
      </w:pPr>
      <w:rPr>
        <w:rFonts w:ascii="Courier New" w:hAnsi="Courier New" w:cs="Courier New" w:hint="default"/>
      </w:rPr>
    </w:lvl>
    <w:lvl w:ilvl="8" w:tplc="4D2E6232" w:tentative="1">
      <w:start w:val="1"/>
      <w:numFmt w:val="bullet"/>
      <w:lvlText w:val=""/>
      <w:lvlJc w:val="left"/>
      <w:pPr>
        <w:ind w:left="6480" w:hanging="360"/>
      </w:pPr>
      <w:rPr>
        <w:rFonts w:ascii="Wingdings" w:hAnsi="Wingdings" w:hint="default"/>
      </w:rPr>
    </w:lvl>
  </w:abstractNum>
  <w:abstractNum w:abstractNumId="26" w15:restartNumberingAfterBreak="0">
    <w:nsid w:val="4AC937FC"/>
    <w:multiLevelType w:val="hybridMultilevel"/>
    <w:tmpl w:val="4ADC639A"/>
    <w:lvl w:ilvl="0" w:tplc="AD46FD2A">
      <w:start w:val="1"/>
      <w:numFmt w:val="hebrew1"/>
      <w:lvlText w:val="%1."/>
      <w:lvlJc w:val="left"/>
      <w:pPr>
        <w:ind w:left="720" w:hanging="360"/>
      </w:pPr>
      <w:rPr>
        <w:rFonts w:hint="default"/>
      </w:rPr>
    </w:lvl>
    <w:lvl w:ilvl="1" w:tplc="009A7E7C" w:tentative="1">
      <w:start w:val="1"/>
      <w:numFmt w:val="lowerLetter"/>
      <w:lvlText w:val="%2."/>
      <w:lvlJc w:val="left"/>
      <w:pPr>
        <w:ind w:left="1440" w:hanging="360"/>
      </w:pPr>
    </w:lvl>
    <w:lvl w:ilvl="2" w:tplc="E30AAA8C" w:tentative="1">
      <w:start w:val="1"/>
      <w:numFmt w:val="lowerRoman"/>
      <w:lvlText w:val="%3."/>
      <w:lvlJc w:val="right"/>
      <w:pPr>
        <w:ind w:left="2160" w:hanging="180"/>
      </w:pPr>
    </w:lvl>
    <w:lvl w:ilvl="3" w:tplc="59100EA8" w:tentative="1">
      <w:start w:val="1"/>
      <w:numFmt w:val="decimal"/>
      <w:lvlText w:val="%4."/>
      <w:lvlJc w:val="left"/>
      <w:pPr>
        <w:ind w:left="2880" w:hanging="360"/>
      </w:pPr>
    </w:lvl>
    <w:lvl w:ilvl="4" w:tplc="BF04700C" w:tentative="1">
      <w:start w:val="1"/>
      <w:numFmt w:val="lowerLetter"/>
      <w:lvlText w:val="%5."/>
      <w:lvlJc w:val="left"/>
      <w:pPr>
        <w:ind w:left="3600" w:hanging="360"/>
      </w:pPr>
    </w:lvl>
    <w:lvl w:ilvl="5" w:tplc="FB72CA0E" w:tentative="1">
      <w:start w:val="1"/>
      <w:numFmt w:val="lowerRoman"/>
      <w:lvlText w:val="%6."/>
      <w:lvlJc w:val="right"/>
      <w:pPr>
        <w:ind w:left="4320" w:hanging="180"/>
      </w:pPr>
    </w:lvl>
    <w:lvl w:ilvl="6" w:tplc="03AE888A" w:tentative="1">
      <w:start w:val="1"/>
      <w:numFmt w:val="decimal"/>
      <w:lvlText w:val="%7."/>
      <w:lvlJc w:val="left"/>
      <w:pPr>
        <w:ind w:left="5040" w:hanging="360"/>
      </w:pPr>
    </w:lvl>
    <w:lvl w:ilvl="7" w:tplc="93107592" w:tentative="1">
      <w:start w:val="1"/>
      <w:numFmt w:val="lowerLetter"/>
      <w:lvlText w:val="%8."/>
      <w:lvlJc w:val="left"/>
      <w:pPr>
        <w:ind w:left="5760" w:hanging="360"/>
      </w:pPr>
    </w:lvl>
    <w:lvl w:ilvl="8" w:tplc="E4D8C318" w:tentative="1">
      <w:start w:val="1"/>
      <w:numFmt w:val="lowerRoman"/>
      <w:lvlText w:val="%9."/>
      <w:lvlJc w:val="right"/>
      <w:pPr>
        <w:ind w:left="6480" w:hanging="180"/>
      </w:pPr>
    </w:lvl>
  </w:abstractNum>
  <w:abstractNum w:abstractNumId="27" w15:restartNumberingAfterBreak="0">
    <w:nsid w:val="4FE70B62"/>
    <w:multiLevelType w:val="hybridMultilevel"/>
    <w:tmpl w:val="ADA8711E"/>
    <w:lvl w:ilvl="0" w:tplc="247A9FC2">
      <w:start w:val="1"/>
      <w:numFmt w:val="hebrew1"/>
      <w:pStyle w:val="Ruller40"/>
      <w:lvlText w:val="%1."/>
      <w:lvlJc w:val="left"/>
      <w:pPr>
        <w:tabs>
          <w:tab w:val="num" w:pos="907"/>
        </w:tabs>
        <w:ind w:left="0" w:firstLine="0"/>
      </w:pPr>
      <w:rPr>
        <w:rFonts w:hint="default"/>
      </w:rPr>
    </w:lvl>
    <w:lvl w:ilvl="1" w:tplc="466E5128" w:tentative="1">
      <w:start w:val="1"/>
      <w:numFmt w:val="lowerLetter"/>
      <w:lvlText w:val="%2."/>
      <w:lvlJc w:val="left"/>
      <w:pPr>
        <w:tabs>
          <w:tab w:val="num" w:pos="1440"/>
        </w:tabs>
        <w:ind w:left="1440" w:hanging="360"/>
      </w:pPr>
    </w:lvl>
    <w:lvl w:ilvl="2" w:tplc="BB6234E6" w:tentative="1">
      <w:start w:val="1"/>
      <w:numFmt w:val="lowerRoman"/>
      <w:lvlText w:val="%3."/>
      <w:lvlJc w:val="right"/>
      <w:pPr>
        <w:tabs>
          <w:tab w:val="num" w:pos="2160"/>
        </w:tabs>
        <w:ind w:left="2160" w:hanging="180"/>
      </w:pPr>
    </w:lvl>
    <w:lvl w:ilvl="3" w:tplc="E39A448A" w:tentative="1">
      <w:start w:val="1"/>
      <w:numFmt w:val="decimal"/>
      <w:lvlText w:val="%4."/>
      <w:lvlJc w:val="left"/>
      <w:pPr>
        <w:tabs>
          <w:tab w:val="num" w:pos="2880"/>
        </w:tabs>
        <w:ind w:left="2880" w:hanging="360"/>
      </w:pPr>
    </w:lvl>
    <w:lvl w:ilvl="4" w:tplc="E056F70C" w:tentative="1">
      <w:start w:val="1"/>
      <w:numFmt w:val="lowerLetter"/>
      <w:lvlText w:val="%5."/>
      <w:lvlJc w:val="left"/>
      <w:pPr>
        <w:tabs>
          <w:tab w:val="num" w:pos="3600"/>
        </w:tabs>
        <w:ind w:left="3600" w:hanging="360"/>
      </w:pPr>
    </w:lvl>
    <w:lvl w:ilvl="5" w:tplc="363CE59A" w:tentative="1">
      <w:start w:val="1"/>
      <w:numFmt w:val="lowerRoman"/>
      <w:lvlText w:val="%6."/>
      <w:lvlJc w:val="right"/>
      <w:pPr>
        <w:tabs>
          <w:tab w:val="num" w:pos="4320"/>
        </w:tabs>
        <w:ind w:left="4320" w:hanging="180"/>
      </w:pPr>
    </w:lvl>
    <w:lvl w:ilvl="6" w:tplc="EEC0C262" w:tentative="1">
      <w:start w:val="1"/>
      <w:numFmt w:val="decimal"/>
      <w:lvlText w:val="%7."/>
      <w:lvlJc w:val="left"/>
      <w:pPr>
        <w:tabs>
          <w:tab w:val="num" w:pos="5040"/>
        </w:tabs>
        <w:ind w:left="5040" w:hanging="360"/>
      </w:pPr>
    </w:lvl>
    <w:lvl w:ilvl="7" w:tplc="CDE092F2" w:tentative="1">
      <w:start w:val="1"/>
      <w:numFmt w:val="lowerLetter"/>
      <w:lvlText w:val="%8."/>
      <w:lvlJc w:val="left"/>
      <w:pPr>
        <w:tabs>
          <w:tab w:val="num" w:pos="5760"/>
        </w:tabs>
        <w:ind w:left="5760" w:hanging="360"/>
      </w:pPr>
    </w:lvl>
    <w:lvl w:ilvl="8" w:tplc="BF36146C" w:tentative="1">
      <w:start w:val="1"/>
      <w:numFmt w:val="lowerRoman"/>
      <w:lvlText w:val="%9."/>
      <w:lvlJc w:val="right"/>
      <w:pPr>
        <w:tabs>
          <w:tab w:val="num" w:pos="6480"/>
        </w:tabs>
        <w:ind w:left="6480" w:hanging="180"/>
      </w:pPr>
    </w:lvl>
  </w:abstractNum>
  <w:abstractNum w:abstractNumId="28" w15:restartNumberingAfterBreak="0">
    <w:nsid w:val="503950C7"/>
    <w:multiLevelType w:val="hybridMultilevel"/>
    <w:tmpl w:val="6B201A2E"/>
    <w:lvl w:ilvl="0" w:tplc="9BE8B226">
      <w:start w:val="1"/>
      <w:numFmt w:val="bullet"/>
      <w:lvlText w:val=""/>
      <w:lvlJc w:val="left"/>
      <w:pPr>
        <w:ind w:left="720" w:hanging="360"/>
      </w:pPr>
      <w:rPr>
        <w:rFonts w:ascii="Symbol" w:hAnsi="Symbol" w:hint="default"/>
      </w:rPr>
    </w:lvl>
    <w:lvl w:ilvl="1" w:tplc="F34A1666" w:tentative="1">
      <w:start w:val="1"/>
      <w:numFmt w:val="bullet"/>
      <w:lvlText w:val="o"/>
      <w:lvlJc w:val="left"/>
      <w:pPr>
        <w:ind w:left="1440" w:hanging="360"/>
      </w:pPr>
      <w:rPr>
        <w:rFonts w:ascii="Courier New" w:hAnsi="Courier New" w:cs="Courier New" w:hint="default"/>
      </w:rPr>
    </w:lvl>
    <w:lvl w:ilvl="2" w:tplc="8878E21E" w:tentative="1">
      <w:start w:val="1"/>
      <w:numFmt w:val="bullet"/>
      <w:lvlText w:val=""/>
      <w:lvlJc w:val="left"/>
      <w:pPr>
        <w:ind w:left="2160" w:hanging="360"/>
      </w:pPr>
      <w:rPr>
        <w:rFonts w:ascii="Wingdings" w:hAnsi="Wingdings" w:hint="default"/>
      </w:rPr>
    </w:lvl>
    <w:lvl w:ilvl="3" w:tplc="2E501882" w:tentative="1">
      <w:start w:val="1"/>
      <w:numFmt w:val="bullet"/>
      <w:lvlText w:val=""/>
      <w:lvlJc w:val="left"/>
      <w:pPr>
        <w:ind w:left="2880" w:hanging="360"/>
      </w:pPr>
      <w:rPr>
        <w:rFonts w:ascii="Symbol" w:hAnsi="Symbol" w:hint="default"/>
      </w:rPr>
    </w:lvl>
    <w:lvl w:ilvl="4" w:tplc="9B98820E" w:tentative="1">
      <w:start w:val="1"/>
      <w:numFmt w:val="bullet"/>
      <w:lvlText w:val="o"/>
      <w:lvlJc w:val="left"/>
      <w:pPr>
        <w:ind w:left="3600" w:hanging="360"/>
      </w:pPr>
      <w:rPr>
        <w:rFonts w:ascii="Courier New" w:hAnsi="Courier New" w:cs="Courier New" w:hint="default"/>
      </w:rPr>
    </w:lvl>
    <w:lvl w:ilvl="5" w:tplc="C0D0921A" w:tentative="1">
      <w:start w:val="1"/>
      <w:numFmt w:val="bullet"/>
      <w:lvlText w:val=""/>
      <w:lvlJc w:val="left"/>
      <w:pPr>
        <w:ind w:left="4320" w:hanging="360"/>
      </w:pPr>
      <w:rPr>
        <w:rFonts w:ascii="Wingdings" w:hAnsi="Wingdings" w:hint="default"/>
      </w:rPr>
    </w:lvl>
    <w:lvl w:ilvl="6" w:tplc="7B9A64A0" w:tentative="1">
      <w:start w:val="1"/>
      <w:numFmt w:val="bullet"/>
      <w:lvlText w:val=""/>
      <w:lvlJc w:val="left"/>
      <w:pPr>
        <w:ind w:left="5040" w:hanging="360"/>
      </w:pPr>
      <w:rPr>
        <w:rFonts w:ascii="Symbol" w:hAnsi="Symbol" w:hint="default"/>
      </w:rPr>
    </w:lvl>
    <w:lvl w:ilvl="7" w:tplc="E2882754" w:tentative="1">
      <w:start w:val="1"/>
      <w:numFmt w:val="bullet"/>
      <w:lvlText w:val="o"/>
      <w:lvlJc w:val="left"/>
      <w:pPr>
        <w:ind w:left="5760" w:hanging="360"/>
      </w:pPr>
      <w:rPr>
        <w:rFonts w:ascii="Courier New" w:hAnsi="Courier New" w:cs="Courier New" w:hint="default"/>
      </w:rPr>
    </w:lvl>
    <w:lvl w:ilvl="8" w:tplc="4BD80BCE" w:tentative="1">
      <w:start w:val="1"/>
      <w:numFmt w:val="bullet"/>
      <w:lvlText w:val=""/>
      <w:lvlJc w:val="left"/>
      <w:pPr>
        <w:ind w:left="6480" w:hanging="360"/>
      </w:pPr>
      <w:rPr>
        <w:rFonts w:ascii="Wingdings" w:hAnsi="Wingdings" w:hint="default"/>
      </w:rPr>
    </w:lvl>
  </w:abstractNum>
  <w:abstractNum w:abstractNumId="29" w15:restartNumberingAfterBreak="0">
    <w:nsid w:val="52055716"/>
    <w:multiLevelType w:val="hybridMultilevel"/>
    <w:tmpl w:val="4F0E3E12"/>
    <w:lvl w:ilvl="0" w:tplc="8B1E6A1A">
      <w:start w:val="1"/>
      <w:numFmt w:val="bullet"/>
      <w:lvlText w:val=""/>
      <w:lvlJc w:val="left"/>
      <w:pPr>
        <w:ind w:left="720" w:hanging="360"/>
      </w:pPr>
      <w:rPr>
        <w:rFonts w:ascii="Symbol" w:hAnsi="Symbol" w:hint="default"/>
      </w:rPr>
    </w:lvl>
    <w:lvl w:ilvl="1" w:tplc="000C15FC" w:tentative="1">
      <w:start w:val="1"/>
      <w:numFmt w:val="bullet"/>
      <w:lvlText w:val="o"/>
      <w:lvlJc w:val="left"/>
      <w:pPr>
        <w:ind w:left="1440" w:hanging="360"/>
      </w:pPr>
      <w:rPr>
        <w:rFonts w:ascii="Courier New" w:hAnsi="Courier New" w:cs="Courier New" w:hint="default"/>
      </w:rPr>
    </w:lvl>
    <w:lvl w:ilvl="2" w:tplc="B38ECAE6" w:tentative="1">
      <w:start w:val="1"/>
      <w:numFmt w:val="bullet"/>
      <w:lvlText w:val=""/>
      <w:lvlJc w:val="left"/>
      <w:pPr>
        <w:ind w:left="2160" w:hanging="360"/>
      </w:pPr>
      <w:rPr>
        <w:rFonts w:ascii="Wingdings" w:hAnsi="Wingdings" w:hint="default"/>
      </w:rPr>
    </w:lvl>
    <w:lvl w:ilvl="3" w:tplc="51EAD654" w:tentative="1">
      <w:start w:val="1"/>
      <w:numFmt w:val="bullet"/>
      <w:lvlText w:val=""/>
      <w:lvlJc w:val="left"/>
      <w:pPr>
        <w:ind w:left="2880" w:hanging="360"/>
      </w:pPr>
      <w:rPr>
        <w:rFonts w:ascii="Symbol" w:hAnsi="Symbol" w:hint="default"/>
      </w:rPr>
    </w:lvl>
    <w:lvl w:ilvl="4" w:tplc="DB4C970E" w:tentative="1">
      <w:start w:val="1"/>
      <w:numFmt w:val="bullet"/>
      <w:lvlText w:val="o"/>
      <w:lvlJc w:val="left"/>
      <w:pPr>
        <w:ind w:left="3600" w:hanging="360"/>
      </w:pPr>
      <w:rPr>
        <w:rFonts w:ascii="Courier New" w:hAnsi="Courier New" w:cs="Courier New" w:hint="default"/>
      </w:rPr>
    </w:lvl>
    <w:lvl w:ilvl="5" w:tplc="6F6C0C8E" w:tentative="1">
      <w:start w:val="1"/>
      <w:numFmt w:val="bullet"/>
      <w:lvlText w:val=""/>
      <w:lvlJc w:val="left"/>
      <w:pPr>
        <w:ind w:left="4320" w:hanging="360"/>
      </w:pPr>
      <w:rPr>
        <w:rFonts w:ascii="Wingdings" w:hAnsi="Wingdings" w:hint="default"/>
      </w:rPr>
    </w:lvl>
    <w:lvl w:ilvl="6" w:tplc="FC087A28" w:tentative="1">
      <w:start w:val="1"/>
      <w:numFmt w:val="bullet"/>
      <w:lvlText w:val=""/>
      <w:lvlJc w:val="left"/>
      <w:pPr>
        <w:ind w:left="5040" w:hanging="360"/>
      </w:pPr>
      <w:rPr>
        <w:rFonts w:ascii="Symbol" w:hAnsi="Symbol" w:hint="default"/>
      </w:rPr>
    </w:lvl>
    <w:lvl w:ilvl="7" w:tplc="F16E87BA" w:tentative="1">
      <w:start w:val="1"/>
      <w:numFmt w:val="bullet"/>
      <w:lvlText w:val="o"/>
      <w:lvlJc w:val="left"/>
      <w:pPr>
        <w:ind w:left="5760" w:hanging="360"/>
      </w:pPr>
      <w:rPr>
        <w:rFonts w:ascii="Courier New" w:hAnsi="Courier New" w:cs="Courier New" w:hint="default"/>
      </w:rPr>
    </w:lvl>
    <w:lvl w:ilvl="8" w:tplc="50681038" w:tentative="1">
      <w:start w:val="1"/>
      <w:numFmt w:val="bullet"/>
      <w:lvlText w:val=""/>
      <w:lvlJc w:val="left"/>
      <w:pPr>
        <w:ind w:left="6480" w:hanging="360"/>
      </w:pPr>
      <w:rPr>
        <w:rFonts w:ascii="Wingdings" w:hAnsi="Wingdings" w:hint="default"/>
      </w:rPr>
    </w:lvl>
  </w:abstractNum>
  <w:abstractNum w:abstractNumId="30" w15:restartNumberingAfterBreak="0">
    <w:nsid w:val="615542BC"/>
    <w:multiLevelType w:val="hybridMultilevel"/>
    <w:tmpl w:val="D05E1D08"/>
    <w:lvl w:ilvl="0" w:tplc="21225F6C">
      <w:start w:val="1"/>
      <w:numFmt w:val="bullet"/>
      <w:lvlText w:val=""/>
      <w:lvlJc w:val="left"/>
      <w:pPr>
        <w:ind w:left="720" w:hanging="360"/>
      </w:pPr>
      <w:rPr>
        <w:rFonts w:ascii="Symbol" w:hAnsi="Symbol" w:hint="default"/>
      </w:rPr>
    </w:lvl>
    <w:lvl w:ilvl="1" w:tplc="0930EE1C">
      <w:start w:val="1"/>
      <w:numFmt w:val="bullet"/>
      <w:lvlText w:val="o"/>
      <w:lvlJc w:val="left"/>
      <w:pPr>
        <w:ind w:left="1440" w:hanging="360"/>
      </w:pPr>
      <w:rPr>
        <w:rFonts w:ascii="Courier New" w:hAnsi="Courier New" w:cs="Courier New" w:hint="default"/>
      </w:rPr>
    </w:lvl>
    <w:lvl w:ilvl="2" w:tplc="30EE91C0" w:tentative="1">
      <w:start w:val="1"/>
      <w:numFmt w:val="bullet"/>
      <w:lvlText w:val=""/>
      <w:lvlJc w:val="left"/>
      <w:pPr>
        <w:ind w:left="2160" w:hanging="360"/>
      </w:pPr>
      <w:rPr>
        <w:rFonts w:ascii="Wingdings" w:hAnsi="Wingdings" w:hint="default"/>
      </w:rPr>
    </w:lvl>
    <w:lvl w:ilvl="3" w:tplc="D820BA82" w:tentative="1">
      <w:start w:val="1"/>
      <w:numFmt w:val="bullet"/>
      <w:lvlText w:val=""/>
      <w:lvlJc w:val="left"/>
      <w:pPr>
        <w:ind w:left="2880" w:hanging="360"/>
      </w:pPr>
      <w:rPr>
        <w:rFonts w:ascii="Symbol" w:hAnsi="Symbol" w:hint="default"/>
      </w:rPr>
    </w:lvl>
    <w:lvl w:ilvl="4" w:tplc="7F6259F0" w:tentative="1">
      <w:start w:val="1"/>
      <w:numFmt w:val="bullet"/>
      <w:lvlText w:val="o"/>
      <w:lvlJc w:val="left"/>
      <w:pPr>
        <w:ind w:left="3600" w:hanging="360"/>
      </w:pPr>
      <w:rPr>
        <w:rFonts w:ascii="Courier New" w:hAnsi="Courier New" w:cs="Courier New" w:hint="default"/>
      </w:rPr>
    </w:lvl>
    <w:lvl w:ilvl="5" w:tplc="E6BC5658" w:tentative="1">
      <w:start w:val="1"/>
      <w:numFmt w:val="bullet"/>
      <w:lvlText w:val=""/>
      <w:lvlJc w:val="left"/>
      <w:pPr>
        <w:ind w:left="4320" w:hanging="360"/>
      </w:pPr>
      <w:rPr>
        <w:rFonts w:ascii="Wingdings" w:hAnsi="Wingdings" w:hint="default"/>
      </w:rPr>
    </w:lvl>
    <w:lvl w:ilvl="6" w:tplc="FFF29C42" w:tentative="1">
      <w:start w:val="1"/>
      <w:numFmt w:val="bullet"/>
      <w:lvlText w:val=""/>
      <w:lvlJc w:val="left"/>
      <w:pPr>
        <w:ind w:left="5040" w:hanging="360"/>
      </w:pPr>
      <w:rPr>
        <w:rFonts w:ascii="Symbol" w:hAnsi="Symbol" w:hint="default"/>
      </w:rPr>
    </w:lvl>
    <w:lvl w:ilvl="7" w:tplc="3CA4D1F0" w:tentative="1">
      <w:start w:val="1"/>
      <w:numFmt w:val="bullet"/>
      <w:lvlText w:val="o"/>
      <w:lvlJc w:val="left"/>
      <w:pPr>
        <w:ind w:left="5760" w:hanging="360"/>
      </w:pPr>
      <w:rPr>
        <w:rFonts w:ascii="Courier New" w:hAnsi="Courier New" w:cs="Courier New" w:hint="default"/>
      </w:rPr>
    </w:lvl>
    <w:lvl w:ilvl="8" w:tplc="91608F64" w:tentative="1">
      <w:start w:val="1"/>
      <w:numFmt w:val="bullet"/>
      <w:lvlText w:val=""/>
      <w:lvlJc w:val="left"/>
      <w:pPr>
        <w:ind w:left="6480" w:hanging="360"/>
      </w:pPr>
      <w:rPr>
        <w:rFonts w:ascii="Wingdings" w:hAnsi="Wingdings" w:hint="default"/>
      </w:rPr>
    </w:lvl>
  </w:abstractNum>
  <w:abstractNum w:abstractNumId="31" w15:restartNumberingAfterBreak="0">
    <w:nsid w:val="65970BDF"/>
    <w:multiLevelType w:val="hybridMultilevel"/>
    <w:tmpl w:val="20305C4A"/>
    <w:lvl w:ilvl="0" w:tplc="3D182E6A">
      <w:start w:val="1"/>
      <w:numFmt w:val="decimal"/>
      <w:lvlText w:val="(%1)"/>
      <w:lvlJc w:val="left"/>
      <w:pPr>
        <w:ind w:left="720" w:hanging="360"/>
      </w:pPr>
      <w:rPr>
        <w:rFonts w:hint="default"/>
      </w:rPr>
    </w:lvl>
    <w:lvl w:ilvl="1" w:tplc="E738063E" w:tentative="1">
      <w:start w:val="1"/>
      <w:numFmt w:val="lowerLetter"/>
      <w:lvlText w:val="%2."/>
      <w:lvlJc w:val="left"/>
      <w:pPr>
        <w:ind w:left="1440" w:hanging="360"/>
      </w:pPr>
    </w:lvl>
    <w:lvl w:ilvl="2" w:tplc="EE50F97A" w:tentative="1">
      <w:start w:val="1"/>
      <w:numFmt w:val="lowerRoman"/>
      <w:lvlText w:val="%3."/>
      <w:lvlJc w:val="right"/>
      <w:pPr>
        <w:ind w:left="2160" w:hanging="180"/>
      </w:pPr>
    </w:lvl>
    <w:lvl w:ilvl="3" w:tplc="3F8C57C0" w:tentative="1">
      <w:start w:val="1"/>
      <w:numFmt w:val="decimal"/>
      <w:lvlText w:val="%4."/>
      <w:lvlJc w:val="left"/>
      <w:pPr>
        <w:ind w:left="2880" w:hanging="360"/>
      </w:pPr>
    </w:lvl>
    <w:lvl w:ilvl="4" w:tplc="CF9AD356" w:tentative="1">
      <w:start w:val="1"/>
      <w:numFmt w:val="lowerLetter"/>
      <w:lvlText w:val="%5."/>
      <w:lvlJc w:val="left"/>
      <w:pPr>
        <w:ind w:left="3600" w:hanging="360"/>
      </w:pPr>
    </w:lvl>
    <w:lvl w:ilvl="5" w:tplc="06AC4A3A" w:tentative="1">
      <w:start w:val="1"/>
      <w:numFmt w:val="lowerRoman"/>
      <w:lvlText w:val="%6."/>
      <w:lvlJc w:val="right"/>
      <w:pPr>
        <w:ind w:left="4320" w:hanging="180"/>
      </w:pPr>
    </w:lvl>
    <w:lvl w:ilvl="6" w:tplc="1ECE06DE" w:tentative="1">
      <w:start w:val="1"/>
      <w:numFmt w:val="decimal"/>
      <w:lvlText w:val="%7."/>
      <w:lvlJc w:val="left"/>
      <w:pPr>
        <w:ind w:left="5040" w:hanging="360"/>
      </w:pPr>
    </w:lvl>
    <w:lvl w:ilvl="7" w:tplc="AF40C994" w:tentative="1">
      <w:start w:val="1"/>
      <w:numFmt w:val="lowerLetter"/>
      <w:lvlText w:val="%8."/>
      <w:lvlJc w:val="left"/>
      <w:pPr>
        <w:ind w:left="5760" w:hanging="360"/>
      </w:pPr>
    </w:lvl>
    <w:lvl w:ilvl="8" w:tplc="CFDCB690" w:tentative="1">
      <w:start w:val="1"/>
      <w:numFmt w:val="lowerRoman"/>
      <w:lvlText w:val="%9."/>
      <w:lvlJc w:val="right"/>
      <w:pPr>
        <w:ind w:left="6480" w:hanging="180"/>
      </w:pPr>
    </w:lvl>
  </w:abstractNum>
  <w:abstractNum w:abstractNumId="32" w15:restartNumberingAfterBreak="0">
    <w:nsid w:val="6DAA5559"/>
    <w:multiLevelType w:val="hybridMultilevel"/>
    <w:tmpl w:val="EDEE636E"/>
    <w:lvl w:ilvl="0" w:tplc="8562A6DA">
      <w:start w:val="1"/>
      <w:numFmt w:val="bullet"/>
      <w:lvlText w:val=""/>
      <w:lvlJc w:val="left"/>
      <w:pPr>
        <w:ind w:left="720" w:hanging="360"/>
      </w:pPr>
      <w:rPr>
        <w:rFonts w:ascii="Symbol" w:hAnsi="Symbol" w:hint="default"/>
      </w:rPr>
    </w:lvl>
    <w:lvl w:ilvl="1" w:tplc="A65455DE" w:tentative="1">
      <w:start w:val="1"/>
      <w:numFmt w:val="bullet"/>
      <w:lvlText w:val="o"/>
      <w:lvlJc w:val="left"/>
      <w:pPr>
        <w:ind w:left="1440" w:hanging="360"/>
      </w:pPr>
      <w:rPr>
        <w:rFonts w:ascii="Courier New" w:hAnsi="Courier New" w:cs="Courier New" w:hint="default"/>
      </w:rPr>
    </w:lvl>
    <w:lvl w:ilvl="2" w:tplc="B33A36C8" w:tentative="1">
      <w:start w:val="1"/>
      <w:numFmt w:val="bullet"/>
      <w:lvlText w:val=""/>
      <w:lvlJc w:val="left"/>
      <w:pPr>
        <w:ind w:left="2160" w:hanging="360"/>
      </w:pPr>
      <w:rPr>
        <w:rFonts w:ascii="Wingdings" w:hAnsi="Wingdings" w:hint="default"/>
      </w:rPr>
    </w:lvl>
    <w:lvl w:ilvl="3" w:tplc="10A4CE40" w:tentative="1">
      <w:start w:val="1"/>
      <w:numFmt w:val="bullet"/>
      <w:lvlText w:val=""/>
      <w:lvlJc w:val="left"/>
      <w:pPr>
        <w:ind w:left="2880" w:hanging="360"/>
      </w:pPr>
      <w:rPr>
        <w:rFonts w:ascii="Symbol" w:hAnsi="Symbol" w:hint="default"/>
      </w:rPr>
    </w:lvl>
    <w:lvl w:ilvl="4" w:tplc="E7009D44" w:tentative="1">
      <w:start w:val="1"/>
      <w:numFmt w:val="bullet"/>
      <w:lvlText w:val="o"/>
      <w:lvlJc w:val="left"/>
      <w:pPr>
        <w:ind w:left="3600" w:hanging="360"/>
      </w:pPr>
      <w:rPr>
        <w:rFonts w:ascii="Courier New" w:hAnsi="Courier New" w:cs="Courier New" w:hint="default"/>
      </w:rPr>
    </w:lvl>
    <w:lvl w:ilvl="5" w:tplc="AD44B1DE" w:tentative="1">
      <w:start w:val="1"/>
      <w:numFmt w:val="bullet"/>
      <w:lvlText w:val=""/>
      <w:lvlJc w:val="left"/>
      <w:pPr>
        <w:ind w:left="4320" w:hanging="360"/>
      </w:pPr>
      <w:rPr>
        <w:rFonts w:ascii="Wingdings" w:hAnsi="Wingdings" w:hint="default"/>
      </w:rPr>
    </w:lvl>
    <w:lvl w:ilvl="6" w:tplc="45B236BC" w:tentative="1">
      <w:start w:val="1"/>
      <w:numFmt w:val="bullet"/>
      <w:lvlText w:val=""/>
      <w:lvlJc w:val="left"/>
      <w:pPr>
        <w:ind w:left="5040" w:hanging="360"/>
      </w:pPr>
      <w:rPr>
        <w:rFonts w:ascii="Symbol" w:hAnsi="Symbol" w:hint="default"/>
      </w:rPr>
    </w:lvl>
    <w:lvl w:ilvl="7" w:tplc="53B24D70" w:tentative="1">
      <w:start w:val="1"/>
      <w:numFmt w:val="bullet"/>
      <w:lvlText w:val="o"/>
      <w:lvlJc w:val="left"/>
      <w:pPr>
        <w:ind w:left="5760" w:hanging="360"/>
      </w:pPr>
      <w:rPr>
        <w:rFonts w:ascii="Courier New" w:hAnsi="Courier New" w:cs="Courier New" w:hint="default"/>
      </w:rPr>
    </w:lvl>
    <w:lvl w:ilvl="8" w:tplc="46B02214" w:tentative="1">
      <w:start w:val="1"/>
      <w:numFmt w:val="bullet"/>
      <w:lvlText w:val=""/>
      <w:lvlJc w:val="left"/>
      <w:pPr>
        <w:ind w:left="6480" w:hanging="360"/>
      </w:pPr>
      <w:rPr>
        <w:rFonts w:ascii="Wingdings" w:hAnsi="Wingdings" w:hint="default"/>
      </w:rPr>
    </w:lvl>
  </w:abstractNum>
  <w:abstractNum w:abstractNumId="33" w15:restartNumberingAfterBreak="0">
    <w:nsid w:val="76C242A0"/>
    <w:multiLevelType w:val="hybridMultilevel"/>
    <w:tmpl w:val="85E87524"/>
    <w:lvl w:ilvl="0" w:tplc="2A8EF9A2">
      <w:start w:val="1"/>
      <w:numFmt w:val="hebrew1"/>
      <w:lvlText w:val="%1."/>
      <w:lvlJc w:val="left"/>
      <w:pPr>
        <w:ind w:left="720" w:hanging="360"/>
      </w:pPr>
      <w:rPr>
        <w:rFonts w:hint="default"/>
        <w:sz w:val="28"/>
      </w:rPr>
    </w:lvl>
    <w:lvl w:ilvl="1" w:tplc="65B6611E" w:tentative="1">
      <w:start w:val="1"/>
      <w:numFmt w:val="lowerLetter"/>
      <w:lvlText w:val="%2."/>
      <w:lvlJc w:val="left"/>
      <w:pPr>
        <w:ind w:left="1440" w:hanging="360"/>
      </w:pPr>
    </w:lvl>
    <w:lvl w:ilvl="2" w:tplc="34FAA96A" w:tentative="1">
      <w:start w:val="1"/>
      <w:numFmt w:val="lowerRoman"/>
      <w:lvlText w:val="%3."/>
      <w:lvlJc w:val="right"/>
      <w:pPr>
        <w:ind w:left="2160" w:hanging="180"/>
      </w:pPr>
    </w:lvl>
    <w:lvl w:ilvl="3" w:tplc="B588AD9E" w:tentative="1">
      <w:start w:val="1"/>
      <w:numFmt w:val="decimal"/>
      <w:lvlText w:val="%4."/>
      <w:lvlJc w:val="left"/>
      <w:pPr>
        <w:ind w:left="2880" w:hanging="360"/>
      </w:pPr>
    </w:lvl>
    <w:lvl w:ilvl="4" w:tplc="27CE7618" w:tentative="1">
      <w:start w:val="1"/>
      <w:numFmt w:val="lowerLetter"/>
      <w:lvlText w:val="%5."/>
      <w:lvlJc w:val="left"/>
      <w:pPr>
        <w:ind w:left="3600" w:hanging="360"/>
      </w:pPr>
    </w:lvl>
    <w:lvl w:ilvl="5" w:tplc="F7867F34" w:tentative="1">
      <w:start w:val="1"/>
      <w:numFmt w:val="lowerRoman"/>
      <w:lvlText w:val="%6."/>
      <w:lvlJc w:val="right"/>
      <w:pPr>
        <w:ind w:left="4320" w:hanging="180"/>
      </w:pPr>
    </w:lvl>
    <w:lvl w:ilvl="6" w:tplc="6088B756" w:tentative="1">
      <w:start w:val="1"/>
      <w:numFmt w:val="decimal"/>
      <w:lvlText w:val="%7."/>
      <w:lvlJc w:val="left"/>
      <w:pPr>
        <w:ind w:left="5040" w:hanging="360"/>
      </w:pPr>
    </w:lvl>
    <w:lvl w:ilvl="7" w:tplc="DC64A38E" w:tentative="1">
      <w:start w:val="1"/>
      <w:numFmt w:val="lowerLetter"/>
      <w:lvlText w:val="%8."/>
      <w:lvlJc w:val="left"/>
      <w:pPr>
        <w:ind w:left="5760" w:hanging="360"/>
      </w:pPr>
    </w:lvl>
    <w:lvl w:ilvl="8" w:tplc="ED66F830" w:tentative="1">
      <w:start w:val="1"/>
      <w:numFmt w:val="lowerRoman"/>
      <w:lvlText w:val="%9."/>
      <w:lvlJc w:val="right"/>
      <w:pPr>
        <w:ind w:left="6480" w:hanging="180"/>
      </w:pPr>
    </w:lvl>
  </w:abstractNum>
  <w:abstractNum w:abstractNumId="34" w15:restartNumberingAfterBreak="0">
    <w:nsid w:val="76E62B54"/>
    <w:multiLevelType w:val="hybridMultilevel"/>
    <w:tmpl w:val="564C0D3A"/>
    <w:lvl w:ilvl="0" w:tplc="28F6B294">
      <w:start w:val="1"/>
      <w:numFmt w:val="decimal"/>
      <w:lvlText w:val="%1."/>
      <w:lvlJc w:val="left"/>
      <w:pPr>
        <w:ind w:left="720" w:hanging="360"/>
      </w:pPr>
      <w:rPr>
        <w:rFonts w:hint="default"/>
      </w:rPr>
    </w:lvl>
    <w:lvl w:ilvl="1" w:tplc="45C63EAC" w:tentative="1">
      <w:start w:val="1"/>
      <w:numFmt w:val="lowerLetter"/>
      <w:lvlText w:val="%2."/>
      <w:lvlJc w:val="left"/>
      <w:pPr>
        <w:ind w:left="1440" w:hanging="360"/>
      </w:pPr>
    </w:lvl>
    <w:lvl w:ilvl="2" w:tplc="CA98E7F8" w:tentative="1">
      <w:start w:val="1"/>
      <w:numFmt w:val="lowerRoman"/>
      <w:lvlText w:val="%3."/>
      <w:lvlJc w:val="right"/>
      <w:pPr>
        <w:ind w:left="2160" w:hanging="180"/>
      </w:pPr>
    </w:lvl>
    <w:lvl w:ilvl="3" w:tplc="9AFAF028" w:tentative="1">
      <w:start w:val="1"/>
      <w:numFmt w:val="decimal"/>
      <w:lvlText w:val="%4."/>
      <w:lvlJc w:val="left"/>
      <w:pPr>
        <w:ind w:left="2880" w:hanging="360"/>
      </w:pPr>
    </w:lvl>
    <w:lvl w:ilvl="4" w:tplc="E4DC54CC" w:tentative="1">
      <w:start w:val="1"/>
      <w:numFmt w:val="lowerLetter"/>
      <w:lvlText w:val="%5."/>
      <w:lvlJc w:val="left"/>
      <w:pPr>
        <w:ind w:left="3600" w:hanging="360"/>
      </w:pPr>
    </w:lvl>
    <w:lvl w:ilvl="5" w:tplc="8E8AD656" w:tentative="1">
      <w:start w:val="1"/>
      <w:numFmt w:val="lowerRoman"/>
      <w:lvlText w:val="%6."/>
      <w:lvlJc w:val="right"/>
      <w:pPr>
        <w:ind w:left="4320" w:hanging="180"/>
      </w:pPr>
    </w:lvl>
    <w:lvl w:ilvl="6" w:tplc="3E326D4E" w:tentative="1">
      <w:start w:val="1"/>
      <w:numFmt w:val="decimal"/>
      <w:lvlText w:val="%7."/>
      <w:lvlJc w:val="left"/>
      <w:pPr>
        <w:ind w:left="5040" w:hanging="360"/>
      </w:pPr>
    </w:lvl>
    <w:lvl w:ilvl="7" w:tplc="CB1EF8F0" w:tentative="1">
      <w:start w:val="1"/>
      <w:numFmt w:val="lowerLetter"/>
      <w:lvlText w:val="%8."/>
      <w:lvlJc w:val="left"/>
      <w:pPr>
        <w:ind w:left="5760" w:hanging="360"/>
      </w:pPr>
    </w:lvl>
    <w:lvl w:ilvl="8" w:tplc="A788AB56" w:tentative="1">
      <w:start w:val="1"/>
      <w:numFmt w:val="lowerRoman"/>
      <w:lvlText w:val="%9."/>
      <w:lvlJc w:val="right"/>
      <w:pPr>
        <w:ind w:left="6480" w:hanging="180"/>
      </w:pPr>
    </w:lvl>
  </w:abstractNum>
  <w:abstractNum w:abstractNumId="35" w15:restartNumberingAfterBreak="0">
    <w:nsid w:val="7EB95732"/>
    <w:multiLevelType w:val="hybridMultilevel"/>
    <w:tmpl w:val="062E926C"/>
    <w:lvl w:ilvl="0" w:tplc="FCCEEF4C">
      <w:start w:val="6"/>
      <w:numFmt w:val="bullet"/>
      <w:lvlText w:val="-"/>
      <w:lvlJc w:val="left"/>
      <w:pPr>
        <w:ind w:left="720" w:hanging="360"/>
      </w:pPr>
      <w:rPr>
        <w:rFonts w:ascii="FrankRuehl" w:eastAsia="Times New Roman" w:hAnsi="FrankRuehl" w:cs="FrankRuehl" w:hint="default"/>
      </w:rPr>
    </w:lvl>
    <w:lvl w:ilvl="1" w:tplc="D744D0AC" w:tentative="1">
      <w:start w:val="1"/>
      <w:numFmt w:val="bullet"/>
      <w:lvlText w:val="o"/>
      <w:lvlJc w:val="left"/>
      <w:pPr>
        <w:ind w:left="1440" w:hanging="360"/>
      </w:pPr>
      <w:rPr>
        <w:rFonts w:ascii="Courier New" w:hAnsi="Courier New" w:cs="Courier New" w:hint="default"/>
      </w:rPr>
    </w:lvl>
    <w:lvl w:ilvl="2" w:tplc="11FA2202" w:tentative="1">
      <w:start w:val="1"/>
      <w:numFmt w:val="bullet"/>
      <w:lvlText w:val=""/>
      <w:lvlJc w:val="left"/>
      <w:pPr>
        <w:ind w:left="2160" w:hanging="360"/>
      </w:pPr>
      <w:rPr>
        <w:rFonts w:ascii="Wingdings" w:hAnsi="Wingdings" w:hint="default"/>
      </w:rPr>
    </w:lvl>
    <w:lvl w:ilvl="3" w:tplc="31001CD8" w:tentative="1">
      <w:start w:val="1"/>
      <w:numFmt w:val="bullet"/>
      <w:lvlText w:val=""/>
      <w:lvlJc w:val="left"/>
      <w:pPr>
        <w:ind w:left="2880" w:hanging="360"/>
      </w:pPr>
      <w:rPr>
        <w:rFonts w:ascii="Symbol" w:hAnsi="Symbol" w:hint="default"/>
      </w:rPr>
    </w:lvl>
    <w:lvl w:ilvl="4" w:tplc="F3360380" w:tentative="1">
      <w:start w:val="1"/>
      <w:numFmt w:val="bullet"/>
      <w:lvlText w:val="o"/>
      <w:lvlJc w:val="left"/>
      <w:pPr>
        <w:ind w:left="3600" w:hanging="360"/>
      </w:pPr>
      <w:rPr>
        <w:rFonts w:ascii="Courier New" w:hAnsi="Courier New" w:cs="Courier New" w:hint="default"/>
      </w:rPr>
    </w:lvl>
    <w:lvl w:ilvl="5" w:tplc="9F96C546" w:tentative="1">
      <w:start w:val="1"/>
      <w:numFmt w:val="bullet"/>
      <w:lvlText w:val=""/>
      <w:lvlJc w:val="left"/>
      <w:pPr>
        <w:ind w:left="4320" w:hanging="360"/>
      </w:pPr>
      <w:rPr>
        <w:rFonts w:ascii="Wingdings" w:hAnsi="Wingdings" w:hint="default"/>
      </w:rPr>
    </w:lvl>
    <w:lvl w:ilvl="6" w:tplc="850C8122" w:tentative="1">
      <w:start w:val="1"/>
      <w:numFmt w:val="bullet"/>
      <w:lvlText w:val=""/>
      <w:lvlJc w:val="left"/>
      <w:pPr>
        <w:ind w:left="5040" w:hanging="360"/>
      </w:pPr>
      <w:rPr>
        <w:rFonts w:ascii="Symbol" w:hAnsi="Symbol" w:hint="default"/>
      </w:rPr>
    </w:lvl>
    <w:lvl w:ilvl="7" w:tplc="60784B5A" w:tentative="1">
      <w:start w:val="1"/>
      <w:numFmt w:val="bullet"/>
      <w:lvlText w:val="o"/>
      <w:lvlJc w:val="left"/>
      <w:pPr>
        <w:ind w:left="5760" w:hanging="360"/>
      </w:pPr>
      <w:rPr>
        <w:rFonts w:ascii="Courier New" w:hAnsi="Courier New" w:cs="Courier New" w:hint="default"/>
      </w:rPr>
    </w:lvl>
    <w:lvl w:ilvl="8" w:tplc="31FAA5EC"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27"/>
  </w:num>
  <w:num w:numId="13">
    <w:abstractNumId w:val="24"/>
  </w:num>
  <w:num w:numId="14">
    <w:abstractNumId w:val="31"/>
  </w:num>
  <w:num w:numId="15">
    <w:abstractNumId w:val="15"/>
  </w:num>
  <w:num w:numId="16">
    <w:abstractNumId w:val="29"/>
  </w:num>
  <w:num w:numId="17">
    <w:abstractNumId w:val="25"/>
  </w:num>
  <w:num w:numId="18">
    <w:abstractNumId w:val="28"/>
  </w:num>
  <w:num w:numId="19">
    <w:abstractNumId w:val="23"/>
  </w:num>
  <w:num w:numId="20">
    <w:abstractNumId w:val="19"/>
  </w:num>
  <w:num w:numId="21">
    <w:abstractNumId w:val="32"/>
  </w:num>
  <w:num w:numId="22">
    <w:abstractNumId w:val="12"/>
  </w:num>
  <w:num w:numId="23">
    <w:abstractNumId w:val="11"/>
    <w:lvlOverride w:ilvl="0">
      <w:startOverride w:val="1"/>
    </w:lvlOverride>
  </w:num>
  <w:num w:numId="24">
    <w:abstractNumId w:val="11"/>
    <w:lvlOverride w:ilvl="0">
      <w:startOverride w:val="1"/>
    </w:lvlOverride>
  </w:num>
  <w:num w:numId="25">
    <w:abstractNumId w:val="22"/>
  </w:num>
  <w:num w:numId="26">
    <w:abstractNumId w:val="35"/>
  </w:num>
  <w:num w:numId="27">
    <w:abstractNumId w:val="26"/>
  </w:num>
  <w:num w:numId="28">
    <w:abstractNumId w:val="10"/>
  </w:num>
  <w:num w:numId="29">
    <w:abstractNumId w:val="30"/>
  </w:num>
  <w:num w:numId="30">
    <w:abstractNumId w:val="16"/>
  </w:num>
  <w:num w:numId="31">
    <w:abstractNumId w:val="17"/>
  </w:num>
  <w:num w:numId="32">
    <w:abstractNumId w:val="18"/>
  </w:num>
  <w:num w:numId="33">
    <w:abstractNumId w:val="14"/>
  </w:num>
  <w:num w:numId="34">
    <w:abstractNumId w:val="21"/>
  </w:num>
  <w:num w:numId="35">
    <w:abstractNumId w:val="33"/>
  </w:num>
  <w:num w:numId="36">
    <w:abstractNumId w:val="13"/>
  </w:num>
  <w:num w:numId="37">
    <w:abstractNumId w:val="20"/>
  </w:num>
  <w:num w:numId="38">
    <w:abstractNumId w:val="34"/>
  </w:num>
  <w:num w:numId="39">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02291"/>
    <w:rsid w:val="00007D44"/>
    <w:rsid w:val="00012454"/>
    <w:rsid w:val="00016EF1"/>
    <w:rsid w:val="00031AAE"/>
    <w:rsid w:val="00032036"/>
    <w:rsid w:val="00036227"/>
    <w:rsid w:val="0004042F"/>
    <w:rsid w:val="0004046B"/>
    <w:rsid w:val="00044953"/>
    <w:rsid w:val="00045B4D"/>
    <w:rsid w:val="000467E9"/>
    <w:rsid w:val="00054581"/>
    <w:rsid w:val="0005785C"/>
    <w:rsid w:val="000628F2"/>
    <w:rsid w:val="0006714B"/>
    <w:rsid w:val="00071F89"/>
    <w:rsid w:val="000722A6"/>
    <w:rsid w:val="000725F5"/>
    <w:rsid w:val="00072AD2"/>
    <w:rsid w:val="000802C2"/>
    <w:rsid w:val="00085874"/>
    <w:rsid w:val="0009174E"/>
    <w:rsid w:val="00094448"/>
    <w:rsid w:val="000B1478"/>
    <w:rsid w:val="000B246F"/>
    <w:rsid w:val="000B624D"/>
    <w:rsid w:val="000C4690"/>
    <w:rsid w:val="000D07AC"/>
    <w:rsid w:val="000D25C4"/>
    <w:rsid w:val="000D4774"/>
    <w:rsid w:val="000F30AB"/>
    <w:rsid w:val="001059A8"/>
    <w:rsid w:val="00106813"/>
    <w:rsid w:val="0011198D"/>
    <w:rsid w:val="00120A89"/>
    <w:rsid w:val="0012217F"/>
    <w:rsid w:val="0012258C"/>
    <w:rsid w:val="00134A67"/>
    <w:rsid w:val="00141650"/>
    <w:rsid w:val="001431F8"/>
    <w:rsid w:val="00143FC9"/>
    <w:rsid w:val="00147A62"/>
    <w:rsid w:val="00172ACB"/>
    <w:rsid w:val="00175B8C"/>
    <w:rsid w:val="001821FB"/>
    <w:rsid w:val="001843BF"/>
    <w:rsid w:val="0018752E"/>
    <w:rsid w:val="001A0164"/>
    <w:rsid w:val="001A4D83"/>
    <w:rsid w:val="001B016D"/>
    <w:rsid w:val="001C1225"/>
    <w:rsid w:val="001C188B"/>
    <w:rsid w:val="001C283F"/>
    <w:rsid w:val="001D19C7"/>
    <w:rsid w:val="001F604A"/>
    <w:rsid w:val="00200D6B"/>
    <w:rsid w:val="00212073"/>
    <w:rsid w:val="002173A6"/>
    <w:rsid w:val="0023479D"/>
    <w:rsid w:val="00243335"/>
    <w:rsid w:val="00252432"/>
    <w:rsid w:val="00257B55"/>
    <w:rsid w:val="00265F6E"/>
    <w:rsid w:val="00285621"/>
    <w:rsid w:val="002876BF"/>
    <w:rsid w:val="002A4A7A"/>
    <w:rsid w:val="002A4BF3"/>
    <w:rsid w:val="002B3663"/>
    <w:rsid w:val="002C10BE"/>
    <w:rsid w:val="002D01C5"/>
    <w:rsid w:val="002D3136"/>
    <w:rsid w:val="002F27B6"/>
    <w:rsid w:val="002F7BB6"/>
    <w:rsid w:val="00303165"/>
    <w:rsid w:val="0030569F"/>
    <w:rsid w:val="00310A18"/>
    <w:rsid w:val="00317643"/>
    <w:rsid w:val="0032163B"/>
    <w:rsid w:val="00325E8C"/>
    <w:rsid w:val="00330400"/>
    <w:rsid w:val="00337854"/>
    <w:rsid w:val="003448B2"/>
    <w:rsid w:val="00347B0F"/>
    <w:rsid w:val="00351439"/>
    <w:rsid w:val="003600DF"/>
    <w:rsid w:val="003613A1"/>
    <w:rsid w:val="00361DB2"/>
    <w:rsid w:val="00367CA8"/>
    <w:rsid w:val="0037622E"/>
    <w:rsid w:val="00377102"/>
    <w:rsid w:val="00382112"/>
    <w:rsid w:val="00393B0A"/>
    <w:rsid w:val="0039709B"/>
    <w:rsid w:val="003976C5"/>
    <w:rsid w:val="00397BB3"/>
    <w:rsid w:val="003C125A"/>
    <w:rsid w:val="003C1907"/>
    <w:rsid w:val="003C40F5"/>
    <w:rsid w:val="003C6207"/>
    <w:rsid w:val="003C76C4"/>
    <w:rsid w:val="003D66A6"/>
    <w:rsid w:val="003D72DA"/>
    <w:rsid w:val="003D7FA9"/>
    <w:rsid w:val="003E43C5"/>
    <w:rsid w:val="003F1F97"/>
    <w:rsid w:val="003F344F"/>
    <w:rsid w:val="003F3FA4"/>
    <w:rsid w:val="003F48EC"/>
    <w:rsid w:val="003F73D5"/>
    <w:rsid w:val="00401A63"/>
    <w:rsid w:val="00403DB6"/>
    <w:rsid w:val="0041048F"/>
    <w:rsid w:val="00410B85"/>
    <w:rsid w:val="00420203"/>
    <w:rsid w:val="0042613C"/>
    <w:rsid w:val="00436434"/>
    <w:rsid w:val="00437D59"/>
    <w:rsid w:val="00446DDF"/>
    <w:rsid w:val="004610A4"/>
    <w:rsid w:val="00461642"/>
    <w:rsid w:val="004770E8"/>
    <w:rsid w:val="004871DB"/>
    <w:rsid w:val="0049235A"/>
    <w:rsid w:val="0049372B"/>
    <w:rsid w:val="004A1F89"/>
    <w:rsid w:val="004B29FF"/>
    <w:rsid w:val="004B2A21"/>
    <w:rsid w:val="004B2BDA"/>
    <w:rsid w:val="004B6014"/>
    <w:rsid w:val="004C7868"/>
    <w:rsid w:val="004D2C08"/>
    <w:rsid w:val="004D33F0"/>
    <w:rsid w:val="004D6E04"/>
    <w:rsid w:val="004E1BD9"/>
    <w:rsid w:val="004E5090"/>
    <w:rsid w:val="004E6F51"/>
    <w:rsid w:val="004F29BD"/>
    <w:rsid w:val="004F4734"/>
    <w:rsid w:val="00501376"/>
    <w:rsid w:val="00503A3E"/>
    <w:rsid w:val="005071C2"/>
    <w:rsid w:val="00516513"/>
    <w:rsid w:val="00520D6B"/>
    <w:rsid w:val="00525979"/>
    <w:rsid w:val="00527906"/>
    <w:rsid w:val="00527F02"/>
    <w:rsid w:val="00531F2B"/>
    <w:rsid w:val="0053313C"/>
    <w:rsid w:val="0053327C"/>
    <w:rsid w:val="00546DB5"/>
    <w:rsid w:val="00561193"/>
    <w:rsid w:val="00571CAB"/>
    <w:rsid w:val="00572263"/>
    <w:rsid w:val="00573371"/>
    <w:rsid w:val="005803E2"/>
    <w:rsid w:val="0058440A"/>
    <w:rsid w:val="00591983"/>
    <w:rsid w:val="005978A4"/>
    <w:rsid w:val="005A3E51"/>
    <w:rsid w:val="005B10A1"/>
    <w:rsid w:val="005B55AF"/>
    <w:rsid w:val="005B6D02"/>
    <w:rsid w:val="005C4C19"/>
    <w:rsid w:val="005D5D2B"/>
    <w:rsid w:val="005D672E"/>
    <w:rsid w:val="005E2DC4"/>
    <w:rsid w:val="005F188B"/>
    <w:rsid w:val="005F4ED7"/>
    <w:rsid w:val="005F6BA0"/>
    <w:rsid w:val="005F724E"/>
    <w:rsid w:val="005F74E8"/>
    <w:rsid w:val="00602C67"/>
    <w:rsid w:val="0060370D"/>
    <w:rsid w:val="00606AF1"/>
    <w:rsid w:val="00623D54"/>
    <w:rsid w:val="00624A42"/>
    <w:rsid w:val="00640BEC"/>
    <w:rsid w:val="00642A4B"/>
    <w:rsid w:val="00643C17"/>
    <w:rsid w:val="00645ED7"/>
    <w:rsid w:val="006540C5"/>
    <w:rsid w:val="0065522F"/>
    <w:rsid w:val="006638F4"/>
    <w:rsid w:val="00667135"/>
    <w:rsid w:val="0067099E"/>
    <w:rsid w:val="00671B0B"/>
    <w:rsid w:val="00673134"/>
    <w:rsid w:val="006806A3"/>
    <w:rsid w:val="0068324E"/>
    <w:rsid w:val="006913BD"/>
    <w:rsid w:val="00696A0F"/>
    <w:rsid w:val="006A2807"/>
    <w:rsid w:val="006A30F7"/>
    <w:rsid w:val="006B0E7D"/>
    <w:rsid w:val="006B254E"/>
    <w:rsid w:val="006B2DE3"/>
    <w:rsid w:val="006B620E"/>
    <w:rsid w:val="006B7C78"/>
    <w:rsid w:val="006C18AE"/>
    <w:rsid w:val="006C42AD"/>
    <w:rsid w:val="006E75E0"/>
    <w:rsid w:val="006F6FDA"/>
    <w:rsid w:val="00703791"/>
    <w:rsid w:val="00707D34"/>
    <w:rsid w:val="00711FD2"/>
    <w:rsid w:val="00725345"/>
    <w:rsid w:val="00727F66"/>
    <w:rsid w:val="007374C3"/>
    <w:rsid w:val="00741CC0"/>
    <w:rsid w:val="00742379"/>
    <w:rsid w:val="007563FF"/>
    <w:rsid w:val="00765AE9"/>
    <w:rsid w:val="00773275"/>
    <w:rsid w:val="00773EEA"/>
    <w:rsid w:val="0077667B"/>
    <w:rsid w:val="007829BE"/>
    <w:rsid w:val="007859DA"/>
    <w:rsid w:val="007902AD"/>
    <w:rsid w:val="007A3410"/>
    <w:rsid w:val="007A5910"/>
    <w:rsid w:val="007B512F"/>
    <w:rsid w:val="007C02C7"/>
    <w:rsid w:val="007C367F"/>
    <w:rsid w:val="007D163F"/>
    <w:rsid w:val="007D4B9D"/>
    <w:rsid w:val="007E5CDF"/>
    <w:rsid w:val="007E6364"/>
    <w:rsid w:val="007F7512"/>
    <w:rsid w:val="00810894"/>
    <w:rsid w:val="00811EF5"/>
    <w:rsid w:val="00813F61"/>
    <w:rsid w:val="008143AB"/>
    <w:rsid w:val="00816A2B"/>
    <w:rsid w:val="00821CCF"/>
    <w:rsid w:val="00822EDA"/>
    <w:rsid w:val="00827C37"/>
    <w:rsid w:val="0083345F"/>
    <w:rsid w:val="00836667"/>
    <w:rsid w:val="00840638"/>
    <w:rsid w:val="008415C1"/>
    <w:rsid w:val="00854B79"/>
    <w:rsid w:val="0086224F"/>
    <w:rsid w:val="008652C0"/>
    <w:rsid w:val="00866D0F"/>
    <w:rsid w:val="008715A4"/>
    <w:rsid w:val="0088115A"/>
    <w:rsid w:val="0088551F"/>
    <w:rsid w:val="008925A6"/>
    <w:rsid w:val="008A1BB5"/>
    <w:rsid w:val="008A36F4"/>
    <w:rsid w:val="008B6765"/>
    <w:rsid w:val="008C2F11"/>
    <w:rsid w:val="008C3B04"/>
    <w:rsid w:val="008C4130"/>
    <w:rsid w:val="008C6B4B"/>
    <w:rsid w:val="008D1BEC"/>
    <w:rsid w:val="008D5E31"/>
    <w:rsid w:val="008D78B9"/>
    <w:rsid w:val="008E3F85"/>
    <w:rsid w:val="008E7373"/>
    <w:rsid w:val="008E7457"/>
    <w:rsid w:val="008F2369"/>
    <w:rsid w:val="008F3CE1"/>
    <w:rsid w:val="008F3FCC"/>
    <w:rsid w:val="00903B69"/>
    <w:rsid w:val="009051E8"/>
    <w:rsid w:val="00914156"/>
    <w:rsid w:val="00916FF8"/>
    <w:rsid w:val="00922093"/>
    <w:rsid w:val="0092397D"/>
    <w:rsid w:val="00930C85"/>
    <w:rsid w:val="0094079D"/>
    <w:rsid w:val="00941B74"/>
    <w:rsid w:val="00942BB8"/>
    <w:rsid w:val="0095524F"/>
    <w:rsid w:val="00972C88"/>
    <w:rsid w:val="0097557B"/>
    <w:rsid w:val="00976EE5"/>
    <w:rsid w:val="009877FC"/>
    <w:rsid w:val="009928C4"/>
    <w:rsid w:val="009A5701"/>
    <w:rsid w:val="009B38DA"/>
    <w:rsid w:val="009C4D16"/>
    <w:rsid w:val="009D12A6"/>
    <w:rsid w:val="009D4515"/>
    <w:rsid w:val="009D7E44"/>
    <w:rsid w:val="009E04FD"/>
    <w:rsid w:val="009E14EE"/>
    <w:rsid w:val="009E7CD9"/>
    <w:rsid w:val="009F2F53"/>
    <w:rsid w:val="009F4187"/>
    <w:rsid w:val="009F695F"/>
    <w:rsid w:val="009F6EB0"/>
    <w:rsid w:val="00A02E73"/>
    <w:rsid w:val="00A12CB2"/>
    <w:rsid w:val="00A12E0F"/>
    <w:rsid w:val="00A21830"/>
    <w:rsid w:val="00A2360A"/>
    <w:rsid w:val="00A246F4"/>
    <w:rsid w:val="00A26D7F"/>
    <w:rsid w:val="00A271C0"/>
    <w:rsid w:val="00A41394"/>
    <w:rsid w:val="00A43DC7"/>
    <w:rsid w:val="00A51FAE"/>
    <w:rsid w:val="00A622EB"/>
    <w:rsid w:val="00A741E5"/>
    <w:rsid w:val="00A7655B"/>
    <w:rsid w:val="00A80845"/>
    <w:rsid w:val="00A81AE6"/>
    <w:rsid w:val="00AB69F7"/>
    <w:rsid w:val="00AC584A"/>
    <w:rsid w:val="00AD097B"/>
    <w:rsid w:val="00AD64B9"/>
    <w:rsid w:val="00AD691F"/>
    <w:rsid w:val="00AE022B"/>
    <w:rsid w:val="00AF381C"/>
    <w:rsid w:val="00AF7882"/>
    <w:rsid w:val="00B007D4"/>
    <w:rsid w:val="00B009CC"/>
    <w:rsid w:val="00B011DF"/>
    <w:rsid w:val="00B03EA2"/>
    <w:rsid w:val="00B05529"/>
    <w:rsid w:val="00B07236"/>
    <w:rsid w:val="00B0782A"/>
    <w:rsid w:val="00B11F7E"/>
    <w:rsid w:val="00B12BED"/>
    <w:rsid w:val="00B1726A"/>
    <w:rsid w:val="00B20740"/>
    <w:rsid w:val="00B26DCF"/>
    <w:rsid w:val="00B27B3E"/>
    <w:rsid w:val="00B30785"/>
    <w:rsid w:val="00B3091A"/>
    <w:rsid w:val="00B32771"/>
    <w:rsid w:val="00B35693"/>
    <w:rsid w:val="00B62B8C"/>
    <w:rsid w:val="00B63343"/>
    <w:rsid w:val="00B64309"/>
    <w:rsid w:val="00B7779F"/>
    <w:rsid w:val="00B87FF7"/>
    <w:rsid w:val="00B9579E"/>
    <w:rsid w:val="00BA0B08"/>
    <w:rsid w:val="00BB5142"/>
    <w:rsid w:val="00BC0662"/>
    <w:rsid w:val="00BC0E82"/>
    <w:rsid w:val="00BC2BAC"/>
    <w:rsid w:val="00BC31ED"/>
    <w:rsid w:val="00BD2469"/>
    <w:rsid w:val="00BD26A2"/>
    <w:rsid w:val="00BD40F9"/>
    <w:rsid w:val="00BD6CA1"/>
    <w:rsid w:val="00BF20A6"/>
    <w:rsid w:val="00BF5AB7"/>
    <w:rsid w:val="00C0066C"/>
    <w:rsid w:val="00C01586"/>
    <w:rsid w:val="00C06615"/>
    <w:rsid w:val="00C11731"/>
    <w:rsid w:val="00C123D5"/>
    <w:rsid w:val="00C16D51"/>
    <w:rsid w:val="00C27F49"/>
    <w:rsid w:val="00C41C86"/>
    <w:rsid w:val="00C41CF6"/>
    <w:rsid w:val="00C60776"/>
    <w:rsid w:val="00C63A6C"/>
    <w:rsid w:val="00C65D3B"/>
    <w:rsid w:val="00C81795"/>
    <w:rsid w:val="00C81F91"/>
    <w:rsid w:val="00C91C6F"/>
    <w:rsid w:val="00C92DB2"/>
    <w:rsid w:val="00C93C7F"/>
    <w:rsid w:val="00CA13AF"/>
    <w:rsid w:val="00CA1444"/>
    <w:rsid w:val="00CA15A6"/>
    <w:rsid w:val="00CB083A"/>
    <w:rsid w:val="00CB08DB"/>
    <w:rsid w:val="00CB1590"/>
    <w:rsid w:val="00CB4B75"/>
    <w:rsid w:val="00CB7600"/>
    <w:rsid w:val="00CC0E9D"/>
    <w:rsid w:val="00CC3639"/>
    <w:rsid w:val="00CD06E5"/>
    <w:rsid w:val="00CE0CF5"/>
    <w:rsid w:val="00CE3E58"/>
    <w:rsid w:val="00D00B1D"/>
    <w:rsid w:val="00D00CB7"/>
    <w:rsid w:val="00D06F29"/>
    <w:rsid w:val="00D07582"/>
    <w:rsid w:val="00D16EA8"/>
    <w:rsid w:val="00D2539B"/>
    <w:rsid w:val="00D25F16"/>
    <w:rsid w:val="00D353C4"/>
    <w:rsid w:val="00D3647E"/>
    <w:rsid w:val="00D52AF0"/>
    <w:rsid w:val="00D56099"/>
    <w:rsid w:val="00D7043E"/>
    <w:rsid w:val="00D82376"/>
    <w:rsid w:val="00D827BD"/>
    <w:rsid w:val="00D83D69"/>
    <w:rsid w:val="00D93C7B"/>
    <w:rsid w:val="00D9413E"/>
    <w:rsid w:val="00D95ACB"/>
    <w:rsid w:val="00DA2AE2"/>
    <w:rsid w:val="00DA31C7"/>
    <w:rsid w:val="00DD11C7"/>
    <w:rsid w:val="00DD2CF4"/>
    <w:rsid w:val="00DF1077"/>
    <w:rsid w:val="00DF5ADB"/>
    <w:rsid w:val="00E00362"/>
    <w:rsid w:val="00E13F67"/>
    <w:rsid w:val="00E15BDC"/>
    <w:rsid w:val="00E15C9A"/>
    <w:rsid w:val="00E2018F"/>
    <w:rsid w:val="00E21CA9"/>
    <w:rsid w:val="00E31063"/>
    <w:rsid w:val="00E36FE9"/>
    <w:rsid w:val="00E37BBC"/>
    <w:rsid w:val="00E52D8B"/>
    <w:rsid w:val="00E5334E"/>
    <w:rsid w:val="00E57975"/>
    <w:rsid w:val="00E637BA"/>
    <w:rsid w:val="00E73E98"/>
    <w:rsid w:val="00E75223"/>
    <w:rsid w:val="00E80BC2"/>
    <w:rsid w:val="00E84B74"/>
    <w:rsid w:val="00E90D72"/>
    <w:rsid w:val="00E93F55"/>
    <w:rsid w:val="00EA0BE1"/>
    <w:rsid w:val="00EB0007"/>
    <w:rsid w:val="00EB612A"/>
    <w:rsid w:val="00EC1B26"/>
    <w:rsid w:val="00EC23AC"/>
    <w:rsid w:val="00EC2992"/>
    <w:rsid w:val="00EC7789"/>
    <w:rsid w:val="00ED46A4"/>
    <w:rsid w:val="00ED472F"/>
    <w:rsid w:val="00ED6FD9"/>
    <w:rsid w:val="00EE3810"/>
    <w:rsid w:val="00EF2023"/>
    <w:rsid w:val="00EF25D9"/>
    <w:rsid w:val="00EF749D"/>
    <w:rsid w:val="00EF7CA8"/>
    <w:rsid w:val="00F05588"/>
    <w:rsid w:val="00F125D1"/>
    <w:rsid w:val="00F16F4E"/>
    <w:rsid w:val="00F214F5"/>
    <w:rsid w:val="00F23E07"/>
    <w:rsid w:val="00F2473F"/>
    <w:rsid w:val="00F505C4"/>
    <w:rsid w:val="00F63C3B"/>
    <w:rsid w:val="00F65586"/>
    <w:rsid w:val="00F65984"/>
    <w:rsid w:val="00F66769"/>
    <w:rsid w:val="00F76D5B"/>
    <w:rsid w:val="00F86A70"/>
    <w:rsid w:val="00F9487A"/>
    <w:rsid w:val="00F959DB"/>
    <w:rsid w:val="00FA1334"/>
    <w:rsid w:val="00FA4647"/>
    <w:rsid w:val="00FA55A0"/>
    <w:rsid w:val="00FB00C2"/>
    <w:rsid w:val="00FC0252"/>
    <w:rsid w:val="00FC1874"/>
    <w:rsid w:val="00FC6869"/>
    <w:rsid w:val="00FD3E89"/>
    <w:rsid w:val="00FE693C"/>
    <w:rsid w:val="00FF075C"/>
    <w:rsid w:val="00FF3327"/>
    <w:rsid w:val="00FF4ABA"/>
    <w:rsid w:val="00FF6E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D1EEF"/>
  <w15:chartTrackingRefBased/>
  <w15:docId w15:val="{499BF652-23C5-41AD-B65E-5A9B11A9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paragraph" w:styleId="1">
    <w:name w:val="heading 1"/>
    <w:basedOn w:val="a"/>
    <w:next w:val="a"/>
    <w:link w:val="10"/>
    <w:qFormat/>
    <w:rsid w:val="00C91C6F"/>
    <w:pPr>
      <w:keepNext/>
      <w:overflowPunct/>
      <w:spacing w:before="240" w:after="60"/>
      <w:textAlignment w:val="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1">
    <w:name w:val="Ruller4"/>
    <w:basedOn w:val="a"/>
    <w:link w:val="Ruller42"/>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uiPriority w:val="99"/>
    <w:rsid w:val="003F1F97"/>
    <w:rPr>
      <w:color w:val="0000FF"/>
      <w:u w:val="single"/>
    </w:rPr>
  </w:style>
  <w:style w:type="table" w:styleId="a6">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7">
    <w:name w:val="annotation reference"/>
    <w:basedOn w:val="a0"/>
    <w:rsid w:val="00D00B1D"/>
    <w:rPr>
      <w:sz w:val="16"/>
      <w:szCs w:val="16"/>
    </w:rPr>
  </w:style>
  <w:style w:type="paragraph" w:styleId="a8">
    <w:name w:val="annotation text"/>
    <w:basedOn w:val="a"/>
    <w:link w:val="a9"/>
    <w:rsid w:val="00D00B1D"/>
    <w:rPr>
      <w:szCs w:val="20"/>
    </w:rPr>
  </w:style>
  <w:style w:type="character" w:customStyle="1" w:styleId="a9">
    <w:name w:val="טקסט הערה תו"/>
    <w:basedOn w:val="a0"/>
    <w:link w:val="a8"/>
    <w:rsid w:val="00D00B1D"/>
    <w:rPr>
      <w:rFonts w:cs="David"/>
    </w:rPr>
  </w:style>
  <w:style w:type="paragraph" w:styleId="aa">
    <w:name w:val="annotation subject"/>
    <w:basedOn w:val="a8"/>
    <w:next w:val="a8"/>
    <w:link w:val="ab"/>
    <w:rsid w:val="00D00B1D"/>
    <w:rPr>
      <w:b/>
      <w:bCs/>
    </w:rPr>
  </w:style>
  <w:style w:type="character" w:customStyle="1" w:styleId="ab">
    <w:name w:val="נושא הערה תו"/>
    <w:basedOn w:val="a9"/>
    <w:link w:val="aa"/>
    <w:rsid w:val="00D00B1D"/>
    <w:rPr>
      <w:rFonts w:cs="David"/>
      <w:b/>
      <w:bCs/>
    </w:rPr>
  </w:style>
  <w:style w:type="paragraph" w:styleId="ac">
    <w:name w:val="Balloon Text"/>
    <w:basedOn w:val="a"/>
    <w:link w:val="ad"/>
    <w:rsid w:val="00D00B1D"/>
    <w:rPr>
      <w:rFonts w:ascii="Tahoma" w:hAnsi="Tahoma" w:cs="Tahoma"/>
      <w:sz w:val="18"/>
      <w:szCs w:val="18"/>
    </w:rPr>
  </w:style>
  <w:style w:type="character" w:customStyle="1" w:styleId="ad">
    <w:name w:val="טקסט בלונים תו"/>
    <w:basedOn w:val="a0"/>
    <w:link w:val="ac"/>
    <w:rsid w:val="00D00B1D"/>
    <w:rPr>
      <w:rFonts w:ascii="Tahoma" w:hAnsi="Tahoma" w:cs="Tahoma"/>
      <w:sz w:val="18"/>
      <w:szCs w:val="18"/>
    </w:rPr>
  </w:style>
  <w:style w:type="character" w:customStyle="1" w:styleId="10">
    <w:name w:val="כותרת 1 תו"/>
    <w:basedOn w:val="a0"/>
    <w:link w:val="1"/>
    <w:rsid w:val="00C91C6F"/>
    <w:rPr>
      <w:rFonts w:ascii="Arial" w:hAnsi="Arial" w:cs="Arial"/>
      <w:b/>
      <w:bCs/>
      <w:kern w:val="32"/>
      <w:sz w:val="32"/>
      <w:szCs w:val="32"/>
    </w:rPr>
  </w:style>
  <w:style w:type="paragraph" w:customStyle="1" w:styleId="Ruller4">
    <w:name w:val="Ruller 4 ממוספר"/>
    <w:basedOn w:val="Ruller41"/>
    <w:next w:val="Ruller41"/>
    <w:rsid w:val="00C91C6F"/>
    <w:pPr>
      <w:numPr>
        <w:numId w:val="11"/>
      </w:numPr>
    </w:pPr>
    <w:rPr>
      <w:rFonts w:ascii="Garamond" w:hAnsi="Garamond"/>
      <w:sz w:val="24"/>
    </w:rPr>
  </w:style>
  <w:style w:type="paragraph" w:customStyle="1" w:styleId="Ruller40">
    <w:name w:val="Ruller4 אלפביתי"/>
    <w:basedOn w:val="Ruller41"/>
    <w:next w:val="Ruller41"/>
    <w:rsid w:val="00C91C6F"/>
    <w:pPr>
      <w:numPr>
        <w:numId w:val="12"/>
      </w:numPr>
    </w:pPr>
  </w:style>
  <w:style w:type="character" w:customStyle="1" w:styleId="Ruller42">
    <w:name w:val="Ruller4 תו"/>
    <w:basedOn w:val="a0"/>
    <w:link w:val="Ruller41"/>
    <w:locked/>
    <w:rsid w:val="00C91C6F"/>
    <w:rPr>
      <w:rFonts w:ascii="Arial TUR" w:hAnsi="Arial TUR" w:cs="FrankRuehl"/>
      <w:spacing w:val="10"/>
      <w:sz w:val="22"/>
      <w:szCs w:val="28"/>
    </w:rPr>
  </w:style>
  <w:style w:type="character" w:customStyle="1" w:styleId="default">
    <w:name w:val="default"/>
    <w:basedOn w:val="a0"/>
    <w:rsid w:val="00C91C6F"/>
  </w:style>
  <w:style w:type="paragraph" w:styleId="ae">
    <w:name w:val="List Paragraph"/>
    <w:basedOn w:val="a"/>
    <w:uiPriority w:val="34"/>
    <w:qFormat/>
    <w:rsid w:val="00C91C6F"/>
    <w:pPr>
      <w:spacing w:line="360" w:lineRule="auto"/>
      <w:ind w:left="720"/>
      <w:contextualSpacing/>
    </w:pPr>
    <w:rPr>
      <w:rFonts w:ascii="Century" w:hAnsi="Century" w:cs="FrankRuehl"/>
      <w:spacing w:val="10"/>
      <w:szCs w:val="28"/>
    </w:rPr>
  </w:style>
  <w:style w:type="paragraph" w:customStyle="1" w:styleId="p00">
    <w:name w:val="p00"/>
    <w:basedOn w:val="a"/>
    <w:rsid w:val="00C91C6F"/>
    <w:pPr>
      <w:overflowPunct/>
      <w:autoSpaceDE/>
      <w:autoSpaceDN/>
      <w:bidi w:val="0"/>
      <w:adjustRightInd/>
      <w:spacing w:before="100" w:beforeAutospacing="1" w:after="100" w:afterAutospacing="1"/>
      <w:textAlignment w:val="auto"/>
    </w:pPr>
    <w:rPr>
      <w:rFonts w:cs="Times New Roman"/>
      <w:sz w:val="24"/>
    </w:rPr>
  </w:style>
  <w:style w:type="paragraph" w:customStyle="1" w:styleId="p22">
    <w:name w:val="p22"/>
    <w:basedOn w:val="a"/>
    <w:rsid w:val="00C91C6F"/>
    <w:pPr>
      <w:overflowPunct/>
      <w:autoSpaceDE/>
      <w:autoSpaceDN/>
      <w:bidi w:val="0"/>
      <w:adjustRightInd/>
      <w:spacing w:before="100" w:beforeAutospacing="1" w:after="100" w:afterAutospacing="1"/>
      <w:textAlignment w:val="auto"/>
    </w:pPr>
    <w:rPr>
      <w:rFonts w:cs="Times New Roman"/>
      <w:sz w:val="24"/>
    </w:rPr>
  </w:style>
  <w:style w:type="paragraph" w:customStyle="1" w:styleId="ruller400">
    <w:name w:val="ruller40"/>
    <w:basedOn w:val="a"/>
    <w:rsid w:val="00C91C6F"/>
    <w:pPr>
      <w:overflowPunct/>
      <w:autoSpaceDE/>
      <w:autoSpaceDN/>
      <w:bidi w:val="0"/>
      <w:adjustRightInd/>
      <w:spacing w:before="100" w:beforeAutospacing="1" w:after="100" w:afterAutospacing="1"/>
      <w:textAlignment w:val="auto"/>
    </w:pPr>
    <w:rPr>
      <w:rFonts w:cs="Times New Roman"/>
      <w:sz w:val="24"/>
    </w:rPr>
  </w:style>
  <w:style w:type="character" w:customStyle="1" w:styleId="big-number">
    <w:name w:val="big-number"/>
    <w:basedOn w:val="a0"/>
    <w:rsid w:val="00C91C6F"/>
  </w:style>
  <w:style w:type="paragraph" w:styleId="af">
    <w:name w:val="Revision"/>
    <w:hidden/>
    <w:uiPriority w:val="99"/>
    <w:semiHidden/>
    <w:rsid w:val="00B1726A"/>
    <w:rPr>
      <w:rFonts w:cs="David"/>
      <w:szCs w:val="24"/>
    </w:rPr>
  </w:style>
  <w:style w:type="paragraph" w:customStyle="1" w:styleId="ruller43">
    <w:name w:val="ruller4"/>
    <w:basedOn w:val="a"/>
    <w:rsid w:val="00CE3E58"/>
    <w:pPr>
      <w:overflowPunct/>
      <w:autoSpaceDE/>
      <w:autoSpaceDN/>
      <w:bidi w:val="0"/>
      <w:adjustRightInd/>
      <w:spacing w:before="100" w:beforeAutospacing="1" w:after="100" w:afterAutospacing="1"/>
      <w:textAlignment w:val="auto"/>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7971">
      <w:bodyDiv w:val="1"/>
      <w:marLeft w:val="0"/>
      <w:marRight w:val="0"/>
      <w:marTop w:val="0"/>
      <w:marBottom w:val="0"/>
      <w:divBdr>
        <w:top w:val="none" w:sz="0" w:space="0" w:color="auto"/>
        <w:left w:val="none" w:sz="0" w:space="0" w:color="auto"/>
        <w:bottom w:val="none" w:sz="0" w:space="0" w:color="auto"/>
        <w:right w:val="none" w:sz="0" w:space="0" w:color="auto"/>
      </w:divBdr>
    </w:div>
    <w:div w:id="644050829">
      <w:bodyDiv w:val="1"/>
      <w:marLeft w:val="0"/>
      <w:marRight w:val="0"/>
      <w:marTop w:val="0"/>
      <w:marBottom w:val="0"/>
      <w:divBdr>
        <w:top w:val="none" w:sz="0" w:space="0" w:color="auto"/>
        <w:left w:val="none" w:sz="0" w:space="0" w:color="auto"/>
        <w:bottom w:val="none" w:sz="0" w:space="0" w:color="auto"/>
        <w:right w:val="none" w:sz="0" w:space="0" w:color="auto"/>
      </w:divBdr>
    </w:div>
    <w:div w:id="90009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upreme.court.gov.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11931</Words>
  <Characters>57560</Characters>
  <Application>Microsoft Office Word</Application>
  <DocSecurity>0</DocSecurity>
  <Lines>479</Lines>
  <Paragraphs>138</Paragraphs>
  <ScaleCrop>false</ScaleCrop>
  <HeadingPairs>
    <vt:vector size="2" baseType="variant">
      <vt:variant>
        <vt:lpstr>שם</vt:lpstr>
      </vt:variant>
      <vt:variant>
        <vt:i4>1</vt:i4>
      </vt:variant>
    </vt:vector>
  </HeadingPairs>
  <TitlesOfParts>
    <vt:vector size="1" baseType="lpstr">
      <vt:lpstr>פסק-דין בתיק בג"ץ  5604/19</vt:lpstr>
    </vt:vector>
  </TitlesOfParts>
  <Company/>
  <LinksUpToDate>false</LinksUpToDate>
  <CharactersWithSpaces>69353</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2022-10-18T09:45:11Z</cp:lastPrinted>
  <dcterms:created xsi:type="dcterms:W3CDTF">2022-10-18T09:45:11Z</dcterms:created>
  <dcterms:modified xsi:type="dcterms:W3CDTF">2022-10-18T09:45:11Z</dcterms:modified>
</cp:coreProperties>
</file>