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FF8" w:rsidRPr="00377102" w:rsidRDefault="00916FF8">
      <w:pPr>
        <w:jc w:val="right"/>
        <w:rPr>
          <w:rFonts w:cs="Miriam" w:hint="cs"/>
          <w:b/>
          <w:bCs/>
          <w:sz w:val="16"/>
          <w:szCs w:val="16"/>
          <w:u w:val="single"/>
        </w:rPr>
      </w:pPr>
    </w:p>
    <w:tbl>
      <w:tblPr>
        <w:bidiVisual/>
        <w:tblW w:w="8363" w:type="dxa"/>
        <w:tblInd w:w="9" w:type="dxa"/>
        <w:tblLook w:val="0000" w:firstRow="0" w:lastRow="0" w:firstColumn="0" w:lastColumn="0" w:noHBand="0" w:noVBand="0"/>
      </w:tblPr>
      <w:tblGrid>
        <w:gridCol w:w="8363"/>
      </w:tblGrid>
      <w:tr w:rsidR="00036227" w:rsidTr="0039709B">
        <w:tc>
          <w:tcPr>
            <w:tcW w:w="7848" w:type="dxa"/>
          </w:tcPr>
          <w:p w:rsidR="00916FF8" w:rsidRPr="00624A42" w:rsidRDefault="00FE09AC" w:rsidP="004C7868">
            <w:pPr>
              <w:pStyle w:val="FileNumber0"/>
              <w:rPr>
                <w:sz w:val="28"/>
                <w:u w:val="single"/>
                <w:rtl/>
              </w:rPr>
            </w:pPr>
            <w:r>
              <w:rPr>
                <w:u w:val="single"/>
                <w:rtl/>
              </w:rPr>
              <w:t>בבית המשפט העליון בשבתו כבית משפט לערעורים אזרחיים</w:t>
            </w:r>
          </w:p>
        </w:tc>
      </w:tr>
    </w:tbl>
    <w:p w:rsidR="00916FF8" w:rsidRDefault="00916FF8">
      <w:pPr>
        <w:jc w:val="right"/>
        <w:rPr>
          <w:rFonts w:cs="Miriam"/>
          <w:b/>
          <w:bCs/>
          <w:u w:val="single"/>
        </w:rPr>
      </w:pPr>
    </w:p>
    <w:tbl>
      <w:tblPr>
        <w:bidiVisual/>
        <w:tblW w:w="8363" w:type="dxa"/>
        <w:tblLook w:val="0000" w:firstRow="0" w:lastRow="0" w:firstColumn="0" w:lastColumn="0" w:noHBand="0" w:noVBand="0"/>
      </w:tblPr>
      <w:tblGrid>
        <w:gridCol w:w="8363"/>
      </w:tblGrid>
      <w:tr w:rsidR="00036227" w:rsidTr="0039709B">
        <w:trPr>
          <w:trHeight w:val="342"/>
        </w:trPr>
        <w:tc>
          <w:tcPr>
            <w:tcW w:w="9828" w:type="dxa"/>
          </w:tcPr>
          <w:p w:rsidR="00916FF8" w:rsidRPr="00810894" w:rsidRDefault="00FE09AC">
            <w:pPr>
              <w:pStyle w:val="FileNumber"/>
              <w:rPr>
                <w:sz w:val="28"/>
                <w:szCs w:val="28"/>
              </w:rPr>
            </w:pPr>
            <w:bookmarkStart w:id="0" w:name="casename_body"/>
            <w:r>
              <w:rPr>
                <w:sz w:val="28"/>
                <w:szCs w:val="28"/>
                <w:rtl/>
              </w:rPr>
              <w:t>ע"א  6404/19</w:t>
            </w:r>
          </w:p>
        </w:tc>
      </w:tr>
      <w:tr w:rsidR="00FE09AC" w:rsidTr="0039709B">
        <w:trPr>
          <w:trHeight w:val="342"/>
        </w:trPr>
        <w:tc>
          <w:tcPr>
            <w:tcW w:w="9828" w:type="dxa"/>
          </w:tcPr>
          <w:p w:rsidR="00FE09AC" w:rsidRPr="00810894" w:rsidRDefault="00FE09AC">
            <w:pPr>
              <w:pStyle w:val="FileNumber"/>
              <w:rPr>
                <w:sz w:val="28"/>
                <w:szCs w:val="28"/>
              </w:rPr>
            </w:pPr>
            <w:r>
              <w:rPr>
                <w:sz w:val="28"/>
                <w:szCs w:val="28"/>
                <w:rtl/>
              </w:rPr>
              <w:t>ע"א  4504/20</w:t>
            </w:r>
          </w:p>
        </w:tc>
      </w:tr>
      <w:bookmarkEnd w:id="0"/>
    </w:tbl>
    <w:p w:rsidR="00916FF8" w:rsidRDefault="00916FF8">
      <w:pPr>
        <w:jc w:val="right"/>
        <w:rPr>
          <w:rFonts w:cs="Miriam"/>
          <w:b/>
          <w:bCs/>
          <w:u w:val="single"/>
        </w:rPr>
      </w:pPr>
    </w:p>
    <w:tbl>
      <w:tblPr>
        <w:bidiVisual/>
        <w:tblW w:w="8364" w:type="dxa"/>
        <w:tblLayout w:type="fixed"/>
        <w:tblLook w:val="0000" w:firstRow="0" w:lastRow="0" w:firstColumn="0" w:lastColumn="0" w:noHBand="0" w:noVBand="0"/>
      </w:tblPr>
      <w:tblGrid>
        <w:gridCol w:w="3210"/>
        <w:gridCol w:w="5154"/>
      </w:tblGrid>
      <w:tr w:rsidR="00036227" w:rsidTr="00EC23AC">
        <w:trPr>
          <w:trHeight w:val="287"/>
        </w:trPr>
        <w:tc>
          <w:tcPr>
            <w:tcW w:w="3261" w:type="dxa"/>
          </w:tcPr>
          <w:p w:rsidR="00036227" w:rsidRDefault="00CB7600">
            <w:pPr>
              <w:pStyle w:val="BodyRuller"/>
              <w:rPr>
                <w:rFonts w:cs="Miriam"/>
                <w:b/>
                <w:bCs/>
                <w:u w:val="single"/>
              </w:rPr>
            </w:pPr>
            <w:r>
              <w:rPr>
                <w:rFonts w:hint="cs"/>
                <w:rtl/>
              </w:rPr>
              <w:t>ל</w:t>
            </w:r>
            <w:r w:rsidR="00036227">
              <w:rPr>
                <w:rtl/>
              </w:rPr>
              <w:t>פני:</w:t>
            </w:r>
            <w:r w:rsidR="00036227">
              <w:rPr>
                <w:rtl/>
              </w:rPr>
              <w:tab/>
            </w:r>
          </w:p>
        </w:tc>
        <w:tc>
          <w:tcPr>
            <w:tcW w:w="5239" w:type="dxa"/>
          </w:tcPr>
          <w:p w:rsidR="00036227" w:rsidRDefault="00FE09AC">
            <w:pPr>
              <w:pStyle w:val="BodyRuller"/>
            </w:pPr>
            <w:r>
              <w:rPr>
                <w:rtl/>
              </w:rPr>
              <w:t>כבוד השופט נ' סולברג</w:t>
            </w:r>
          </w:p>
        </w:tc>
      </w:tr>
      <w:tr w:rsidR="00FE09AC" w:rsidTr="00EC23AC">
        <w:trPr>
          <w:trHeight w:val="287"/>
        </w:trPr>
        <w:tc>
          <w:tcPr>
            <w:tcW w:w="3261" w:type="dxa"/>
          </w:tcPr>
          <w:p w:rsidR="00FE09AC" w:rsidRDefault="00FE09AC">
            <w:pPr>
              <w:pStyle w:val="BodyRuller"/>
              <w:rPr>
                <w:rtl/>
              </w:rPr>
            </w:pPr>
          </w:p>
        </w:tc>
        <w:tc>
          <w:tcPr>
            <w:tcW w:w="5239" w:type="dxa"/>
          </w:tcPr>
          <w:p w:rsidR="00FE09AC" w:rsidRDefault="00FE09AC">
            <w:pPr>
              <w:pStyle w:val="BodyRuller"/>
              <w:rPr>
                <w:rtl/>
              </w:rPr>
            </w:pPr>
            <w:r>
              <w:rPr>
                <w:rtl/>
              </w:rPr>
              <w:t>כבוד השופט ג' קרא</w:t>
            </w:r>
          </w:p>
        </w:tc>
      </w:tr>
      <w:tr w:rsidR="00FE09AC" w:rsidTr="00EC23AC">
        <w:trPr>
          <w:trHeight w:val="287"/>
        </w:trPr>
        <w:tc>
          <w:tcPr>
            <w:tcW w:w="3261" w:type="dxa"/>
          </w:tcPr>
          <w:p w:rsidR="00FE09AC" w:rsidRDefault="00FE09AC">
            <w:pPr>
              <w:pStyle w:val="BodyRuller"/>
              <w:rPr>
                <w:rtl/>
              </w:rPr>
            </w:pPr>
          </w:p>
        </w:tc>
        <w:tc>
          <w:tcPr>
            <w:tcW w:w="5239" w:type="dxa"/>
          </w:tcPr>
          <w:p w:rsidR="00FE09AC" w:rsidRDefault="00FE09AC">
            <w:pPr>
              <w:pStyle w:val="BodyRuller"/>
              <w:rPr>
                <w:rtl/>
              </w:rPr>
            </w:pPr>
            <w:r>
              <w:rPr>
                <w:rtl/>
              </w:rPr>
              <w:t>כבוד השופטת י' וילנר</w:t>
            </w:r>
          </w:p>
        </w:tc>
      </w:tr>
    </w:tbl>
    <w:p w:rsidR="00916FF8" w:rsidRDefault="00916FF8">
      <w:pPr>
        <w:pStyle w:val="Ruller3"/>
        <w:rPr>
          <w:rFonts w:cs="Miriam"/>
          <w:b/>
          <w:bCs/>
          <w:u w:val="single"/>
          <w:rtl/>
        </w:rPr>
      </w:pPr>
    </w:p>
    <w:tbl>
      <w:tblPr>
        <w:bidiVisual/>
        <w:tblW w:w="8364" w:type="dxa"/>
        <w:tblLayout w:type="fixed"/>
        <w:tblLook w:val="0000" w:firstRow="0" w:lastRow="0" w:firstColumn="0" w:lastColumn="0" w:noHBand="0" w:noVBand="0"/>
      </w:tblPr>
      <w:tblGrid>
        <w:gridCol w:w="3210"/>
        <w:gridCol w:w="5154"/>
      </w:tblGrid>
      <w:tr w:rsidR="00D00CB7" w:rsidTr="00DD6306">
        <w:trPr>
          <w:trHeight w:val="287"/>
        </w:trPr>
        <w:tc>
          <w:tcPr>
            <w:tcW w:w="3261" w:type="dxa"/>
          </w:tcPr>
          <w:p w:rsidR="00D00CB7" w:rsidRPr="00E75223" w:rsidRDefault="00FE09AC" w:rsidP="00DD6306">
            <w:pPr>
              <w:pStyle w:val="BodyRuller"/>
              <w:rPr>
                <w:rFonts w:ascii="David" w:hAnsi="David"/>
              </w:rPr>
            </w:pPr>
            <w:r>
              <w:rPr>
                <w:rFonts w:ascii="David" w:hAnsi="David"/>
                <w:rtl/>
              </w:rPr>
              <w:t>המערער</w:t>
            </w:r>
            <w:r w:rsidR="004C4958">
              <w:rPr>
                <w:rFonts w:ascii="David" w:hAnsi="David" w:hint="cs"/>
                <w:rtl/>
              </w:rPr>
              <w:t xml:space="preserve"> בע"א 6404/19</w:t>
            </w:r>
            <w:r>
              <w:rPr>
                <w:rFonts w:ascii="David" w:hAnsi="David"/>
                <w:rtl/>
              </w:rPr>
              <w:t>:</w:t>
            </w:r>
          </w:p>
        </w:tc>
        <w:tc>
          <w:tcPr>
            <w:tcW w:w="5239" w:type="dxa"/>
          </w:tcPr>
          <w:p w:rsidR="00D00CB7" w:rsidRDefault="00FE09AC" w:rsidP="00DD6306">
            <w:pPr>
              <w:pStyle w:val="BodyRuller"/>
            </w:pPr>
            <w:r>
              <w:rPr>
                <w:rtl/>
              </w:rPr>
              <w:t>מנהל מיסוי מקרקעין חיפה</w:t>
            </w:r>
          </w:p>
        </w:tc>
      </w:tr>
      <w:tr w:rsidR="004C4958" w:rsidTr="00DD6306">
        <w:trPr>
          <w:trHeight w:val="287"/>
        </w:trPr>
        <w:tc>
          <w:tcPr>
            <w:tcW w:w="3261" w:type="dxa"/>
          </w:tcPr>
          <w:p w:rsidR="004C4958" w:rsidRDefault="004C4958" w:rsidP="00DD6306">
            <w:pPr>
              <w:pStyle w:val="BodyRuller"/>
              <w:rPr>
                <w:rFonts w:ascii="David" w:hAnsi="David"/>
                <w:rtl/>
              </w:rPr>
            </w:pPr>
          </w:p>
        </w:tc>
        <w:tc>
          <w:tcPr>
            <w:tcW w:w="5239" w:type="dxa"/>
          </w:tcPr>
          <w:p w:rsidR="004C4958" w:rsidRDefault="004C4958" w:rsidP="00DD6306">
            <w:pPr>
              <w:pStyle w:val="BodyRuller"/>
              <w:rPr>
                <w:rtl/>
              </w:rPr>
            </w:pPr>
          </w:p>
        </w:tc>
      </w:tr>
      <w:tr w:rsidR="004C4958" w:rsidTr="00DD6306">
        <w:trPr>
          <w:trHeight w:val="287"/>
        </w:trPr>
        <w:tc>
          <w:tcPr>
            <w:tcW w:w="3261" w:type="dxa"/>
          </w:tcPr>
          <w:p w:rsidR="004C4958" w:rsidRDefault="004C4958" w:rsidP="00DD6306">
            <w:pPr>
              <w:pStyle w:val="BodyRuller"/>
              <w:rPr>
                <w:rFonts w:ascii="David" w:hAnsi="David"/>
                <w:rtl/>
              </w:rPr>
            </w:pPr>
            <w:r>
              <w:rPr>
                <w:rFonts w:ascii="David" w:hAnsi="David" w:hint="cs"/>
                <w:rtl/>
              </w:rPr>
              <w:t>המערער בע"א 4504/20:</w:t>
            </w:r>
          </w:p>
        </w:tc>
        <w:tc>
          <w:tcPr>
            <w:tcW w:w="5239" w:type="dxa"/>
          </w:tcPr>
          <w:p w:rsidR="004C4958" w:rsidRDefault="004C4958" w:rsidP="00DD6306">
            <w:pPr>
              <w:pStyle w:val="BodyRuller"/>
              <w:rPr>
                <w:rtl/>
              </w:rPr>
            </w:pPr>
            <w:proofErr w:type="spellStart"/>
            <w:r>
              <w:rPr>
                <w:rFonts w:hint="cs"/>
                <w:rtl/>
              </w:rPr>
              <w:t>מינהל</w:t>
            </w:r>
            <w:proofErr w:type="spellEnd"/>
            <w:r>
              <w:rPr>
                <w:rFonts w:hint="cs"/>
                <w:rtl/>
              </w:rPr>
              <w:t xml:space="preserve"> מיסוי מקרקעין חדרה</w:t>
            </w:r>
          </w:p>
        </w:tc>
      </w:tr>
    </w:tbl>
    <w:p w:rsidR="00D00CB7" w:rsidRDefault="00D00CB7">
      <w:pPr>
        <w:pStyle w:val="Ruller3"/>
      </w:pPr>
    </w:p>
    <w:tbl>
      <w:tblPr>
        <w:bidiVisual/>
        <w:tblW w:w="8363" w:type="dxa"/>
        <w:tblLook w:val="0000" w:firstRow="0" w:lastRow="0" w:firstColumn="0" w:lastColumn="0" w:noHBand="0" w:noVBand="0"/>
      </w:tblPr>
      <w:tblGrid>
        <w:gridCol w:w="3222"/>
        <w:gridCol w:w="5141"/>
      </w:tblGrid>
      <w:tr w:rsidR="00036227" w:rsidTr="0039709B">
        <w:tc>
          <w:tcPr>
            <w:tcW w:w="3284" w:type="dxa"/>
          </w:tcPr>
          <w:p w:rsidR="00036227" w:rsidRDefault="00036227">
            <w:pPr>
              <w:pStyle w:val="BodyRuller"/>
            </w:pPr>
          </w:p>
        </w:tc>
        <w:tc>
          <w:tcPr>
            <w:tcW w:w="5238" w:type="dxa"/>
          </w:tcPr>
          <w:p w:rsidR="00036227" w:rsidRDefault="00036227">
            <w:pPr>
              <w:pStyle w:val="BodyRuller"/>
            </w:pPr>
            <w:r>
              <w:rPr>
                <w:rFonts w:hint="cs"/>
                <w:rtl/>
              </w:rPr>
              <w:t>נ</w:t>
            </w:r>
            <w:r>
              <w:t xml:space="preserve">  </w:t>
            </w:r>
            <w:r>
              <w:rPr>
                <w:rFonts w:hint="cs"/>
                <w:rtl/>
              </w:rPr>
              <w:t>ג</w:t>
            </w:r>
            <w:r>
              <w:t xml:space="preserve">  </w:t>
            </w:r>
            <w:r>
              <w:rPr>
                <w:rFonts w:hint="cs"/>
                <w:rtl/>
              </w:rPr>
              <w:t>ד</w:t>
            </w:r>
          </w:p>
        </w:tc>
      </w:tr>
    </w:tbl>
    <w:p w:rsidR="00916FF8" w:rsidRDefault="00916FF8">
      <w:pPr>
        <w:pStyle w:val="Ruller3"/>
        <w:rPr>
          <w:rtl/>
        </w:rPr>
      </w:pPr>
    </w:p>
    <w:tbl>
      <w:tblPr>
        <w:bidiVisual/>
        <w:tblW w:w="8364" w:type="dxa"/>
        <w:tblLayout w:type="fixed"/>
        <w:tblLook w:val="0000" w:firstRow="0" w:lastRow="0" w:firstColumn="0" w:lastColumn="0" w:noHBand="0" w:noVBand="0"/>
      </w:tblPr>
      <w:tblGrid>
        <w:gridCol w:w="3210"/>
        <w:gridCol w:w="5154"/>
      </w:tblGrid>
      <w:tr w:rsidR="0083345F" w:rsidTr="00DD6306">
        <w:trPr>
          <w:trHeight w:val="287"/>
        </w:trPr>
        <w:tc>
          <w:tcPr>
            <w:tcW w:w="3261" w:type="dxa"/>
          </w:tcPr>
          <w:p w:rsidR="0083345F" w:rsidRPr="00E75223" w:rsidRDefault="00FE09AC" w:rsidP="00DD6306">
            <w:pPr>
              <w:pStyle w:val="BodyRuller"/>
              <w:rPr>
                <w:rFonts w:ascii="David" w:hAnsi="David"/>
              </w:rPr>
            </w:pPr>
            <w:r>
              <w:rPr>
                <w:rFonts w:ascii="David" w:hAnsi="David"/>
                <w:rtl/>
              </w:rPr>
              <w:t>המשיב</w:t>
            </w:r>
            <w:r w:rsidR="004C4958">
              <w:rPr>
                <w:rFonts w:ascii="David" w:hAnsi="David" w:hint="cs"/>
                <w:rtl/>
              </w:rPr>
              <w:t>ה בע"א 6404/19</w:t>
            </w:r>
            <w:r>
              <w:rPr>
                <w:rFonts w:ascii="David" w:hAnsi="David"/>
                <w:rtl/>
              </w:rPr>
              <w:t>:</w:t>
            </w:r>
          </w:p>
        </w:tc>
        <w:tc>
          <w:tcPr>
            <w:tcW w:w="5239" w:type="dxa"/>
          </w:tcPr>
          <w:p w:rsidR="0083345F" w:rsidRDefault="00FE09AC" w:rsidP="00DD6306">
            <w:pPr>
              <w:pStyle w:val="BodyRuller"/>
            </w:pPr>
            <w:r>
              <w:rPr>
                <w:rtl/>
              </w:rPr>
              <w:t>אמרלד בניין ופיתוח בע"מ</w:t>
            </w:r>
          </w:p>
        </w:tc>
      </w:tr>
      <w:tr w:rsidR="004C4958" w:rsidTr="00DD6306">
        <w:trPr>
          <w:trHeight w:val="287"/>
        </w:trPr>
        <w:tc>
          <w:tcPr>
            <w:tcW w:w="3261" w:type="dxa"/>
          </w:tcPr>
          <w:p w:rsidR="004C4958" w:rsidRDefault="004C4958" w:rsidP="00DD6306">
            <w:pPr>
              <w:pStyle w:val="BodyRuller"/>
              <w:rPr>
                <w:rFonts w:ascii="David" w:hAnsi="David"/>
                <w:rtl/>
              </w:rPr>
            </w:pPr>
          </w:p>
        </w:tc>
        <w:tc>
          <w:tcPr>
            <w:tcW w:w="5239" w:type="dxa"/>
          </w:tcPr>
          <w:p w:rsidR="004C4958" w:rsidRDefault="004C4958" w:rsidP="00DD6306">
            <w:pPr>
              <w:pStyle w:val="BodyRuller"/>
              <w:rPr>
                <w:rtl/>
              </w:rPr>
            </w:pPr>
          </w:p>
        </w:tc>
      </w:tr>
      <w:tr w:rsidR="004C4958" w:rsidTr="00DD6306">
        <w:trPr>
          <w:trHeight w:val="287"/>
        </w:trPr>
        <w:tc>
          <w:tcPr>
            <w:tcW w:w="3261" w:type="dxa"/>
          </w:tcPr>
          <w:p w:rsidR="004C4958" w:rsidRDefault="004C4958" w:rsidP="00DD6306">
            <w:pPr>
              <w:pStyle w:val="BodyRuller"/>
              <w:rPr>
                <w:rFonts w:ascii="David" w:hAnsi="David"/>
                <w:rtl/>
              </w:rPr>
            </w:pPr>
            <w:r>
              <w:rPr>
                <w:rFonts w:ascii="David" w:hAnsi="David" w:hint="cs"/>
                <w:rtl/>
              </w:rPr>
              <w:t>המשיבות בע"א 4504/20</w:t>
            </w:r>
          </w:p>
        </w:tc>
        <w:tc>
          <w:tcPr>
            <w:tcW w:w="5239" w:type="dxa"/>
          </w:tcPr>
          <w:p w:rsidR="004C4958" w:rsidRDefault="004C4958" w:rsidP="00DD6306">
            <w:pPr>
              <w:pStyle w:val="BodyRuller"/>
              <w:rPr>
                <w:rtl/>
              </w:rPr>
            </w:pPr>
            <w:r>
              <w:rPr>
                <w:rFonts w:hint="cs"/>
                <w:rtl/>
              </w:rPr>
              <w:t>1. שיכון ובינוי נדל"ן בע"מ</w:t>
            </w:r>
          </w:p>
        </w:tc>
      </w:tr>
      <w:tr w:rsidR="004C4958" w:rsidTr="00DD6306">
        <w:trPr>
          <w:trHeight w:val="287"/>
        </w:trPr>
        <w:tc>
          <w:tcPr>
            <w:tcW w:w="3261" w:type="dxa"/>
          </w:tcPr>
          <w:p w:rsidR="004C4958" w:rsidRPr="004C4958" w:rsidRDefault="004C4958" w:rsidP="00DD6306">
            <w:pPr>
              <w:pStyle w:val="BodyRuller"/>
              <w:rPr>
                <w:rFonts w:ascii="David" w:hAnsi="David"/>
                <w:rtl/>
              </w:rPr>
            </w:pPr>
          </w:p>
        </w:tc>
        <w:tc>
          <w:tcPr>
            <w:tcW w:w="5239" w:type="dxa"/>
          </w:tcPr>
          <w:p w:rsidR="004C4958" w:rsidRDefault="004C4958" w:rsidP="00DD6306">
            <w:pPr>
              <w:pStyle w:val="BodyRuller"/>
              <w:rPr>
                <w:rtl/>
              </w:rPr>
            </w:pPr>
            <w:r>
              <w:rPr>
                <w:rFonts w:hint="cs"/>
                <w:rtl/>
              </w:rPr>
              <w:t>2. אלקטרה השקעות (1989) בע"מ</w:t>
            </w:r>
          </w:p>
        </w:tc>
      </w:tr>
      <w:tr w:rsidR="004C4958" w:rsidTr="00DD6306">
        <w:trPr>
          <w:trHeight w:val="287"/>
        </w:trPr>
        <w:tc>
          <w:tcPr>
            <w:tcW w:w="3261" w:type="dxa"/>
          </w:tcPr>
          <w:p w:rsidR="004C4958" w:rsidRPr="004C4958" w:rsidRDefault="004C4958" w:rsidP="00DD6306">
            <w:pPr>
              <w:pStyle w:val="BodyRuller"/>
              <w:rPr>
                <w:rFonts w:ascii="David" w:hAnsi="David"/>
                <w:rtl/>
              </w:rPr>
            </w:pPr>
          </w:p>
        </w:tc>
        <w:tc>
          <w:tcPr>
            <w:tcW w:w="5239" w:type="dxa"/>
          </w:tcPr>
          <w:p w:rsidR="004C4958" w:rsidRDefault="004C4958" w:rsidP="00DD6306">
            <w:pPr>
              <w:pStyle w:val="BodyRuller"/>
              <w:rPr>
                <w:rtl/>
              </w:rPr>
            </w:pPr>
            <w:r>
              <w:rPr>
                <w:rFonts w:hint="cs"/>
                <w:rtl/>
              </w:rPr>
              <w:t>3. יורו ישראל (י.ש) בע"מ</w:t>
            </w:r>
          </w:p>
        </w:tc>
      </w:tr>
    </w:tbl>
    <w:p w:rsidR="0083345F" w:rsidRDefault="0083345F">
      <w:pPr>
        <w:pStyle w:val="Ruller3"/>
      </w:pPr>
    </w:p>
    <w:tbl>
      <w:tblPr>
        <w:bidiVisual/>
        <w:tblW w:w="0" w:type="auto"/>
        <w:tblInd w:w="3209" w:type="dxa"/>
        <w:tblLook w:val="0000" w:firstRow="0" w:lastRow="0" w:firstColumn="0" w:lastColumn="0" w:noHBand="0" w:noVBand="0"/>
      </w:tblPr>
      <w:tblGrid>
        <w:gridCol w:w="5103"/>
      </w:tblGrid>
      <w:tr w:rsidR="00036227" w:rsidTr="00CA1444">
        <w:tc>
          <w:tcPr>
            <w:tcW w:w="5103" w:type="dxa"/>
          </w:tcPr>
          <w:p w:rsidR="00916FF8" w:rsidRPr="00265F6E" w:rsidRDefault="00FE09AC" w:rsidP="004C4958">
            <w:pPr>
              <w:pStyle w:val="BodyRuller"/>
              <w:jc w:val="both"/>
              <w:rPr>
                <w:sz w:val="24"/>
                <w:szCs w:val="24"/>
              </w:rPr>
            </w:pPr>
            <w:r>
              <w:rPr>
                <w:sz w:val="24"/>
                <w:szCs w:val="24"/>
                <w:rtl/>
              </w:rPr>
              <w:t>ערעור</w:t>
            </w:r>
            <w:r w:rsidR="004C4958">
              <w:rPr>
                <w:rFonts w:hint="cs"/>
                <w:sz w:val="24"/>
                <w:szCs w:val="24"/>
                <w:rtl/>
              </w:rPr>
              <w:t>ים</w:t>
            </w:r>
            <w:r>
              <w:rPr>
                <w:sz w:val="24"/>
                <w:szCs w:val="24"/>
                <w:rtl/>
              </w:rPr>
              <w:t xml:space="preserve"> על פסק</w:t>
            </w:r>
            <w:r w:rsidR="004C4958">
              <w:rPr>
                <w:rFonts w:hint="cs"/>
                <w:sz w:val="24"/>
                <w:szCs w:val="24"/>
                <w:rtl/>
              </w:rPr>
              <w:t>י</w:t>
            </w:r>
            <w:r>
              <w:rPr>
                <w:sz w:val="24"/>
                <w:szCs w:val="24"/>
                <w:rtl/>
              </w:rPr>
              <w:t xml:space="preserve"> </w:t>
            </w:r>
            <w:r w:rsidR="004C4958">
              <w:rPr>
                <w:rFonts w:hint="cs"/>
                <w:sz w:val="24"/>
                <w:szCs w:val="24"/>
                <w:rtl/>
              </w:rPr>
              <w:t>ה</w:t>
            </w:r>
            <w:r>
              <w:rPr>
                <w:sz w:val="24"/>
                <w:szCs w:val="24"/>
                <w:rtl/>
              </w:rPr>
              <w:t>די</w:t>
            </w:r>
            <w:r w:rsidR="004C4958">
              <w:rPr>
                <w:rFonts w:hint="cs"/>
                <w:sz w:val="24"/>
                <w:szCs w:val="24"/>
                <w:rtl/>
              </w:rPr>
              <w:t>ן</w:t>
            </w:r>
            <w:r>
              <w:rPr>
                <w:sz w:val="24"/>
                <w:szCs w:val="24"/>
                <w:rtl/>
              </w:rPr>
              <w:t xml:space="preserve"> של</w:t>
            </w:r>
            <w:r w:rsidR="004C4958">
              <w:rPr>
                <w:rFonts w:hint="cs"/>
                <w:sz w:val="24"/>
                <w:szCs w:val="24"/>
                <w:rtl/>
              </w:rPr>
              <w:t xml:space="preserve"> ועדת הערר שליד בית </w:t>
            </w:r>
            <w:r>
              <w:rPr>
                <w:sz w:val="24"/>
                <w:szCs w:val="24"/>
                <w:rtl/>
              </w:rPr>
              <w:t xml:space="preserve"> המשפט המחוזי </w:t>
            </w:r>
            <w:r w:rsidR="004C4958">
              <w:rPr>
                <w:rFonts w:hint="cs"/>
                <w:sz w:val="24"/>
                <w:szCs w:val="24"/>
                <w:rtl/>
              </w:rPr>
              <w:t>ב</w:t>
            </w:r>
            <w:r>
              <w:rPr>
                <w:sz w:val="24"/>
                <w:szCs w:val="24"/>
                <w:rtl/>
              </w:rPr>
              <w:t>חיפה</w:t>
            </w:r>
            <w:r w:rsidR="004C4958">
              <w:rPr>
                <w:rFonts w:hint="cs"/>
                <w:sz w:val="24"/>
                <w:szCs w:val="24"/>
                <w:rtl/>
              </w:rPr>
              <w:t xml:space="preserve">, </w:t>
            </w:r>
            <w:r>
              <w:rPr>
                <w:sz w:val="24"/>
                <w:szCs w:val="24"/>
                <w:rtl/>
              </w:rPr>
              <w:t xml:space="preserve">מיום 10.06.2019 </w:t>
            </w:r>
            <w:r w:rsidR="004C4958">
              <w:rPr>
                <w:rFonts w:hint="cs"/>
                <w:sz w:val="24"/>
                <w:szCs w:val="24"/>
                <w:rtl/>
              </w:rPr>
              <w:t xml:space="preserve">ומיום 5.5.2020, </w:t>
            </w:r>
            <w:proofErr w:type="spellStart"/>
            <w:r w:rsidR="004C4958">
              <w:rPr>
                <w:rFonts w:hint="cs"/>
                <w:sz w:val="24"/>
                <w:szCs w:val="24"/>
                <w:rtl/>
              </w:rPr>
              <w:t>בו"ע</w:t>
            </w:r>
            <w:proofErr w:type="spellEnd"/>
            <w:r w:rsidR="004C4958">
              <w:rPr>
                <w:rFonts w:hint="cs"/>
                <w:sz w:val="24"/>
                <w:szCs w:val="24"/>
                <w:rtl/>
              </w:rPr>
              <w:t xml:space="preserve"> 44686-07-16 </w:t>
            </w:r>
            <w:proofErr w:type="spellStart"/>
            <w:r w:rsidR="004C4958">
              <w:rPr>
                <w:rFonts w:hint="cs"/>
                <w:sz w:val="24"/>
                <w:szCs w:val="24"/>
                <w:rtl/>
              </w:rPr>
              <w:t>ובו"ע</w:t>
            </w:r>
            <w:proofErr w:type="spellEnd"/>
            <w:r w:rsidR="004C4958">
              <w:rPr>
                <w:rFonts w:hint="cs"/>
                <w:sz w:val="24"/>
                <w:szCs w:val="24"/>
                <w:rtl/>
              </w:rPr>
              <w:t xml:space="preserve"> 61323-08-18, שניתנו על ידי סגן הנשיא ר' </w:t>
            </w:r>
            <w:proofErr w:type="spellStart"/>
            <w:r w:rsidR="004C4958">
              <w:rPr>
                <w:rFonts w:hint="cs"/>
                <w:sz w:val="24"/>
                <w:szCs w:val="24"/>
                <w:rtl/>
              </w:rPr>
              <w:t>סוקול</w:t>
            </w:r>
            <w:proofErr w:type="spellEnd"/>
            <w:r w:rsidR="004C4958">
              <w:rPr>
                <w:rFonts w:hint="cs"/>
                <w:sz w:val="24"/>
                <w:szCs w:val="24"/>
                <w:rtl/>
              </w:rPr>
              <w:t xml:space="preserve"> וחברי הוועדה: עו"ד חיים שטרן, עו"ד ד"ר נתן מולכו, ועל ידי כב' השופטת א' </w:t>
            </w:r>
            <w:proofErr w:type="spellStart"/>
            <w:r w:rsidR="004C4958">
              <w:rPr>
                <w:rFonts w:hint="cs"/>
                <w:sz w:val="24"/>
                <w:szCs w:val="24"/>
                <w:rtl/>
              </w:rPr>
              <w:t>וינשטיין</w:t>
            </w:r>
            <w:proofErr w:type="spellEnd"/>
            <w:r w:rsidR="004C4958">
              <w:rPr>
                <w:rFonts w:hint="cs"/>
                <w:sz w:val="24"/>
                <w:szCs w:val="24"/>
                <w:rtl/>
              </w:rPr>
              <w:t xml:space="preserve"> וחברי הוועדה עו"ד אהובה סימון ועו"ד חיים שטרן</w:t>
            </w:r>
          </w:p>
        </w:tc>
      </w:tr>
    </w:tbl>
    <w:p w:rsidR="00916FF8" w:rsidRDefault="00916FF8">
      <w:pPr>
        <w:pStyle w:val="Ruller3"/>
        <w:rPr>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2423"/>
        <w:gridCol w:w="2710"/>
      </w:tblGrid>
      <w:tr w:rsidR="008C2F11" w:rsidTr="00D00B1D">
        <w:tc>
          <w:tcPr>
            <w:tcW w:w="3212" w:type="dxa"/>
            <w:tcBorders>
              <w:top w:val="nil"/>
              <w:left w:val="nil"/>
              <w:bottom w:val="nil"/>
              <w:right w:val="nil"/>
            </w:tcBorders>
          </w:tcPr>
          <w:p w:rsidR="008C2F11" w:rsidRPr="00265F6E" w:rsidRDefault="008C2F11">
            <w:pPr>
              <w:pStyle w:val="BodyRuller"/>
              <w:rPr>
                <w:sz w:val="24"/>
                <w:szCs w:val="24"/>
              </w:rPr>
            </w:pPr>
            <w:r w:rsidRPr="00265F6E">
              <w:rPr>
                <w:sz w:val="24"/>
                <w:szCs w:val="24"/>
                <w:rtl/>
              </w:rPr>
              <w:t>תאריך הישיבה:</w:t>
            </w:r>
          </w:p>
        </w:tc>
        <w:tc>
          <w:tcPr>
            <w:tcW w:w="2409" w:type="dxa"/>
            <w:tcBorders>
              <w:top w:val="nil"/>
              <w:left w:val="nil"/>
              <w:bottom w:val="nil"/>
              <w:right w:val="nil"/>
            </w:tcBorders>
          </w:tcPr>
          <w:p w:rsidR="008C2F11" w:rsidRDefault="00FE09AC">
            <w:pPr>
              <w:pStyle w:val="BodyRuller"/>
              <w:rPr>
                <w:rtl/>
              </w:rPr>
            </w:pPr>
            <w:r>
              <w:rPr>
                <w:sz w:val="24"/>
                <w:szCs w:val="24"/>
                <w:rtl/>
              </w:rPr>
              <w:t xml:space="preserve">כ"ד בתשרי </w:t>
            </w:r>
            <w:proofErr w:type="spellStart"/>
            <w:r>
              <w:rPr>
                <w:sz w:val="24"/>
                <w:szCs w:val="24"/>
                <w:rtl/>
              </w:rPr>
              <w:t>התשפ"ב</w:t>
            </w:r>
            <w:proofErr w:type="spellEnd"/>
            <w:r w:rsidR="008C2F11">
              <w:t xml:space="preserve">       </w:t>
            </w:r>
          </w:p>
        </w:tc>
        <w:tc>
          <w:tcPr>
            <w:tcW w:w="2694" w:type="dxa"/>
            <w:tcBorders>
              <w:top w:val="nil"/>
              <w:left w:val="nil"/>
              <w:bottom w:val="nil"/>
              <w:right w:val="nil"/>
            </w:tcBorders>
          </w:tcPr>
          <w:p w:rsidR="008C2F11" w:rsidRDefault="00FE09AC">
            <w:pPr>
              <w:pStyle w:val="BodyRuller"/>
              <w:rPr>
                <w:sz w:val="24"/>
                <w:szCs w:val="24"/>
                <w:rtl/>
              </w:rPr>
            </w:pPr>
            <w:r>
              <w:t>(30.09.2021)</w:t>
            </w:r>
            <w:r w:rsidR="00200D6B">
              <w:t xml:space="preserve"> </w:t>
            </w:r>
          </w:p>
        </w:tc>
      </w:tr>
    </w:tbl>
    <w:p w:rsidR="00916FF8" w:rsidRDefault="00916FF8">
      <w:pPr>
        <w:pStyle w:val="Ruller3"/>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7"/>
        <w:gridCol w:w="5146"/>
      </w:tblGrid>
      <w:tr w:rsidR="00036227" w:rsidTr="00D00B1D">
        <w:tc>
          <w:tcPr>
            <w:tcW w:w="3257" w:type="dxa"/>
            <w:tcBorders>
              <w:top w:val="nil"/>
              <w:left w:val="nil"/>
              <w:bottom w:val="nil"/>
              <w:right w:val="nil"/>
            </w:tcBorders>
          </w:tcPr>
          <w:p w:rsidR="00036227" w:rsidRDefault="00FE09AC">
            <w:pPr>
              <w:pStyle w:val="BodyRuller"/>
            </w:pPr>
            <w:r>
              <w:rPr>
                <w:rtl/>
              </w:rPr>
              <w:t>בשם המערער</w:t>
            </w:r>
            <w:r w:rsidR="004C4958">
              <w:rPr>
                <w:rFonts w:hint="cs"/>
                <w:rtl/>
              </w:rPr>
              <w:t>ים</w:t>
            </w:r>
            <w:r>
              <w:rPr>
                <w:rtl/>
              </w:rPr>
              <w:t>:</w:t>
            </w:r>
          </w:p>
        </w:tc>
        <w:tc>
          <w:tcPr>
            <w:tcW w:w="5238" w:type="dxa"/>
            <w:tcBorders>
              <w:top w:val="nil"/>
              <w:left w:val="nil"/>
              <w:bottom w:val="nil"/>
              <w:right w:val="nil"/>
            </w:tcBorders>
          </w:tcPr>
          <w:p w:rsidR="00036227" w:rsidRDefault="00FE09AC" w:rsidP="004C4958">
            <w:pPr>
              <w:pStyle w:val="BodyRuller"/>
            </w:pPr>
            <w:r>
              <w:rPr>
                <w:rtl/>
              </w:rPr>
              <w:t xml:space="preserve">עו"ד </w:t>
            </w:r>
            <w:r w:rsidR="004C4958">
              <w:rPr>
                <w:rFonts w:hint="cs"/>
                <w:rtl/>
              </w:rPr>
              <w:t xml:space="preserve">עמנואל </w:t>
            </w:r>
            <w:proofErr w:type="spellStart"/>
            <w:r w:rsidR="004C4958">
              <w:rPr>
                <w:rFonts w:hint="cs"/>
                <w:rtl/>
              </w:rPr>
              <w:t>לינדר</w:t>
            </w:r>
            <w:proofErr w:type="spellEnd"/>
          </w:p>
        </w:tc>
      </w:tr>
    </w:tbl>
    <w:p w:rsidR="00916FF8" w:rsidRDefault="00916FF8">
      <w:pPr>
        <w:pStyle w:val="Ruller3"/>
      </w:pPr>
    </w:p>
    <w:tbl>
      <w:tblPr>
        <w:bidiVisual/>
        <w:tblW w:w="836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5"/>
        <w:gridCol w:w="5148"/>
      </w:tblGrid>
      <w:tr w:rsidR="00036227" w:rsidTr="00D00B1D">
        <w:tc>
          <w:tcPr>
            <w:tcW w:w="3257" w:type="dxa"/>
            <w:tcBorders>
              <w:top w:val="nil"/>
              <w:left w:val="nil"/>
              <w:bottom w:val="nil"/>
              <w:right w:val="nil"/>
            </w:tcBorders>
          </w:tcPr>
          <w:p w:rsidR="00036227" w:rsidRDefault="00FE09AC">
            <w:pPr>
              <w:pStyle w:val="BodyRuller"/>
            </w:pPr>
            <w:r>
              <w:rPr>
                <w:rtl/>
              </w:rPr>
              <w:t>בשם המשיב</w:t>
            </w:r>
            <w:r w:rsidR="004C4958">
              <w:rPr>
                <w:rFonts w:hint="cs"/>
                <w:rtl/>
              </w:rPr>
              <w:t>ות</w:t>
            </w:r>
            <w:r>
              <w:rPr>
                <w:rtl/>
              </w:rPr>
              <w:t>:</w:t>
            </w:r>
          </w:p>
        </w:tc>
        <w:tc>
          <w:tcPr>
            <w:tcW w:w="5238" w:type="dxa"/>
            <w:tcBorders>
              <w:top w:val="nil"/>
              <w:left w:val="nil"/>
              <w:bottom w:val="nil"/>
              <w:right w:val="nil"/>
            </w:tcBorders>
          </w:tcPr>
          <w:p w:rsidR="004C4958" w:rsidRDefault="00FE09AC" w:rsidP="004C4958">
            <w:pPr>
              <w:pStyle w:val="BodyRuller"/>
              <w:rPr>
                <w:rtl/>
              </w:rPr>
            </w:pPr>
            <w:r>
              <w:rPr>
                <w:rtl/>
              </w:rPr>
              <w:t xml:space="preserve">עו"ד </w:t>
            </w:r>
            <w:r w:rsidR="004C4958">
              <w:rPr>
                <w:rFonts w:hint="cs"/>
                <w:rtl/>
              </w:rPr>
              <w:t xml:space="preserve">מאיר </w:t>
            </w:r>
            <w:r>
              <w:rPr>
                <w:rtl/>
              </w:rPr>
              <w:t>מזרחי</w:t>
            </w:r>
            <w:r w:rsidR="004C4958">
              <w:rPr>
                <w:rFonts w:hint="cs"/>
                <w:rtl/>
              </w:rPr>
              <w:t xml:space="preserve">; עו"ד טלי יהושוע; </w:t>
            </w:r>
          </w:p>
          <w:p w:rsidR="00036227" w:rsidRDefault="004C4958" w:rsidP="004C4958">
            <w:pPr>
              <w:pStyle w:val="BodyRuller"/>
              <w:rPr>
                <w:rtl/>
              </w:rPr>
            </w:pPr>
            <w:r>
              <w:rPr>
                <w:rFonts w:hint="cs"/>
                <w:rtl/>
              </w:rPr>
              <w:t>עו"ד עדי קימל</w:t>
            </w:r>
          </w:p>
        </w:tc>
      </w:tr>
    </w:tbl>
    <w:p w:rsidR="00916FF8" w:rsidRDefault="00916FF8">
      <w:pPr>
        <w:tabs>
          <w:tab w:val="left" w:pos="2552"/>
        </w:tabs>
      </w:pPr>
    </w:p>
    <w:tbl>
      <w:tblPr>
        <w:bidiVisual/>
        <w:tblW w:w="8363" w:type="dxa"/>
        <w:tblLook w:val="0000" w:firstRow="0" w:lastRow="0" w:firstColumn="0" w:lastColumn="0" w:noHBand="0" w:noVBand="0"/>
      </w:tblPr>
      <w:tblGrid>
        <w:gridCol w:w="8363"/>
      </w:tblGrid>
      <w:tr w:rsidR="00036227" w:rsidTr="00D00B1D">
        <w:tc>
          <w:tcPr>
            <w:tcW w:w="9837" w:type="dxa"/>
          </w:tcPr>
          <w:p w:rsidR="00916FF8" w:rsidRDefault="00A5027A">
            <w:pPr>
              <w:pStyle w:val="DocumentHead"/>
            </w:pPr>
            <w:bookmarkStart w:id="1" w:name="secretary"/>
            <w:bookmarkStart w:id="2" w:name="BeginProtocol"/>
            <w:bookmarkEnd w:id="1"/>
            <w:bookmarkEnd w:id="2"/>
            <w:r>
              <w:rPr>
                <w:rFonts w:hint="cs"/>
                <w:rtl/>
              </w:rPr>
              <w:t>פסק -דין</w:t>
            </w:r>
          </w:p>
        </w:tc>
      </w:tr>
    </w:tbl>
    <w:p w:rsidR="0065522F" w:rsidRDefault="0065522F">
      <w:pPr>
        <w:pStyle w:val="BODYVERDICT"/>
        <w:rPr>
          <w:rtl/>
        </w:rPr>
      </w:pPr>
    </w:p>
    <w:p w:rsidR="00EC0E24" w:rsidRDefault="00EC0E24">
      <w:pPr>
        <w:pStyle w:val="BODYVERDICT"/>
        <w:rPr>
          <w:rFonts w:cs="Miriam"/>
          <w:sz w:val="24"/>
          <w:szCs w:val="24"/>
          <w:u w:val="single"/>
          <w:rtl/>
        </w:rPr>
      </w:pPr>
      <w:bookmarkStart w:id="3" w:name="Writer_Name"/>
      <w:bookmarkEnd w:id="3"/>
    </w:p>
    <w:p w:rsidR="00916FF8" w:rsidRDefault="00FE09AC">
      <w:pPr>
        <w:pStyle w:val="BODYVERDICT"/>
        <w:rPr>
          <w:rFonts w:cs="Miriam"/>
          <w:sz w:val="24"/>
          <w:szCs w:val="24"/>
          <w:u w:val="single"/>
          <w:rtl/>
        </w:rPr>
      </w:pPr>
      <w:r>
        <w:rPr>
          <w:rFonts w:cs="Miriam"/>
          <w:sz w:val="24"/>
          <w:szCs w:val="24"/>
          <w:u w:val="single"/>
          <w:rtl/>
        </w:rPr>
        <w:t>השופטת י' וילנר:</w:t>
      </w:r>
    </w:p>
    <w:p w:rsidR="000D081B" w:rsidRDefault="000D081B">
      <w:pPr>
        <w:pStyle w:val="BODYVERDICT"/>
        <w:rPr>
          <w:rFonts w:cs="Miriam"/>
          <w:sz w:val="24"/>
          <w:szCs w:val="24"/>
          <w:u w:val="single"/>
          <w:rtl/>
        </w:rPr>
      </w:pPr>
    </w:p>
    <w:p w:rsidR="00A14F89" w:rsidRDefault="00A14F89" w:rsidP="00A14F89">
      <w:pPr>
        <w:pStyle w:val="BODYVERDICT"/>
        <w:rPr>
          <w:rFonts w:cs="Miriam"/>
          <w:sz w:val="24"/>
          <w:szCs w:val="24"/>
          <w:u w:val="single"/>
          <w:rtl/>
        </w:rPr>
      </w:pPr>
    </w:p>
    <w:p w:rsidR="00A14F89" w:rsidRDefault="00A14F89" w:rsidP="00A14F89">
      <w:pPr>
        <w:pStyle w:val="Ruller41"/>
        <w:rPr>
          <w:rFonts w:ascii="Century" w:hAnsi="Century"/>
          <w:rtl/>
        </w:rPr>
      </w:pPr>
      <w:r>
        <w:rPr>
          <w:rFonts w:ascii="Century" w:hAnsi="Century" w:hint="cs"/>
          <w:rtl/>
        </w:rPr>
        <w:t>1.</w:t>
      </w:r>
      <w:r>
        <w:rPr>
          <w:rFonts w:ascii="Century" w:hAnsi="Century" w:hint="cs"/>
          <w:rtl/>
        </w:rPr>
        <w:tab/>
        <w:t xml:space="preserve">השאלה העקרונית בה יש להכריע במסגרת הערעורים שלפנינו היא אם יש לכלול במסגרת הסכום שעליו מוטל מס רכישה בגין רכישת זכות במקרקעין את </w:t>
      </w:r>
      <w:r w:rsidRPr="00432EBF">
        <w:rPr>
          <w:rFonts w:ascii="Century" w:hAnsi="Century" w:cs="Miriam" w:hint="cs"/>
          <w:b/>
          <w:spacing w:val="0"/>
          <w:szCs w:val="24"/>
          <w:rtl/>
        </w:rPr>
        <w:t>הוצאות הפיתוח</w:t>
      </w:r>
      <w:r w:rsidRPr="00432EBF">
        <w:rPr>
          <w:rFonts w:ascii="Century" w:hAnsi="Century" w:hint="cs"/>
          <w:rtl/>
        </w:rPr>
        <w:t xml:space="preserve"> </w:t>
      </w:r>
      <w:r>
        <w:rPr>
          <w:rFonts w:ascii="Century" w:hAnsi="Century" w:hint="cs"/>
          <w:rtl/>
        </w:rPr>
        <w:lastRenderedPageBreak/>
        <w:t>של המקרקעין הנדונים, כאשר הרוכש מתחייב לשאת בהן</w:t>
      </w:r>
      <w:r w:rsidRPr="00432EBF">
        <w:rPr>
          <w:rFonts w:ascii="Century" w:hAnsi="Century" w:hint="cs"/>
          <w:rtl/>
        </w:rPr>
        <w:t xml:space="preserve"> </w:t>
      </w:r>
      <w:r>
        <w:rPr>
          <w:rFonts w:ascii="Century" w:hAnsi="Century" w:hint="cs"/>
          <w:rtl/>
        </w:rPr>
        <w:t xml:space="preserve">במסגרת ההסכמית שנכרתה בין הצדדים. </w:t>
      </w:r>
    </w:p>
    <w:p w:rsidR="00A14F89" w:rsidRPr="00535D81" w:rsidRDefault="00A14F89" w:rsidP="00A14F89">
      <w:pPr>
        <w:pStyle w:val="Ruller41"/>
        <w:rPr>
          <w:rFonts w:ascii="Century" w:hAnsi="Century" w:cs="Miriam"/>
          <w:b/>
          <w:spacing w:val="0"/>
          <w:szCs w:val="24"/>
          <w:rtl/>
        </w:rPr>
      </w:pPr>
    </w:p>
    <w:p w:rsidR="00A14F89" w:rsidRDefault="00A14F89" w:rsidP="00A14F89">
      <w:pPr>
        <w:pStyle w:val="Ruller41"/>
        <w:rPr>
          <w:rFonts w:ascii="Century" w:hAnsi="Century"/>
          <w:rtl/>
        </w:rPr>
      </w:pPr>
      <w:r>
        <w:rPr>
          <w:rFonts w:ascii="Century" w:hAnsi="Century" w:hint="cs"/>
          <w:rtl/>
        </w:rPr>
        <w:t>2.</w:t>
      </w:r>
      <w:r>
        <w:rPr>
          <w:rFonts w:ascii="Century" w:hAnsi="Century"/>
          <w:rtl/>
        </w:rPr>
        <w:tab/>
      </w:r>
      <w:r>
        <w:rPr>
          <w:rFonts w:ascii="Century" w:hAnsi="Century" w:hint="cs"/>
          <w:rtl/>
        </w:rPr>
        <w:t>שני ערעורים על שני פסקי דין של ועדות הערר לפי חוק מיסוי מקרקעין (שבח ורכישה) התשכ"ג-1963</w:t>
      </w:r>
      <w:r>
        <w:rPr>
          <w:rFonts w:ascii="Century" w:hAnsi="Century"/>
        </w:rPr>
        <w:t xml:space="preserve"> </w:t>
      </w:r>
      <w:r>
        <w:rPr>
          <w:rFonts w:ascii="Century" w:hAnsi="Century" w:hint="cs"/>
          <w:rtl/>
        </w:rPr>
        <w:t xml:space="preserve">שליד בית המשפט המחוזי בחיפה (להלן: </w:t>
      </w:r>
      <w:r w:rsidRPr="007F2927">
        <w:rPr>
          <w:rFonts w:ascii="Miriam" w:hAnsi="Miriam" w:cs="Miriam" w:hint="cs"/>
          <w:sz w:val="21"/>
          <w:szCs w:val="24"/>
          <w:rtl/>
        </w:rPr>
        <w:t>ועדות הערר</w:t>
      </w:r>
      <w:r>
        <w:rPr>
          <w:rFonts w:ascii="Century" w:hAnsi="Century" w:hint="cs"/>
          <w:rtl/>
        </w:rPr>
        <w:t xml:space="preserve">). ע"א 6404/19 מופנה כלפי פסק הדין </w:t>
      </w:r>
      <w:proofErr w:type="spellStart"/>
      <w:r>
        <w:rPr>
          <w:rFonts w:ascii="Century" w:hAnsi="Century" w:hint="cs"/>
          <w:rtl/>
        </w:rPr>
        <w:t>בו"ע</w:t>
      </w:r>
      <w:proofErr w:type="spellEnd"/>
      <w:r>
        <w:rPr>
          <w:rFonts w:ascii="Century" w:hAnsi="Century" w:hint="cs"/>
          <w:rtl/>
        </w:rPr>
        <w:t xml:space="preserve"> 44686-07-16 (כב' סגן הנשיא </w:t>
      </w:r>
      <w:r w:rsidRPr="00D25E15">
        <w:rPr>
          <w:rFonts w:ascii="Century" w:hAnsi="Century" w:cs="Miriam" w:hint="cs"/>
          <w:b/>
          <w:spacing w:val="0"/>
          <w:szCs w:val="24"/>
          <w:rtl/>
        </w:rPr>
        <w:t xml:space="preserve">ר' </w:t>
      </w:r>
      <w:proofErr w:type="spellStart"/>
      <w:r w:rsidRPr="00D25E15">
        <w:rPr>
          <w:rFonts w:ascii="Century" w:hAnsi="Century" w:cs="Miriam" w:hint="cs"/>
          <w:b/>
          <w:spacing w:val="0"/>
          <w:szCs w:val="24"/>
          <w:rtl/>
        </w:rPr>
        <w:t>סוקול</w:t>
      </w:r>
      <w:proofErr w:type="spellEnd"/>
      <w:r>
        <w:rPr>
          <w:rFonts w:ascii="Century" w:hAnsi="Century" w:hint="cs"/>
          <w:rtl/>
        </w:rPr>
        <w:t xml:space="preserve">, עו"ד </w:t>
      </w:r>
      <w:r w:rsidRPr="00D25E15">
        <w:rPr>
          <w:rFonts w:ascii="Century" w:hAnsi="Century" w:cs="Miriam" w:hint="cs"/>
          <w:b/>
          <w:spacing w:val="0"/>
          <w:szCs w:val="24"/>
          <w:rtl/>
        </w:rPr>
        <w:t>ח' שטרן</w:t>
      </w:r>
      <w:r w:rsidRPr="00D25E15">
        <w:rPr>
          <w:rFonts w:ascii="Century" w:hAnsi="Century" w:hint="cs"/>
          <w:rtl/>
        </w:rPr>
        <w:t xml:space="preserve"> </w:t>
      </w:r>
      <w:r>
        <w:rPr>
          <w:rFonts w:ascii="Century" w:hAnsi="Century" w:hint="cs"/>
          <w:rtl/>
        </w:rPr>
        <w:t xml:space="preserve">ועו"ד </w:t>
      </w:r>
      <w:r w:rsidRPr="00D25E15">
        <w:rPr>
          <w:rFonts w:ascii="Century" w:hAnsi="Century" w:cs="Miriam" w:hint="cs"/>
          <w:b/>
          <w:spacing w:val="0"/>
          <w:szCs w:val="24"/>
          <w:rtl/>
        </w:rPr>
        <w:t>נ' מולכו</w:t>
      </w:r>
      <w:r>
        <w:rPr>
          <w:rFonts w:ascii="Century" w:hAnsi="Century" w:hint="cs"/>
          <w:rtl/>
        </w:rPr>
        <w:t xml:space="preserve">) מיום 10.6.2019; ואילו ע"א 4504/20 מופנה כלפי פסק הדין </w:t>
      </w:r>
      <w:proofErr w:type="spellStart"/>
      <w:r>
        <w:rPr>
          <w:rFonts w:ascii="Century" w:hAnsi="Century" w:hint="cs"/>
          <w:rtl/>
        </w:rPr>
        <w:t>בו"ע</w:t>
      </w:r>
      <w:proofErr w:type="spellEnd"/>
      <w:r>
        <w:rPr>
          <w:rFonts w:ascii="Century" w:hAnsi="Century" w:hint="cs"/>
          <w:rtl/>
        </w:rPr>
        <w:t xml:space="preserve"> 61323-08-18 (כב' השופטת </w:t>
      </w:r>
      <w:r w:rsidRPr="00D25E15">
        <w:rPr>
          <w:rFonts w:ascii="Century" w:hAnsi="Century" w:cs="Miriam" w:hint="cs"/>
          <w:b/>
          <w:spacing w:val="0"/>
          <w:szCs w:val="24"/>
          <w:rtl/>
        </w:rPr>
        <w:t xml:space="preserve">א' </w:t>
      </w:r>
      <w:proofErr w:type="spellStart"/>
      <w:r w:rsidRPr="00D25E15">
        <w:rPr>
          <w:rFonts w:ascii="Century" w:hAnsi="Century" w:cs="Miriam" w:hint="cs"/>
          <w:b/>
          <w:spacing w:val="0"/>
          <w:szCs w:val="24"/>
          <w:rtl/>
        </w:rPr>
        <w:t>וינשטיין</w:t>
      </w:r>
      <w:proofErr w:type="spellEnd"/>
      <w:r>
        <w:rPr>
          <w:rFonts w:ascii="Century" w:hAnsi="Century" w:hint="cs"/>
          <w:rtl/>
        </w:rPr>
        <w:t xml:space="preserve">, עו"ד </w:t>
      </w:r>
      <w:r w:rsidRPr="00D25E15">
        <w:rPr>
          <w:rFonts w:ascii="Century" w:hAnsi="Century" w:cs="Miriam" w:hint="cs"/>
          <w:b/>
          <w:spacing w:val="0"/>
          <w:szCs w:val="24"/>
          <w:rtl/>
        </w:rPr>
        <w:t>א' סימון</w:t>
      </w:r>
      <w:r w:rsidRPr="00D25E15">
        <w:rPr>
          <w:rFonts w:ascii="Century" w:hAnsi="Century" w:hint="cs"/>
          <w:rtl/>
        </w:rPr>
        <w:t xml:space="preserve"> </w:t>
      </w:r>
      <w:r>
        <w:rPr>
          <w:rFonts w:ascii="Century" w:hAnsi="Century" w:hint="cs"/>
          <w:rtl/>
        </w:rPr>
        <w:t xml:space="preserve">ועו"ד </w:t>
      </w:r>
      <w:r w:rsidRPr="00D25E15">
        <w:rPr>
          <w:rFonts w:ascii="Century" w:hAnsi="Century" w:cs="Miriam" w:hint="cs"/>
          <w:b/>
          <w:spacing w:val="0"/>
          <w:szCs w:val="24"/>
          <w:rtl/>
        </w:rPr>
        <w:t>ח' שטרן</w:t>
      </w:r>
      <w:r>
        <w:rPr>
          <w:rFonts w:ascii="Century" w:hAnsi="Century" w:hint="cs"/>
          <w:rtl/>
        </w:rPr>
        <w:t xml:space="preserve">) מיום  5.5.2020. בפסקי הדין מושא הערעורים בוטלו שומות מס שהשיתו מנהל מיסוי מקרקעין בחיפה ומנהל מיסוי מקרקעין בחדרה (להלן ביחד: </w:t>
      </w:r>
      <w:r w:rsidRPr="004A3B23">
        <w:rPr>
          <w:rFonts w:ascii="Century" w:hAnsi="Century" w:cs="Miriam" w:hint="cs"/>
          <w:b/>
          <w:spacing w:val="0"/>
          <w:szCs w:val="24"/>
          <w:rtl/>
        </w:rPr>
        <w:t>המערער</w:t>
      </w:r>
      <w:r>
        <w:rPr>
          <w:rFonts w:ascii="Century" w:hAnsi="Century" w:hint="cs"/>
          <w:rtl/>
        </w:rPr>
        <w:t xml:space="preserve">) על המשיבות. </w:t>
      </w:r>
    </w:p>
    <w:p w:rsidR="00A14F89" w:rsidRDefault="00A14F89" w:rsidP="00A14F89">
      <w:pPr>
        <w:pStyle w:val="Ruller41"/>
        <w:rPr>
          <w:rtl/>
        </w:rPr>
      </w:pPr>
    </w:p>
    <w:p w:rsidR="00A14F89" w:rsidRPr="00535D81" w:rsidRDefault="00A14F89" w:rsidP="00A14F89">
      <w:pPr>
        <w:pStyle w:val="Ruller41"/>
        <w:rPr>
          <w:rFonts w:ascii="Century" w:hAnsi="Century" w:cs="Miriam"/>
          <w:b/>
          <w:spacing w:val="0"/>
          <w:szCs w:val="24"/>
          <w:rtl/>
        </w:rPr>
      </w:pPr>
      <w:r>
        <w:rPr>
          <w:rFonts w:ascii="Century" w:hAnsi="Century" w:cs="Miriam" w:hint="cs"/>
          <w:b/>
          <w:spacing w:val="0"/>
          <w:szCs w:val="24"/>
          <w:rtl/>
        </w:rPr>
        <w:t xml:space="preserve">(1) </w:t>
      </w:r>
      <w:r w:rsidRPr="00535D81">
        <w:rPr>
          <w:rFonts w:ascii="Century" w:hAnsi="Century" w:cs="Miriam" w:hint="cs"/>
          <w:b/>
          <w:spacing w:val="0"/>
          <w:szCs w:val="24"/>
          <w:rtl/>
        </w:rPr>
        <w:t>ע"א 6404/19 מנהל מיסוי מקרקעין חיפה נ' אמרלד בניין ופיתוח בע"מ</w:t>
      </w:r>
      <w:r>
        <w:rPr>
          <w:rFonts w:ascii="Century" w:hAnsi="Century" w:cs="Miriam" w:hint="cs"/>
          <w:b/>
          <w:spacing w:val="0"/>
          <w:szCs w:val="24"/>
          <w:rtl/>
        </w:rPr>
        <w:t xml:space="preserve"> (להלן: עניין אמרלד)</w:t>
      </w:r>
    </w:p>
    <w:p w:rsidR="00A14F89" w:rsidRDefault="00A14F89" w:rsidP="00A14F89">
      <w:pPr>
        <w:pStyle w:val="Ruller41"/>
        <w:rPr>
          <w:rFonts w:ascii="Century" w:hAnsi="Century" w:cs="Miriam"/>
          <w:b/>
          <w:spacing w:val="0"/>
          <w:szCs w:val="24"/>
          <w:rtl/>
        </w:rPr>
      </w:pPr>
    </w:p>
    <w:p w:rsidR="00A14F89" w:rsidRDefault="00A14F89" w:rsidP="00A14F89">
      <w:pPr>
        <w:pStyle w:val="Ruller41"/>
        <w:rPr>
          <w:rFonts w:ascii="Century" w:hAnsi="Century" w:cs="Miriam"/>
          <w:b/>
          <w:spacing w:val="0"/>
          <w:szCs w:val="24"/>
          <w:rtl/>
        </w:rPr>
      </w:pPr>
      <w:r>
        <w:rPr>
          <w:rFonts w:ascii="Century" w:hAnsi="Century" w:cs="Miriam" w:hint="cs"/>
          <w:b/>
          <w:spacing w:val="0"/>
          <w:szCs w:val="24"/>
          <w:rtl/>
        </w:rPr>
        <w:t>רקע עובדתי</w:t>
      </w:r>
    </w:p>
    <w:p w:rsidR="00A14F89" w:rsidRPr="00DE5492" w:rsidRDefault="00A14F89" w:rsidP="00A14F89">
      <w:pPr>
        <w:pStyle w:val="Ruller41"/>
        <w:rPr>
          <w:rFonts w:ascii="Century" w:hAnsi="Century" w:cs="Miriam"/>
          <w:b/>
          <w:spacing w:val="0"/>
          <w:szCs w:val="24"/>
          <w:rtl/>
        </w:rPr>
      </w:pPr>
    </w:p>
    <w:p w:rsidR="00A14F89" w:rsidRPr="00DE5492" w:rsidRDefault="00A14F89" w:rsidP="00A14F89">
      <w:pPr>
        <w:pStyle w:val="Ruller41"/>
        <w:rPr>
          <w:rFonts w:ascii="Century" w:hAnsi="Century"/>
          <w:rtl/>
        </w:rPr>
      </w:pPr>
      <w:r>
        <w:rPr>
          <w:rFonts w:ascii="Century" w:hAnsi="Century" w:hint="cs"/>
          <w:rtl/>
        </w:rPr>
        <w:t>3.</w:t>
      </w:r>
      <w:r w:rsidRPr="00DE5492">
        <w:rPr>
          <w:rFonts w:ascii="Century" w:hAnsi="Century"/>
          <w:rtl/>
        </w:rPr>
        <w:tab/>
      </w:r>
      <w:r>
        <w:rPr>
          <w:rFonts w:ascii="Century" w:hAnsi="Century" w:hint="cs"/>
          <w:rtl/>
        </w:rPr>
        <w:t xml:space="preserve">בחודש פברואר 2015 פורסם על-ידי </w:t>
      </w:r>
      <w:r w:rsidRPr="00DE5492">
        <w:rPr>
          <w:rFonts w:ascii="Century" w:hAnsi="Century" w:hint="cs"/>
          <w:rtl/>
        </w:rPr>
        <w:t>רשות מקרקעי ישראל</w:t>
      </w:r>
      <w:r>
        <w:rPr>
          <w:rFonts w:ascii="Century" w:hAnsi="Century" w:hint="cs"/>
          <w:rtl/>
        </w:rPr>
        <w:t xml:space="preserve"> (להלן: </w:t>
      </w:r>
      <w:proofErr w:type="spellStart"/>
      <w:r w:rsidRPr="00B279F3">
        <w:rPr>
          <w:rFonts w:ascii="Century" w:hAnsi="Century" w:cs="Miriam" w:hint="cs"/>
          <w:b/>
          <w:spacing w:val="0"/>
          <w:szCs w:val="24"/>
          <w:rtl/>
        </w:rPr>
        <w:t>רמ"י</w:t>
      </w:r>
      <w:proofErr w:type="spellEnd"/>
      <w:r>
        <w:rPr>
          <w:rFonts w:ascii="Century" w:hAnsi="Century" w:hint="cs"/>
          <w:rtl/>
        </w:rPr>
        <w:t>)</w:t>
      </w:r>
      <w:r w:rsidRPr="00DE5492">
        <w:rPr>
          <w:rFonts w:ascii="Century" w:hAnsi="Century" w:hint="cs"/>
          <w:rtl/>
        </w:rPr>
        <w:t xml:space="preserve"> מכרז להחכרת שני מתחמים לבניה בעפולה, המיועדים לבניה של 470 יחידות </w:t>
      </w:r>
      <w:r>
        <w:rPr>
          <w:rFonts w:ascii="Century" w:hAnsi="Century" w:hint="cs"/>
          <w:rtl/>
        </w:rPr>
        <w:t>דיור</w:t>
      </w:r>
      <w:r w:rsidRPr="00DE5492">
        <w:rPr>
          <w:rFonts w:ascii="Century" w:hAnsi="Century" w:hint="cs"/>
          <w:rtl/>
        </w:rPr>
        <w:t>.</w:t>
      </w:r>
      <w:r>
        <w:rPr>
          <w:rFonts w:ascii="Century" w:hAnsi="Century" w:hint="cs"/>
          <w:rtl/>
        </w:rPr>
        <w:t xml:space="preserve"> חברת דונה להנדסת בניין בע"מ (להלן: </w:t>
      </w:r>
      <w:r w:rsidRPr="00B279F3">
        <w:rPr>
          <w:rFonts w:ascii="Century" w:hAnsi="Century" w:cs="Miriam" w:hint="cs"/>
          <w:b/>
          <w:spacing w:val="0"/>
          <w:szCs w:val="24"/>
          <w:rtl/>
        </w:rPr>
        <w:t>דונה</w:t>
      </w:r>
      <w:r>
        <w:rPr>
          <w:rFonts w:ascii="Century" w:hAnsi="Century" w:hint="cs"/>
          <w:rtl/>
        </w:rPr>
        <w:t>) זכתה בחכירת הזכויות במתחם א',</w:t>
      </w:r>
      <w:r w:rsidRPr="00DE5492">
        <w:rPr>
          <w:rFonts w:ascii="Century" w:hAnsi="Century" w:hint="cs"/>
          <w:rtl/>
        </w:rPr>
        <w:t xml:space="preserve"> </w:t>
      </w:r>
      <w:r>
        <w:rPr>
          <w:rFonts w:ascii="Century" w:hAnsi="Century" w:hint="cs"/>
          <w:rtl/>
        </w:rPr>
        <w:t>ו</w:t>
      </w:r>
      <w:r w:rsidRPr="00DE5492">
        <w:rPr>
          <w:rFonts w:ascii="Century" w:hAnsi="Century" w:hint="cs"/>
          <w:rtl/>
        </w:rPr>
        <w:t>חברת אבני דרך</w:t>
      </w:r>
      <w:r>
        <w:rPr>
          <w:rFonts w:ascii="Century" w:hAnsi="Century" w:hint="cs"/>
          <w:rtl/>
        </w:rPr>
        <w:t xml:space="preserve"> י.י. בע"מ (להלן: </w:t>
      </w:r>
      <w:r w:rsidRPr="00B279F3">
        <w:rPr>
          <w:rFonts w:ascii="Century" w:hAnsi="Century" w:cs="Miriam" w:hint="cs"/>
          <w:b/>
          <w:spacing w:val="0"/>
          <w:szCs w:val="24"/>
          <w:rtl/>
        </w:rPr>
        <w:t>אבני דרך</w:t>
      </w:r>
      <w:r>
        <w:rPr>
          <w:rFonts w:ascii="Century" w:hAnsi="Century" w:hint="cs"/>
          <w:rtl/>
        </w:rPr>
        <w:t>) זכתה בחכירת הזכויות במתחם ב'.</w:t>
      </w:r>
      <w:r w:rsidRPr="00DE5492">
        <w:rPr>
          <w:rFonts w:ascii="Century" w:hAnsi="Century" w:hint="cs"/>
          <w:rtl/>
        </w:rPr>
        <w:t xml:space="preserve"> </w:t>
      </w:r>
      <w:r>
        <w:rPr>
          <w:rFonts w:ascii="Century" w:hAnsi="Century" w:hint="cs"/>
          <w:rtl/>
        </w:rPr>
        <w:t xml:space="preserve">במסגרת הסכם החכירה, הוסכם כי החוכר חייב לשאת בכל הוצאות הפיתוח של המתחם בו זכה. </w:t>
      </w:r>
    </w:p>
    <w:p w:rsidR="00A14F89" w:rsidRPr="00DE5492" w:rsidRDefault="00A14F89" w:rsidP="00A14F89">
      <w:pPr>
        <w:pStyle w:val="Ruller41"/>
        <w:rPr>
          <w:rFonts w:ascii="Century" w:hAnsi="Century"/>
          <w:rtl/>
        </w:rPr>
      </w:pPr>
    </w:p>
    <w:p w:rsidR="00A14F89" w:rsidRDefault="00A14F89" w:rsidP="00A14F89">
      <w:pPr>
        <w:pStyle w:val="Ruller41"/>
        <w:rPr>
          <w:rFonts w:ascii="Century" w:hAnsi="Century"/>
          <w:rtl/>
        </w:rPr>
      </w:pPr>
      <w:r>
        <w:rPr>
          <w:rFonts w:ascii="Century" w:hAnsi="Century" w:hint="cs"/>
          <w:rtl/>
        </w:rPr>
        <w:t>4.</w:t>
      </w:r>
      <w:r>
        <w:rPr>
          <w:rFonts w:ascii="Century" w:hAnsi="Century"/>
          <w:rtl/>
        </w:rPr>
        <w:tab/>
      </w:r>
      <w:r>
        <w:rPr>
          <w:rFonts w:ascii="Century" w:hAnsi="Century" w:hint="cs"/>
          <w:rtl/>
        </w:rPr>
        <w:t xml:space="preserve">בהתאם לתנאי המכרז שילמה דונה 3,118,118 </w:t>
      </w:r>
      <w:r>
        <w:rPr>
          <w:rFonts w:ascii="Century" w:hAnsi="Century" w:hint="eastAsia"/>
          <w:rtl/>
        </w:rPr>
        <w:t>ש"ח</w:t>
      </w:r>
      <w:r>
        <w:rPr>
          <w:rFonts w:ascii="Century" w:hAnsi="Century" w:hint="cs"/>
          <w:rtl/>
        </w:rPr>
        <w:t xml:space="preserve"> </w:t>
      </w:r>
      <w:proofErr w:type="spellStart"/>
      <w:r>
        <w:rPr>
          <w:rFonts w:ascii="Century" w:hAnsi="Century" w:hint="cs"/>
          <w:rtl/>
        </w:rPr>
        <w:t>לרמ"י</w:t>
      </w:r>
      <w:proofErr w:type="spellEnd"/>
      <w:r>
        <w:rPr>
          <w:rFonts w:ascii="Century" w:hAnsi="Century" w:hint="cs"/>
          <w:rtl/>
        </w:rPr>
        <w:t xml:space="preserve">, וכן התחייבה לשלם </w:t>
      </w:r>
      <w:proofErr w:type="spellStart"/>
      <w:r w:rsidRPr="00604B2D">
        <w:rPr>
          <w:rFonts w:ascii="Century" w:hAnsi="Century" w:hint="eastAsia"/>
          <w:rtl/>
        </w:rPr>
        <w:t>ל</w:t>
      </w:r>
      <w:r>
        <w:rPr>
          <w:rFonts w:ascii="Century" w:hAnsi="Century" w:hint="cs"/>
          <w:rtl/>
        </w:rPr>
        <w:t>רמ"י</w:t>
      </w:r>
      <w:proofErr w:type="spellEnd"/>
      <w:r>
        <w:rPr>
          <w:rFonts w:ascii="Century" w:hAnsi="Century" w:hint="cs"/>
          <w:rtl/>
        </w:rPr>
        <w:t xml:space="preserve"> 22,166,428 </w:t>
      </w:r>
      <w:r>
        <w:rPr>
          <w:rFonts w:ascii="Century" w:hAnsi="Century" w:hint="eastAsia"/>
          <w:rtl/>
        </w:rPr>
        <w:t>ש"ח</w:t>
      </w:r>
      <w:r>
        <w:rPr>
          <w:rFonts w:ascii="Century" w:hAnsi="Century" w:hint="cs"/>
          <w:rtl/>
        </w:rPr>
        <w:t xml:space="preserve"> בעבור הוצאות פיתוח עתידיות שיבוצעו במתחם א'. אבני דרך שילמה </w:t>
      </w:r>
      <w:proofErr w:type="spellStart"/>
      <w:r>
        <w:rPr>
          <w:rFonts w:ascii="Century" w:hAnsi="Century" w:hint="cs"/>
          <w:rtl/>
        </w:rPr>
        <w:t>לרמ"י</w:t>
      </w:r>
      <w:proofErr w:type="spellEnd"/>
      <w:r>
        <w:rPr>
          <w:rFonts w:ascii="Century" w:hAnsi="Century" w:hint="cs"/>
          <w:rtl/>
        </w:rPr>
        <w:t xml:space="preserve"> 945,180 ש"ח עבור הזכויות במגרש וכן התחייבה לשלם </w:t>
      </w:r>
      <w:r w:rsidRPr="00DE5492">
        <w:rPr>
          <w:rFonts w:ascii="Century" w:hAnsi="Century" w:hint="cs"/>
          <w:rtl/>
        </w:rPr>
        <w:t xml:space="preserve">23,141,487 </w:t>
      </w:r>
      <w:r>
        <w:rPr>
          <w:rFonts w:ascii="Century" w:hAnsi="Century" w:hint="cs"/>
          <w:rtl/>
        </w:rPr>
        <w:t xml:space="preserve">ש"ח בעבור הוצאות </w:t>
      </w:r>
      <w:r w:rsidRPr="00DE5492">
        <w:rPr>
          <w:rFonts w:ascii="Century" w:hAnsi="Century" w:hint="cs"/>
          <w:rtl/>
        </w:rPr>
        <w:t>פיתוח</w:t>
      </w:r>
      <w:r>
        <w:rPr>
          <w:rFonts w:ascii="Century" w:hAnsi="Century" w:hint="cs"/>
          <w:rtl/>
        </w:rPr>
        <w:t xml:space="preserve"> במתחם ב'. </w:t>
      </w:r>
    </w:p>
    <w:p w:rsidR="00A14F89" w:rsidRDefault="00A14F89" w:rsidP="00A14F89">
      <w:pPr>
        <w:pStyle w:val="Ruller41"/>
        <w:rPr>
          <w:rFonts w:ascii="Century" w:hAnsi="Century"/>
          <w:rtl/>
        </w:rPr>
      </w:pPr>
      <w:r>
        <w:rPr>
          <w:rFonts w:ascii="Century" w:hAnsi="Century"/>
          <w:rtl/>
        </w:rPr>
        <w:tab/>
      </w:r>
    </w:p>
    <w:p w:rsidR="00A14F89" w:rsidRDefault="00A14F89" w:rsidP="00A14F89">
      <w:pPr>
        <w:pStyle w:val="Ruller41"/>
        <w:rPr>
          <w:rFonts w:ascii="Century" w:hAnsi="Century"/>
          <w:rtl/>
        </w:rPr>
      </w:pPr>
      <w:r>
        <w:rPr>
          <w:rFonts w:ascii="Century" w:hAnsi="Century" w:hint="cs"/>
          <w:rtl/>
        </w:rPr>
        <w:t>5.</w:t>
      </w:r>
      <w:r>
        <w:rPr>
          <w:rFonts w:ascii="Century" w:hAnsi="Century"/>
          <w:rtl/>
        </w:rPr>
        <w:tab/>
      </w:r>
      <w:r>
        <w:rPr>
          <w:rFonts w:ascii="Century" w:hAnsi="Century" w:hint="cs"/>
          <w:rtl/>
        </w:rPr>
        <w:t xml:space="preserve">שתי החברות שילמו מס רכישה רק בעבור הסכום שהעבירה כל אחת מהן </w:t>
      </w:r>
      <w:proofErr w:type="spellStart"/>
      <w:r>
        <w:rPr>
          <w:rFonts w:ascii="Century" w:hAnsi="Century" w:hint="cs"/>
          <w:rtl/>
        </w:rPr>
        <w:t>לרמ"י</w:t>
      </w:r>
      <w:proofErr w:type="spellEnd"/>
      <w:r>
        <w:rPr>
          <w:rFonts w:ascii="Century" w:hAnsi="Century" w:hint="cs"/>
          <w:rtl/>
        </w:rPr>
        <w:t xml:space="preserve"> בגין רכישת הזכויות במגרש, מבלי לכלול בסכום האמור את הוצאות הפיתוח שהתחייבו לשלם</w:t>
      </w:r>
      <w:r w:rsidRPr="00DE67DF">
        <w:rPr>
          <w:rFonts w:ascii="Century" w:hAnsi="Century" w:hint="cs"/>
          <w:rtl/>
        </w:rPr>
        <w:t>.</w:t>
      </w:r>
      <w:r w:rsidRPr="00DE67DF">
        <w:rPr>
          <w:rFonts w:ascii="Century" w:hAnsi="Century"/>
          <w:rtl/>
        </w:rPr>
        <w:t xml:space="preserve"> </w:t>
      </w:r>
    </w:p>
    <w:p w:rsidR="00A14F89" w:rsidRDefault="00A14F89" w:rsidP="00A14F89">
      <w:pPr>
        <w:pStyle w:val="Ruller41"/>
        <w:rPr>
          <w:rFonts w:ascii="Century" w:hAnsi="Century"/>
          <w:rtl/>
        </w:rPr>
      </w:pPr>
    </w:p>
    <w:p w:rsidR="00A14F89" w:rsidRDefault="00A14F89" w:rsidP="00A14F89">
      <w:pPr>
        <w:pStyle w:val="Ruller41"/>
        <w:rPr>
          <w:rFonts w:ascii="Century" w:hAnsi="Century"/>
          <w:rtl/>
        </w:rPr>
      </w:pPr>
      <w:r>
        <w:rPr>
          <w:rFonts w:ascii="Century" w:hAnsi="Century" w:hint="cs"/>
          <w:rtl/>
        </w:rPr>
        <w:t>6.</w:t>
      </w:r>
      <w:r>
        <w:rPr>
          <w:rFonts w:ascii="Century" w:hAnsi="Century"/>
          <w:rtl/>
        </w:rPr>
        <w:tab/>
      </w:r>
      <w:r>
        <w:rPr>
          <w:rFonts w:ascii="Century" w:hAnsi="Century" w:hint="cs"/>
          <w:rtl/>
        </w:rPr>
        <w:t>בחודש יוני 2015</w:t>
      </w:r>
      <w:r w:rsidRPr="00DD36AD">
        <w:rPr>
          <w:rFonts w:ascii="Century" w:hAnsi="Century" w:hint="cs"/>
          <w:rtl/>
        </w:rPr>
        <w:t xml:space="preserve"> נערך ונחתם בין</w:t>
      </w:r>
      <w:r>
        <w:rPr>
          <w:rFonts w:ascii="Century" w:hAnsi="Century" w:hint="cs"/>
          <w:rtl/>
        </w:rPr>
        <w:t xml:space="preserve"> המשיבה בע"א 6404/19,</w:t>
      </w:r>
      <w:r w:rsidRPr="00DD36AD">
        <w:rPr>
          <w:rFonts w:ascii="Century" w:hAnsi="Century" w:hint="cs"/>
          <w:rtl/>
        </w:rPr>
        <w:t xml:space="preserve"> אמרלד בניין ופיתוח בע"מ (להלן: </w:t>
      </w:r>
      <w:r w:rsidRPr="00DD36AD">
        <w:rPr>
          <w:rFonts w:ascii="Century" w:hAnsi="Century" w:cs="Miriam" w:hint="cs"/>
          <w:b/>
          <w:spacing w:val="0"/>
          <w:szCs w:val="24"/>
          <w:rtl/>
        </w:rPr>
        <w:t>אמרלד</w:t>
      </w:r>
      <w:r w:rsidRPr="00DD36AD">
        <w:rPr>
          <w:rFonts w:ascii="Century" w:hAnsi="Century" w:hint="cs"/>
          <w:rtl/>
        </w:rPr>
        <w:t>)</w:t>
      </w:r>
      <w:r>
        <w:rPr>
          <w:rFonts w:ascii="Century" w:hAnsi="Century" w:hint="cs"/>
          <w:rtl/>
        </w:rPr>
        <w:t>,</w:t>
      </w:r>
      <w:r w:rsidRPr="00DD36AD">
        <w:rPr>
          <w:rFonts w:ascii="Century" w:hAnsi="Century" w:hint="cs"/>
          <w:rtl/>
        </w:rPr>
        <w:t xml:space="preserve"> לבין אבני דרך הסכם אופציה, </w:t>
      </w:r>
      <w:r>
        <w:rPr>
          <w:rFonts w:ascii="Century" w:hAnsi="Century" w:hint="cs"/>
          <w:rtl/>
        </w:rPr>
        <w:t>ש</w:t>
      </w:r>
      <w:r w:rsidRPr="00DD36AD">
        <w:rPr>
          <w:rFonts w:ascii="Century" w:hAnsi="Century" w:hint="cs"/>
          <w:rtl/>
        </w:rPr>
        <w:t>לפיו הוענקה לאמרלד אופציה לקנות את זכויותיה של אבני דרך</w:t>
      </w:r>
      <w:r>
        <w:rPr>
          <w:rFonts w:ascii="Century" w:hAnsi="Century" w:hint="cs"/>
          <w:rtl/>
        </w:rPr>
        <w:t xml:space="preserve"> בחלק ממתחם ב' (מגרשים 212-208 ו-216; להלן בחלק זה: </w:t>
      </w:r>
      <w:r w:rsidRPr="007A18EB">
        <w:rPr>
          <w:rFonts w:ascii="Century" w:hAnsi="Century" w:cs="Miriam" w:hint="cs"/>
          <w:b/>
          <w:spacing w:val="0"/>
          <w:szCs w:val="24"/>
          <w:rtl/>
        </w:rPr>
        <w:t>המקרקעין</w:t>
      </w:r>
      <w:r>
        <w:rPr>
          <w:rFonts w:ascii="Century" w:hAnsi="Century" w:hint="cs"/>
          <w:rtl/>
        </w:rPr>
        <w:t>), אשר יועד לבניית</w:t>
      </w:r>
      <w:r w:rsidRPr="00DD36AD">
        <w:rPr>
          <w:rFonts w:ascii="Century" w:hAnsi="Century" w:hint="cs"/>
          <w:rtl/>
        </w:rPr>
        <w:t xml:space="preserve"> 134 יחידות דיור. </w:t>
      </w:r>
    </w:p>
    <w:p w:rsidR="00A14F89" w:rsidRDefault="00A14F89" w:rsidP="00A14F89">
      <w:pPr>
        <w:pStyle w:val="Ruller41"/>
        <w:rPr>
          <w:rFonts w:ascii="Century" w:hAnsi="Century"/>
          <w:rtl/>
        </w:rPr>
      </w:pPr>
    </w:p>
    <w:p w:rsidR="00A14F89" w:rsidRDefault="00A14F89" w:rsidP="00A14F89">
      <w:pPr>
        <w:pStyle w:val="Ruller41"/>
        <w:rPr>
          <w:rFonts w:ascii="Century" w:hAnsi="Century"/>
          <w:rtl/>
        </w:rPr>
      </w:pPr>
      <w:r>
        <w:rPr>
          <w:rFonts w:ascii="Century" w:hAnsi="Century"/>
          <w:rtl/>
        </w:rPr>
        <w:tab/>
      </w:r>
      <w:r w:rsidRPr="00DD36AD">
        <w:rPr>
          <w:rFonts w:ascii="Century" w:hAnsi="Century" w:hint="cs"/>
          <w:rtl/>
        </w:rPr>
        <w:t xml:space="preserve">בהסכם האופציה נקבע כי לאמרלד ניתנת הזכות לממש את האופציה ולרכוש את המקרקעין </w:t>
      </w:r>
      <w:r>
        <w:rPr>
          <w:rFonts w:ascii="Century" w:hAnsi="Century" w:hint="cs"/>
          <w:rtl/>
        </w:rPr>
        <w:t xml:space="preserve">עד ליום 15.7.2015, ונקבע כי אם תמומש האופציה, יעמוד מחיר הרכישה על סך של 3,521,969 ש"ח ה"מורכב מצירוף סך של 447,225 ש"ח (חלק יחסי מסכום הזכייה במנהל), בתוספת הצמדה על סכום זה מיום הזכייה ... ועד לתשלום המנהל של סכום זה ובתוספת רווח בסך של 3,074,744 ש"ח, ללא הצמדה ... והכל בתוספת מע"מ כחוק" (סעיף 2(א) להסכם האופציה). </w:t>
      </w:r>
      <w:r w:rsidRPr="00DD36AD">
        <w:rPr>
          <w:rFonts w:ascii="Century" w:hAnsi="Century" w:hint="cs"/>
          <w:rtl/>
        </w:rPr>
        <w:t xml:space="preserve">עוד נקבע </w:t>
      </w:r>
      <w:r>
        <w:rPr>
          <w:rFonts w:ascii="Century" w:hAnsi="Century" w:hint="cs"/>
          <w:rtl/>
        </w:rPr>
        <w:t xml:space="preserve">בהסכם האופציה </w:t>
      </w:r>
      <w:r w:rsidRPr="00DD36AD">
        <w:rPr>
          <w:rFonts w:ascii="Century" w:hAnsi="Century" w:hint="cs"/>
          <w:rtl/>
        </w:rPr>
        <w:t xml:space="preserve">כי אמרלד תשלם </w:t>
      </w:r>
      <w:r w:rsidRPr="004C0A3E">
        <w:rPr>
          <w:rFonts w:ascii="Century" w:hAnsi="Century" w:cs="Miriam" w:hint="cs"/>
          <w:b/>
          <w:spacing w:val="0"/>
          <w:szCs w:val="24"/>
          <w:rtl/>
        </w:rPr>
        <w:t>הוצאות</w:t>
      </w:r>
      <w:r w:rsidRPr="004C0A3E">
        <w:rPr>
          <w:rFonts w:ascii="Century" w:hAnsi="Century" w:hint="cs"/>
          <w:rtl/>
        </w:rPr>
        <w:t xml:space="preserve"> </w:t>
      </w:r>
      <w:r w:rsidRPr="004C0A3E">
        <w:rPr>
          <w:rFonts w:ascii="Century" w:hAnsi="Century" w:cs="Miriam" w:hint="cs"/>
          <w:b/>
          <w:spacing w:val="0"/>
          <w:szCs w:val="24"/>
          <w:rtl/>
        </w:rPr>
        <w:t>פיתוח</w:t>
      </w:r>
      <w:r w:rsidRPr="004C0A3E">
        <w:rPr>
          <w:rFonts w:ascii="Century" w:hAnsi="Century" w:hint="cs"/>
          <w:rtl/>
        </w:rPr>
        <w:t xml:space="preserve"> </w:t>
      </w:r>
      <w:r w:rsidRPr="00DD36AD">
        <w:rPr>
          <w:rFonts w:ascii="Century" w:hAnsi="Century" w:hint="cs"/>
          <w:rtl/>
        </w:rPr>
        <w:t xml:space="preserve">בעבור החלק היחסי של </w:t>
      </w:r>
      <w:r>
        <w:rPr>
          <w:rFonts w:ascii="Century" w:hAnsi="Century" w:hint="cs"/>
          <w:rtl/>
        </w:rPr>
        <w:t xml:space="preserve">הזכויות של </w:t>
      </w:r>
      <w:r w:rsidRPr="00DD36AD">
        <w:rPr>
          <w:rFonts w:ascii="Century" w:hAnsi="Century" w:hint="cs"/>
          <w:rtl/>
        </w:rPr>
        <w:t xml:space="preserve">יחידות הדיור שרכשה בסך של 12,920,663 </w:t>
      </w:r>
      <w:r w:rsidRPr="00DD36AD">
        <w:rPr>
          <w:rFonts w:ascii="Century" w:hAnsi="Century" w:hint="eastAsia"/>
          <w:rtl/>
        </w:rPr>
        <w:t>ש"ח</w:t>
      </w:r>
      <w:r>
        <w:rPr>
          <w:rFonts w:ascii="Century" w:hAnsi="Century" w:hint="cs"/>
          <w:rtl/>
        </w:rPr>
        <w:t xml:space="preserve">. לבסוף נקבע כי תמורת האופציה תשלם </w:t>
      </w:r>
      <w:r w:rsidRPr="008C2AC8">
        <w:rPr>
          <w:rFonts w:ascii="Century" w:hAnsi="Century" w:hint="cs"/>
          <w:rtl/>
        </w:rPr>
        <w:t xml:space="preserve">אמרלד סך של 175,098 ש"ח וכן סך של 646,033 ש"ח בגין השתתפות בעלויות פיתוח, </w:t>
      </w:r>
      <w:r w:rsidRPr="009724D9">
        <w:rPr>
          <w:rFonts w:ascii="Century" w:hAnsi="Century" w:hint="eastAsia"/>
          <w:rtl/>
        </w:rPr>
        <w:t>וכי</w:t>
      </w:r>
      <w:r w:rsidRPr="009724D9">
        <w:rPr>
          <w:rFonts w:ascii="Century" w:hAnsi="Century"/>
          <w:rtl/>
        </w:rPr>
        <w:t xml:space="preserve"> </w:t>
      </w:r>
      <w:r w:rsidRPr="009724D9">
        <w:rPr>
          <w:rFonts w:ascii="Century" w:hAnsi="Century" w:hint="eastAsia"/>
          <w:rtl/>
        </w:rPr>
        <w:t>תשלומים</w:t>
      </w:r>
      <w:r w:rsidRPr="009724D9">
        <w:rPr>
          <w:rFonts w:ascii="Century" w:hAnsi="Century"/>
          <w:rtl/>
        </w:rPr>
        <w:t xml:space="preserve"> </w:t>
      </w:r>
      <w:r w:rsidRPr="009724D9">
        <w:rPr>
          <w:rFonts w:ascii="Century" w:hAnsi="Century" w:hint="eastAsia"/>
          <w:rtl/>
        </w:rPr>
        <w:t>אלו</w:t>
      </w:r>
      <w:r w:rsidRPr="009724D9">
        <w:rPr>
          <w:rFonts w:ascii="Century" w:hAnsi="Century"/>
          <w:rtl/>
        </w:rPr>
        <w:t xml:space="preserve"> </w:t>
      </w:r>
      <w:r w:rsidRPr="009724D9">
        <w:rPr>
          <w:rFonts w:ascii="Century" w:hAnsi="Century" w:hint="eastAsia"/>
          <w:rtl/>
        </w:rPr>
        <w:t>ישולמו</w:t>
      </w:r>
      <w:r w:rsidRPr="009724D9">
        <w:rPr>
          <w:rFonts w:ascii="Century" w:hAnsi="Century"/>
          <w:rtl/>
        </w:rPr>
        <w:t xml:space="preserve"> </w:t>
      </w:r>
      <w:r w:rsidRPr="009724D9">
        <w:rPr>
          <w:rFonts w:ascii="Century" w:hAnsi="Century" w:hint="eastAsia"/>
          <w:rtl/>
        </w:rPr>
        <w:t>ישירות</w:t>
      </w:r>
      <w:r w:rsidRPr="009724D9">
        <w:rPr>
          <w:rFonts w:ascii="Century" w:hAnsi="Century"/>
          <w:rtl/>
        </w:rPr>
        <w:t xml:space="preserve"> </w:t>
      </w:r>
      <w:proofErr w:type="spellStart"/>
      <w:r w:rsidRPr="009724D9">
        <w:rPr>
          <w:rFonts w:ascii="Century" w:hAnsi="Century" w:hint="eastAsia"/>
          <w:rtl/>
        </w:rPr>
        <w:t>לרמ</w:t>
      </w:r>
      <w:r w:rsidRPr="009724D9">
        <w:rPr>
          <w:rFonts w:ascii="Century" w:hAnsi="Century"/>
          <w:rtl/>
        </w:rPr>
        <w:t>"</w:t>
      </w:r>
      <w:r w:rsidRPr="009724D9">
        <w:rPr>
          <w:rFonts w:ascii="Century" w:hAnsi="Century" w:hint="eastAsia"/>
          <w:rtl/>
        </w:rPr>
        <w:t>י</w:t>
      </w:r>
      <w:proofErr w:type="spellEnd"/>
      <w:r w:rsidRPr="008C2AC8">
        <w:rPr>
          <w:rFonts w:ascii="Century" w:hAnsi="Century" w:hint="cs"/>
          <w:rtl/>
        </w:rPr>
        <w:t xml:space="preserve"> ב</w:t>
      </w:r>
      <w:r w:rsidRPr="008C2AC8">
        <w:rPr>
          <w:rFonts w:ascii="Century" w:hAnsi="Century" w:hint="eastAsia"/>
          <w:rtl/>
        </w:rPr>
        <w:t>אמצעות</w:t>
      </w:r>
      <w:r w:rsidRPr="008C2AC8">
        <w:rPr>
          <w:rFonts w:ascii="Century" w:hAnsi="Century"/>
          <w:rtl/>
        </w:rPr>
        <w:t xml:space="preserve"> </w:t>
      </w:r>
      <w:r w:rsidRPr="008C2AC8">
        <w:rPr>
          <w:rFonts w:ascii="Century" w:hAnsi="Century" w:hint="eastAsia"/>
          <w:rtl/>
        </w:rPr>
        <w:t>נאמן</w:t>
      </w:r>
      <w:r w:rsidRPr="008C2AC8">
        <w:rPr>
          <w:rFonts w:ascii="Century" w:hAnsi="Century"/>
          <w:rtl/>
        </w:rPr>
        <w:t xml:space="preserve"> </w:t>
      </w:r>
      <w:r w:rsidRPr="008C2AC8">
        <w:rPr>
          <w:rFonts w:ascii="Century" w:hAnsi="Century" w:hint="eastAsia"/>
          <w:rtl/>
        </w:rPr>
        <w:t>משותף</w:t>
      </w:r>
      <w:r w:rsidRPr="008C2AC8">
        <w:rPr>
          <w:rFonts w:ascii="Century" w:hAnsi="Century"/>
          <w:rtl/>
        </w:rPr>
        <w:t xml:space="preserve"> </w:t>
      </w:r>
      <w:r w:rsidRPr="008C2AC8">
        <w:rPr>
          <w:rFonts w:ascii="Century" w:hAnsi="Century" w:hint="eastAsia"/>
          <w:rtl/>
        </w:rPr>
        <w:t>של</w:t>
      </w:r>
      <w:r w:rsidRPr="008C2AC8">
        <w:rPr>
          <w:rFonts w:ascii="Century" w:hAnsi="Century"/>
          <w:rtl/>
        </w:rPr>
        <w:t xml:space="preserve"> </w:t>
      </w:r>
      <w:r w:rsidRPr="008C2AC8">
        <w:rPr>
          <w:rFonts w:ascii="Century" w:hAnsi="Century" w:hint="eastAsia"/>
          <w:rtl/>
        </w:rPr>
        <w:t>אמרלד</w:t>
      </w:r>
      <w:r w:rsidRPr="008C2AC8">
        <w:rPr>
          <w:rFonts w:ascii="Century" w:hAnsi="Century"/>
          <w:rtl/>
        </w:rPr>
        <w:t xml:space="preserve"> </w:t>
      </w:r>
      <w:r w:rsidRPr="008C2AC8">
        <w:rPr>
          <w:rFonts w:ascii="Century" w:hAnsi="Century" w:hint="eastAsia"/>
          <w:rtl/>
        </w:rPr>
        <w:t>ואבני</w:t>
      </w:r>
      <w:r w:rsidRPr="008C2AC8">
        <w:rPr>
          <w:rFonts w:ascii="Century" w:hAnsi="Century"/>
          <w:rtl/>
        </w:rPr>
        <w:t xml:space="preserve"> </w:t>
      </w:r>
      <w:r w:rsidRPr="008C2AC8">
        <w:rPr>
          <w:rFonts w:ascii="Century" w:hAnsi="Century" w:hint="eastAsia"/>
          <w:rtl/>
        </w:rPr>
        <w:t>דרך</w:t>
      </w:r>
      <w:r w:rsidRPr="008C2AC8">
        <w:rPr>
          <w:rFonts w:ascii="Century" w:hAnsi="Century"/>
          <w:rtl/>
        </w:rPr>
        <w:t>.</w:t>
      </w:r>
    </w:p>
    <w:p w:rsidR="00A14F89" w:rsidRDefault="00A14F89" w:rsidP="00A14F89">
      <w:pPr>
        <w:pStyle w:val="Ruller41"/>
        <w:rPr>
          <w:rFonts w:ascii="Century" w:hAnsi="Century"/>
          <w:rtl/>
        </w:rPr>
      </w:pPr>
    </w:p>
    <w:p w:rsidR="00A14F89" w:rsidRDefault="00A14F89" w:rsidP="00A14F89">
      <w:pPr>
        <w:pStyle w:val="Ruller41"/>
        <w:rPr>
          <w:rFonts w:ascii="Century" w:hAnsi="Century"/>
          <w:rtl/>
        </w:rPr>
      </w:pPr>
      <w:r>
        <w:rPr>
          <w:rFonts w:ascii="Century" w:hAnsi="Century" w:hint="cs"/>
          <w:rtl/>
        </w:rPr>
        <w:t>7.</w:t>
      </w:r>
      <w:r>
        <w:rPr>
          <w:rFonts w:ascii="Century" w:hAnsi="Century"/>
          <w:rtl/>
        </w:rPr>
        <w:tab/>
      </w:r>
      <w:r>
        <w:rPr>
          <w:rFonts w:ascii="Century" w:hAnsi="Century" w:hint="cs"/>
          <w:rtl/>
        </w:rPr>
        <w:t>עוד בטרם הודיעה</w:t>
      </w:r>
      <w:r w:rsidRPr="00DD36AD">
        <w:rPr>
          <w:rFonts w:ascii="Century" w:hAnsi="Century" w:hint="cs"/>
          <w:rtl/>
        </w:rPr>
        <w:t xml:space="preserve"> על מימוש האופציה</w:t>
      </w:r>
      <w:r>
        <w:rPr>
          <w:rFonts w:ascii="Century" w:hAnsi="Century" w:hint="cs"/>
          <w:rtl/>
        </w:rPr>
        <w:t>,</w:t>
      </w:r>
      <w:r w:rsidRPr="00DD36AD">
        <w:rPr>
          <w:rFonts w:ascii="Century" w:hAnsi="Century" w:hint="cs"/>
          <w:rtl/>
        </w:rPr>
        <w:t xml:space="preserve"> </w:t>
      </w:r>
      <w:r>
        <w:rPr>
          <w:rFonts w:ascii="Century" w:hAnsi="Century" w:hint="cs"/>
          <w:rtl/>
        </w:rPr>
        <w:t>העבירה</w:t>
      </w:r>
      <w:r w:rsidRPr="00DD36AD">
        <w:rPr>
          <w:rFonts w:ascii="Century" w:hAnsi="Century" w:hint="cs"/>
          <w:rtl/>
        </w:rPr>
        <w:t xml:space="preserve"> אמרלד </w:t>
      </w:r>
      <w:r>
        <w:rPr>
          <w:rFonts w:ascii="Century" w:hAnsi="Century" w:hint="cs"/>
          <w:rtl/>
        </w:rPr>
        <w:t xml:space="preserve">לנאמן של הצדדים את מלוא סכום הרכישה של הזכויות ואת מלוא הסכום הצפוי לתשלום עבור הוצאות הפיתוח, בסך 13,441,868.81 ש"ח. </w:t>
      </w:r>
      <w:r w:rsidRPr="00A2321D">
        <w:rPr>
          <w:rFonts w:ascii="Century" w:hAnsi="Century" w:hint="cs"/>
          <w:rtl/>
        </w:rPr>
        <w:t xml:space="preserve">הנאמן העביר את התשלומים </w:t>
      </w:r>
      <w:proofErr w:type="spellStart"/>
      <w:r w:rsidRPr="00A2321D">
        <w:rPr>
          <w:rFonts w:ascii="Century" w:hAnsi="Century" w:hint="cs"/>
          <w:rtl/>
        </w:rPr>
        <w:t>לרמ"י</w:t>
      </w:r>
      <w:proofErr w:type="spellEnd"/>
      <w:r w:rsidRPr="00A2321D">
        <w:rPr>
          <w:rFonts w:ascii="Century" w:hAnsi="Century" w:hint="cs"/>
          <w:rtl/>
        </w:rPr>
        <w:t>.</w:t>
      </w:r>
      <w:r>
        <w:rPr>
          <w:rFonts w:ascii="Century" w:hAnsi="Century" w:hint="cs"/>
          <w:rtl/>
        </w:rPr>
        <w:t xml:space="preserve"> בהמשך לכך, </w:t>
      </w:r>
      <w:r w:rsidRPr="00DD36AD">
        <w:rPr>
          <w:rFonts w:ascii="Century" w:hAnsi="Century" w:hint="cs"/>
          <w:rtl/>
        </w:rPr>
        <w:t>ביום 28.6.2015 הודיעה אמרלד על מימוש האופציה והצדדים חתמו על הסכם מכר</w:t>
      </w:r>
      <w:r>
        <w:rPr>
          <w:rFonts w:ascii="Century" w:hAnsi="Century" w:hint="cs"/>
          <w:rtl/>
        </w:rPr>
        <w:t xml:space="preserve">, וביום 19.11.2015 העבירה אמרלד לאבני דרך סך של 3,074,444 ש"ח לכיסוי הרווח של אבני דרך בעסקה. כחודש לאחר מכן, התקבל אישור </w:t>
      </w:r>
      <w:proofErr w:type="spellStart"/>
      <w:r>
        <w:rPr>
          <w:rFonts w:ascii="Century" w:hAnsi="Century" w:hint="cs"/>
          <w:rtl/>
        </w:rPr>
        <w:t>מרמ"י</w:t>
      </w:r>
      <w:proofErr w:type="spellEnd"/>
      <w:r>
        <w:rPr>
          <w:rFonts w:ascii="Century" w:hAnsi="Century" w:hint="cs"/>
          <w:rtl/>
        </w:rPr>
        <w:t xml:space="preserve"> כי אמרלד היא החוכרת בעלת מלוא הזכויות במקרקעין.</w:t>
      </w:r>
    </w:p>
    <w:p w:rsidR="00A14F89" w:rsidRDefault="00A14F89" w:rsidP="00A14F89">
      <w:pPr>
        <w:pStyle w:val="Ruller41"/>
        <w:rPr>
          <w:rFonts w:ascii="Century" w:hAnsi="Century"/>
          <w:rtl/>
        </w:rPr>
      </w:pPr>
    </w:p>
    <w:p w:rsidR="00A14F89" w:rsidRDefault="00A14F89" w:rsidP="00A14F89">
      <w:pPr>
        <w:pStyle w:val="Ruller41"/>
        <w:rPr>
          <w:rFonts w:ascii="Century" w:hAnsi="Century"/>
          <w:rtl/>
        </w:rPr>
      </w:pPr>
      <w:r>
        <w:rPr>
          <w:rFonts w:ascii="Century" w:hAnsi="Century"/>
          <w:rtl/>
        </w:rPr>
        <w:tab/>
      </w:r>
      <w:r w:rsidRPr="009724D9">
        <w:rPr>
          <w:rFonts w:ascii="Century" w:hAnsi="Century" w:hint="eastAsia"/>
          <w:rtl/>
        </w:rPr>
        <w:t>יוער</w:t>
      </w:r>
      <w:r w:rsidRPr="009724D9">
        <w:rPr>
          <w:rFonts w:ascii="Century" w:hAnsi="Century"/>
          <w:rtl/>
        </w:rPr>
        <w:t xml:space="preserve"> </w:t>
      </w:r>
      <w:r w:rsidRPr="009724D9">
        <w:rPr>
          <w:rFonts w:ascii="Century" w:hAnsi="Century" w:hint="eastAsia"/>
          <w:rtl/>
        </w:rPr>
        <w:t>כי</w:t>
      </w:r>
      <w:r w:rsidRPr="009724D9">
        <w:rPr>
          <w:rFonts w:ascii="Century" w:hAnsi="Century"/>
          <w:rtl/>
        </w:rPr>
        <w:t xml:space="preserve"> </w:t>
      </w:r>
      <w:r w:rsidRPr="009724D9">
        <w:rPr>
          <w:rFonts w:ascii="Century" w:hAnsi="Century" w:hint="eastAsia"/>
          <w:rtl/>
        </w:rPr>
        <w:t>בשלב</w:t>
      </w:r>
      <w:r w:rsidRPr="009724D9">
        <w:rPr>
          <w:rFonts w:ascii="Century" w:hAnsi="Century"/>
          <w:rtl/>
        </w:rPr>
        <w:t xml:space="preserve"> </w:t>
      </w:r>
      <w:r w:rsidRPr="009724D9">
        <w:rPr>
          <w:rFonts w:ascii="Century" w:hAnsi="Century" w:hint="eastAsia"/>
          <w:rtl/>
        </w:rPr>
        <w:t>זה</w:t>
      </w:r>
      <w:r w:rsidRPr="009724D9">
        <w:rPr>
          <w:rFonts w:ascii="Century" w:hAnsi="Century"/>
          <w:rtl/>
        </w:rPr>
        <w:t xml:space="preserve"> </w:t>
      </w:r>
      <w:r w:rsidRPr="009724D9">
        <w:rPr>
          <w:rFonts w:ascii="Century" w:hAnsi="Century" w:hint="eastAsia"/>
          <w:rtl/>
        </w:rPr>
        <w:t>טרם</w:t>
      </w:r>
      <w:r w:rsidRPr="009724D9">
        <w:rPr>
          <w:rFonts w:ascii="Century" w:hAnsi="Century"/>
          <w:rtl/>
        </w:rPr>
        <w:t xml:space="preserve"> </w:t>
      </w:r>
      <w:r w:rsidRPr="009724D9">
        <w:rPr>
          <w:rFonts w:ascii="Century" w:hAnsi="Century" w:hint="eastAsia"/>
          <w:rtl/>
        </w:rPr>
        <w:t>בוצעו</w:t>
      </w:r>
      <w:r w:rsidRPr="009724D9">
        <w:rPr>
          <w:rFonts w:ascii="Century" w:hAnsi="Century"/>
          <w:rtl/>
        </w:rPr>
        <w:t xml:space="preserve"> </w:t>
      </w:r>
      <w:r w:rsidRPr="009724D9">
        <w:rPr>
          <w:rFonts w:ascii="Century" w:hAnsi="Century" w:hint="eastAsia"/>
          <w:rtl/>
        </w:rPr>
        <w:t>כל</w:t>
      </w:r>
      <w:r w:rsidRPr="009724D9">
        <w:rPr>
          <w:rFonts w:ascii="Century" w:hAnsi="Century"/>
          <w:rtl/>
        </w:rPr>
        <w:t xml:space="preserve"> </w:t>
      </w:r>
      <w:r w:rsidRPr="009724D9">
        <w:rPr>
          <w:rFonts w:ascii="Century" w:hAnsi="Century" w:hint="eastAsia"/>
          <w:rtl/>
        </w:rPr>
        <w:t>עבודות</w:t>
      </w:r>
      <w:r w:rsidRPr="009724D9">
        <w:rPr>
          <w:rFonts w:ascii="Century" w:hAnsi="Century"/>
          <w:rtl/>
        </w:rPr>
        <w:t xml:space="preserve"> </w:t>
      </w:r>
      <w:r w:rsidRPr="009724D9">
        <w:rPr>
          <w:rFonts w:ascii="Century" w:hAnsi="Century" w:hint="eastAsia"/>
          <w:rtl/>
        </w:rPr>
        <w:t>פיתוח</w:t>
      </w:r>
      <w:r w:rsidRPr="009724D9">
        <w:rPr>
          <w:rFonts w:ascii="Century" w:hAnsi="Century"/>
          <w:rtl/>
        </w:rPr>
        <w:t xml:space="preserve"> </w:t>
      </w:r>
      <w:r w:rsidRPr="009724D9">
        <w:rPr>
          <w:rFonts w:ascii="Century" w:hAnsi="Century" w:hint="eastAsia"/>
          <w:rtl/>
        </w:rPr>
        <w:t>במקרקעין</w:t>
      </w:r>
      <w:r w:rsidRPr="009724D9">
        <w:rPr>
          <w:rFonts w:ascii="Century" w:hAnsi="Century"/>
          <w:rtl/>
        </w:rPr>
        <w:t>.</w:t>
      </w:r>
    </w:p>
    <w:p w:rsidR="00A14F89" w:rsidRDefault="00A14F89" w:rsidP="00A14F89">
      <w:pPr>
        <w:pStyle w:val="Ruller41"/>
        <w:rPr>
          <w:rFonts w:ascii="Century" w:hAnsi="Century"/>
          <w:rtl/>
        </w:rPr>
      </w:pPr>
    </w:p>
    <w:p w:rsidR="00A14F89" w:rsidRDefault="00A14F89" w:rsidP="00A14F89">
      <w:pPr>
        <w:pStyle w:val="Ruller41"/>
        <w:rPr>
          <w:rFonts w:ascii="Century" w:hAnsi="Century"/>
          <w:rtl/>
        </w:rPr>
      </w:pPr>
      <w:r>
        <w:rPr>
          <w:rFonts w:ascii="Century" w:hAnsi="Century" w:hint="cs"/>
          <w:rtl/>
        </w:rPr>
        <w:t>8.</w:t>
      </w:r>
      <w:r>
        <w:rPr>
          <w:rFonts w:ascii="Century" w:hAnsi="Century"/>
          <w:rtl/>
        </w:rPr>
        <w:tab/>
      </w:r>
      <w:r>
        <w:rPr>
          <w:rFonts w:ascii="Century" w:hAnsi="Century" w:hint="cs"/>
          <w:rtl/>
        </w:rPr>
        <w:t xml:space="preserve">בשים לב לאמור, </w:t>
      </w:r>
      <w:r w:rsidRPr="00DE67DF">
        <w:rPr>
          <w:rFonts w:ascii="Century" w:hAnsi="Century" w:hint="cs"/>
          <w:rtl/>
        </w:rPr>
        <w:t xml:space="preserve">אמרלד הגישה </w:t>
      </w:r>
      <w:r>
        <w:rPr>
          <w:rFonts w:ascii="Century" w:hAnsi="Century" w:hint="cs"/>
          <w:rtl/>
        </w:rPr>
        <w:t>למערער</w:t>
      </w:r>
      <w:r w:rsidRPr="00DE67DF">
        <w:rPr>
          <w:rFonts w:ascii="Century" w:hAnsi="Century" w:hint="cs"/>
          <w:rtl/>
        </w:rPr>
        <w:t xml:space="preserve"> </w:t>
      </w:r>
      <w:r>
        <w:rPr>
          <w:rFonts w:ascii="Century" w:hAnsi="Century" w:hint="cs"/>
          <w:rtl/>
        </w:rPr>
        <w:t xml:space="preserve">הצהרות על הסכם האופציה </w:t>
      </w:r>
      <w:r w:rsidRPr="00DE67DF">
        <w:rPr>
          <w:rFonts w:ascii="Century" w:hAnsi="Century" w:hint="cs"/>
          <w:rtl/>
        </w:rPr>
        <w:t xml:space="preserve">והסכם המכר, </w:t>
      </w:r>
      <w:r>
        <w:rPr>
          <w:rFonts w:ascii="Century" w:hAnsi="Century" w:hint="cs"/>
          <w:rtl/>
        </w:rPr>
        <w:t xml:space="preserve">במסגרתן היא לא כללה בשווי הרכישה את חלקה בתשלום </w:t>
      </w:r>
      <w:r w:rsidRPr="00DE67DF">
        <w:rPr>
          <w:rFonts w:ascii="Century" w:hAnsi="Century" w:hint="cs"/>
          <w:rtl/>
        </w:rPr>
        <w:t>הוצאות הפיתוח</w:t>
      </w:r>
      <w:r>
        <w:rPr>
          <w:rFonts w:ascii="Century" w:hAnsi="Century" w:hint="cs"/>
          <w:rtl/>
        </w:rPr>
        <w:t xml:space="preserve">, אלא אך את הסכום ששולם עבור רכישת הזכויות במקרקעין ועבור </w:t>
      </w:r>
      <w:r w:rsidRPr="002E6E44">
        <w:rPr>
          <w:rFonts w:ascii="Century" w:hAnsi="Century" w:hint="eastAsia"/>
          <w:rtl/>
        </w:rPr>
        <w:t>הרווח</w:t>
      </w:r>
      <w:r w:rsidRPr="002E6E44">
        <w:rPr>
          <w:rFonts w:ascii="Century" w:hAnsi="Century"/>
          <w:rtl/>
        </w:rPr>
        <w:t xml:space="preserve"> </w:t>
      </w:r>
      <w:r w:rsidRPr="002E6E44">
        <w:rPr>
          <w:rFonts w:ascii="Century" w:hAnsi="Century" w:hint="eastAsia"/>
          <w:rtl/>
        </w:rPr>
        <w:t>של</w:t>
      </w:r>
      <w:r w:rsidRPr="002E6E44">
        <w:rPr>
          <w:rFonts w:ascii="Century" w:hAnsi="Century"/>
          <w:rtl/>
        </w:rPr>
        <w:t xml:space="preserve"> </w:t>
      </w:r>
      <w:r w:rsidRPr="002E6E44">
        <w:rPr>
          <w:rFonts w:ascii="Century" w:hAnsi="Century" w:hint="eastAsia"/>
          <w:rtl/>
        </w:rPr>
        <w:t>אבני</w:t>
      </w:r>
      <w:r w:rsidRPr="002E6E44">
        <w:rPr>
          <w:rFonts w:ascii="Century" w:hAnsi="Century"/>
          <w:rtl/>
        </w:rPr>
        <w:t xml:space="preserve"> </w:t>
      </w:r>
      <w:r w:rsidRPr="002E6E44">
        <w:rPr>
          <w:rFonts w:ascii="Century" w:hAnsi="Century" w:hint="eastAsia"/>
          <w:rtl/>
        </w:rPr>
        <w:t>דרך</w:t>
      </w:r>
      <w:r w:rsidRPr="00DE67DF">
        <w:rPr>
          <w:rFonts w:ascii="Century" w:hAnsi="Century" w:hint="cs"/>
          <w:rtl/>
        </w:rPr>
        <w:t xml:space="preserve">. </w:t>
      </w:r>
    </w:p>
    <w:p w:rsidR="00A14F89" w:rsidRDefault="00A14F89" w:rsidP="00A14F89">
      <w:pPr>
        <w:pStyle w:val="Ruller41"/>
        <w:rPr>
          <w:rFonts w:ascii="Century" w:hAnsi="Century"/>
          <w:rtl/>
        </w:rPr>
      </w:pPr>
    </w:p>
    <w:p w:rsidR="00A14F89" w:rsidRDefault="00A14F89" w:rsidP="00A14F89">
      <w:pPr>
        <w:pStyle w:val="Ruller41"/>
        <w:rPr>
          <w:rFonts w:ascii="Century" w:hAnsi="Century"/>
          <w:rtl/>
        </w:rPr>
      </w:pPr>
      <w:r>
        <w:rPr>
          <w:rFonts w:ascii="Century" w:hAnsi="Century" w:hint="cs"/>
          <w:rtl/>
        </w:rPr>
        <w:t>9.</w:t>
      </w:r>
      <w:r>
        <w:rPr>
          <w:rFonts w:ascii="Century" w:hAnsi="Century" w:hint="cs"/>
          <w:rtl/>
        </w:rPr>
        <w:tab/>
        <w:t xml:space="preserve">המערער דחה את הצהרותיה של אמרלד, וקבע כי </w:t>
      </w:r>
      <w:r w:rsidRPr="00DE67DF">
        <w:rPr>
          <w:rFonts w:ascii="Century" w:hAnsi="Century" w:hint="cs"/>
          <w:rtl/>
        </w:rPr>
        <w:t xml:space="preserve">שווי הרכישה של המקרקעין כולל </w:t>
      </w:r>
      <w:r>
        <w:rPr>
          <w:rFonts w:ascii="Century" w:hAnsi="Century" w:hint="cs"/>
          <w:rtl/>
        </w:rPr>
        <w:t>את התשלום בעבור חלקה של אמרלד בהוצאות הפיתוח.</w:t>
      </w:r>
      <w:r w:rsidRPr="00EC2698">
        <w:rPr>
          <w:rFonts w:ascii="Century" w:hAnsi="Century" w:hint="cs"/>
          <w:rtl/>
        </w:rPr>
        <w:t xml:space="preserve"> </w:t>
      </w:r>
      <w:r>
        <w:rPr>
          <w:rFonts w:ascii="Century" w:hAnsi="Century" w:hint="cs"/>
          <w:rtl/>
        </w:rPr>
        <w:t xml:space="preserve">בהתאם, הוציא המערער לאמרלד שומת מס רכישה על הסך הכולל, בגדרה קבע את שווי הרכישה בסך של 16,889,857 ש"ח, ואמרלד נדרשה לשלם מס רכישה בסך של 1,025,978 ש"ח. זאת, בניגוד לשומות שהוצאו לאבני דרך </w:t>
      </w:r>
      <w:proofErr w:type="spellStart"/>
      <w:r>
        <w:rPr>
          <w:rFonts w:ascii="Century" w:hAnsi="Century" w:hint="cs"/>
          <w:rtl/>
        </w:rPr>
        <w:t>ולדונה</w:t>
      </w:r>
      <w:proofErr w:type="spellEnd"/>
      <w:r>
        <w:rPr>
          <w:rFonts w:ascii="Century" w:hAnsi="Century" w:hint="cs"/>
          <w:rtl/>
        </w:rPr>
        <w:t xml:space="preserve">, שבהן הוצאות הפיתוח </w:t>
      </w:r>
      <w:r w:rsidRPr="001444F7">
        <w:rPr>
          <w:rFonts w:ascii="Century" w:hAnsi="Century" w:cs="Miriam" w:hint="cs"/>
          <w:b/>
          <w:spacing w:val="0"/>
          <w:szCs w:val="24"/>
          <w:rtl/>
        </w:rPr>
        <w:t>לא</w:t>
      </w:r>
      <w:r>
        <w:rPr>
          <w:rFonts w:ascii="Century" w:hAnsi="Century" w:hint="cs"/>
          <w:rtl/>
        </w:rPr>
        <w:t xml:space="preserve"> נכללו בשווי המכירה. </w:t>
      </w:r>
    </w:p>
    <w:p w:rsidR="00A14F89" w:rsidRDefault="00A14F89" w:rsidP="00A14F89">
      <w:pPr>
        <w:pStyle w:val="Ruller41"/>
        <w:rPr>
          <w:rFonts w:ascii="Century" w:hAnsi="Century"/>
          <w:rtl/>
        </w:rPr>
      </w:pPr>
    </w:p>
    <w:p w:rsidR="00A14F89" w:rsidRDefault="00A14F89" w:rsidP="00A14F89">
      <w:pPr>
        <w:pStyle w:val="Ruller41"/>
        <w:rPr>
          <w:rFonts w:ascii="Century" w:hAnsi="Century"/>
          <w:rtl/>
        </w:rPr>
      </w:pPr>
      <w:r>
        <w:rPr>
          <w:rFonts w:ascii="Century" w:hAnsi="Century"/>
          <w:rtl/>
        </w:rPr>
        <w:tab/>
      </w:r>
      <w:r>
        <w:rPr>
          <w:rFonts w:ascii="Century" w:hAnsi="Century" w:hint="cs"/>
          <w:rtl/>
        </w:rPr>
        <w:t>אמרלד הגישה ערר לוועדת הערר על השומה שהוצאה לה.</w:t>
      </w:r>
    </w:p>
    <w:p w:rsidR="00A14F89" w:rsidRPr="00726581" w:rsidRDefault="00A14F89" w:rsidP="00A14F89">
      <w:pPr>
        <w:pStyle w:val="Ruller41"/>
        <w:rPr>
          <w:rFonts w:ascii="Century" w:hAnsi="Century" w:cs="Miriam"/>
          <w:b/>
          <w:spacing w:val="0"/>
          <w:szCs w:val="24"/>
          <w:rtl/>
        </w:rPr>
      </w:pPr>
      <w:r w:rsidRPr="00726581">
        <w:rPr>
          <w:rFonts w:ascii="Century" w:hAnsi="Century" w:cs="Miriam" w:hint="cs"/>
          <w:b/>
          <w:spacing w:val="0"/>
          <w:szCs w:val="24"/>
          <w:rtl/>
        </w:rPr>
        <w:lastRenderedPageBreak/>
        <w:t>פסק הדין של ועדת הערר</w:t>
      </w:r>
      <w:r>
        <w:rPr>
          <w:rFonts w:ascii="Century" w:hAnsi="Century" w:cs="Miriam" w:hint="cs"/>
          <w:b/>
          <w:spacing w:val="0"/>
          <w:szCs w:val="24"/>
          <w:rtl/>
        </w:rPr>
        <w:t xml:space="preserve"> בעניין אמרלד</w:t>
      </w:r>
    </w:p>
    <w:p w:rsidR="00A14F89" w:rsidRDefault="00A14F89" w:rsidP="00A14F89">
      <w:pPr>
        <w:pStyle w:val="Ruller41"/>
        <w:rPr>
          <w:rtl/>
        </w:rPr>
      </w:pPr>
    </w:p>
    <w:p w:rsidR="00A14F89" w:rsidRDefault="00A14F89" w:rsidP="00A14F89">
      <w:pPr>
        <w:pStyle w:val="Ruller41"/>
        <w:rPr>
          <w:rtl/>
        </w:rPr>
      </w:pPr>
      <w:r>
        <w:rPr>
          <w:rFonts w:hint="cs"/>
          <w:rtl/>
        </w:rPr>
        <w:t>10.</w:t>
      </w:r>
      <w:r>
        <w:rPr>
          <w:rFonts w:hint="cs"/>
          <w:rtl/>
        </w:rPr>
        <w:tab/>
        <w:t xml:space="preserve">כפי שצוין לעיל, ועדת הערר קיבלה את עררה של אמרלד, וקבעה כי היא אינה חייבת במס רכישה על התשלומים ששילמה לכיסוי הוצאות פיתוח שטרם בוצעו במועד חתימת הסכם המכר. </w:t>
      </w:r>
    </w:p>
    <w:p w:rsidR="00A14F89" w:rsidRDefault="00A14F89" w:rsidP="00A14F89">
      <w:pPr>
        <w:pStyle w:val="Ruller41"/>
        <w:rPr>
          <w:rtl/>
        </w:rPr>
      </w:pPr>
    </w:p>
    <w:p w:rsidR="00A14F89" w:rsidRDefault="00A14F89" w:rsidP="00A14F89">
      <w:pPr>
        <w:pStyle w:val="Ruller41"/>
        <w:rPr>
          <w:rtl/>
        </w:rPr>
      </w:pPr>
      <w:r>
        <w:rPr>
          <w:rFonts w:hint="cs"/>
          <w:rtl/>
        </w:rPr>
        <w:t>11.</w:t>
      </w:r>
      <w:r>
        <w:rPr>
          <w:rtl/>
        </w:rPr>
        <w:tab/>
      </w:r>
      <w:r>
        <w:rPr>
          <w:rFonts w:hint="cs"/>
          <w:rtl/>
        </w:rPr>
        <w:t xml:space="preserve">בפסק הדין צוין כי קיימת פסיקה ענפה העוסקת בשאלה האמורה, וכי ההכרעה בכל מקרה ומקרה צריכה להתקבל על-פי מכלול הנסיבות ופרטי העסקה הנדונה. עוד צוין כי בתי המשפט לא קבעו אמות מידה ברורות להבחנה בין עסקה לרכישת מקרקעין מפותחים לבין שתי עסקאות </w:t>
      </w:r>
      <w:r>
        <w:rPr>
          <w:rtl/>
        </w:rPr>
        <w:t>–</w:t>
      </w:r>
      <w:r>
        <w:rPr>
          <w:rFonts w:hint="cs"/>
          <w:rtl/>
        </w:rPr>
        <w:t xml:space="preserve"> האחת לרכישת מקרקעין שאינם מפותחים והשנייה לפיתוח המקרקעין. על רקע האמור, הוצעו בפסק הדין מספר שאלות משנה אשר יוכלו לסייע בהבחנה האמורה. כן נקבע כי עיון בהסכם האופציה ובהסכם המכר במקרה הנדון מעלה כי הצדדים הפרידו באופן ברור בין התשלומים לאבני דרך עבור הזכויות במקרקעין לבין התשלומים </w:t>
      </w:r>
      <w:proofErr w:type="spellStart"/>
      <w:r>
        <w:rPr>
          <w:rFonts w:hint="cs"/>
          <w:rtl/>
        </w:rPr>
        <w:t>לרמ"י</w:t>
      </w:r>
      <w:proofErr w:type="spellEnd"/>
      <w:r>
        <w:rPr>
          <w:rFonts w:hint="cs"/>
          <w:rtl/>
        </w:rPr>
        <w:t xml:space="preserve"> עבור עבודות הפיתוח, וכי לא מדובר בהפרדה שרירותית אלא בחישוב מדויק של הסכומים השונים בכל רכיב, המלמד כי כוונתם </w:t>
      </w:r>
      <w:proofErr w:type="spellStart"/>
      <w:r>
        <w:rPr>
          <w:rFonts w:hint="cs"/>
          <w:rtl/>
        </w:rPr>
        <w:t>האמיתית</w:t>
      </w:r>
      <w:proofErr w:type="spellEnd"/>
      <w:r>
        <w:rPr>
          <w:rFonts w:hint="cs"/>
          <w:rtl/>
        </w:rPr>
        <w:t xml:space="preserve"> של הצדדים הייתה להפריד בין חלקי התשלום. </w:t>
      </w:r>
    </w:p>
    <w:p w:rsidR="00A14F89" w:rsidRDefault="00A14F89" w:rsidP="00A14F89">
      <w:pPr>
        <w:pStyle w:val="Ruller41"/>
        <w:rPr>
          <w:rtl/>
        </w:rPr>
      </w:pPr>
    </w:p>
    <w:p w:rsidR="00A14F89" w:rsidRDefault="00A14F89" w:rsidP="00A14F89">
      <w:pPr>
        <w:pStyle w:val="Ruller41"/>
        <w:rPr>
          <w:rFonts w:ascii="Century" w:hAnsi="Century"/>
          <w:rtl/>
        </w:rPr>
      </w:pPr>
      <w:r>
        <w:rPr>
          <w:rFonts w:hint="cs"/>
          <w:rtl/>
        </w:rPr>
        <w:t>12.</w:t>
      </w:r>
      <w:r>
        <w:rPr>
          <w:rtl/>
        </w:rPr>
        <w:tab/>
      </w:r>
      <w:r>
        <w:rPr>
          <w:rFonts w:hint="cs"/>
          <w:rtl/>
        </w:rPr>
        <w:t>ועדת הערר הוסיפה וקבעה כי אמרלד</w:t>
      </w:r>
      <w:r w:rsidRPr="002555DD">
        <w:rPr>
          <w:rFonts w:ascii="Century" w:hAnsi="Century" w:hint="cs"/>
          <w:rtl/>
        </w:rPr>
        <w:t xml:space="preserve"> </w:t>
      </w:r>
      <w:r>
        <w:rPr>
          <w:rFonts w:ascii="Century" w:hAnsi="Century" w:hint="cs"/>
          <w:rtl/>
        </w:rPr>
        <w:t>"</w:t>
      </w:r>
      <w:r w:rsidRPr="002555DD">
        <w:rPr>
          <w:rFonts w:ascii="Century" w:hAnsi="Century" w:hint="cs"/>
          <w:rtl/>
        </w:rPr>
        <w:t>נכנסה בנעלי</w:t>
      </w:r>
      <w:r>
        <w:rPr>
          <w:rFonts w:ascii="Century" w:hAnsi="Century" w:hint="cs"/>
          <w:rtl/>
        </w:rPr>
        <w:t>ה" של</w:t>
      </w:r>
      <w:r w:rsidRPr="002555DD">
        <w:rPr>
          <w:rFonts w:ascii="Century" w:hAnsi="Century" w:hint="cs"/>
          <w:rtl/>
        </w:rPr>
        <w:t xml:space="preserve"> אב</w:t>
      </w:r>
      <w:r>
        <w:rPr>
          <w:rFonts w:ascii="Century" w:hAnsi="Century" w:hint="cs"/>
          <w:rtl/>
        </w:rPr>
        <w:t>ני דרך בכל הנוגע לזכויות שנרכשו ממנה, ו</w:t>
      </w:r>
      <w:r w:rsidRPr="002555DD">
        <w:rPr>
          <w:rFonts w:ascii="Century" w:hAnsi="Century" w:hint="cs"/>
          <w:rtl/>
        </w:rPr>
        <w:t>ביצעה את התשלומים שהושתו על אבני דרך ב</w:t>
      </w:r>
      <w:r>
        <w:rPr>
          <w:rFonts w:ascii="Century" w:hAnsi="Century" w:hint="cs"/>
          <w:rtl/>
        </w:rPr>
        <w:t xml:space="preserve">עסקה המקורית מול </w:t>
      </w:r>
      <w:proofErr w:type="spellStart"/>
      <w:r>
        <w:rPr>
          <w:rFonts w:ascii="Century" w:hAnsi="Century" w:hint="cs"/>
          <w:rtl/>
        </w:rPr>
        <w:t>רמ"י</w:t>
      </w:r>
      <w:proofErr w:type="spellEnd"/>
      <w:r>
        <w:rPr>
          <w:rFonts w:ascii="Century" w:hAnsi="Century" w:hint="cs"/>
          <w:rtl/>
        </w:rPr>
        <w:t>.</w:t>
      </w:r>
      <w:r w:rsidRPr="002555DD">
        <w:rPr>
          <w:rFonts w:ascii="Century" w:hAnsi="Century" w:hint="cs"/>
          <w:rtl/>
        </w:rPr>
        <w:t xml:space="preserve"> לפיכך, </w:t>
      </w:r>
      <w:r>
        <w:rPr>
          <w:rFonts w:ascii="Century" w:hAnsi="Century" w:hint="cs"/>
          <w:rtl/>
        </w:rPr>
        <w:t>נקבע כי אין כל הבדל בין האופן שבו רכשה אמרלד את זכויותיה במקרקעין לבין האופן שבו</w:t>
      </w:r>
      <w:r w:rsidRPr="002555DD">
        <w:rPr>
          <w:rFonts w:ascii="Century" w:hAnsi="Century" w:hint="cs"/>
          <w:rtl/>
        </w:rPr>
        <w:t xml:space="preserve"> רכשו אבני דרך ודונה את זכויות</w:t>
      </w:r>
      <w:r>
        <w:rPr>
          <w:rFonts w:ascii="Century" w:hAnsi="Century" w:hint="cs"/>
          <w:rtl/>
        </w:rPr>
        <w:t>יהן, שלגביהן קבע המערער כי ניתן להפריד בין עסקת מכר הזכות במקרקעין לבין העסקה לשאת בהוצאות הפיתוח</w:t>
      </w:r>
      <w:r w:rsidRPr="002555DD">
        <w:rPr>
          <w:rFonts w:ascii="Century" w:hAnsi="Century" w:hint="cs"/>
          <w:rtl/>
        </w:rPr>
        <w:t xml:space="preserve">. </w:t>
      </w:r>
    </w:p>
    <w:p w:rsidR="00A14F89" w:rsidRPr="00DE67DF" w:rsidRDefault="00A14F89" w:rsidP="00A14F89">
      <w:pPr>
        <w:pStyle w:val="Ruller41"/>
        <w:rPr>
          <w:rFonts w:ascii="Century" w:hAnsi="Century"/>
          <w:rtl/>
        </w:rPr>
      </w:pPr>
    </w:p>
    <w:p w:rsidR="00A14F89" w:rsidRPr="00640695" w:rsidRDefault="00A14F89" w:rsidP="00A14F89">
      <w:pPr>
        <w:pStyle w:val="Ruller41"/>
        <w:rPr>
          <w:rFonts w:ascii="Century" w:hAnsi="Century" w:cs="Miriam"/>
          <w:b/>
          <w:spacing w:val="0"/>
          <w:szCs w:val="24"/>
          <w:rtl/>
        </w:rPr>
      </w:pPr>
      <w:r>
        <w:rPr>
          <w:rFonts w:ascii="Century" w:hAnsi="Century" w:cs="Miriam" w:hint="cs"/>
          <w:b/>
          <w:spacing w:val="0"/>
          <w:szCs w:val="24"/>
          <w:rtl/>
        </w:rPr>
        <w:t xml:space="preserve">(2) </w:t>
      </w:r>
      <w:r w:rsidRPr="00640695">
        <w:rPr>
          <w:rFonts w:ascii="Century" w:hAnsi="Century" w:cs="Miriam" w:hint="cs"/>
          <w:b/>
          <w:spacing w:val="0"/>
          <w:szCs w:val="24"/>
          <w:rtl/>
        </w:rPr>
        <w:t>ע"א 4504/20  שיכון ובינוי נדל"ן בע"מ ואח' נ' מנהל מיסוי מקרקעין חדרה</w:t>
      </w:r>
      <w:r>
        <w:rPr>
          <w:rFonts w:ascii="Century" w:hAnsi="Century" w:cs="Miriam" w:hint="cs"/>
          <w:b/>
          <w:spacing w:val="0"/>
          <w:szCs w:val="24"/>
          <w:rtl/>
        </w:rPr>
        <w:t xml:space="preserve"> (להלן: עניין שיכון ובינוי)</w:t>
      </w:r>
    </w:p>
    <w:p w:rsidR="00A14F89" w:rsidRDefault="00A14F89" w:rsidP="00A14F89">
      <w:pPr>
        <w:pStyle w:val="Ruller41"/>
        <w:rPr>
          <w:rFonts w:ascii="Century" w:hAnsi="Century"/>
          <w:rtl/>
        </w:rPr>
      </w:pPr>
    </w:p>
    <w:p w:rsidR="00A14F89" w:rsidRPr="008F09A7" w:rsidRDefault="00A14F89" w:rsidP="00A14F89">
      <w:pPr>
        <w:pStyle w:val="Ruller41"/>
        <w:rPr>
          <w:rFonts w:ascii="Century" w:hAnsi="Century" w:cs="Miriam"/>
          <w:b/>
          <w:spacing w:val="0"/>
          <w:szCs w:val="24"/>
          <w:rtl/>
        </w:rPr>
      </w:pPr>
      <w:r w:rsidRPr="008F09A7">
        <w:rPr>
          <w:rFonts w:ascii="Century" w:hAnsi="Century" w:cs="Miriam" w:hint="cs"/>
          <w:b/>
          <w:spacing w:val="0"/>
          <w:szCs w:val="24"/>
          <w:rtl/>
        </w:rPr>
        <w:t>רקע עובדתי</w:t>
      </w:r>
    </w:p>
    <w:p w:rsidR="00A14F89" w:rsidRDefault="00A14F89" w:rsidP="00A14F89">
      <w:pPr>
        <w:pStyle w:val="Ruller41"/>
        <w:rPr>
          <w:rFonts w:ascii="Century" w:hAnsi="Century"/>
          <w:rtl/>
        </w:rPr>
      </w:pPr>
    </w:p>
    <w:p w:rsidR="00A14F89" w:rsidRDefault="00A14F89" w:rsidP="00A14F89">
      <w:pPr>
        <w:pStyle w:val="Ruller41"/>
        <w:rPr>
          <w:rFonts w:ascii="Century" w:hAnsi="Century"/>
          <w:rtl/>
        </w:rPr>
      </w:pPr>
      <w:r>
        <w:rPr>
          <w:rFonts w:ascii="Century" w:hAnsi="Century" w:hint="cs"/>
          <w:rtl/>
        </w:rPr>
        <w:t>13.</w:t>
      </w:r>
      <w:r>
        <w:rPr>
          <w:rFonts w:ascii="Century" w:hAnsi="Century"/>
          <w:rtl/>
        </w:rPr>
        <w:tab/>
      </w:r>
      <w:r>
        <w:rPr>
          <w:rFonts w:ascii="Century" w:hAnsi="Century" w:hint="cs"/>
          <w:rtl/>
        </w:rPr>
        <w:t xml:space="preserve">החברה לפיתוח קיסריה אדמונד בנימין דה רוטשילד בע"מ (להלן: </w:t>
      </w:r>
      <w:proofErr w:type="spellStart"/>
      <w:r w:rsidRPr="00550639">
        <w:rPr>
          <w:rFonts w:ascii="Century" w:hAnsi="Century" w:cs="Miriam" w:hint="cs"/>
          <w:b/>
          <w:spacing w:val="0"/>
          <w:szCs w:val="24"/>
          <w:rtl/>
        </w:rPr>
        <w:t>החפ"ק</w:t>
      </w:r>
      <w:proofErr w:type="spellEnd"/>
      <w:r>
        <w:rPr>
          <w:rFonts w:ascii="Century" w:hAnsi="Century" w:hint="cs"/>
          <w:rtl/>
        </w:rPr>
        <w:t xml:space="preserve">), היא חברה פרטית בבעלות מלאה של קרן קיסריה אדמונד בנימין דה רוטשילד (להלן: </w:t>
      </w:r>
      <w:r w:rsidRPr="00550639">
        <w:rPr>
          <w:rFonts w:ascii="Century" w:hAnsi="Century" w:cs="Miriam" w:hint="cs"/>
          <w:b/>
          <w:spacing w:val="0"/>
          <w:szCs w:val="24"/>
          <w:rtl/>
        </w:rPr>
        <w:t>קרן קיסריה</w:t>
      </w:r>
      <w:r>
        <w:rPr>
          <w:rFonts w:ascii="Century" w:hAnsi="Century" w:hint="cs"/>
          <w:rtl/>
        </w:rPr>
        <w:t xml:space="preserve">) ומשמשת כזרוע הביצועית שלה לצורך פיתוחן של אדמות קרן קיסריה. </w:t>
      </w:r>
    </w:p>
    <w:p w:rsidR="00A14F89" w:rsidRDefault="00A14F89" w:rsidP="00A14F89">
      <w:pPr>
        <w:pStyle w:val="Ruller41"/>
        <w:rPr>
          <w:rFonts w:ascii="Century" w:hAnsi="Century"/>
          <w:rtl/>
        </w:rPr>
      </w:pPr>
    </w:p>
    <w:p w:rsidR="00A14F89" w:rsidRDefault="00A14F89" w:rsidP="00A14F89">
      <w:pPr>
        <w:pStyle w:val="Ruller41"/>
        <w:rPr>
          <w:rFonts w:ascii="Century" w:hAnsi="Century"/>
          <w:rtl/>
        </w:rPr>
      </w:pPr>
      <w:r>
        <w:rPr>
          <w:rFonts w:ascii="Century" w:hAnsi="Century" w:hint="cs"/>
          <w:rtl/>
        </w:rPr>
        <w:t>14.</w:t>
      </w:r>
      <w:r>
        <w:rPr>
          <w:rFonts w:ascii="Century" w:hAnsi="Century"/>
          <w:rtl/>
        </w:rPr>
        <w:tab/>
      </w:r>
      <w:r>
        <w:rPr>
          <w:rFonts w:ascii="Century" w:hAnsi="Century" w:hint="cs"/>
          <w:rtl/>
        </w:rPr>
        <w:t xml:space="preserve">ביום 21.6.2017 פרסמה </w:t>
      </w:r>
      <w:proofErr w:type="spellStart"/>
      <w:r>
        <w:rPr>
          <w:rFonts w:ascii="Century" w:hAnsi="Century" w:hint="cs"/>
          <w:rtl/>
        </w:rPr>
        <w:t>החפ"ק</w:t>
      </w:r>
      <w:proofErr w:type="spellEnd"/>
      <w:r>
        <w:rPr>
          <w:rFonts w:ascii="Century" w:hAnsi="Century" w:hint="cs"/>
          <w:rtl/>
        </w:rPr>
        <w:t xml:space="preserve"> בקשה לקבלת הצעות מחיר לחכירת מגרשים בשכונת "אור ים" בקיסריה, בה התבקשו יזמים להציע הצעות לפיתוח ולרכישת זכויות </w:t>
      </w:r>
      <w:r>
        <w:rPr>
          <w:rFonts w:ascii="Century" w:hAnsi="Century" w:hint="cs"/>
          <w:rtl/>
        </w:rPr>
        <w:lastRenderedPageBreak/>
        <w:t xml:space="preserve">במגרשים המיועדים לבניה (להלן: </w:t>
      </w:r>
      <w:r>
        <w:rPr>
          <w:rFonts w:ascii="Century" w:hAnsi="Century" w:cs="Miriam" w:hint="cs"/>
          <w:b/>
          <w:spacing w:val="0"/>
          <w:szCs w:val="24"/>
          <w:rtl/>
        </w:rPr>
        <w:t>ההזמנה</w:t>
      </w:r>
      <w:r>
        <w:rPr>
          <w:rFonts w:ascii="Century" w:hAnsi="Century" w:hint="cs"/>
          <w:rtl/>
        </w:rPr>
        <w:t xml:space="preserve">). על-פי הוראות ההזמנה, הזוכים יחתמו על חוזי חכירת משנה עם קרן קיסריה, בעלת זכויות החכירה במקרקעין. </w:t>
      </w:r>
    </w:p>
    <w:p w:rsidR="00A14F89" w:rsidRDefault="00A14F89" w:rsidP="00A14F89">
      <w:pPr>
        <w:pStyle w:val="Ruller41"/>
        <w:rPr>
          <w:rFonts w:ascii="Century" w:hAnsi="Century"/>
          <w:rtl/>
        </w:rPr>
      </w:pPr>
    </w:p>
    <w:p w:rsidR="00A14F89" w:rsidRDefault="00A14F89" w:rsidP="00A14F89">
      <w:pPr>
        <w:pStyle w:val="Ruller41"/>
        <w:rPr>
          <w:rFonts w:ascii="Century" w:hAnsi="Century"/>
          <w:rtl/>
        </w:rPr>
      </w:pPr>
      <w:r>
        <w:rPr>
          <w:rFonts w:ascii="Century" w:hAnsi="Century" w:hint="cs"/>
          <w:rtl/>
        </w:rPr>
        <w:t>15.</w:t>
      </w:r>
      <w:r>
        <w:rPr>
          <w:rFonts w:ascii="Century" w:hAnsi="Century"/>
          <w:rtl/>
        </w:rPr>
        <w:tab/>
      </w:r>
      <w:r>
        <w:rPr>
          <w:rFonts w:ascii="Century" w:hAnsi="Century" w:hint="cs"/>
          <w:rtl/>
        </w:rPr>
        <w:t>כשלושה שבועות לפני פרסום</w:t>
      </w:r>
      <w:r w:rsidRPr="004B272F">
        <w:rPr>
          <w:rFonts w:ascii="Century" w:hAnsi="Century" w:hint="cs"/>
          <w:rtl/>
        </w:rPr>
        <w:t xml:space="preserve"> </w:t>
      </w:r>
      <w:r>
        <w:rPr>
          <w:rFonts w:ascii="Century" w:hAnsi="Century" w:hint="cs"/>
          <w:rtl/>
        </w:rPr>
        <w:t>ההזמנה</w:t>
      </w:r>
      <w:r w:rsidRPr="004B272F">
        <w:rPr>
          <w:rFonts w:ascii="Century" w:hAnsi="Century" w:hint="cs"/>
          <w:rtl/>
        </w:rPr>
        <w:t xml:space="preserve">, נחתם הסכם לביצוע עבודות פיתוח </w:t>
      </w:r>
      <w:r>
        <w:rPr>
          <w:rFonts w:ascii="Century" w:hAnsi="Century" w:hint="cs"/>
          <w:rtl/>
        </w:rPr>
        <w:t xml:space="preserve">בין עיריית אור עקיבא לבין </w:t>
      </w:r>
      <w:proofErr w:type="spellStart"/>
      <w:r>
        <w:rPr>
          <w:rFonts w:ascii="Century" w:hAnsi="Century" w:hint="cs"/>
          <w:rtl/>
        </w:rPr>
        <w:t>החפ"ק</w:t>
      </w:r>
      <w:proofErr w:type="spellEnd"/>
      <w:r>
        <w:rPr>
          <w:rFonts w:ascii="Century" w:hAnsi="Century" w:hint="cs"/>
          <w:rtl/>
        </w:rPr>
        <w:t>,</w:t>
      </w:r>
      <w:r w:rsidRPr="004B272F">
        <w:rPr>
          <w:rFonts w:ascii="Century" w:hAnsi="Century" w:hint="cs"/>
          <w:rtl/>
        </w:rPr>
        <w:t xml:space="preserve"> </w:t>
      </w:r>
      <w:r>
        <w:rPr>
          <w:rFonts w:ascii="Century" w:hAnsi="Century" w:hint="cs"/>
          <w:rtl/>
        </w:rPr>
        <w:t xml:space="preserve">אשר </w:t>
      </w:r>
      <w:r w:rsidRPr="004B272F">
        <w:rPr>
          <w:rFonts w:ascii="Century" w:hAnsi="Century" w:hint="cs"/>
          <w:rtl/>
        </w:rPr>
        <w:t xml:space="preserve">במסגרתו הוסכם כי </w:t>
      </w:r>
      <w:proofErr w:type="spellStart"/>
      <w:r w:rsidRPr="004B272F">
        <w:rPr>
          <w:rFonts w:ascii="Century" w:hAnsi="Century" w:hint="cs"/>
          <w:rtl/>
        </w:rPr>
        <w:t>החפ"ק</w:t>
      </w:r>
      <w:proofErr w:type="spellEnd"/>
      <w:r w:rsidRPr="004B272F">
        <w:rPr>
          <w:rFonts w:ascii="Century" w:hAnsi="Century" w:hint="cs"/>
          <w:rtl/>
        </w:rPr>
        <w:t xml:space="preserve"> תתכנן ותבצע עבור עיריית אור עקיבא את כל עבודות הפיתוח במתחם</w:t>
      </w:r>
      <w:r>
        <w:rPr>
          <w:rFonts w:ascii="Century" w:hAnsi="Century" w:hint="cs"/>
          <w:rtl/>
        </w:rPr>
        <w:t>, ובתמורה לכך תקזז עיריית אור עקיבא את מלוא סכום האגרות והיטלי הפיתוח אותם ניתן לגבות על פי דין. עוד הוסכם כי אם עלויות הפיתוח תהיינה גבוהות יותר ממלוא סכום הקיזוז האמור, יבוצע קיזוז נוסף עד לגובה השלמת התמורה (להלן:</w:t>
      </w:r>
      <w:r>
        <w:rPr>
          <w:rFonts w:ascii="Century" w:hAnsi="Century" w:hint="cs"/>
        </w:rPr>
        <w:t xml:space="preserve"> </w:t>
      </w:r>
      <w:r w:rsidRPr="004130D0">
        <w:rPr>
          <w:rFonts w:ascii="Century" w:hAnsi="Century" w:cs="Miriam" w:hint="cs"/>
          <w:b/>
          <w:spacing w:val="0"/>
          <w:szCs w:val="24"/>
          <w:rtl/>
        </w:rPr>
        <w:t>הסכם הפיתוח</w:t>
      </w:r>
      <w:r>
        <w:rPr>
          <w:rFonts w:ascii="Century" w:hAnsi="Century" w:hint="cs"/>
          <w:rtl/>
        </w:rPr>
        <w:t>)</w:t>
      </w:r>
      <w:r w:rsidRPr="004B272F">
        <w:rPr>
          <w:rFonts w:ascii="Century" w:hAnsi="Century" w:hint="cs"/>
          <w:rtl/>
        </w:rPr>
        <w:t>.</w:t>
      </w:r>
      <w:r>
        <w:rPr>
          <w:rFonts w:ascii="Century" w:hAnsi="Century"/>
          <w:rtl/>
        </w:rPr>
        <w:t xml:space="preserve"> </w:t>
      </w:r>
      <w:r>
        <w:rPr>
          <w:rFonts w:ascii="Century" w:hAnsi="Century" w:hint="cs"/>
          <w:rtl/>
        </w:rPr>
        <w:t>במסגרת הסכם הפיתוח צוין כי "המתחם בכלל ומגרשי הקרן בפרט הם בלתי מפותחים וטרם בוצעו בהם עבודות פיתוח ו/או הנחת תשתיות כלשהן".</w:t>
      </w:r>
    </w:p>
    <w:p w:rsidR="00A14F89" w:rsidRDefault="00A14F89" w:rsidP="00A14F89">
      <w:pPr>
        <w:pStyle w:val="Ruller41"/>
        <w:rPr>
          <w:rFonts w:ascii="Century" w:hAnsi="Century"/>
          <w:rtl/>
        </w:rPr>
      </w:pPr>
    </w:p>
    <w:p w:rsidR="00A14F89" w:rsidRDefault="00A14F89" w:rsidP="00A14F89">
      <w:pPr>
        <w:pStyle w:val="Ruller41"/>
        <w:rPr>
          <w:rFonts w:ascii="Century" w:hAnsi="Century"/>
          <w:rtl/>
        </w:rPr>
      </w:pPr>
      <w:r>
        <w:rPr>
          <w:rFonts w:ascii="Century" w:hAnsi="Century" w:hint="cs"/>
          <w:rtl/>
        </w:rPr>
        <w:t>16.</w:t>
      </w:r>
      <w:r>
        <w:rPr>
          <w:rFonts w:ascii="Century" w:hAnsi="Century"/>
          <w:rtl/>
        </w:rPr>
        <w:tab/>
      </w:r>
      <w:r>
        <w:rPr>
          <w:rFonts w:ascii="Century" w:hAnsi="Century" w:hint="cs"/>
          <w:rtl/>
        </w:rPr>
        <w:t xml:space="preserve">שלוש המשיבות בע"א 4504/20 (להלן בחלק זה: </w:t>
      </w:r>
      <w:r w:rsidRPr="00A07EAE">
        <w:rPr>
          <w:rFonts w:ascii="Century" w:hAnsi="Century" w:cs="Miriam" w:hint="cs"/>
          <w:b/>
          <w:spacing w:val="0"/>
          <w:szCs w:val="24"/>
          <w:rtl/>
        </w:rPr>
        <w:t>המשיבות</w:t>
      </w:r>
      <w:r>
        <w:rPr>
          <w:rFonts w:ascii="Century" w:hAnsi="Century" w:hint="cs"/>
          <w:rtl/>
        </w:rPr>
        <w:t xml:space="preserve">) הגישו הצעה לחכירת מתחמים ומגרשים שונים במתחם והצעותיהן התקבלו. בהתאם לכך, כל אחת מהמשיבות חתמה על הסכמים </w:t>
      </w:r>
      <w:r w:rsidRPr="00306207">
        <w:rPr>
          <w:rFonts w:ascii="Century" w:hAnsi="Century" w:hint="eastAsia"/>
          <w:rtl/>
        </w:rPr>
        <w:t>לרכישת</w:t>
      </w:r>
      <w:r w:rsidRPr="00306207">
        <w:rPr>
          <w:rFonts w:ascii="Century" w:hAnsi="Century"/>
          <w:rtl/>
        </w:rPr>
        <w:t xml:space="preserve"> </w:t>
      </w:r>
      <w:r w:rsidRPr="00306207">
        <w:rPr>
          <w:rFonts w:ascii="Century" w:hAnsi="Century" w:hint="eastAsia"/>
          <w:rtl/>
        </w:rPr>
        <w:t>הזכויות</w:t>
      </w:r>
      <w:r w:rsidRPr="00306207">
        <w:rPr>
          <w:rFonts w:ascii="Century" w:hAnsi="Century"/>
          <w:rtl/>
        </w:rPr>
        <w:t xml:space="preserve"> </w:t>
      </w:r>
      <w:r w:rsidRPr="00306207">
        <w:rPr>
          <w:rFonts w:ascii="Century" w:hAnsi="Century" w:hint="eastAsia"/>
          <w:rtl/>
        </w:rPr>
        <w:t>במקרקעין</w:t>
      </w:r>
      <w:r w:rsidRPr="006C39DF">
        <w:rPr>
          <w:rFonts w:ascii="Century" w:hAnsi="Century" w:hint="cs"/>
          <w:rtl/>
        </w:rPr>
        <w:t xml:space="preserve"> עם</w:t>
      </w:r>
      <w:r>
        <w:rPr>
          <w:rFonts w:ascii="Century" w:hAnsi="Century" w:hint="cs"/>
          <w:rtl/>
        </w:rPr>
        <w:t xml:space="preserve"> </w:t>
      </w:r>
      <w:proofErr w:type="spellStart"/>
      <w:r>
        <w:rPr>
          <w:rFonts w:ascii="Century" w:hAnsi="Century" w:hint="cs"/>
          <w:rtl/>
        </w:rPr>
        <w:t>החפ"ק</w:t>
      </w:r>
      <w:proofErr w:type="spellEnd"/>
      <w:r>
        <w:rPr>
          <w:rFonts w:ascii="Century" w:hAnsi="Century" w:hint="cs"/>
          <w:rtl/>
        </w:rPr>
        <w:t xml:space="preserve">. </w:t>
      </w:r>
    </w:p>
    <w:p w:rsidR="00A14F89" w:rsidRDefault="00A14F89" w:rsidP="00A14F89">
      <w:pPr>
        <w:pStyle w:val="Ruller41"/>
        <w:rPr>
          <w:rFonts w:ascii="Century" w:hAnsi="Century"/>
          <w:rtl/>
        </w:rPr>
      </w:pPr>
    </w:p>
    <w:p w:rsidR="00A14F89" w:rsidRDefault="00A14F89" w:rsidP="00A14F89">
      <w:pPr>
        <w:pStyle w:val="Ruller41"/>
        <w:rPr>
          <w:rFonts w:ascii="Century" w:hAnsi="Century"/>
          <w:rtl/>
        </w:rPr>
      </w:pPr>
      <w:r>
        <w:rPr>
          <w:rFonts w:ascii="Century" w:hAnsi="Century"/>
          <w:rtl/>
        </w:rPr>
        <w:tab/>
      </w:r>
      <w:r>
        <w:rPr>
          <w:rFonts w:ascii="Century" w:hAnsi="Century" w:hint="cs"/>
          <w:rtl/>
        </w:rPr>
        <w:t xml:space="preserve">בהסכמים צוין כי מחיר הקרקעות כולל הן את עלות המקרקעין והן את עלות עבודות הפיתוח (אשר על-פי ההזמנה יבוצעו על-ידי החברה לפיתוח קיסריה), כלהלן: (1) חברת שיכון ובינוי נדל"ן בע"מ (להלן: </w:t>
      </w:r>
      <w:r w:rsidRPr="00306207">
        <w:rPr>
          <w:rFonts w:ascii="Century" w:hAnsi="Century" w:cs="Miriam" w:hint="eastAsia"/>
          <w:b/>
          <w:spacing w:val="0"/>
          <w:szCs w:val="24"/>
          <w:rtl/>
        </w:rPr>
        <w:t>המשיבה</w:t>
      </w:r>
      <w:r w:rsidRPr="00306207">
        <w:rPr>
          <w:rFonts w:ascii="Century" w:hAnsi="Century" w:cs="Miriam"/>
          <w:b/>
          <w:spacing w:val="0"/>
          <w:szCs w:val="24"/>
          <w:rtl/>
        </w:rPr>
        <w:t xml:space="preserve"> 1</w:t>
      </w:r>
      <w:r>
        <w:rPr>
          <w:rFonts w:ascii="Century" w:hAnsi="Century" w:hint="cs"/>
          <w:rtl/>
        </w:rPr>
        <w:t xml:space="preserve">) </w:t>
      </w:r>
      <w:r>
        <w:rPr>
          <w:rFonts w:ascii="Century" w:hAnsi="Century" w:hint="eastAsia"/>
          <w:rtl/>
        </w:rPr>
        <w:t>–</w:t>
      </w:r>
      <w:r>
        <w:rPr>
          <w:rFonts w:ascii="Century" w:hAnsi="Century" w:hint="cs"/>
          <w:rtl/>
        </w:rPr>
        <w:t xml:space="preserve"> רכשה את מתחם א'2 הכולל 260 יחידות דיור במגרשים בעלות של 106,555,000 </w:t>
      </w:r>
      <w:r>
        <w:rPr>
          <w:rFonts w:ascii="Century" w:hAnsi="Century" w:hint="eastAsia"/>
          <w:rtl/>
        </w:rPr>
        <w:t>ש"ח</w:t>
      </w:r>
      <w:r>
        <w:rPr>
          <w:rFonts w:ascii="Century" w:hAnsi="Century" w:hint="cs"/>
          <w:rtl/>
        </w:rPr>
        <w:t xml:space="preserve"> לא כולל מע"מ; את מתחם ב'2 הכולל 150 יחידות דיור בעלות של 65,002,000 ש"ח לא כולל מע"מ; ואת מתחם ד' הכולל 186 יחידות דיור ו-1,800 מ"ר למסחר בעלות של 66,666,000 לא כולל מע"מ. (2) אלקטרה השקעות (1998) בע"</w:t>
      </w:r>
      <w:r w:rsidRPr="00C212A9">
        <w:rPr>
          <w:rFonts w:ascii="Century" w:hAnsi="Century" w:hint="cs"/>
          <w:rtl/>
        </w:rPr>
        <w:t xml:space="preserve">מ (להלן: </w:t>
      </w:r>
      <w:r w:rsidRPr="00C212A9">
        <w:rPr>
          <w:rFonts w:ascii="Century" w:hAnsi="Century" w:cs="Miriam" w:hint="cs"/>
          <w:b/>
          <w:spacing w:val="0"/>
          <w:szCs w:val="24"/>
          <w:rtl/>
        </w:rPr>
        <w:t>המשיבה 2</w:t>
      </w:r>
      <w:r w:rsidRPr="00C212A9">
        <w:rPr>
          <w:rFonts w:ascii="Century" w:hAnsi="Century" w:hint="cs"/>
          <w:rtl/>
        </w:rPr>
        <w:t xml:space="preserve">) </w:t>
      </w:r>
      <w:r w:rsidRPr="00C212A9">
        <w:rPr>
          <w:rFonts w:ascii="Century" w:hAnsi="Century" w:hint="eastAsia"/>
          <w:rtl/>
        </w:rPr>
        <w:t>–</w:t>
      </w:r>
      <w:r w:rsidRPr="00C212A9">
        <w:rPr>
          <w:rFonts w:ascii="Century" w:hAnsi="Century" w:hint="cs"/>
          <w:rtl/>
        </w:rPr>
        <w:t xml:space="preserve"> רכשה את מתחם ג' הכולל 286 יחידות דיור, בעלות של 120,450,000 </w:t>
      </w:r>
      <w:r w:rsidRPr="00C212A9">
        <w:rPr>
          <w:rFonts w:ascii="Century" w:hAnsi="Century" w:hint="eastAsia"/>
          <w:rtl/>
        </w:rPr>
        <w:t>ש"ח</w:t>
      </w:r>
      <w:r w:rsidRPr="00C212A9">
        <w:rPr>
          <w:rFonts w:ascii="Century" w:hAnsi="Century" w:hint="cs"/>
          <w:rtl/>
        </w:rPr>
        <w:t xml:space="preserve"> לא כולל מע"מ. (3) יורו ישראל (י.ש) בע"מ (להלן: </w:t>
      </w:r>
      <w:r w:rsidRPr="00C212A9">
        <w:rPr>
          <w:rFonts w:ascii="Century" w:hAnsi="Century" w:cs="Miriam" w:hint="cs"/>
          <w:b/>
          <w:spacing w:val="0"/>
          <w:szCs w:val="24"/>
          <w:rtl/>
        </w:rPr>
        <w:t>המשיבה 3</w:t>
      </w:r>
      <w:r w:rsidRPr="00C212A9">
        <w:rPr>
          <w:rFonts w:ascii="Century" w:hAnsi="Century" w:hint="cs"/>
          <w:rtl/>
        </w:rPr>
        <w:t xml:space="preserve">) </w:t>
      </w:r>
      <w:r w:rsidRPr="00C212A9">
        <w:rPr>
          <w:rFonts w:ascii="Century" w:hAnsi="Century" w:hint="eastAsia"/>
          <w:rtl/>
        </w:rPr>
        <w:t>–</w:t>
      </w:r>
      <w:r w:rsidRPr="00C212A9">
        <w:rPr>
          <w:rFonts w:ascii="Century" w:hAnsi="Century" w:hint="cs"/>
          <w:rtl/>
        </w:rPr>
        <w:t xml:space="preserve"> רכשה את מתחם א'1 הכולל 39 יחידות דיור בעלות של </w:t>
      </w:r>
      <w:r w:rsidRPr="00C212A9">
        <w:rPr>
          <w:rFonts w:ascii="Century" w:hAnsi="Century"/>
          <w:rtl/>
        </w:rPr>
        <w:t xml:space="preserve">26,260,000 </w:t>
      </w:r>
      <w:r w:rsidRPr="000F26BF">
        <w:rPr>
          <w:rFonts w:ascii="Century" w:hAnsi="Century" w:hint="cs"/>
          <w:rtl/>
        </w:rPr>
        <w:t>ש"</w:t>
      </w:r>
      <w:r w:rsidRPr="00512421">
        <w:rPr>
          <w:rFonts w:ascii="Century" w:hAnsi="Century" w:hint="cs"/>
          <w:rtl/>
        </w:rPr>
        <w:t xml:space="preserve">ח </w:t>
      </w:r>
      <w:r w:rsidRPr="00A3119A">
        <w:rPr>
          <w:rFonts w:ascii="Century" w:hAnsi="Century" w:hint="cs"/>
          <w:rtl/>
        </w:rPr>
        <w:t>לא כולל מע"מ</w:t>
      </w:r>
      <w:r w:rsidRPr="00CF2BAF">
        <w:rPr>
          <w:rFonts w:ascii="Century" w:hAnsi="Century" w:hint="cs"/>
          <w:rtl/>
        </w:rPr>
        <w:t xml:space="preserve"> ואת מתחם ב'</w:t>
      </w:r>
      <w:r w:rsidRPr="00C212A9">
        <w:rPr>
          <w:rFonts w:ascii="Century" w:hAnsi="Century"/>
          <w:rtl/>
        </w:rPr>
        <w:t xml:space="preserve">1 </w:t>
      </w:r>
      <w:r w:rsidRPr="00C212A9">
        <w:rPr>
          <w:rFonts w:ascii="Century" w:hAnsi="Century" w:hint="eastAsia"/>
          <w:rtl/>
        </w:rPr>
        <w:t>הכולל</w:t>
      </w:r>
      <w:r w:rsidRPr="00C212A9">
        <w:rPr>
          <w:rFonts w:ascii="Century" w:hAnsi="Century"/>
          <w:rtl/>
        </w:rPr>
        <w:t xml:space="preserve"> 39 </w:t>
      </w:r>
      <w:r w:rsidRPr="00C212A9">
        <w:rPr>
          <w:rFonts w:ascii="Century" w:hAnsi="Century" w:hint="eastAsia"/>
          <w:rtl/>
        </w:rPr>
        <w:t>יחידות</w:t>
      </w:r>
      <w:r w:rsidRPr="00C212A9">
        <w:rPr>
          <w:rFonts w:ascii="Century" w:hAnsi="Century"/>
          <w:rtl/>
        </w:rPr>
        <w:t xml:space="preserve"> </w:t>
      </w:r>
      <w:r w:rsidRPr="00C212A9">
        <w:rPr>
          <w:rFonts w:ascii="Century" w:hAnsi="Century" w:hint="eastAsia"/>
          <w:rtl/>
        </w:rPr>
        <w:t>דיור</w:t>
      </w:r>
      <w:r w:rsidRPr="00C212A9">
        <w:rPr>
          <w:rFonts w:ascii="Century" w:hAnsi="Century"/>
          <w:rtl/>
        </w:rPr>
        <w:t xml:space="preserve"> </w:t>
      </w:r>
      <w:r w:rsidRPr="00C212A9">
        <w:rPr>
          <w:rFonts w:ascii="Century" w:hAnsi="Century" w:hint="eastAsia"/>
          <w:rtl/>
        </w:rPr>
        <w:t>בעלות</w:t>
      </w:r>
      <w:r w:rsidRPr="00C212A9">
        <w:rPr>
          <w:rFonts w:ascii="Century" w:hAnsi="Century"/>
          <w:rtl/>
        </w:rPr>
        <w:t xml:space="preserve"> </w:t>
      </w:r>
      <w:r w:rsidRPr="00C212A9">
        <w:rPr>
          <w:rFonts w:ascii="Century" w:hAnsi="Century" w:hint="eastAsia"/>
          <w:rtl/>
        </w:rPr>
        <w:t>של</w:t>
      </w:r>
      <w:r w:rsidRPr="00C212A9">
        <w:rPr>
          <w:rFonts w:ascii="Century" w:hAnsi="Century"/>
          <w:rtl/>
        </w:rPr>
        <w:t xml:space="preserve"> 19,626,000 </w:t>
      </w:r>
      <w:r w:rsidRPr="00C212A9">
        <w:rPr>
          <w:rFonts w:ascii="Century" w:hAnsi="Century" w:hint="eastAsia"/>
          <w:rtl/>
        </w:rPr>
        <w:t>לא</w:t>
      </w:r>
      <w:r w:rsidRPr="00C212A9">
        <w:rPr>
          <w:rFonts w:ascii="Century" w:hAnsi="Century"/>
          <w:rtl/>
        </w:rPr>
        <w:t xml:space="preserve"> </w:t>
      </w:r>
      <w:r w:rsidRPr="00C212A9">
        <w:rPr>
          <w:rFonts w:ascii="Century" w:hAnsi="Century" w:hint="eastAsia"/>
          <w:rtl/>
        </w:rPr>
        <w:t>כולל</w:t>
      </w:r>
      <w:r w:rsidRPr="00C212A9">
        <w:rPr>
          <w:rFonts w:ascii="Century" w:hAnsi="Century"/>
          <w:rtl/>
        </w:rPr>
        <w:t xml:space="preserve"> </w:t>
      </w:r>
      <w:r w:rsidRPr="00C212A9">
        <w:rPr>
          <w:rFonts w:ascii="Century" w:hAnsi="Century" w:hint="eastAsia"/>
          <w:rtl/>
        </w:rPr>
        <w:t>מע</w:t>
      </w:r>
      <w:r w:rsidRPr="00C212A9">
        <w:rPr>
          <w:rFonts w:ascii="Century" w:hAnsi="Century"/>
          <w:rtl/>
        </w:rPr>
        <w:t>"</w:t>
      </w:r>
      <w:r w:rsidRPr="00C212A9">
        <w:rPr>
          <w:rFonts w:ascii="Century" w:hAnsi="Century" w:hint="eastAsia"/>
          <w:rtl/>
        </w:rPr>
        <w:t>מ</w:t>
      </w:r>
      <w:r w:rsidRPr="00C212A9">
        <w:rPr>
          <w:rFonts w:ascii="Century" w:hAnsi="Century"/>
          <w:rtl/>
        </w:rPr>
        <w:t xml:space="preserve"> (</w:t>
      </w:r>
      <w:r w:rsidRPr="00C212A9">
        <w:rPr>
          <w:rFonts w:ascii="Century" w:hAnsi="Century" w:hint="eastAsia"/>
          <w:rtl/>
        </w:rPr>
        <w:t>ראו</w:t>
      </w:r>
      <w:r>
        <w:rPr>
          <w:rFonts w:ascii="Century" w:hAnsi="Century" w:hint="cs"/>
          <w:rtl/>
        </w:rPr>
        <w:t xml:space="preserve">: </w:t>
      </w:r>
      <w:r w:rsidRPr="00A3119A">
        <w:rPr>
          <w:rFonts w:ascii="Century" w:hAnsi="Century" w:hint="cs"/>
          <w:rtl/>
        </w:rPr>
        <w:t>העתק מההשגות שהוגשו ל</w:t>
      </w:r>
      <w:r>
        <w:rPr>
          <w:rFonts w:ascii="Century" w:hAnsi="Century" w:hint="cs"/>
          <w:rtl/>
        </w:rPr>
        <w:t>מערער על-ידי המשיבות,</w:t>
      </w:r>
      <w:r w:rsidRPr="00CF2BAF">
        <w:rPr>
          <w:rFonts w:ascii="Century" w:hAnsi="Century" w:hint="cs"/>
          <w:rtl/>
        </w:rPr>
        <w:t xml:space="preserve"> </w:t>
      </w:r>
      <w:r w:rsidRPr="000F26BF">
        <w:rPr>
          <w:rFonts w:ascii="Century" w:hAnsi="Century" w:hint="cs"/>
          <w:rtl/>
        </w:rPr>
        <w:t>נספח 5</w:t>
      </w:r>
      <w:r w:rsidRPr="00512421">
        <w:rPr>
          <w:rFonts w:ascii="Century" w:hAnsi="Century" w:hint="cs"/>
          <w:rtl/>
        </w:rPr>
        <w:t xml:space="preserve"> </w:t>
      </w:r>
      <w:r w:rsidRPr="00C212A9">
        <w:rPr>
          <w:rFonts w:ascii="Century" w:hAnsi="Century" w:hint="eastAsia"/>
          <w:rtl/>
        </w:rPr>
        <w:t>למוצגים</w:t>
      </w:r>
      <w:r w:rsidRPr="00C212A9">
        <w:rPr>
          <w:rFonts w:ascii="Century" w:hAnsi="Century"/>
          <w:rtl/>
        </w:rPr>
        <w:t xml:space="preserve"> </w:t>
      </w:r>
      <w:r w:rsidRPr="00C212A9">
        <w:rPr>
          <w:rFonts w:ascii="Century" w:hAnsi="Century" w:hint="eastAsia"/>
          <w:rtl/>
        </w:rPr>
        <w:t>מטעם</w:t>
      </w:r>
      <w:r w:rsidRPr="00C212A9">
        <w:rPr>
          <w:rFonts w:ascii="Century" w:hAnsi="Century"/>
          <w:rtl/>
        </w:rPr>
        <w:t xml:space="preserve"> </w:t>
      </w:r>
      <w:r w:rsidRPr="00C212A9">
        <w:rPr>
          <w:rFonts w:ascii="Century" w:hAnsi="Century" w:hint="eastAsia"/>
          <w:rtl/>
        </w:rPr>
        <w:t>המערער</w:t>
      </w:r>
      <w:r w:rsidRPr="00C212A9">
        <w:rPr>
          <w:rFonts w:ascii="Century" w:hAnsi="Century"/>
          <w:rtl/>
        </w:rPr>
        <w:t>).</w:t>
      </w:r>
      <w:r>
        <w:rPr>
          <w:rFonts w:ascii="Century" w:hAnsi="Century" w:hint="cs"/>
          <w:rtl/>
        </w:rPr>
        <w:t xml:space="preserve"> </w:t>
      </w:r>
    </w:p>
    <w:p w:rsidR="00A14F89" w:rsidRDefault="00A14F89" w:rsidP="00A14F89">
      <w:pPr>
        <w:pStyle w:val="Ruller41"/>
        <w:rPr>
          <w:rFonts w:ascii="Century" w:hAnsi="Century"/>
          <w:rtl/>
        </w:rPr>
      </w:pPr>
    </w:p>
    <w:p w:rsidR="00A14F89" w:rsidRDefault="00A14F89" w:rsidP="00A14F89">
      <w:pPr>
        <w:pStyle w:val="Ruller41"/>
        <w:rPr>
          <w:rFonts w:ascii="Century" w:hAnsi="Century"/>
          <w:rtl/>
        </w:rPr>
      </w:pPr>
      <w:r>
        <w:rPr>
          <w:rFonts w:ascii="Century" w:hAnsi="Century" w:hint="cs"/>
          <w:rtl/>
        </w:rPr>
        <w:t>17.</w:t>
      </w:r>
      <w:r>
        <w:rPr>
          <w:rFonts w:ascii="Century" w:hAnsi="Century" w:hint="cs"/>
          <w:rtl/>
        </w:rPr>
        <w:tab/>
      </w:r>
      <w:r w:rsidRPr="000F26BF">
        <w:rPr>
          <w:rFonts w:ascii="Century" w:hAnsi="Century" w:hint="cs"/>
          <w:rtl/>
        </w:rPr>
        <w:t xml:space="preserve">בהמשך לכך, בתחילת </w:t>
      </w:r>
      <w:r w:rsidRPr="00512421">
        <w:rPr>
          <w:rFonts w:ascii="Century" w:hAnsi="Century" w:hint="cs"/>
          <w:rtl/>
        </w:rPr>
        <w:t>חודש נובמבר 2017</w:t>
      </w:r>
      <w:r w:rsidRPr="00A3119A">
        <w:rPr>
          <w:rFonts w:ascii="Century" w:hAnsi="Century" w:hint="cs"/>
          <w:rtl/>
        </w:rPr>
        <w:t xml:space="preserve"> דיווחו ה</w:t>
      </w:r>
      <w:r w:rsidRPr="00CF2BAF">
        <w:rPr>
          <w:rFonts w:ascii="Century" w:hAnsi="Century" w:hint="cs"/>
          <w:rtl/>
        </w:rPr>
        <w:t>משיבות ל</w:t>
      </w:r>
      <w:r w:rsidRPr="00C212A9">
        <w:rPr>
          <w:rFonts w:hint="eastAsia"/>
          <w:rtl/>
        </w:rPr>
        <w:t>מערער</w:t>
      </w:r>
      <w:r w:rsidRPr="00C212A9">
        <w:rPr>
          <w:rtl/>
        </w:rPr>
        <w:t xml:space="preserve"> </w:t>
      </w:r>
      <w:r w:rsidRPr="00C212A9">
        <w:rPr>
          <w:rFonts w:hint="eastAsia"/>
          <w:rtl/>
        </w:rPr>
        <w:t>על</w:t>
      </w:r>
      <w:r w:rsidRPr="00C212A9">
        <w:rPr>
          <w:rtl/>
        </w:rPr>
        <w:t xml:space="preserve"> </w:t>
      </w:r>
      <w:r w:rsidRPr="00C212A9">
        <w:rPr>
          <w:rFonts w:hint="eastAsia"/>
          <w:rtl/>
        </w:rPr>
        <w:t>הסכמי</w:t>
      </w:r>
      <w:r w:rsidRPr="00C212A9">
        <w:rPr>
          <w:rtl/>
        </w:rPr>
        <w:t xml:space="preserve"> </w:t>
      </w:r>
      <w:r w:rsidRPr="00C212A9">
        <w:rPr>
          <w:rFonts w:hint="eastAsia"/>
          <w:rtl/>
        </w:rPr>
        <w:t>רכישת</w:t>
      </w:r>
      <w:r w:rsidRPr="00C212A9">
        <w:rPr>
          <w:rtl/>
        </w:rPr>
        <w:t xml:space="preserve"> </w:t>
      </w:r>
      <w:r w:rsidRPr="00C212A9">
        <w:rPr>
          <w:rFonts w:hint="eastAsia"/>
          <w:rtl/>
        </w:rPr>
        <w:t>הזכויות</w:t>
      </w:r>
      <w:r w:rsidRPr="00C212A9">
        <w:rPr>
          <w:rtl/>
        </w:rPr>
        <w:t xml:space="preserve"> </w:t>
      </w:r>
      <w:r w:rsidRPr="00C212A9">
        <w:rPr>
          <w:rFonts w:hint="eastAsia"/>
          <w:rtl/>
        </w:rPr>
        <w:t>והגישו</w:t>
      </w:r>
      <w:r w:rsidRPr="00C212A9">
        <w:rPr>
          <w:rtl/>
        </w:rPr>
        <w:t xml:space="preserve"> </w:t>
      </w:r>
      <w:r w:rsidRPr="00C212A9">
        <w:rPr>
          <w:rFonts w:hint="eastAsia"/>
          <w:rtl/>
        </w:rPr>
        <w:t>שומות</w:t>
      </w:r>
      <w:r w:rsidRPr="00C212A9">
        <w:rPr>
          <w:rtl/>
        </w:rPr>
        <w:t xml:space="preserve"> </w:t>
      </w:r>
      <w:r w:rsidRPr="00C212A9">
        <w:rPr>
          <w:rFonts w:hint="eastAsia"/>
          <w:rtl/>
        </w:rPr>
        <w:t>עצמיות</w:t>
      </w:r>
      <w:r w:rsidRPr="00C212A9">
        <w:rPr>
          <w:rtl/>
        </w:rPr>
        <w:t xml:space="preserve"> </w:t>
      </w:r>
      <w:r w:rsidRPr="00C212A9">
        <w:rPr>
          <w:rFonts w:hint="eastAsia"/>
          <w:rtl/>
        </w:rPr>
        <w:t>למס</w:t>
      </w:r>
      <w:r w:rsidRPr="00C212A9">
        <w:rPr>
          <w:rtl/>
        </w:rPr>
        <w:t xml:space="preserve"> </w:t>
      </w:r>
      <w:r w:rsidRPr="00C212A9">
        <w:rPr>
          <w:rFonts w:hint="eastAsia"/>
          <w:rtl/>
        </w:rPr>
        <w:t>רכישה</w:t>
      </w:r>
      <w:r w:rsidRPr="00C212A9">
        <w:rPr>
          <w:rtl/>
        </w:rPr>
        <w:t xml:space="preserve">, </w:t>
      </w:r>
      <w:r w:rsidRPr="00C212A9">
        <w:rPr>
          <w:rFonts w:hint="eastAsia"/>
          <w:rtl/>
        </w:rPr>
        <w:t>במסגרתן</w:t>
      </w:r>
      <w:r w:rsidRPr="00C212A9">
        <w:rPr>
          <w:rtl/>
        </w:rPr>
        <w:t xml:space="preserve"> </w:t>
      </w:r>
      <w:r w:rsidRPr="00C212A9">
        <w:rPr>
          <w:rFonts w:hint="eastAsia"/>
          <w:rtl/>
        </w:rPr>
        <w:t>הפחיתו</w:t>
      </w:r>
      <w:r w:rsidRPr="00C212A9">
        <w:rPr>
          <w:rtl/>
        </w:rPr>
        <w:t xml:space="preserve"> </w:t>
      </w:r>
      <w:r w:rsidRPr="00C212A9">
        <w:rPr>
          <w:rFonts w:hint="eastAsia"/>
          <w:rtl/>
        </w:rPr>
        <w:t>את</w:t>
      </w:r>
      <w:r w:rsidRPr="00C212A9">
        <w:rPr>
          <w:rtl/>
        </w:rPr>
        <w:t xml:space="preserve"> </w:t>
      </w:r>
      <w:r w:rsidRPr="00C212A9">
        <w:rPr>
          <w:rFonts w:hint="eastAsia"/>
          <w:rtl/>
        </w:rPr>
        <w:t>עלויות</w:t>
      </w:r>
      <w:r w:rsidRPr="00C212A9">
        <w:rPr>
          <w:rtl/>
        </w:rPr>
        <w:t xml:space="preserve"> </w:t>
      </w:r>
      <w:r w:rsidRPr="00C212A9">
        <w:rPr>
          <w:rFonts w:hint="eastAsia"/>
          <w:rtl/>
        </w:rPr>
        <w:t>פיתוח</w:t>
      </w:r>
      <w:r w:rsidRPr="00C212A9">
        <w:rPr>
          <w:rtl/>
        </w:rPr>
        <w:t xml:space="preserve"> </w:t>
      </w:r>
      <w:r w:rsidRPr="00C212A9">
        <w:rPr>
          <w:rFonts w:hint="eastAsia"/>
          <w:rtl/>
        </w:rPr>
        <w:t>המקרקעין</w:t>
      </w:r>
      <w:r w:rsidRPr="00C212A9">
        <w:rPr>
          <w:rtl/>
        </w:rPr>
        <w:t xml:space="preserve"> </w:t>
      </w:r>
      <w:r w:rsidRPr="00C212A9">
        <w:rPr>
          <w:rFonts w:hint="eastAsia"/>
          <w:rtl/>
        </w:rPr>
        <w:t>מהסכום</w:t>
      </w:r>
      <w:r w:rsidRPr="00C212A9">
        <w:rPr>
          <w:rtl/>
        </w:rPr>
        <w:t xml:space="preserve"> </w:t>
      </w:r>
      <w:r w:rsidRPr="00C212A9">
        <w:rPr>
          <w:rFonts w:hint="eastAsia"/>
          <w:rtl/>
        </w:rPr>
        <w:t>הכולל</w:t>
      </w:r>
      <w:r w:rsidRPr="00C212A9">
        <w:rPr>
          <w:rtl/>
        </w:rPr>
        <w:t xml:space="preserve"> </w:t>
      </w:r>
      <w:r w:rsidRPr="00C212A9">
        <w:rPr>
          <w:rFonts w:hint="eastAsia"/>
          <w:rtl/>
        </w:rPr>
        <w:t>ששילמו</w:t>
      </w:r>
      <w:r w:rsidRPr="00C212A9">
        <w:rPr>
          <w:rtl/>
        </w:rPr>
        <w:t xml:space="preserve"> </w:t>
      </w:r>
      <w:r w:rsidRPr="00C212A9">
        <w:rPr>
          <w:rFonts w:hint="eastAsia"/>
          <w:rtl/>
        </w:rPr>
        <w:t>בהתאם</w:t>
      </w:r>
      <w:r w:rsidRPr="00C212A9">
        <w:rPr>
          <w:rtl/>
        </w:rPr>
        <w:t xml:space="preserve"> </w:t>
      </w:r>
      <w:r w:rsidRPr="00C212A9">
        <w:rPr>
          <w:rFonts w:hint="eastAsia"/>
          <w:rtl/>
        </w:rPr>
        <w:t>להסכמים</w:t>
      </w:r>
      <w:r w:rsidRPr="00C212A9">
        <w:rPr>
          <w:rtl/>
        </w:rPr>
        <w:t xml:space="preserve">, </w:t>
      </w:r>
      <w:r w:rsidRPr="00C212A9">
        <w:rPr>
          <w:rFonts w:hint="eastAsia"/>
          <w:rtl/>
        </w:rPr>
        <w:t>וזאת</w:t>
      </w:r>
      <w:r w:rsidRPr="00C212A9">
        <w:rPr>
          <w:rtl/>
        </w:rPr>
        <w:t xml:space="preserve"> </w:t>
      </w:r>
      <w:r w:rsidRPr="00C212A9">
        <w:rPr>
          <w:rFonts w:hint="eastAsia"/>
          <w:rtl/>
        </w:rPr>
        <w:t>על</w:t>
      </w:r>
      <w:r w:rsidRPr="00C212A9">
        <w:rPr>
          <w:rtl/>
        </w:rPr>
        <w:t>-</w:t>
      </w:r>
      <w:r w:rsidRPr="00C212A9">
        <w:rPr>
          <w:rFonts w:hint="eastAsia"/>
          <w:rtl/>
        </w:rPr>
        <w:t>פי</w:t>
      </w:r>
      <w:r w:rsidRPr="00C212A9">
        <w:rPr>
          <w:rtl/>
        </w:rPr>
        <w:t xml:space="preserve"> </w:t>
      </w:r>
      <w:r w:rsidRPr="00C212A9">
        <w:rPr>
          <w:rFonts w:hint="eastAsia"/>
          <w:rtl/>
        </w:rPr>
        <w:t>אומדן</w:t>
      </w:r>
      <w:r w:rsidRPr="00C212A9">
        <w:rPr>
          <w:rtl/>
        </w:rPr>
        <w:t xml:space="preserve"> </w:t>
      </w:r>
      <w:r w:rsidRPr="00C212A9">
        <w:rPr>
          <w:rFonts w:hint="eastAsia"/>
          <w:rtl/>
        </w:rPr>
        <w:t>לגבי</w:t>
      </w:r>
      <w:r w:rsidRPr="00C212A9">
        <w:rPr>
          <w:rtl/>
        </w:rPr>
        <w:t xml:space="preserve"> </w:t>
      </w:r>
      <w:r w:rsidRPr="00C212A9">
        <w:rPr>
          <w:rFonts w:hint="eastAsia"/>
          <w:rtl/>
        </w:rPr>
        <w:t>העלות</w:t>
      </w:r>
      <w:r w:rsidRPr="00C212A9">
        <w:rPr>
          <w:rtl/>
        </w:rPr>
        <w:t xml:space="preserve"> </w:t>
      </w:r>
      <w:r w:rsidRPr="00C212A9">
        <w:rPr>
          <w:rFonts w:hint="eastAsia"/>
          <w:rtl/>
        </w:rPr>
        <w:t>העתידית</w:t>
      </w:r>
      <w:r w:rsidRPr="00C212A9">
        <w:rPr>
          <w:rtl/>
        </w:rPr>
        <w:t xml:space="preserve"> </w:t>
      </w:r>
      <w:r w:rsidRPr="00C212A9">
        <w:rPr>
          <w:rFonts w:hint="eastAsia"/>
          <w:rtl/>
        </w:rPr>
        <w:t>של</w:t>
      </w:r>
      <w:r w:rsidRPr="00C212A9">
        <w:rPr>
          <w:rtl/>
        </w:rPr>
        <w:t xml:space="preserve"> </w:t>
      </w:r>
      <w:r w:rsidRPr="00C212A9">
        <w:rPr>
          <w:rFonts w:hint="eastAsia"/>
          <w:rtl/>
        </w:rPr>
        <w:t>עבודות</w:t>
      </w:r>
      <w:r w:rsidRPr="00C212A9">
        <w:rPr>
          <w:rtl/>
        </w:rPr>
        <w:t xml:space="preserve"> </w:t>
      </w:r>
      <w:r w:rsidRPr="00C212A9">
        <w:rPr>
          <w:rFonts w:hint="eastAsia"/>
          <w:rtl/>
        </w:rPr>
        <w:t>הפיתוח</w:t>
      </w:r>
      <w:r w:rsidRPr="00C212A9">
        <w:rPr>
          <w:rtl/>
        </w:rPr>
        <w:t xml:space="preserve"> </w:t>
      </w:r>
      <w:r w:rsidRPr="00C212A9">
        <w:rPr>
          <w:rFonts w:hint="eastAsia"/>
          <w:rtl/>
        </w:rPr>
        <w:t>בכל</w:t>
      </w:r>
      <w:r w:rsidRPr="00C212A9">
        <w:rPr>
          <w:rtl/>
        </w:rPr>
        <w:t xml:space="preserve"> </w:t>
      </w:r>
      <w:r w:rsidRPr="00C212A9">
        <w:rPr>
          <w:rFonts w:hint="eastAsia"/>
          <w:rtl/>
        </w:rPr>
        <w:t>אחד</w:t>
      </w:r>
      <w:r w:rsidRPr="00C212A9">
        <w:rPr>
          <w:rtl/>
        </w:rPr>
        <w:t xml:space="preserve"> </w:t>
      </w:r>
      <w:r w:rsidRPr="00C212A9">
        <w:rPr>
          <w:rFonts w:hint="eastAsia"/>
          <w:rtl/>
        </w:rPr>
        <w:t>מהמתחמים</w:t>
      </w:r>
      <w:r w:rsidRPr="00C212A9">
        <w:rPr>
          <w:rtl/>
        </w:rPr>
        <w:t xml:space="preserve"> </w:t>
      </w:r>
      <w:r w:rsidRPr="00C212A9">
        <w:rPr>
          <w:rFonts w:hint="eastAsia"/>
          <w:rtl/>
        </w:rPr>
        <w:t>שנרכשו</w:t>
      </w:r>
      <w:r w:rsidRPr="00C212A9">
        <w:rPr>
          <w:rtl/>
        </w:rPr>
        <w:t xml:space="preserve"> (</w:t>
      </w:r>
      <w:r w:rsidRPr="00C212A9">
        <w:rPr>
          <w:rFonts w:hint="eastAsia"/>
          <w:rtl/>
        </w:rPr>
        <w:t>כך</w:t>
      </w:r>
      <w:r w:rsidRPr="00C212A9">
        <w:rPr>
          <w:rtl/>
        </w:rPr>
        <w:t xml:space="preserve"> </w:t>
      </w:r>
      <w:r w:rsidRPr="00C212A9">
        <w:rPr>
          <w:rFonts w:hint="eastAsia"/>
          <w:rtl/>
        </w:rPr>
        <w:t>שעלות</w:t>
      </w:r>
      <w:r w:rsidRPr="00C212A9">
        <w:rPr>
          <w:rtl/>
        </w:rPr>
        <w:t xml:space="preserve"> </w:t>
      </w:r>
      <w:r w:rsidRPr="00C212A9">
        <w:rPr>
          <w:rFonts w:hint="eastAsia"/>
          <w:rtl/>
        </w:rPr>
        <w:t>רכישת</w:t>
      </w:r>
      <w:r w:rsidRPr="00C212A9">
        <w:rPr>
          <w:rtl/>
        </w:rPr>
        <w:t xml:space="preserve"> </w:t>
      </w:r>
      <w:r>
        <w:rPr>
          <w:rFonts w:hint="eastAsia"/>
          <w:rtl/>
        </w:rPr>
        <w:t>ה</w:t>
      </w:r>
      <w:r>
        <w:rPr>
          <w:rFonts w:hint="cs"/>
          <w:rtl/>
        </w:rPr>
        <w:t>מתחמים</w:t>
      </w:r>
      <w:r w:rsidRPr="00C212A9">
        <w:rPr>
          <w:rtl/>
        </w:rPr>
        <w:t xml:space="preserve">, </w:t>
      </w:r>
      <w:r w:rsidRPr="00C212A9">
        <w:rPr>
          <w:rFonts w:hint="eastAsia"/>
          <w:rtl/>
        </w:rPr>
        <w:t>ללא</w:t>
      </w:r>
      <w:r w:rsidRPr="00C212A9">
        <w:rPr>
          <w:rtl/>
        </w:rPr>
        <w:t xml:space="preserve"> </w:t>
      </w:r>
      <w:r w:rsidRPr="00C212A9">
        <w:rPr>
          <w:rFonts w:hint="eastAsia"/>
          <w:rtl/>
        </w:rPr>
        <w:t>הוצאות</w:t>
      </w:r>
      <w:r w:rsidRPr="00C212A9">
        <w:rPr>
          <w:rtl/>
        </w:rPr>
        <w:t xml:space="preserve"> </w:t>
      </w:r>
      <w:r w:rsidRPr="00C212A9">
        <w:rPr>
          <w:rFonts w:hint="eastAsia"/>
          <w:rtl/>
        </w:rPr>
        <w:t>הפיתוח</w:t>
      </w:r>
      <w:r w:rsidRPr="00C212A9">
        <w:rPr>
          <w:rtl/>
        </w:rPr>
        <w:t xml:space="preserve">, </w:t>
      </w:r>
      <w:r>
        <w:rPr>
          <w:rFonts w:hint="cs"/>
          <w:rtl/>
        </w:rPr>
        <w:t>על-פי דיווחי</w:t>
      </w:r>
      <w:r w:rsidRPr="00C212A9">
        <w:rPr>
          <w:rtl/>
        </w:rPr>
        <w:t xml:space="preserve"> </w:t>
      </w:r>
      <w:r w:rsidRPr="00C212A9">
        <w:rPr>
          <w:rFonts w:hint="eastAsia"/>
          <w:rtl/>
        </w:rPr>
        <w:t>המשיבה</w:t>
      </w:r>
      <w:r w:rsidRPr="00C212A9">
        <w:rPr>
          <w:rtl/>
        </w:rPr>
        <w:t xml:space="preserve"> 1 </w:t>
      </w:r>
      <w:r>
        <w:rPr>
          <w:rFonts w:ascii="Century" w:hAnsi="Century" w:hint="cs"/>
          <w:rtl/>
        </w:rPr>
        <w:t>עמדה על סך של</w:t>
      </w:r>
      <w:r w:rsidRPr="000F26BF">
        <w:rPr>
          <w:rFonts w:ascii="Century" w:hAnsi="Century" w:hint="cs"/>
          <w:rtl/>
        </w:rPr>
        <w:t xml:space="preserve"> </w:t>
      </w:r>
      <w:r w:rsidRPr="000F26BF">
        <w:rPr>
          <w:rFonts w:ascii="Century" w:hAnsi="Century" w:hint="cs"/>
          <w:rtl/>
        </w:rPr>
        <w:lastRenderedPageBreak/>
        <w:t xml:space="preserve">114,829,890 </w:t>
      </w:r>
      <w:r w:rsidRPr="00512421">
        <w:rPr>
          <w:rFonts w:ascii="Century" w:hAnsi="Century" w:hint="cs"/>
          <w:rtl/>
        </w:rPr>
        <w:t>ש"</w:t>
      </w:r>
      <w:r w:rsidRPr="00A3119A">
        <w:rPr>
          <w:rFonts w:ascii="Century" w:hAnsi="Century" w:hint="cs"/>
          <w:rtl/>
        </w:rPr>
        <w:t>ח</w:t>
      </w:r>
      <w:r w:rsidRPr="00CF2BAF">
        <w:rPr>
          <w:rFonts w:ascii="Century" w:hAnsi="Century"/>
          <w:rtl/>
        </w:rPr>
        <w:t xml:space="preserve">; </w:t>
      </w:r>
      <w:r>
        <w:rPr>
          <w:rFonts w:ascii="Century" w:hAnsi="Century" w:hint="cs"/>
          <w:rtl/>
        </w:rPr>
        <w:t xml:space="preserve">על-פי דיווחי </w:t>
      </w:r>
      <w:r w:rsidRPr="00C212A9">
        <w:rPr>
          <w:rFonts w:hint="eastAsia"/>
          <w:rtl/>
        </w:rPr>
        <w:t>המשיבה</w:t>
      </w:r>
      <w:r w:rsidRPr="00C212A9">
        <w:rPr>
          <w:rtl/>
        </w:rPr>
        <w:t xml:space="preserve"> 2 </w:t>
      </w:r>
      <w:r>
        <w:rPr>
          <w:rFonts w:hint="cs"/>
          <w:rtl/>
        </w:rPr>
        <w:t>העלות עמדה על סך של</w:t>
      </w:r>
      <w:r w:rsidRPr="00C212A9">
        <w:rPr>
          <w:rtl/>
        </w:rPr>
        <w:t xml:space="preserve"> 62,820,142 </w:t>
      </w:r>
      <w:r w:rsidRPr="00C212A9">
        <w:rPr>
          <w:rFonts w:hint="eastAsia"/>
          <w:rtl/>
        </w:rPr>
        <w:t>ש</w:t>
      </w:r>
      <w:r w:rsidRPr="00C212A9">
        <w:rPr>
          <w:rtl/>
        </w:rPr>
        <w:t>"</w:t>
      </w:r>
      <w:r w:rsidRPr="00C212A9">
        <w:rPr>
          <w:rFonts w:hint="eastAsia"/>
          <w:rtl/>
        </w:rPr>
        <w:t>ח</w:t>
      </w:r>
      <w:r w:rsidRPr="00C212A9">
        <w:rPr>
          <w:rtl/>
        </w:rPr>
        <w:t xml:space="preserve">; </w:t>
      </w:r>
      <w:r>
        <w:rPr>
          <w:rFonts w:hint="cs"/>
          <w:rtl/>
        </w:rPr>
        <w:t xml:space="preserve">והעלות על-פי דיווחי </w:t>
      </w:r>
      <w:r w:rsidRPr="00C212A9">
        <w:rPr>
          <w:rFonts w:hint="eastAsia"/>
          <w:rtl/>
        </w:rPr>
        <w:t>המשיבה</w:t>
      </w:r>
      <w:r w:rsidRPr="00C212A9">
        <w:rPr>
          <w:rtl/>
        </w:rPr>
        <w:t xml:space="preserve"> 3 </w:t>
      </w:r>
      <w:r>
        <w:rPr>
          <w:rFonts w:hint="cs"/>
          <w:rtl/>
        </w:rPr>
        <w:t>עמדה על סך של</w:t>
      </w:r>
      <w:r w:rsidRPr="00C212A9">
        <w:rPr>
          <w:rtl/>
        </w:rPr>
        <w:t xml:space="preserve"> 22,965,153 </w:t>
      </w:r>
      <w:r w:rsidRPr="00C212A9">
        <w:rPr>
          <w:rFonts w:hint="eastAsia"/>
          <w:rtl/>
        </w:rPr>
        <w:t>ש</w:t>
      </w:r>
      <w:r w:rsidRPr="00C212A9">
        <w:rPr>
          <w:rtl/>
        </w:rPr>
        <w:t>"</w:t>
      </w:r>
      <w:r w:rsidRPr="00C212A9">
        <w:rPr>
          <w:rFonts w:hint="eastAsia"/>
          <w:rtl/>
        </w:rPr>
        <w:t>ח</w:t>
      </w:r>
      <w:r w:rsidRPr="00C212A9">
        <w:rPr>
          <w:rtl/>
        </w:rPr>
        <w:t xml:space="preserve">; </w:t>
      </w:r>
      <w:r w:rsidRPr="00C212A9">
        <w:rPr>
          <w:rFonts w:hint="eastAsia"/>
          <w:rtl/>
        </w:rPr>
        <w:t>ראו</w:t>
      </w:r>
      <w:r w:rsidRPr="008620E5">
        <w:rPr>
          <w:rtl/>
        </w:rPr>
        <w:t xml:space="preserve"> </w:t>
      </w:r>
      <w:r w:rsidRPr="008620E5">
        <w:rPr>
          <w:rFonts w:hint="eastAsia"/>
          <w:rtl/>
        </w:rPr>
        <w:t>בהתאמה</w:t>
      </w:r>
      <w:r w:rsidRPr="000F26BF">
        <w:rPr>
          <w:rFonts w:ascii="Century" w:hAnsi="Century" w:hint="cs"/>
          <w:rtl/>
        </w:rPr>
        <w:t xml:space="preserve">: נספחים י'1-י'4; </w:t>
      </w:r>
      <w:r w:rsidRPr="00512421">
        <w:rPr>
          <w:rFonts w:ascii="Century" w:hAnsi="Century" w:hint="cs"/>
          <w:rtl/>
        </w:rPr>
        <w:t>יא'; יב'1-יב'2 למוצגים מטעם המערער</w:t>
      </w:r>
      <w:r w:rsidRPr="000F26BF">
        <w:rPr>
          <w:rFonts w:ascii="Century" w:hAnsi="Century" w:hint="cs"/>
          <w:rtl/>
        </w:rPr>
        <w:t>)</w:t>
      </w:r>
      <w:r w:rsidRPr="000F26BF">
        <w:rPr>
          <w:rFonts w:ascii="Century" w:hAnsi="Century"/>
          <w:rtl/>
        </w:rPr>
        <w:t xml:space="preserve">. </w:t>
      </w:r>
    </w:p>
    <w:p w:rsidR="00A14F89" w:rsidRDefault="00A14F89" w:rsidP="00A14F89">
      <w:pPr>
        <w:pStyle w:val="Ruller41"/>
        <w:rPr>
          <w:rFonts w:ascii="Century" w:hAnsi="Century"/>
          <w:rtl/>
        </w:rPr>
      </w:pPr>
    </w:p>
    <w:p w:rsidR="00A14F89" w:rsidRDefault="00A14F89" w:rsidP="00A14F89">
      <w:pPr>
        <w:pStyle w:val="Ruller41"/>
        <w:rPr>
          <w:rFonts w:ascii="Century" w:hAnsi="Century"/>
          <w:rtl/>
        </w:rPr>
      </w:pPr>
      <w:r>
        <w:rPr>
          <w:rFonts w:ascii="Century" w:hAnsi="Century"/>
          <w:rtl/>
        </w:rPr>
        <w:tab/>
      </w:r>
      <w:r w:rsidRPr="00512421">
        <w:rPr>
          <w:rFonts w:ascii="Century" w:hAnsi="Century" w:hint="eastAsia"/>
          <w:rtl/>
        </w:rPr>
        <w:t>במכתב</w:t>
      </w:r>
      <w:r w:rsidRPr="00512421">
        <w:rPr>
          <w:rFonts w:ascii="Century" w:hAnsi="Century"/>
          <w:rtl/>
        </w:rPr>
        <w:t xml:space="preserve"> </w:t>
      </w:r>
      <w:r w:rsidRPr="00A3119A">
        <w:rPr>
          <w:rFonts w:ascii="Century" w:hAnsi="Century" w:hint="eastAsia"/>
          <w:rtl/>
        </w:rPr>
        <w:t>אשר</w:t>
      </w:r>
      <w:r w:rsidRPr="00CF2BAF">
        <w:rPr>
          <w:rFonts w:ascii="Century" w:hAnsi="Century"/>
          <w:rtl/>
        </w:rPr>
        <w:t xml:space="preserve"> </w:t>
      </w:r>
      <w:r w:rsidRPr="00CF2BAF">
        <w:rPr>
          <w:rFonts w:ascii="Century" w:hAnsi="Century" w:hint="eastAsia"/>
          <w:rtl/>
        </w:rPr>
        <w:t>צורף</w:t>
      </w:r>
      <w:r w:rsidRPr="00C212A9">
        <w:rPr>
          <w:rtl/>
        </w:rPr>
        <w:t xml:space="preserve"> </w:t>
      </w:r>
      <w:r w:rsidRPr="00C212A9">
        <w:rPr>
          <w:rFonts w:hint="eastAsia"/>
          <w:rtl/>
        </w:rPr>
        <w:t>לשומות</w:t>
      </w:r>
      <w:r w:rsidRPr="00C212A9">
        <w:rPr>
          <w:rtl/>
        </w:rPr>
        <w:t xml:space="preserve"> </w:t>
      </w:r>
      <w:r w:rsidRPr="00C212A9">
        <w:rPr>
          <w:rFonts w:hint="eastAsia"/>
          <w:rtl/>
        </w:rPr>
        <w:t>העצמיות</w:t>
      </w:r>
      <w:r w:rsidRPr="00C212A9">
        <w:rPr>
          <w:rtl/>
        </w:rPr>
        <w:t xml:space="preserve"> </w:t>
      </w:r>
      <w:r w:rsidRPr="00C212A9">
        <w:rPr>
          <w:rFonts w:hint="eastAsia"/>
          <w:rtl/>
        </w:rPr>
        <w:t>צוין</w:t>
      </w:r>
      <w:r w:rsidRPr="00C212A9">
        <w:rPr>
          <w:rtl/>
        </w:rPr>
        <w:t xml:space="preserve"> </w:t>
      </w:r>
      <w:r w:rsidRPr="00C212A9">
        <w:rPr>
          <w:rFonts w:hint="eastAsia"/>
          <w:rtl/>
        </w:rPr>
        <w:t>כי</w:t>
      </w:r>
      <w:r w:rsidRPr="00C212A9">
        <w:rPr>
          <w:rtl/>
        </w:rPr>
        <w:t xml:space="preserve"> </w:t>
      </w:r>
      <w:r w:rsidRPr="00C212A9">
        <w:rPr>
          <w:rFonts w:hint="eastAsia"/>
          <w:rtl/>
        </w:rPr>
        <w:t>במסגרת</w:t>
      </w:r>
      <w:r w:rsidRPr="00C212A9">
        <w:rPr>
          <w:rtl/>
        </w:rPr>
        <w:t xml:space="preserve"> </w:t>
      </w:r>
      <w:r w:rsidRPr="00C212A9">
        <w:rPr>
          <w:rFonts w:hint="eastAsia"/>
          <w:rtl/>
        </w:rPr>
        <w:t>חישוב</w:t>
      </w:r>
      <w:r>
        <w:rPr>
          <w:rFonts w:hint="cs"/>
          <w:rtl/>
        </w:rPr>
        <w:t>ן פעלו המשיבות</w:t>
      </w:r>
      <w:r w:rsidRPr="00C212A9">
        <w:rPr>
          <w:rtl/>
        </w:rPr>
        <w:t xml:space="preserve"> </w:t>
      </w:r>
      <w:r w:rsidRPr="00C212A9">
        <w:rPr>
          <w:rFonts w:hint="eastAsia"/>
          <w:rtl/>
        </w:rPr>
        <w:t>בהתאם</w:t>
      </w:r>
      <w:r w:rsidRPr="00C212A9">
        <w:rPr>
          <w:rtl/>
        </w:rPr>
        <w:t xml:space="preserve"> </w:t>
      </w:r>
      <w:r w:rsidRPr="00C212A9">
        <w:rPr>
          <w:rFonts w:hint="eastAsia"/>
          <w:rtl/>
        </w:rPr>
        <w:t>להלכה</w:t>
      </w:r>
      <w:r w:rsidRPr="00C212A9">
        <w:rPr>
          <w:rtl/>
        </w:rPr>
        <w:t xml:space="preserve"> </w:t>
      </w:r>
      <w:r w:rsidRPr="00C212A9">
        <w:rPr>
          <w:rFonts w:hint="eastAsia"/>
          <w:rtl/>
        </w:rPr>
        <w:t>הפסוקה</w:t>
      </w:r>
      <w:r w:rsidRPr="00C212A9">
        <w:rPr>
          <w:rtl/>
        </w:rPr>
        <w:t xml:space="preserve"> </w:t>
      </w:r>
      <w:r w:rsidRPr="00C212A9">
        <w:rPr>
          <w:rFonts w:hint="eastAsia"/>
          <w:rtl/>
        </w:rPr>
        <w:t>ובהתאם</w:t>
      </w:r>
      <w:r w:rsidRPr="009B4897">
        <w:rPr>
          <w:rFonts w:ascii="Century" w:hAnsi="Century" w:hint="cs"/>
          <w:rtl/>
        </w:rPr>
        <w:t xml:space="preserve"> למכתב הנחיה</w:t>
      </w:r>
      <w:r>
        <w:rPr>
          <w:rFonts w:ascii="Century" w:hAnsi="Century" w:hint="cs"/>
          <w:rtl/>
        </w:rPr>
        <w:t xml:space="preserve"> ש</w:t>
      </w:r>
      <w:r w:rsidRPr="003053D8">
        <w:rPr>
          <w:rFonts w:ascii="Century" w:hAnsi="Century" w:hint="cs"/>
          <w:rtl/>
        </w:rPr>
        <w:t>ל גב' מיכל סופר, מנהלת המחלקה המקצועית מקרקעין וקבלנים ברשות המיסים</w:t>
      </w:r>
      <w:r>
        <w:rPr>
          <w:rFonts w:ascii="Century" w:hAnsi="Century" w:hint="cs"/>
          <w:rtl/>
        </w:rPr>
        <w:t>,</w:t>
      </w:r>
      <w:r w:rsidRPr="003053D8">
        <w:rPr>
          <w:rFonts w:ascii="Century" w:hAnsi="Century" w:hint="cs"/>
          <w:rtl/>
        </w:rPr>
        <w:t xml:space="preserve"> המציין כי</w:t>
      </w:r>
      <w:r>
        <w:rPr>
          <w:rFonts w:ascii="Century" w:hAnsi="Century" w:hint="cs"/>
          <w:rtl/>
        </w:rPr>
        <w:t>: ״</w:t>
      </w:r>
      <w:r w:rsidRPr="003053D8">
        <w:rPr>
          <w:rFonts w:ascii="Century" w:hAnsi="Century" w:hint="cs"/>
          <w:rtl/>
        </w:rPr>
        <w:t>...שומות מס רכישה יוצאו בגין רכיב הקרקע הנמכרת ורכיב הפיתוח הקיים בפועל ביום המכירה"</w:t>
      </w:r>
      <w:r>
        <w:rPr>
          <w:rFonts w:ascii="Century" w:hAnsi="Century" w:hint="cs"/>
          <w:rtl/>
        </w:rPr>
        <w:t xml:space="preserve"> (להלן: </w:t>
      </w:r>
      <w:r w:rsidRPr="00620854">
        <w:rPr>
          <w:rFonts w:ascii="Century" w:hAnsi="Century" w:cs="Miriam" w:hint="cs"/>
          <w:b/>
          <w:spacing w:val="0"/>
          <w:szCs w:val="24"/>
          <w:rtl/>
        </w:rPr>
        <w:t>מכתב ההנחיה</w:t>
      </w:r>
      <w:r>
        <w:rPr>
          <w:rFonts w:ascii="Century" w:hAnsi="Century" w:hint="cs"/>
          <w:rtl/>
        </w:rPr>
        <w:t>)</w:t>
      </w:r>
      <w:r w:rsidRPr="003053D8">
        <w:rPr>
          <w:rFonts w:ascii="Century" w:hAnsi="Century" w:hint="cs"/>
          <w:rtl/>
        </w:rPr>
        <w:t xml:space="preserve">. </w:t>
      </w:r>
      <w:r>
        <w:rPr>
          <w:rFonts w:ascii="Century" w:hAnsi="Century" w:hint="cs"/>
          <w:rtl/>
        </w:rPr>
        <w:t xml:space="preserve">יצוין כי מכתב ההנחיה נשלח למשרדי השומה השונים. </w:t>
      </w:r>
    </w:p>
    <w:p w:rsidR="00A14F89" w:rsidRDefault="00A14F89" w:rsidP="00A14F89">
      <w:pPr>
        <w:pStyle w:val="Ruller41"/>
        <w:rPr>
          <w:rFonts w:ascii="Century" w:hAnsi="Century"/>
          <w:rtl/>
        </w:rPr>
      </w:pPr>
    </w:p>
    <w:p w:rsidR="00A14F89" w:rsidRDefault="00A14F89" w:rsidP="00A14F89">
      <w:pPr>
        <w:pStyle w:val="Ruller41"/>
        <w:rPr>
          <w:rFonts w:ascii="Century" w:hAnsi="Century"/>
          <w:rtl/>
        </w:rPr>
      </w:pPr>
      <w:r>
        <w:rPr>
          <w:rFonts w:ascii="Century" w:hAnsi="Century" w:hint="cs"/>
          <w:rtl/>
        </w:rPr>
        <w:t>18.</w:t>
      </w:r>
      <w:r>
        <w:rPr>
          <w:rFonts w:ascii="Century" w:hAnsi="Century"/>
          <w:rtl/>
        </w:rPr>
        <w:tab/>
      </w:r>
      <w:r>
        <w:rPr>
          <w:rFonts w:ascii="Century" w:hAnsi="Century" w:hint="cs"/>
          <w:rtl/>
        </w:rPr>
        <w:t xml:space="preserve">בחודש ינואר </w:t>
      </w:r>
      <w:r w:rsidRPr="007A70C7">
        <w:rPr>
          <w:rFonts w:ascii="Century" w:hAnsi="Century" w:hint="cs"/>
          <w:rtl/>
        </w:rPr>
        <w:t xml:space="preserve">2018 דחה המערער את השומות העצמיות של המשיבות וחייב אותן בתשלום מס רכישה בגין מלוא התמורה החוזית, </w:t>
      </w:r>
      <w:r w:rsidRPr="0076595A">
        <w:rPr>
          <w:rFonts w:ascii="Century" w:hAnsi="Century" w:cs="Miriam" w:hint="cs"/>
          <w:b/>
          <w:spacing w:val="0"/>
          <w:szCs w:val="24"/>
          <w:rtl/>
        </w:rPr>
        <w:t>לרבות הוצאות הפיתוח</w:t>
      </w:r>
      <w:r>
        <w:rPr>
          <w:rFonts w:ascii="Century" w:hAnsi="Century" w:hint="cs"/>
          <w:rtl/>
        </w:rPr>
        <w:t xml:space="preserve">. </w:t>
      </w:r>
    </w:p>
    <w:p w:rsidR="00A14F89" w:rsidRDefault="00A14F89" w:rsidP="00A14F89">
      <w:pPr>
        <w:pStyle w:val="Ruller41"/>
        <w:rPr>
          <w:rFonts w:ascii="Century" w:hAnsi="Century"/>
          <w:rtl/>
        </w:rPr>
      </w:pPr>
    </w:p>
    <w:p w:rsidR="00A14F89" w:rsidRDefault="00A14F89" w:rsidP="00A14F89">
      <w:pPr>
        <w:pStyle w:val="Ruller41"/>
        <w:rPr>
          <w:rFonts w:ascii="Century" w:hAnsi="Century"/>
          <w:rtl/>
        </w:rPr>
      </w:pPr>
      <w:r>
        <w:rPr>
          <w:rFonts w:ascii="Century" w:hAnsi="Century"/>
          <w:rtl/>
        </w:rPr>
        <w:tab/>
      </w:r>
      <w:r>
        <w:rPr>
          <w:rFonts w:ascii="Century" w:hAnsi="Century" w:hint="cs"/>
          <w:rtl/>
        </w:rPr>
        <w:t xml:space="preserve">בהשגות שהגישו המשיבות על השומות האמורות, נטען כי שומות המערער עומדות בסתירה להלכה הפסוקה ומבטאות שינוי מדיניות רטרואקטיבי של המערער, זאת בעקבות עמדתו הפומבית של המערער אשר פורסמה בהוראת ביצוע מס' 28/97 בה נקבע כי </w:t>
      </w:r>
      <w:r w:rsidRPr="001444F7">
        <w:rPr>
          <w:rFonts w:ascii="Century" w:hAnsi="Century" w:cs="Miriam" w:hint="cs"/>
          <w:b/>
          <w:spacing w:val="0"/>
          <w:szCs w:val="24"/>
          <w:rtl/>
        </w:rPr>
        <w:t>אין לכלול את הוצאות הפיתוח בשווי לצורך מס הרכישה</w:t>
      </w:r>
      <w:r>
        <w:rPr>
          <w:rFonts w:ascii="Century" w:hAnsi="Century" w:hint="cs"/>
          <w:rtl/>
        </w:rPr>
        <w:t xml:space="preserve"> כאשר "הקרקע הנמכרת אינה מפותחת והרוכש יחליט לאחר רכישתה אם לפתחה" או כאשר "הקרקע הנמכרת אינה מפותחת, אולם המוכר מקבל על עצמו לפתח את הקרקע תמורת סכום מסוים, בנוסף לתמורה שהוא מקבל עבור הקרקע הלא מפותחת ...". עוד מצוין בהוראת הביצוע כי "המקרה בו יש לכלול את הוצאות הפיתוח בשווי לצורך תשלום מס רכישה הוא כאשר </w:t>
      </w:r>
      <w:r w:rsidRPr="002E6E44">
        <w:rPr>
          <w:rFonts w:ascii="Century" w:hAnsi="Century" w:hint="eastAsia"/>
          <w:rtl/>
        </w:rPr>
        <w:t>ב</w:t>
      </w:r>
      <w:r>
        <w:rPr>
          <w:rFonts w:ascii="Century" w:hAnsi="Century" w:hint="cs"/>
          <w:rtl/>
        </w:rPr>
        <w:t>מועד מכירת הזכות במקרקעין כבר קיים הפיתוח בפועל ..."</w:t>
      </w:r>
      <w:r w:rsidRPr="00BE51F3">
        <w:rPr>
          <w:rFonts w:ascii="Century" w:hAnsi="Century" w:hint="cs"/>
          <w:rtl/>
        </w:rPr>
        <w:t xml:space="preserve"> </w:t>
      </w:r>
      <w:r>
        <w:rPr>
          <w:rFonts w:ascii="Century" w:hAnsi="Century" w:hint="cs"/>
          <w:rtl/>
        </w:rPr>
        <w:t xml:space="preserve">(להלן: </w:t>
      </w:r>
      <w:r w:rsidRPr="00A2321D">
        <w:rPr>
          <w:rFonts w:ascii="Century" w:hAnsi="Century" w:cs="Miriam" w:hint="eastAsia"/>
          <w:b/>
          <w:spacing w:val="0"/>
          <w:szCs w:val="24"/>
          <w:rtl/>
        </w:rPr>
        <w:t>הוראת</w:t>
      </w:r>
      <w:r w:rsidRPr="00A2321D">
        <w:rPr>
          <w:rFonts w:ascii="Century" w:hAnsi="Century" w:cs="Miriam"/>
          <w:b/>
          <w:spacing w:val="0"/>
          <w:szCs w:val="24"/>
          <w:rtl/>
        </w:rPr>
        <w:t xml:space="preserve"> </w:t>
      </w:r>
      <w:r w:rsidRPr="00A2321D">
        <w:rPr>
          <w:rFonts w:ascii="Century" w:hAnsi="Century" w:cs="Miriam" w:hint="eastAsia"/>
          <w:b/>
          <w:spacing w:val="0"/>
          <w:szCs w:val="24"/>
          <w:rtl/>
        </w:rPr>
        <w:t>הביצוע</w:t>
      </w:r>
      <w:r>
        <w:rPr>
          <w:rFonts w:ascii="Century" w:hAnsi="Century" w:hint="cs"/>
          <w:rtl/>
        </w:rPr>
        <w:t xml:space="preserve">). </w:t>
      </w:r>
    </w:p>
    <w:p w:rsidR="00A14F89" w:rsidRDefault="00A14F89" w:rsidP="00A14F89">
      <w:pPr>
        <w:pStyle w:val="Ruller41"/>
        <w:rPr>
          <w:rFonts w:ascii="Century" w:hAnsi="Century"/>
          <w:rtl/>
        </w:rPr>
      </w:pPr>
    </w:p>
    <w:p w:rsidR="00A14F89" w:rsidRDefault="00A14F89" w:rsidP="00A14F89">
      <w:pPr>
        <w:pStyle w:val="Ruller41"/>
        <w:rPr>
          <w:rFonts w:ascii="Century" w:hAnsi="Century"/>
          <w:rtl/>
        </w:rPr>
      </w:pPr>
      <w:r>
        <w:rPr>
          <w:rFonts w:ascii="Century" w:hAnsi="Century" w:hint="cs"/>
          <w:rtl/>
        </w:rPr>
        <w:t>19.</w:t>
      </w:r>
      <w:r>
        <w:rPr>
          <w:rFonts w:ascii="Century" w:hAnsi="Century"/>
          <w:rtl/>
        </w:rPr>
        <w:tab/>
      </w:r>
      <w:r>
        <w:rPr>
          <w:rFonts w:ascii="Century" w:hAnsi="Century" w:hint="cs"/>
          <w:rtl/>
        </w:rPr>
        <w:t xml:space="preserve">ואולם, ההשגות שהוגשו על-ידי </w:t>
      </w:r>
      <w:r w:rsidRPr="00DD570E">
        <w:rPr>
          <w:rFonts w:ascii="Century" w:hAnsi="Century" w:hint="cs"/>
          <w:rtl/>
        </w:rPr>
        <w:t xml:space="preserve">המשיבות נדחו. בהחלטת המערער צוין כי חלה התפתחות בפסיקה ביחס לשאלה הנדונה, וכי יישום העקרונות שנקבעו בפסיקה החדשה על עניינן של המשיבות מוביל למסקנה כי יש לכלול בשווי המכירה עליו מוטל מס הרכישה </w:t>
      </w:r>
      <w:r>
        <w:rPr>
          <w:rFonts w:ascii="Century" w:hAnsi="Century" w:hint="cs"/>
          <w:rtl/>
        </w:rPr>
        <w:t xml:space="preserve">אף </w:t>
      </w:r>
      <w:r w:rsidRPr="00DD570E">
        <w:rPr>
          <w:rFonts w:ascii="Century" w:hAnsi="Century" w:hint="cs"/>
          <w:rtl/>
        </w:rPr>
        <w:t>את הוצאות הפיתוח בהן התחייבו המשיבות לשאת ואשר נכללות בתמורה החוזית עבור הזכות במקרקעין שרכשו.</w:t>
      </w:r>
      <w:r>
        <w:rPr>
          <w:rFonts w:ascii="Century" w:hAnsi="Century" w:hint="cs"/>
          <w:rtl/>
        </w:rPr>
        <w:t xml:space="preserve"> </w:t>
      </w:r>
    </w:p>
    <w:p w:rsidR="00A14F89" w:rsidRDefault="00A14F89" w:rsidP="00A14F89">
      <w:pPr>
        <w:pStyle w:val="Ruller41"/>
        <w:rPr>
          <w:rFonts w:ascii="Century" w:hAnsi="Century"/>
          <w:rtl/>
        </w:rPr>
      </w:pPr>
    </w:p>
    <w:p w:rsidR="00A14F89" w:rsidRDefault="00A14F89" w:rsidP="00A14F89">
      <w:pPr>
        <w:pStyle w:val="Ruller41"/>
        <w:rPr>
          <w:rFonts w:ascii="Century" w:hAnsi="Century"/>
          <w:rtl/>
        </w:rPr>
      </w:pPr>
      <w:r>
        <w:rPr>
          <w:rFonts w:ascii="Century" w:hAnsi="Century"/>
          <w:rtl/>
        </w:rPr>
        <w:tab/>
      </w:r>
      <w:r>
        <w:rPr>
          <w:rFonts w:ascii="Century" w:hAnsi="Century" w:hint="cs"/>
          <w:rtl/>
        </w:rPr>
        <w:t xml:space="preserve">המשיבות הגישו ערר על החלטת המערער לוועדת הערר. </w:t>
      </w:r>
    </w:p>
    <w:p w:rsidR="00A14F89" w:rsidRDefault="00A14F89" w:rsidP="00A14F89">
      <w:pPr>
        <w:pStyle w:val="Ruller41"/>
        <w:rPr>
          <w:rtl/>
        </w:rPr>
      </w:pPr>
    </w:p>
    <w:p w:rsidR="00EC0E24" w:rsidRDefault="00EC0E24" w:rsidP="00A14F89">
      <w:pPr>
        <w:pStyle w:val="Ruller41"/>
        <w:rPr>
          <w:rtl/>
        </w:rPr>
      </w:pPr>
    </w:p>
    <w:p w:rsidR="00EC0E24" w:rsidRDefault="00EC0E24" w:rsidP="00A14F89">
      <w:pPr>
        <w:pStyle w:val="Ruller41"/>
        <w:rPr>
          <w:rtl/>
        </w:rPr>
      </w:pPr>
    </w:p>
    <w:p w:rsidR="00EC0E24" w:rsidRDefault="00EC0E24" w:rsidP="00A14F89">
      <w:pPr>
        <w:pStyle w:val="Ruller41"/>
        <w:rPr>
          <w:rtl/>
        </w:rPr>
      </w:pPr>
    </w:p>
    <w:p w:rsidR="00A14F89" w:rsidRDefault="00A14F89" w:rsidP="00A14F89">
      <w:pPr>
        <w:pStyle w:val="Ruller41"/>
        <w:rPr>
          <w:rFonts w:ascii="Century" w:hAnsi="Century" w:cs="Miriam"/>
          <w:b/>
          <w:spacing w:val="0"/>
          <w:szCs w:val="24"/>
          <w:rtl/>
        </w:rPr>
      </w:pPr>
      <w:r>
        <w:rPr>
          <w:rFonts w:ascii="Century" w:hAnsi="Century" w:cs="Miriam" w:hint="cs"/>
          <w:b/>
          <w:spacing w:val="0"/>
          <w:szCs w:val="24"/>
          <w:rtl/>
        </w:rPr>
        <w:lastRenderedPageBreak/>
        <w:t>פסק הדין של ועד</w:t>
      </w:r>
      <w:r w:rsidRPr="00B40687">
        <w:rPr>
          <w:rFonts w:ascii="Century" w:hAnsi="Century" w:cs="Miriam" w:hint="cs"/>
          <w:b/>
          <w:spacing w:val="0"/>
          <w:szCs w:val="24"/>
          <w:rtl/>
        </w:rPr>
        <w:t xml:space="preserve">ת הערר </w:t>
      </w:r>
      <w:r>
        <w:rPr>
          <w:rFonts w:ascii="Century" w:hAnsi="Century" w:cs="Miriam" w:hint="cs"/>
          <w:b/>
          <w:spacing w:val="0"/>
          <w:szCs w:val="24"/>
          <w:rtl/>
        </w:rPr>
        <w:t>בעניין שיכון ובינוי</w:t>
      </w:r>
    </w:p>
    <w:p w:rsidR="00A14F89" w:rsidRPr="004B272F" w:rsidRDefault="00A14F89" w:rsidP="00A14F89">
      <w:pPr>
        <w:pStyle w:val="Ruller41"/>
        <w:rPr>
          <w:rFonts w:ascii="Century" w:hAnsi="Century" w:cs="Miriam"/>
          <w:b/>
          <w:spacing w:val="0"/>
          <w:szCs w:val="24"/>
          <w:rtl/>
        </w:rPr>
      </w:pPr>
    </w:p>
    <w:p w:rsidR="00A14F89" w:rsidRDefault="00A14F89" w:rsidP="00A14F89">
      <w:pPr>
        <w:pStyle w:val="Ruller41"/>
        <w:rPr>
          <w:rFonts w:ascii="Century" w:hAnsi="Century"/>
          <w:rtl/>
        </w:rPr>
      </w:pPr>
      <w:r>
        <w:rPr>
          <w:rFonts w:ascii="Century" w:hAnsi="Century" w:hint="cs"/>
          <w:rtl/>
        </w:rPr>
        <w:t>20.</w:t>
      </w:r>
      <w:r>
        <w:rPr>
          <w:rFonts w:ascii="Century" w:hAnsi="Century"/>
          <w:rtl/>
        </w:rPr>
        <w:tab/>
      </w:r>
      <w:r>
        <w:rPr>
          <w:rFonts w:ascii="Century" w:hAnsi="Century" w:hint="cs"/>
          <w:rtl/>
        </w:rPr>
        <w:t xml:space="preserve">ועדת הערר </w:t>
      </w:r>
      <w:r w:rsidRPr="00D9086A">
        <w:rPr>
          <w:rFonts w:ascii="Century" w:hAnsi="Century" w:hint="cs"/>
          <w:rtl/>
        </w:rPr>
        <w:t xml:space="preserve">קיבלה את </w:t>
      </w:r>
      <w:proofErr w:type="spellStart"/>
      <w:r w:rsidRPr="00D9086A">
        <w:rPr>
          <w:rFonts w:ascii="Century" w:hAnsi="Century" w:hint="eastAsia"/>
          <w:rtl/>
        </w:rPr>
        <w:t>עררן</w:t>
      </w:r>
      <w:proofErr w:type="spellEnd"/>
      <w:r w:rsidRPr="00D9086A">
        <w:rPr>
          <w:rFonts w:ascii="Century" w:hAnsi="Century"/>
          <w:rtl/>
        </w:rPr>
        <w:t xml:space="preserve"> </w:t>
      </w:r>
      <w:r w:rsidRPr="00D9086A">
        <w:rPr>
          <w:rFonts w:ascii="Century" w:hAnsi="Century" w:hint="eastAsia"/>
          <w:rtl/>
        </w:rPr>
        <w:t>של</w:t>
      </w:r>
      <w:r w:rsidRPr="00D9086A">
        <w:rPr>
          <w:rFonts w:ascii="Century" w:hAnsi="Century" w:hint="cs"/>
          <w:rtl/>
        </w:rPr>
        <w:t xml:space="preserve"> המשיבות</w:t>
      </w:r>
      <w:r>
        <w:rPr>
          <w:rFonts w:ascii="Century" w:hAnsi="Century" w:hint="cs"/>
          <w:rtl/>
        </w:rPr>
        <w:t xml:space="preserve">. בתוך כך, נקבע כי ההלכה הפסוקה בסוגיית הכללת הוצאות הפיתוח כחלק משווי המכירה ברורה, וכי כאשר מקרקעין נרכשים בטרם בוצעו בהם עבודות פיתוח, משמעות הדבר היא כי נרכשות שתי זכויות: האחת </w:t>
      </w:r>
      <w:r>
        <w:rPr>
          <w:rFonts w:ascii="Century" w:hAnsi="Century"/>
          <w:rtl/>
        </w:rPr>
        <w:t>–</w:t>
      </w:r>
      <w:r>
        <w:rPr>
          <w:rFonts w:ascii="Century" w:hAnsi="Century" w:hint="cs"/>
          <w:rtl/>
        </w:rPr>
        <w:t xml:space="preserve"> זכות במקרקעין, והשנייה </w:t>
      </w:r>
      <w:r>
        <w:rPr>
          <w:rFonts w:ascii="Century" w:hAnsi="Century"/>
          <w:rtl/>
        </w:rPr>
        <w:t>–</w:t>
      </w:r>
      <w:r>
        <w:rPr>
          <w:rFonts w:ascii="Century" w:hAnsi="Century" w:hint="cs"/>
          <w:rtl/>
        </w:rPr>
        <w:t xml:space="preserve"> הזכות לקבלת שירותים של עבודות פיתוח עתידיות. לפיכך, נקבע כי "עצם העובדה ששולמו הוצאות הפיתוח עוד טרם בוצעו העבודות, או שרכישת שתי הזכויות נעשתה בחוזה אחד, או שנקוב בחוזה סכום אחד כולל, או שהתשלום הוא לגוף אחד ממנו נרכשו שתי הזכויות </w:t>
      </w:r>
      <w:r>
        <w:rPr>
          <w:rFonts w:ascii="Century" w:hAnsi="Century"/>
          <w:rtl/>
        </w:rPr>
        <w:t>–</w:t>
      </w:r>
      <w:r>
        <w:rPr>
          <w:rFonts w:ascii="Century" w:hAnsi="Century" w:hint="cs"/>
          <w:rtl/>
        </w:rPr>
        <w:t xml:space="preserve"> אינו משנה את טיב הזכויות" (פסקה 50 לפסק הדין). בהתאם לכך, נקבע כי על מרכיב הוצאות הפיתוח שלא בוצעו </w:t>
      </w:r>
      <w:r>
        <w:rPr>
          <w:rFonts w:ascii="Century" w:hAnsi="Century"/>
          <w:rtl/>
        </w:rPr>
        <w:t>–</w:t>
      </w:r>
      <w:r>
        <w:rPr>
          <w:rFonts w:ascii="Century" w:hAnsi="Century" w:hint="cs"/>
          <w:rtl/>
        </w:rPr>
        <w:t xml:space="preserve"> אין מקום לשלם מס רכישה. לעומת זאת, כאשר עבודות הפיתוח בוצעו עד מועד הרכישה, הרי שהן הופכות לחלק בלתי נפרד מהמקרקעין </w:t>
      </w:r>
      <w:r>
        <w:rPr>
          <w:rFonts w:ascii="Century" w:hAnsi="Century"/>
          <w:rtl/>
        </w:rPr>
        <w:t>–</w:t>
      </w:r>
      <w:r>
        <w:rPr>
          <w:rFonts w:ascii="Century" w:hAnsi="Century" w:hint="cs"/>
          <w:rtl/>
        </w:rPr>
        <w:t xml:space="preserve"> ושוויין יילקח בחשבון בעת חישוב מס הרכישה. ועדת הערר הוסיפה כי ניסיונו של המערער לערוך הבחנות שונות בין עסקאות, חלף היצמדות למבחן הפשוט האמור שנקבע בפסיקה, עלול לפגוע בעיקרון הפשטות, הבהירות והוודאות של דיני המס, וכן להוביל נישומים שונים לתכנוני מס לא רצויים. </w:t>
      </w:r>
    </w:p>
    <w:p w:rsidR="00A14F89" w:rsidRDefault="00A14F89" w:rsidP="00A14F89">
      <w:pPr>
        <w:pStyle w:val="Ruller41"/>
        <w:rPr>
          <w:rFonts w:ascii="Century" w:hAnsi="Century"/>
          <w:rtl/>
        </w:rPr>
      </w:pPr>
    </w:p>
    <w:p w:rsidR="00A14F89" w:rsidRDefault="00A14F89" w:rsidP="00A14F89">
      <w:pPr>
        <w:pStyle w:val="Ruller41"/>
        <w:rPr>
          <w:rFonts w:ascii="Century" w:hAnsi="Century"/>
          <w:rtl/>
        </w:rPr>
      </w:pPr>
      <w:r>
        <w:rPr>
          <w:rFonts w:ascii="Century" w:hAnsi="Century" w:hint="cs"/>
          <w:rtl/>
        </w:rPr>
        <w:t>21.</w:t>
      </w:r>
      <w:r>
        <w:rPr>
          <w:rFonts w:ascii="Century" w:hAnsi="Century" w:hint="cs"/>
          <w:rtl/>
        </w:rPr>
        <w:tab/>
        <w:t xml:space="preserve">ועדת הערר דחתה אף את עמדתו של המערער ביחס למהות העסקה הנדונה לאור העובדה שהמשיבות חתמו על הסכם אחד ובמסגרתו התחייבו לשלם תמורה כוללת הן עבור רכישת הזכויות במקרקעין והן עבור פיתוחן, מבלי להבחין בין העלויות של כל אחד מהרכיבים האמורים. בתוך כך, נקבע כי בין אם מדובר בהסכם אחד, העוסק הן ברכישת הזכויות במקרקעין והן בפיתוח המקרקעין, ובין אם מדובר בשני הסכמים נפרדים </w:t>
      </w:r>
      <w:r>
        <w:rPr>
          <w:rFonts w:ascii="Century" w:hAnsi="Century"/>
          <w:rtl/>
        </w:rPr>
        <w:t>–</w:t>
      </w:r>
      <w:r>
        <w:rPr>
          <w:rFonts w:ascii="Century" w:hAnsi="Century" w:hint="cs"/>
          <w:rtl/>
        </w:rPr>
        <w:t xml:space="preserve"> הרי שכל עוד המקרקעין אינם מפותחים בעת החתימה על הסכם הרכישה, אזי הזכות הנמכרת היא זכות במקרקעין שאינם מפותחים. ועדת הערר אף ייחסה משקל לעובדה שההסכמים נוסחו על-ידי </w:t>
      </w:r>
      <w:proofErr w:type="spellStart"/>
      <w:r>
        <w:rPr>
          <w:rFonts w:ascii="Century" w:hAnsi="Century" w:hint="cs"/>
          <w:rtl/>
        </w:rPr>
        <w:t>החפ"ק</w:t>
      </w:r>
      <w:proofErr w:type="spellEnd"/>
      <w:r>
        <w:rPr>
          <w:rFonts w:ascii="Century" w:hAnsi="Century" w:hint="cs"/>
          <w:rtl/>
        </w:rPr>
        <w:t xml:space="preserve">, מבלי שלמשיבות הייתה יכולת להביע דעה או להתנגד למתווה שנקבע </w:t>
      </w:r>
      <w:r>
        <w:rPr>
          <w:rFonts w:ascii="Century" w:hAnsi="Century"/>
          <w:rtl/>
        </w:rPr>
        <w:t>–</w:t>
      </w:r>
      <w:r>
        <w:rPr>
          <w:rFonts w:ascii="Century" w:hAnsi="Century" w:hint="cs"/>
          <w:rtl/>
        </w:rPr>
        <w:t xml:space="preserve"> כלומר, להסכם אחד ולסכום כולל. כן נקבע, כי העובדה שבמסמכי הבהרות שהוציאה </w:t>
      </w:r>
      <w:proofErr w:type="spellStart"/>
      <w:r>
        <w:rPr>
          <w:rFonts w:ascii="Century" w:hAnsi="Century" w:hint="cs"/>
          <w:rtl/>
        </w:rPr>
        <w:t>החפ"ק</w:t>
      </w:r>
      <w:proofErr w:type="spellEnd"/>
      <w:r>
        <w:rPr>
          <w:rFonts w:ascii="Century" w:hAnsi="Century" w:hint="cs"/>
          <w:rtl/>
        </w:rPr>
        <w:t xml:space="preserve"> ובפרסום השיווקי של הפרויקט צוין כי הממכר הוא "מגרש מפותח" אף היא אינה מעלה או מורידה לעניין המסקנה האמורה, שכן המסמכים המחייבים הם המסמכים המשפטיים, ובראשם הסכם רכישת הזכויות על כל נספחיו, ולא פרשנות משפטית חד צדדית של </w:t>
      </w:r>
      <w:proofErr w:type="spellStart"/>
      <w:r>
        <w:rPr>
          <w:rFonts w:ascii="Century" w:hAnsi="Century" w:hint="cs"/>
          <w:rtl/>
        </w:rPr>
        <w:t>החפ"ק</w:t>
      </w:r>
      <w:proofErr w:type="spellEnd"/>
      <w:r>
        <w:rPr>
          <w:rFonts w:ascii="Century" w:hAnsi="Century" w:hint="cs"/>
          <w:rtl/>
        </w:rPr>
        <w:t xml:space="preserve"> או הבטחות שיווקיות מצדה.</w:t>
      </w:r>
    </w:p>
    <w:p w:rsidR="00A14F89" w:rsidRDefault="00A14F89" w:rsidP="00A14F89">
      <w:pPr>
        <w:pStyle w:val="Ruller41"/>
        <w:rPr>
          <w:rFonts w:ascii="Century" w:hAnsi="Century"/>
          <w:rtl/>
        </w:rPr>
      </w:pPr>
    </w:p>
    <w:p w:rsidR="00A14F89" w:rsidRDefault="00A14F89" w:rsidP="00A14F89">
      <w:pPr>
        <w:pStyle w:val="Ruller41"/>
        <w:rPr>
          <w:rFonts w:ascii="Century" w:hAnsi="Century"/>
          <w:rtl/>
        </w:rPr>
      </w:pPr>
      <w:r>
        <w:rPr>
          <w:rFonts w:ascii="Century" w:hAnsi="Century" w:hint="cs"/>
          <w:rtl/>
        </w:rPr>
        <w:t>22.</w:t>
      </w:r>
      <w:r>
        <w:rPr>
          <w:rFonts w:ascii="Century" w:hAnsi="Century"/>
          <w:rtl/>
        </w:rPr>
        <w:tab/>
      </w:r>
      <w:r>
        <w:rPr>
          <w:rFonts w:ascii="Century" w:hAnsi="Century" w:hint="cs"/>
          <w:rtl/>
        </w:rPr>
        <w:t xml:space="preserve">בפסק הדין של ועדת הערר התקבלה אף טענת המשיבות שלפיה הן הסתמכו על מצגיה של רשות המסים כפי שבאו לידי ביטוי בהוראת הביצוע ובמכתב ההנחיה של גברת סופר, ושינו מצבן לרעה בשל מצגים אלו. בתוך כך, צוין כי הוראת הביצוע מאמצת </w:t>
      </w:r>
      <w:r>
        <w:rPr>
          <w:rFonts w:ascii="Century" w:hAnsi="Century" w:hint="cs"/>
          <w:rtl/>
        </w:rPr>
        <w:lastRenderedPageBreak/>
        <w:t xml:space="preserve">את הכלל הפשוט והברור שאף נקבע בפסיקה, שלפיו יש לכלול את הוצאות הפיתוח בשווי המכירה לצורך תשלום מס רכישה אך במקרים שבהם במועד מכירת הזכות במקרקעין כבר קיים הפיתוח בפועל. ועדת הערר דחתה את טענותיו של המערער בנדון, שלפיהן הוראת הביצוע חלה רק על עסקאות בעקבות מכרזים עם </w:t>
      </w:r>
      <w:proofErr w:type="spellStart"/>
      <w:r>
        <w:rPr>
          <w:rFonts w:ascii="Century" w:hAnsi="Century" w:hint="cs"/>
          <w:rtl/>
        </w:rPr>
        <w:t>רמ"י</w:t>
      </w:r>
      <w:proofErr w:type="spellEnd"/>
      <w:r>
        <w:rPr>
          <w:rFonts w:ascii="Century" w:hAnsi="Century" w:hint="cs"/>
          <w:rtl/>
        </w:rPr>
        <w:t xml:space="preserve"> או רק כאשר ישנם שני הסכמים נפרדים או סכומים נפרדים בהסכם אחד המתייחסים לרכיב הזכויות ולרכיב הפיתוח. עוד צוין כי הוראת הביצוע לא בוטלה, לא שונתה ולא עודכנה על-ידי רשות המסים אף לאחר מתן פסקי הדין שלטענת המערער שינו את המצב המשפטי הקיים, ונקבע כי תשובתו של המערער שלפיה העניין נובע ממחסור בכוח אדם רחוקה מלהניח את הדעת. </w:t>
      </w:r>
    </w:p>
    <w:p w:rsidR="00A14F89" w:rsidRDefault="00A14F89" w:rsidP="00A14F89">
      <w:pPr>
        <w:pStyle w:val="Ruller41"/>
        <w:rPr>
          <w:rFonts w:ascii="Century" w:hAnsi="Century"/>
          <w:rtl/>
        </w:rPr>
      </w:pPr>
    </w:p>
    <w:p w:rsidR="00A14F89" w:rsidRDefault="00A14F89" w:rsidP="00A14F89">
      <w:pPr>
        <w:pStyle w:val="Ruller41"/>
        <w:rPr>
          <w:rFonts w:ascii="Century" w:hAnsi="Century"/>
          <w:rtl/>
        </w:rPr>
      </w:pPr>
      <w:r>
        <w:rPr>
          <w:rFonts w:ascii="Century" w:hAnsi="Century"/>
          <w:rtl/>
        </w:rPr>
        <w:tab/>
      </w:r>
      <w:r>
        <w:rPr>
          <w:rFonts w:ascii="Century" w:hAnsi="Century" w:hint="cs"/>
          <w:rtl/>
        </w:rPr>
        <w:t xml:space="preserve">יתר על כן, כך נקבע, מכתב ההנחיה של גב' סופר, המנחה אף הוא את משרדי השומה לפעול בהתאם למבחן הפיתוח הקיים בפועל במקרקעין, יצא למשרדים בחודש מרץ 2017, היינו </w:t>
      </w:r>
      <w:r>
        <w:rPr>
          <w:rFonts w:ascii="Century" w:hAnsi="Century"/>
          <w:rtl/>
        </w:rPr>
        <w:t>–</w:t>
      </w:r>
      <w:r>
        <w:rPr>
          <w:rFonts w:ascii="Century" w:hAnsi="Century" w:hint="cs"/>
          <w:rtl/>
        </w:rPr>
        <w:t xml:space="preserve"> לאחר השינוי המשפטי הנטען על-ידי המערער. ועדת הערר דחתה את טענת המערער שלפיה מכתב ההנחיה הוא מסמך פנימי אשר חל רק על מכרזי </w:t>
      </w:r>
      <w:proofErr w:type="spellStart"/>
      <w:r>
        <w:rPr>
          <w:rFonts w:ascii="Century" w:hAnsi="Century" w:hint="cs"/>
          <w:rtl/>
        </w:rPr>
        <w:t>רמ"י</w:t>
      </w:r>
      <w:proofErr w:type="spellEnd"/>
      <w:r>
        <w:rPr>
          <w:rFonts w:ascii="Century" w:hAnsi="Century" w:hint="cs"/>
          <w:rtl/>
        </w:rPr>
        <w:t>, וקבעה כי רשות המסים לא שיקפה בשום צורה ואופן בפני ציבור הנישומים ומיצגיהם כי מדיניותה בנושא הוצאות הפיתוח לצרכי מס רכישה, כפי שבאה לידי ביטוי בהוראת הביצוע ובמכתב ההנחיה, השתנתה או אינה תקפה עוד.</w:t>
      </w:r>
    </w:p>
    <w:p w:rsidR="00A14F89" w:rsidRDefault="00A14F89" w:rsidP="00A14F89">
      <w:pPr>
        <w:pStyle w:val="Ruller41"/>
        <w:rPr>
          <w:rFonts w:ascii="Century" w:hAnsi="Century"/>
          <w:rtl/>
        </w:rPr>
      </w:pPr>
    </w:p>
    <w:p w:rsidR="00A14F89" w:rsidRDefault="00A14F89" w:rsidP="00A14F89">
      <w:pPr>
        <w:pStyle w:val="Ruller41"/>
        <w:rPr>
          <w:rFonts w:ascii="Century" w:hAnsi="Century"/>
          <w:rtl/>
        </w:rPr>
      </w:pPr>
      <w:r>
        <w:rPr>
          <w:rFonts w:ascii="Century" w:hAnsi="Century"/>
          <w:rtl/>
        </w:rPr>
        <w:tab/>
      </w:r>
      <w:r>
        <w:rPr>
          <w:rFonts w:ascii="Century" w:hAnsi="Century" w:hint="cs"/>
          <w:rtl/>
        </w:rPr>
        <w:t xml:space="preserve">לפיכך, נקבע כי במועד הרלוונטי להגשת הצעותיהן של המשיבות להזמנה (בחודש יוני 2017) ובמועד הגשת השומות העצמיות שלהן, היה קיים מצג של רשות המסים שלפיו עבודות פיתוח שלא בוצעו עד למועד רכישת הזכויות במקרקעין לא ייכללו בשווי המכירה לצורך מס הרכישה. כן נקבע כי יש לתת אמון בעדויות נציגי המשיבות בנדון, וכי אין כל ספק שהמשיבות הסתמכו על הוראת הביצוע ועל מכתב ההנחיה. ועדת הערר הוסיפה וקבעה כי מהראיות עולה כי אילו המשיבות היו יודעות מראש כי תחויבנה בתשלום מס רכישה גם על רכיב הוצאות הפיתוח שלא בוצעו </w:t>
      </w:r>
      <w:r>
        <w:rPr>
          <w:rFonts w:ascii="Century" w:hAnsi="Century"/>
          <w:rtl/>
        </w:rPr>
        <w:t>–</w:t>
      </w:r>
      <w:r>
        <w:rPr>
          <w:rFonts w:ascii="Century" w:hAnsi="Century" w:hint="cs"/>
          <w:rtl/>
        </w:rPr>
        <w:t xml:space="preserve"> הן היו מבצעות התאמות להצעותיהן הלוקחות בחשבון את המס הנוסף שיידרשו לשלם. </w:t>
      </w:r>
    </w:p>
    <w:p w:rsidR="00A14F89" w:rsidRDefault="00A14F89" w:rsidP="00A14F89">
      <w:pPr>
        <w:pStyle w:val="Ruller41"/>
        <w:rPr>
          <w:rFonts w:ascii="Century" w:hAnsi="Century"/>
          <w:rtl/>
        </w:rPr>
      </w:pPr>
    </w:p>
    <w:p w:rsidR="00A14F89" w:rsidRDefault="00A14F89" w:rsidP="00A14F89">
      <w:pPr>
        <w:pStyle w:val="Ruller41"/>
        <w:rPr>
          <w:rFonts w:ascii="Century" w:hAnsi="Century" w:cs="Miriam"/>
          <w:b/>
          <w:spacing w:val="0"/>
          <w:szCs w:val="24"/>
          <w:rtl/>
        </w:rPr>
      </w:pPr>
      <w:r>
        <w:rPr>
          <w:rFonts w:ascii="Century" w:hAnsi="Century" w:cs="Miriam" w:hint="cs"/>
          <w:b/>
          <w:spacing w:val="0"/>
          <w:szCs w:val="24"/>
          <w:rtl/>
        </w:rPr>
        <w:t>הערעורים דנן</w:t>
      </w:r>
    </w:p>
    <w:p w:rsidR="00A14F89" w:rsidRPr="00373C0E" w:rsidRDefault="00A14F89" w:rsidP="00A14F89">
      <w:pPr>
        <w:pStyle w:val="Ruller41"/>
        <w:rPr>
          <w:rFonts w:ascii="Century" w:hAnsi="Century" w:cs="Miriam"/>
          <w:b/>
          <w:spacing w:val="0"/>
          <w:szCs w:val="24"/>
          <w:rtl/>
        </w:rPr>
      </w:pPr>
    </w:p>
    <w:p w:rsidR="00A14F89" w:rsidRPr="00373C0E" w:rsidRDefault="00A14F89" w:rsidP="00A14F89">
      <w:pPr>
        <w:pStyle w:val="Ruller41"/>
        <w:rPr>
          <w:rFonts w:ascii="Century" w:hAnsi="Century"/>
          <w:rtl/>
        </w:rPr>
      </w:pPr>
      <w:r>
        <w:rPr>
          <w:rFonts w:hint="cs"/>
          <w:color w:val="000000"/>
          <w:sz w:val="28"/>
          <w:rtl/>
        </w:rPr>
        <w:t>23.</w:t>
      </w:r>
      <w:r>
        <w:rPr>
          <w:color w:val="000000"/>
          <w:sz w:val="28"/>
          <w:rtl/>
        </w:rPr>
        <w:tab/>
      </w:r>
      <w:r>
        <w:rPr>
          <w:rFonts w:hint="cs"/>
          <w:color w:val="000000"/>
          <w:sz w:val="28"/>
          <w:rtl/>
        </w:rPr>
        <w:t xml:space="preserve">לשם הנוחות, טענות הצדדים יוצגו במאוחד ובתמצית </w:t>
      </w:r>
      <w:r>
        <w:rPr>
          <w:color w:val="000000"/>
          <w:sz w:val="28"/>
          <w:rtl/>
        </w:rPr>
        <w:t>–</w:t>
      </w:r>
      <w:r>
        <w:rPr>
          <w:rFonts w:hint="cs"/>
          <w:color w:val="000000"/>
          <w:sz w:val="28"/>
          <w:rtl/>
        </w:rPr>
        <w:t xml:space="preserve"> כאשר מצד אחד יוצגו טענות המערער כפי שבאו לידי ביטוי בשני הערעורים, ומצד שני יוצגו טענות המשיבות בשני הערעורים (אשר יכונו להלן ביחד: </w:t>
      </w:r>
      <w:r w:rsidRPr="00EB6355">
        <w:rPr>
          <w:rFonts w:ascii="Century" w:hAnsi="Century" w:cs="Miriam" w:hint="cs"/>
          <w:b/>
          <w:spacing w:val="0"/>
          <w:szCs w:val="24"/>
          <w:rtl/>
        </w:rPr>
        <w:t>המשיבות</w:t>
      </w:r>
      <w:r>
        <w:rPr>
          <w:rFonts w:hint="cs"/>
          <w:color w:val="000000"/>
          <w:sz w:val="28"/>
          <w:rtl/>
        </w:rPr>
        <w:t xml:space="preserve">). </w:t>
      </w:r>
      <w:r>
        <w:rPr>
          <w:rFonts w:ascii="Century" w:hAnsi="Century" w:hint="cs"/>
          <w:rtl/>
        </w:rPr>
        <w:t xml:space="preserve">טענות הצדדים הוקדשו במידה רבה לניתוח הפסיקה הקיימת ביחס לשאלה העומדת במוקד הערעורים, ואשר תוצג בהרחבה בהמשך במסגרת הדיון. </w:t>
      </w:r>
      <w:r w:rsidRPr="00373C0E">
        <w:rPr>
          <w:rFonts w:ascii="Century" w:hAnsi="Century"/>
          <w:rtl/>
        </w:rPr>
        <w:t xml:space="preserve"> </w:t>
      </w:r>
    </w:p>
    <w:p w:rsidR="00A14F89" w:rsidRDefault="00A14F89" w:rsidP="00A14F89">
      <w:pPr>
        <w:pStyle w:val="Ruller41"/>
        <w:rPr>
          <w:rFonts w:ascii="Century" w:hAnsi="Century" w:cs="Miriam"/>
          <w:b/>
          <w:spacing w:val="0"/>
          <w:szCs w:val="24"/>
          <w:rtl/>
        </w:rPr>
      </w:pPr>
      <w:r w:rsidRPr="00B40687">
        <w:rPr>
          <w:rFonts w:ascii="Century" w:hAnsi="Century" w:cs="Miriam" w:hint="cs"/>
          <w:b/>
          <w:spacing w:val="0"/>
          <w:szCs w:val="24"/>
          <w:rtl/>
        </w:rPr>
        <w:lastRenderedPageBreak/>
        <w:t>טענות המערער</w:t>
      </w:r>
    </w:p>
    <w:p w:rsidR="00A14F89" w:rsidRDefault="00A14F89" w:rsidP="00A14F89">
      <w:pPr>
        <w:pStyle w:val="Ruller41"/>
        <w:rPr>
          <w:rFonts w:ascii="Century" w:hAnsi="Century" w:cs="Miriam"/>
          <w:b/>
          <w:spacing w:val="0"/>
          <w:szCs w:val="24"/>
          <w:rtl/>
        </w:rPr>
      </w:pPr>
    </w:p>
    <w:p w:rsidR="00A14F89" w:rsidRDefault="00A14F89" w:rsidP="00A14F89">
      <w:pPr>
        <w:pStyle w:val="Ruller41"/>
        <w:rPr>
          <w:rFonts w:ascii="Century" w:hAnsi="Century"/>
          <w:rtl/>
        </w:rPr>
      </w:pPr>
      <w:r>
        <w:rPr>
          <w:rFonts w:ascii="Century" w:hAnsi="Century" w:hint="cs"/>
          <w:rtl/>
        </w:rPr>
        <w:t>24.</w:t>
      </w:r>
      <w:r>
        <w:rPr>
          <w:rFonts w:ascii="Century" w:hAnsi="Century"/>
          <w:rtl/>
        </w:rPr>
        <w:tab/>
      </w:r>
      <w:r>
        <w:rPr>
          <w:rFonts w:ascii="Century" w:hAnsi="Century" w:hint="cs"/>
          <w:rtl/>
        </w:rPr>
        <w:t xml:space="preserve">לטענת המערער, השאלה העיקרית אותה יש לבחון בעת קביעת השומה בגין עסקת מכר זכויות במקרקעין היא מהי </w:t>
      </w:r>
      <w:r w:rsidRPr="00E05BC0">
        <w:rPr>
          <w:rFonts w:ascii="Century" w:hAnsi="Century" w:hint="cs"/>
          <w:rtl/>
        </w:rPr>
        <w:t xml:space="preserve">מהותה </w:t>
      </w:r>
      <w:r>
        <w:rPr>
          <w:rFonts w:ascii="Century" w:hAnsi="Century" w:hint="cs"/>
          <w:rtl/>
        </w:rPr>
        <w:t xml:space="preserve">הכלכלית </w:t>
      </w:r>
      <w:r w:rsidRPr="00E05BC0">
        <w:rPr>
          <w:rFonts w:ascii="Century" w:hAnsi="Century" w:hint="cs"/>
          <w:rtl/>
        </w:rPr>
        <w:t>האמתית של העסקה</w:t>
      </w:r>
      <w:r>
        <w:rPr>
          <w:rFonts w:ascii="Century" w:hAnsi="Century" w:hint="cs"/>
          <w:rtl/>
        </w:rPr>
        <w:t>, וזאת כדי לגבות מס אמת</w:t>
      </w:r>
      <w:r w:rsidRPr="00E05BC0">
        <w:rPr>
          <w:rFonts w:ascii="Century" w:hAnsi="Century" w:hint="cs"/>
          <w:rtl/>
        </w:rPr>
        <w:t xml:space="preserve">. </w:t>
      </w:r>
      <w:r>
        <w:rPr>
          <w:rFonts w:ascii="Century" w:hAnsi="Century" w:hint="cs"/>
          <w:rtl/>
        </w:rPr>
        <w:t xml:space="preserve">בנסיבות הערעורים הנדונים, כך נטען, המהות הכלכלית של העסקאות היא מכירת זכויות </w:t>
      </w:r>
      <w:r w:rsidRPr="00EB6355">
        <w:rPr>
          <w:rFonts w:ascii="Century" w:hAnsi="Century" w:cs="Miriam" w:hint="cs"/>
          <w:b/>
          <w:spacing w:val="0"/>
          <w:szCs w:val="24"/>
          <w:rtl/>
        </w:rPr>
        <w:t>במקרקעין מפותחים</w:t>
      </w:r>
      <w:r>
        <w:rPr>
          <w:rFonts w:ascii="Century" w:hAnsi="Century" w:hint="cs"/>
          <w:rtl/>
        </w:rPr>
        <w:t xml:space="preserve">, ומשכך </w:t>
      </w:r>
      <w:r w:rsidRPr="00E05BC0">
        <w:rPr>
          <w:rFonts w:ascii="Century" w:hAnsi="Century" w:hint="cs"/>
          <w:rtl/>
        </w:rPr>
        <w:t xml:space="preserve">יש לראות את מלוא הסכום ששילמו המשיבות, כולל הוצאות הפיתוח, כחלק </w:t>
      </w:r>
      <w:r>
        <w:rPr>
          <w:rFonts w:ascii="Century" w:hAnsi="Century" w:hint="cs"/>
          <w:rtl/>
        </w:rPr>
        <w:t>מהתמורה שהתחייבו לשלם בעבור הזכויות במקרקעין</w:t>
      </w:r>
      <w:r w:rsidRPr="00BA08E5">
        <w:rPr>
          <w:rFonts w:ascii="Century" w:hAnsi="Century" w:hint="cs"/>
          <w:rtl/>
        </w:rPr>
        <w:t xml:space="preserve">. </w:t>
      </w:r>
      <w:r>
        <w:rPr>
          <w:rFonts w:ascii="Century" w:hAnsi="Century" w:hint="cs"/>
          <w:rtl/>
        </w:rPr>
        <w:t xml:space="preserve">עוד נטען כי כפי שנקבע בפסיקה, כאשר מדובר בעסקה כוללת אחת, יש להפעיל את "עקרון צירוף כל התמורות" שלפיו, "שווי המכירה יכלול את כל התמורות הישירות והעקיפות שהקונה מתחייב לשלם למוכר או מי מטעמו" וזאת כדי להגיע לשווי רכישת הזכות במקרקעין כהגדרתו. המערער מוסיף וטוען כי אמנם בעבר נהוג היה לפרש את הפסיקה המוקדמת של בית משפט זה בסוגיה הנדונה באופן המייצר מבחן טכני, שלפיו הוצאות פיתוח בגין עבודות פיתוח שטרם בוצעו בשטח לא ייחשבו כחלק משווי המכירה לעניין מס הרכישה, ואולם בשנים האחרונות חלה התפתחות בפסיקה אשר הובילה, באופן עקבי, למצב משפטי עדכני, שבגדרו מבחן זה אינו המבחן המכריע ומכל מקום לא היחיד. בתוך כך, נטען כי על-פי הפסיקה החדשה ישנן נסיבות שבהן אף התחייבות מצד הרוכש לשאת בעלויות של עבודות פיתוח שיבוצעו </w:t>
      </w:r>
      <w:r w:rsidRPr="00F358D1">
        <w:rPr>
          <w:rFonts w:ascii="Century" w:hAnsi="Century" w:cs="Miriam" w:hint="eastAsia"/>
          <w:b/>
          <w:spacing w:val="0"/>
          <w:szCs w:val="24"/>
          <w:rtl/>
        </w:rPr>
        <w:t>בעתיד</w:t>
      </w:r>
      <w:r w:rsidRPr="00EB6582">
        <w:rPr>
          <w:rFonts w:ascii="Century" w:hAnsi="Century" w:hint="cs"/>
          <w:rtl/>
        </w:rPr>
        <w:t xml:space="preserve"> </w:t>
      </w:r>
      <w:r>
        <w:rPr>
          <w:rFonts w:ascii="Century" w:hAnsi="Century" w:hint="cs"/>
          <w:rtl/>
        </w:rPr>
        <w:t xml:space="preserve">עשויה להוביל לחיובו במס הכולל את התמורה האמורה, וכי מסקנה זו משתלבת אף עם עקרון היסוד בדיני חוזים, לפיו חוזה כולל חיובים לביצוע עתידי. </w:t>
      </w:r>
    </w:p>
    <w:p w:rsidR="00A14F89" w:rsidRDefault="00A14F89" w:rsidP="00A14F89">
      <w:pPr>
        <w:pStyle w:val="Ruller41"/>
        <w:rPr>
          <w:rFonts w:ascii="Century" w:hAnsi="Century"/>
          <w:rtl/>
        </w:rPr>
      </w:pPr>
    </w:p>
    <w:p w:rsidR="00A14F89" w:rsidRDefault="00A14F89" w:rsidP="00A14F89">
      <w:pPr>
        <w:pStyle w:val="Ruller41"/>
        <w:rPr>
          <w:rFonts w:ascii="Century" w:hAnsi="Century"/>
          <w:rtl/>
        </w:rPr>
      </w:pPr>
      <w:r>
        <w:rPr>
          <w:rFonts w:ascii="Century" w:hAnsi="Century"/>
          <w:rtl/>
        </w:rPr>
        <w:tab/>
      </w:r>
      <w:r>
        <w:rPr>
          <w:rFonts w:ascii="Century" w:hAnsi="Century" w:hint="cs"/>
          <w:rtl/>
        </w:rPr>
        <w:t xml:space="preserve">המערער מוסיף וטוען כי ועדות הערר אינן מיישמות נכונה את הפסיקה החדשה של בית משפט זה ביחס לפרשנות שיש </w:t>
      </w:r>
      <w:proofErr w:type="spellStart"/>
      <w:r>
        <w:rPr>
          <w:rFonts w:ascii="Century" w:hAnsi="Century" w:hint="cs"/>
          <w:rtl/>
        </w:rPr>
        <w:t>ליתן</w:t>
      </w:r>
      <w:proofErr w:type="spellEnd"/>
      <w:r>
        <w:rPr>
          <w:rFonts w:ascii="Century" w:hAnsi="Century" w:hint="cs"/>
          <w:rtl/>
        </w:rPr>
        <w:t xml:space="preserve"> למונח "שווי המכירה" אשר ממנו נגזר החיוב במס הרכישה, וכי הן עודן מיישמות באופן דווקני את הכלל הטכני אשר אפיין את הפרשנות שניתנה בעבר לפסיקה הישנה שלפיו אין לכלול בסכום הרכישה תמורה בגין עבודות פיתוח שטרם בוצעו במקרקעין. עוד נטען כי מפסקי הדין של ועדות הערר נעדר ניתוח מהותי של העסקאות שנדונו, כך שעל אף שמדובר בכל אחד מהמקרים בעסקה אחת כוללת, הרי שהן נבחנו כשתי עסקאות נפרדות. </w:t>
      </w:r>
    </w:p>
    <w:p w:rsidR="00A14F89" w:rsidRDefault="00A14F89" w:rsidP="00A14F89">
      <w:pPr>
        <w:pStyle w:val="Ruller41"/>
        <w:rPr>
          <w:rFonts w:ascii="Century" w:hAnsi="Century"/>
          <w:rtl/>
        </w:rPr>
      </w:pPr>
    </w:p>
    <w:p w:rsidR="00A14F89" w:rsidRDefault="00A14F89" w:rsidP="00A14F89">
      <w:pPr>
        <w:pStyle w:val="Ruller41"/>
        <w:rPr>
          <w:rFonts w:ascii="Century" w:hAnsi="Century"/>
          <w:rtl/>
        </w:rPr>
      </w:pPr>
      <w:r>
        <w:rPr>
          <w:rFonts w:ascii="Century" w:hAnsi="Century" w:hint="cs"/>
          <w:rtl/>
        </w:rPr>
        <w:t>25.</w:t>
      </w:r>
      <w:r w:rsidRPr="0016792C">
        <w:rPr>
          <w:rtl/>
        </w:rPr>
        <w:tab/>
      </w:r>
      <w:r>
        <w:rPr>
          <w:rFonts w:ascii="Century" w:hAnsi="Century" w:hint="cs"/>
          <w:rtl/>
        </w:rPr>
        <w:t>ב</w:t>
      </w:r>
      <w:r w:rsidRPr="0016792C">
        <w:rPr>
          <w:rFonts w:hint="eastAsia"/>
          <w:rtl/>
        </w:rPr>
        <w:t>אשר</w:t>
      </w:r>
      <w:r w:rsidRPr="0016792C">
        <w:rPr>
          <w:rtl/>
        </w:rPr>
        <w:t xml:space="preserve"> </w:t>
      </w:r>
      <w:r w:rsidRPr="00B373B4">
        <w:rPr>
          <w:rFonts w:ascii="Century" w:hAnsi="Century" w:cs="Miriam" w:hint="eastAsia"/>
          <w:b/>
          <w:spacing w:val="0"/>
          <w:szCs w:val="24"/>
          <w:rtl/>
        </w:rPr>
        <w:t>לטענת</w:t>
      </w:r>
      <w:r w:rsidRPr="00B373B4">
        <w:rPr>
          <w:rtl/>
        </w:rPr>
        <w:t xml:space="preserve"> </w:t>
      </w:r>
      <w:r w:rsidRPr="00B373B4">
        <w:rPr>
          <w:rFonts w:ascii="Century" w:hAnsi="Century" w:cs="Miriam" w:hint="eastAsia"/>
          <w:b/>
          <w:spacing w:val="0"/>
          <w:szCs w:val="24"/>
          <w:rtl/>
        </w:rPr>
        <w:t>ההסתמכות</w:t>
      </w:r>
      <w:r>
        <w:rPr>
          <w:rFonts w:ascii="Century" w:hAnsi="Century" w:hint="cs"/>
          <w:rtl/>
        </w:rPr>
        <w:t>,</w:t>
      </w:r>
      <w:r w:rsidRPr="0016792C">
        <w:rPr>
          <w:rtl/>
        </w:rPr>
        <w:t xml:space="preserve"> </w:t>
      </w:r>
      <w:r>
        <w:rPr>
          <w:rFonts w:ascii="Century" w:hAnsi="Century" w:hint="cs"/>
          <w:rtl/>
        </w:rPr>
        <w:t xml:space="preserve">המערער טוען כי המגמה בפסיקת בית משפט זה היא לפעול לצמצום ההכרה בטענות השתק או מניעות כלפי רשות שלטונית, במיוחד במקום בו תוצאת ההכרה תביא לעשיית מעשה בניגוד לדין, ובייחוד בכל הקשור לדיני המס. נטען, אם כן, כי אין לקבל טענת הסתמכות על מצג שתוצאתה מתן פטור או הנחה החורגים מהוראות הדין, וכי בענייננו, בעקבות ההתפתחות הפסיקתית כאמור, הדין השתנה באופן המחייב גביית מס רכישה אף על הוצאות פיתוח בנסיבות המתאימות. </w:t>
      </w:r>
      <w:r>
        <w:rPr>
          <w:rFonts w:hint="cs"/>
          <w:rtl/>
        </w:rPr>
        <w:t xml:space="preserve">כמו </w:t>
      </w:r>
      <w:r>
        <w:rPr>
          <w:rFonts w:hint="cs"/>
          <w:rtl/>
        </w:rPr>
        <w:lastRenderedPageBreak/>
        <w:t xml:space="preserve">כן, מציין המערער כי במועד חתימת העסקאות הפסיקה החדשה כבר הייתה בתוקף, ומשכך המשיבות צריכות היו להכיר את השינוי בהלכה הפסוקה. </w:t>
      </w:r>
      <w:r>
        <w:rPr>
          <w:rFonts w:ascii="Century" w:hAnsi="Century" w:hint="cs"/>
          <w:rtl/>
        </w:rPr>
        <w:t xml:space="preserve">עוד נטען, כי </w:t>
      </w:r>
      <w:r w:rsidRPr="007A70C7">
        <w:rPr>
          <w:rFonts w:ascii="Century" w:hAnsi="Century" w:hint="cs"/>
          <w:rtl/>
        </w:rPr>
        <w:t>הוראת הביצוע</w:t>
      </w:r>
      <w:r>
        <w:rPr>
          <w:rFonts w:ascii="Century" w:hAnsi="Century" w:hint="cs"/>
          <w:rtl/>
        </w:rPr>
        <w:t xml:space="preserve"> אינה</w:t>
      </w:r>
      <w:r w:rsidRPr="007A70C7">
        <w:rPr>
          <w:rFonts w:ascii="Century" w:hAnsi="Century" w:hint="cs"/>
          <w:rtl/>
        </w:rPr>
        <w:t xml:space="preserve"> יכולה להיחש</w:t>
      </w:r>
      <w:r w:rsidRPr="007A70C7">
        <w:rPr>
          <w:rFonts w:ascii="Century" w:hAnsi="Century" w:hint="eastAsia"/>
          <w:rtl/>
        </w:rPr>
        <w:t>ב</w:t>
      </w:r>
      <w:r w:rsidRPr="007A70C7">
        <w:rPr>
          <w:rFonts w:ascii="Century" w:hAnsi="Century" w:hint="cs"/>
          <w:rtl/>
        </w:rPr>
        <w:t xml:space="preserve"> כמצג </w:t>
      </w:r>
      <w:r>
        <w:rPr>
          <w:rFonts w:ascii="Century" w:hAnsi="Century" w:hint="cs"/>
          <w:rtl/>
        </w:rPr>
        <w:t>ש</w:t>
      </w:r>
      <w:r w:rsidRPr="007A70C7">
        <w:rPr>
          <w:rFonts w:ascii="Century" w:hAnsi="Century" w:hint="cs"/>
          <w:rtl/>
        </w:rPr>
        <w:t xml:space="preserve">עליו ניתן להסתמך, </w:t>
      </w:r>
      <w:r>
        <w:rPr>
          <w:rFonts w:ascii="Century" w:hAnsi="Century" w:hint="cs"/>
          <w:rtl/>
        </w:rPr>
        <w:t xml:space="preserve">שכן לאור השינוי בפסיקה  יש להתייחס להוראת הביצוע </w:t>
      </w:r>
      <w:proofErr w:type="spellStart"/>
      <w:r>
        <w:rPr>
          <w:rFonts w:ascii="Century" w:hAnsi="Century" w:hint="cs"/>
          <w:rtl/>
        </w:rPr>
        <w:t>ככזו</w:t>
      </w:r>
      <w:proofErr w:type="spellEnd"/>
      <w:r>
        <w:rPr>
          <w:rFonts w:ascii="Century" w:hAnsi="Century" w:hint="cs"/>
          <w:rtl/>
        </w:rPr>
        <w:t xml:space="preserve"> ש"אבד עליה הכלח" (סעיף 146 להודעת הערעור בעניין שיכון ובינוי). בעניין מכתב ההנחיה, נטען כי מדובר במסמך </w:t>
      </w:r>
      <w:r w:rsidRPr="00BB19E8">
        <w:rPr>
          <w:rFonts w:ascii="Century" w:hAnsi="Century" w:cs="Miriam" w:hint="cs"/>
          <w:b/>
          <w:spacing w:val="0"/>
          <w:szCs w:val="24"/>
          <w:rtl/>
        </w:rPr>
        <w:t>פנימי</w:t>
      </w:r>
      <w:r>
        <w:rPr>
          <w:rFonts w:ascii="Century" w:hAnsi="Century" w:hint="cs"/>
          <w:rtl/>
        </w:rPr>
        <w:t>, וכי משכך המשיבות לא היו רשאיות להסתמך עליו.</w:t>
      </w:r>
    </w:p>
    <w:p w:rsidR="00A14F89" w:rsidRDefault="00A14F89" w:rsidP="00A14F89">
      <w:pPr>
        <w:pStyle w:val="Ruller41"/>
        <w:rPr>
          <w:rFonts w:ascii="Century" w:hAnsi="Century"/>
          <w:rtl/>
        </w:rPr>
      </w:pPr>
    </w:p>
    <w:p w:rsidR="00A14F89" w:rsidRDefault="00A14F89" w:rsidP="00A14F89">
      <w:pPr>
        <w:pStyle w:val="Ruller41"/>
        <w:rPr>
          <w:rFonts w:ascii="Century" w:hAnsi="Century"/>
          <w:rtl/>
        </w:rPr>
      </w:pPr>
      <w:r w:rsidRPr="00426BF1">
        <w:rPr>
          <w:rFonts w:ascii="Century" w:hAnsi="Century" w:cs="Miriam" w:hint="cs"/>
          <w:b/>
          <w:spacing w:val="0"/>
          <w:szCs w:val="24"/>
          <w:rtl/>
        </w:rPr>
        <w:t>טענות המשיבות</w:t>
      </w:r>
    </w:p>
    <w:p w:rsidR="00A14F89" w:rsidRDefault="00A14F89" w:rsidP="00A14F89">
      <w:pPr>
        <w:pStyle w:val="Ruller41"/>
        <w:rPr>
          <w:rFonts w:ascii="Century" w:hAnsi="Century"/>
          <w:rtl/>
        </w:rPr>
      </w:pPr>
    </w:p>
    <w:p w:rsidR="00A14F89" w:rsidRDefault="00A14F89" w:rsidP="00A14F89">
      <w:pPr>
        <w:pStyle w:val="Ruller41"/>
        <w:rPr>
          <w:rFonts w:ascii="Century" w:hAnsi="Century"/>
          <w:rtl/>
        </w:rPr>
      </w:pPr>
      <w:r>
        <w:rPr>
          <w:rFonts w:ascii="Century" w:hAnsi="Century" w:hint="cs"/>
          <w:rtl/>
        </w:rPr>
        <w:t>26.</w:t>
      </w:r>
      <w:r>
        <w:rPr>
          <w:rFonts w:ascii="Century" w:hAnsi="Century"/>
          <w:rtl/>
        </w:rPr>
        <w:tab/>
      </w:r>
      <w:r>
        <w:rPr>
          <w:rFonts w:ascii="Century" w:hAnsi="Century" w:hint="cs"/>
          <w:rtl/>
        </w:rPr>
        <w:t xml:space="preserve">המשיבות סומכות ידיהן על החלטות ועדות הערר, וטוענות כי הכלל שלפיו אין לכלול את שוויין של עבודות פיתוח אשר טרם בוצעו במקרקעין בשווי המכירה לצורך קביעת מס הרכישה </w:t>
      </w:r>
      <w:r>
        <w:rPr>
          <w:rFonts w:ascii="Century" w:hAnsi="Century"/>
          <w:rtl/>
        </w:rPr>
        <w:t>–</w:t>
      </w:r>
      <w:r>
        <w:rPr>
          <w:rFonts w:ascii="Century" w:hAnsi="Century" w:hint="cs"/>
          <w:rtl/>
        </w:rPr>
        <w:t xml:space="preserve"> עודנו שריר וקיים וכי הפסיקה החדשה אליה מכוון המערער לא שינתה את המצב המשפטי בנדון. לגישת המשיבות, ההתחייבות לשאת בעלויות עבודות הפיתוח העתידיות היא התחייבות חוזית אשר אינה באה בתחומי הגדרת זכות במקרקעין על-פי החוק. עמדה זו, כך נטען, תואמת את עמדת הפסיקה הקובעת כי אבן הבוחן למהות העסקה הוא "</w:t>
      </w:r>
      <w:r w:rsidRPr="00C70BD8">
        <w:rPr>
          <w:rFonts w:ascii="Century" w:hAnsi="Century" w:hint="eastAsia"/>
          <w:rtl/>
        </w:rPr>
        <w:t>מבחן</w:t>
      </w:r>
      <w:r w:rsidRPr="00C70BD8">
        <w:rPr>
          <w:rFonts w:ascii="Century" w:hAnsi="Century"/>
          <w:rtl/>
        </w:rPr>
        <w:t xml:space="preserve"> </w:t>
      </w:r>
      <w:r w:rsidRPr="00C70BD8">
        <w:rPr>
          <w:rFonts w:ascii="Century" w:hAnsi="Century" w:hint="eastAsia"/>
          <w:rtl/>
        </w:rPr>
        <w:t>הביצוע</w:t>
      </w:r>
      <w:r w:rsidRPr="00C70BD8">
        <w:rPr>
          <w:rFonts w:ascii="Century" w:hAnsi="Century"/>
          <w:rtl/>
        </w:rPr>
        <w:t xml:space="preserve"> </w:t>
      </w:r>
      <w:r w:rsidRPr="00C70BD8">
        <w:rPr>
          <w:rFonts w:ascii="Century" w:hAnsi="Century" w:hint="eastAsia"/>
          <w:rtl/>
        </w:rPr>
        <w:t>בפועל</w:t>
      </w:r>
      <w:r w:rsidRPr="00C70BD8">
        <w:rPr>
          <w:rFonts w:ascii="Century" w:hAnsi="Century"/>
          <w:rtl/>
        </w:rPr>
        <w:t xml:space="preserve">" </w:t>
      </w:r>
      <w:r w:rsidRPr="00C70BD8">
        <w:rPr>
          <w:rFonts w:ascii="Century" w:hAnsi="Century" w:hint="eastAsia"/>
          <w:rtl/>
        </w:rPr>
        <w:t>הבוחן</w:t>
      </w:r>
      <w:r w:rsidRPr="00C70BD8">
        <w:rPr>
          <w:rFonts w:ascii="Century" w:hAnsi="Century"/>
          <w:rtl/>
        </w:rPr>
        <w:t xml:space="preserve"> </w:t>
      </w:r>
      <w:r w:rsidRPr="00C70BD8">
        <w:rPr>
          <w:rFonts w:ascii="Century" w:hAnsi="Century" w:hint="eastAsia"/>
          <w:rtl/>
        </w:rPr>
        <w:t>את</w:t>
      </w:r>
      <w:r w:rsidRPr="00C70BD8">
        <w:rPr>
          <w:rFonts w:ascii="Century" w:hAnsi="Century"/>
          <w:rtl/>
        </w:rPr>
        <w:t xml:space="preserve"> </w:t>
      </w:r>
      <w:r w:rsidRPr="00C70BD8">
        <w:rPr>
          <w:rFonts w:ascii="Century" w:hAnsi="Century" w:hint="eastAsia"/>
          <w:rtl/>
        </w:rPr>
        <w:t>מצבם</w:t>
      </w:r>
      <w:r w:rsidRPr="00C70BD8">
        <w:rPr>
          <w:rFonts w:ascii="Century" w:hAnsi="Century"/>
          <w:rtl/>
        </w:rPr>
        <w:t xml:space="preserve"> </w:t>
      </w:r>
      <w:r w:rsidRPr="00C70BD8">
        <w:rPr>
          <w:rFonts w:ascii="Century" w:hAnsi="Century" w:hint="eastAsia"/>
          <w:rtl/>
        </w:rPr>
        <w:t>הפיזי</w:t>
      </w:r>
      <w:r w:rsidRPr="00C70BD8">
        <w:rPr>
          <w:rFonts w:ascii="Century" w:hAnsi="Century"/>
          <w:rtl/>
        </w:rPr>
        <w:t xml:space="preserve"> </w:t>
      </w:r>
      <w:r w:rsidRPr="00C70BD8">
        <w:rPr>
          <w:rFonts w:ascii="Century" w:hAnsi="Century" w:hint="eastAsia"/>
          <w:rtl/>
        </w:rPr>
        <w:t>של</w:t>
      </w:r>
      <w:r w:rsidRPr="00C70BD8">
        <w:rPr>
          <w:rFonts w:ascii="Century" w:hAnsi="Century"/>
          <w:rtl/>
        </w:rPr>
        <w:t xml:space="preserve"> </w:t>
      </w:r>
      <w:r w:rsidRPr="00C70BD8">
        <w:rPr>
          <w:rFonts w:ascii="Century" w:hAnsi="Century" w:hint="eastAsia"/>
          <w:rtl/>
        </w:rPr>
        <w:t>המקרקעין</w:t>
      </w:r>
      <w:r w:rsidRPr="00C70BD8">
        <w:rPr>
          <w:rFonts w:ascii="Century" w:hAnsi="Century"/>
          <w:rtl/>
        </w:rPr>
        <w:t xml:space="preserve"> </w:t>
      </w:r>
      <w:r w:rsidRPr="00C70BD8">
        <w:rPr>
          <w:rFonts w:ascii="Century" w:hAnsi="Century" w:hint="eastAsia"/>
          <w:rtl/>
        </w:rPr>
        <w:t>הנרכשים</w:t>
      </w:r>
      <w:r>
        <w:rPr>
          <w:rFonts w:ascii="Century" w:hAnsi="Century" w:hint="cs"/>
          <w:rtl/>
        </w:rPr>
        <w:t xml:space="preserve"> ומבטא באופן הטוב ביותר את "המהות הכלכלית של העסקה". </w:t>
      </w:r>
    </w:p>
    <w:p w:rsidR="00A14F89" w:rsidRDefault="00A14F89" w:rsidP="00A14F89">
      <w:pPr>
        <w:pStyle w:val="Ruller41"/>
        <w:rPr>
          <w:rFonts w:ascii="Century" w:hAnsi="Century"/>
          <w:rtl/>
        </w:rPr>
      </w:pPr>
    </w:p>
    <w:p w:rsidR="00A14F89" w:rsidRDefault="00A14F89" w:rsidP="00A14F89">
      <w:pPr>
        <w:pStyle w:val="Ruller41"/>
        <w:rPr>
          <w:rFonts w:ascii="Century" w:hAnsi="Century"/>
          <w:rtl/>
        </w:rPr>
      </w:pPr>
      <w:r>
        <w:rPr>
          <w:rFonts w:ascii="Century" w:hAnsi="Century"/>
          <w:rtl/>
        </w:rPr>
        <w:tab/>
      </w:r>
      <w:r>
        <w:rPr>
          <w:rFonts w:ascii="Century" w:hAnsi="Century" w:hint="cs"/>
          <w:rtl/>
        </w:rPr>
        <w:t xml:space="preserve">לטענת המשיבות, ניתוח הפסיקה החדשה שאליה מתייחס המערער, מעלה כי שינוי המגמה היחיד שאירע הוא הקביעה שלפיה שווי המכירה יכלול אף תמורות המשולמות כנגד זכויות בניה נוספות במקרקעין (בנוסף לתמורה עבור זכות הבעלות או החכירה במקרקעין טרם הוספת זכויות הבניה האמורות). ואולם, כך נטען, כאשר ההתחייבות לשאת בהוצאות הפיתוח העתידיות היא התחייבות חוזית בלבד, שאינה עומדת כנגד הגדלת זכויות הבנייה בקרקע </w:t>
      </w:r>
      <w:r>
        <w:rPr>
          <w:rFonts w:ascii="Century" w:hAnsi="Century" w:hint="eastAsia"/>
          <w:rtl/>
        </w:rPr>
        <w:t>–</w:t>
      </w:r>
      <w:r>
        <w:rPr>
          <w:rFonts w:ascii="Century" w:hAnsi="Century" w:hint="cs"/>
          <w:rtl/>
        </w:rPr>
        <w:t xml:space="preserve"> אין להוסיף את ערכן לשווי הזכות הנמכרת לצורך קביעת שומת רכישה. </w:t>
      </w:r>
    </w:p>
    <w:p w:rsidR="00A14F89" w:rsidRDefault="00A14F89" w:rsidP="00A14F89">
      <w:pPr>
        <w:pStyle w:val="Ruller41"/>
        <w:rPr>
          <w:rFonts w:ascii="Century" w:hAnsi="Century"/>
          <w:rtl/>
        </w:rPr>
      </w:pPr>
    </w:p>
    <w:p w:rsidR="00A14F89" w:rsidRDefault="00A14F89" w:rsidP="00A14F89">
      <w:pPr>
        <w:pStyle w:val="Ruller41"/>
        <w:rPr>
          <w:rFonts w:ascii="Century" w:hAnsi="Century"/>
          <w:rtl/>
        </w:rPr>
      </w:pPr>
      <w:r>
        <w:rPr>
          <w:rFonts w:ascii="Century" w:hAnsi="Century" w:hint="cs"/>
          <w:rtl/>
        </w:rPr>
        <w:t>27.</w:t>
      </w:r>
      <w:r>
        <w:rPr>
          <w:rFonts w:ascii="Century" w:hAnsi="Century" w:hint="cs"/>
          <w:rtl/>
        </w:rPr>
        <w:tab/>
        <w:t xml:space="preserve">המשיבות מוסיפות וטוענות כי בעבר חל ניסיון לתקן את </w:t>
      </w:r>
      <w:r>
        <w:rPr>
          <w:rFonts w:hint="cs"/>
          <w:rtl/>
        </w:rPr>
        <w:t xml:space="preserve">חוק מיסוי מקרקעין (שבח ורכישה), התשכ"ג-1963 (להלן: </w:t>
      </w:r>
      <w:r w:rsidRPr="00996773">
        <w:rPr>
          <w:rFonts w:ascii="Century" w:hAnsi="Century" w:cs="Miriam" w:hint="cs"/>
          <w:b/>
          <w:spacing w:val="0"/>
          <w:szCs w:val="24"/>
          <w:rtl/>
        </w:rPr>
        <w:t>חוק מיסוי מקרקעין</w:t>
      </w:r>
      <w:r>
        <w:rPr>
          <w:rFonts w:hint="cs"/>
          <w:rtl/>
        </w:rPr>
        <w:t xml:space="preserve"> או </w:t>
      </w:r>
      <w:r w:rsidRPr="00996773">
        <w:rPr>
          <w:rFonts w:ascii="Century" w:hAnsi="Century" w:cs="Miriam" w:hint="cs"/>
          <w:b/>
          <w:spacing w:val="0"/>
          <w:szCs w:val="24"/>
          <w:rtl/>
        </w:rPr>
        <w:t>החוק</w:t>
      </w:r>
      <w:r>
        <w:rPr>
          <w:rFonts w:hint="cs"/>
          <w:rtl/>
        </w:rPr>
        <w:t>)</w:t>
      </w:r>
      <w:r>
        <w:rPr>
          <w:rFonts w:ascii="Century" w:hAnsi="Century" w:hint="cs"/>
          <w:rtl/>
        </w:rPr>
        <w:t xml:space="preserve">, כך שייקבע באופן מפורש שמס הרכישה יחול גם על הוצאות פיתוח עתידיות שהרוכש מתחייב לשאת בעלותן, ואולם ניסיון זה לא צלח, ומכאן ניתן ללמוד כי המצב המשפטי הקיים מתיישב עם עמדת המשיבות. </w:t>
      </w:r>
    </w:p>
    <w:p w:rsidR="00A14F89" w:rsidRDefault="00A14F89" w:rsidP="00A14F89">
      <w:pPr>
        <w:pStyle w:val="Ruller41"/>
        <w:rPr>
          <w:rFonts w:ascii="Century" w:hAnsi="Century"/>
          <w:rtl/>
        </w:rPr>
      </w:pPr>
    </w:p>
    <w:p w:rsidR="00A14F89" w:rsidRDefault="00A14F89" w:rsidP="00A14F89">
      <w:pPr>
        <w:pStyle w:val="Ruller41"/>
        <w:rPr>
          <w:rFonts w:ascii="Century" w:hAnsi="Century"/>
          <w:rtl/>
        </w:rPr>
      </w:pPr>
      <w:r>
        <w:rPr>
          <w:rFonts w:ascii="Century" w:hAnsi="Century" w:hint="cs"/>
          <w:rtl/>
        </w:rPr>
        <w:t>28.</w:t>
      </w:r>
      <w:r>
        <w:rPr>
          <w:rFonts w:ascii="Century" w:hAnsi="Century" w:hint="cs"/>
          <w:rtl/>
        </w:rPr>
        <w:tab/>
        <w:t xml:space="preserve">תימוכין נוספים לאמור מוצאות המשיבות בכך שבסעיף 9(א) לחוק קיימת התייחסות ייחודית ומפורשת להטלת מס רכישה במצב שבו נרכשת דירה שבנייתה טרם </w:t>
      </w:r>
      <w:r>
        <w:rPr>
          <w:rFonts w:ascii="Century" w:hAnsi="Century" w:hint="cs"/>
          <w:rtl/>
        </w:rPr>
        <w:lastRenderedPageBreak/>
        <w:t xml:space="preserve">הסתיימה, ואשר יש לגביה התחייבות מצד המוכר לסיום הבניה (רכישה "על הנייר"). לטענת המשיבות, עצם העובדה שהמחוקק לא הסדיר באופן דומה ומפורש הטלת מס רכישה על נסיבות שבהן קיימת התחייבות של המוכר לפתח את המקרקעין בתמורה למימון עלויות הפיתוח על-ידי הרוכש, מלמדת על הסדר שלילי בנדון. </w:t>
      </w:r>
    </w:p>
    <w:p w:rsidR="00A14F89" w:rsidRDefault="00A14F89" w:rsidP="00A14F89">
      <w:pPr>
        <w:pStyle w:val="Ruller41"/>
        <w:rPr>
          <w:rFonts w:ascii="Century" w:hAnsi="Century" w:cs="Miriam"/>
          <w:b/>
          <w:spacing w:val="0"/>
          <w:szCs w:val="24"/>
          <w:rtl/>
        </w:rPr>
      </w:pPr>
    </w:p>
    <w:p w:rsidR="00A14F89" w:rsidRPr="00422B9C" w:rsidRDefault="00A14F89" w:rsidP="00A14F89">
      <w:pPr>
        <w:pStyle w:val="Ruller41"/>
        <w:rPr>
          <w:rFonts w:ascii="Century" w:hAnsi="Century"/>
          <w:rtl/>
        </w:rPr>
      </w:pPr>
      <w:r>
        <w:rPr>
          <w:rFonts w:ascii="Century" w:hAnsi="Century" w:hint="cs"/>
          <w:rtl/>
        </w:rPr>
        <w:t>29.</w:t>
      </w:r>
      <w:r>
        <w:rPr>
          <w:rFonts w:ascii="Century" w:hAnsi="Century"/>
          <w:rtl/>
        </w:rPr>
        <w:tab/>
      </w:r>
      <w:r>
        <w:rPr>
          <w:rFonts w:ascii="Century" w:hAnsi="Century" w:hint="cs"/>
          <w:rtl/>
        </w:rPr>
        <w:t xml:space="preserve">לבסוף, מדגישות המשיבות את טענת ההסתמכות שלהן ואת קביעות ועדות הערר בנדון, אשר הושתתו, בין היתר, על ממצאי עובדה אשר אין ערכאת הערעור נוטה להתערב בהם. עוד נטען כי עמדת המערער הנוכחית מלמדת על שינוי מדיניות שלא כדין, באופן רטרואקטיבי, אשר מוביל לאכיפה בררנית. בנוסף לאמור, אמרלד מדגישה כי כפי שאף קבעה ועדת הערר, יש לראותה כמי שנכנסה בנעלי אבני דרך, ואין מקום להחיל עליה דין שונה. </w:t>
      </w:r>
    </w:p>
    <w:p w:rsidR="00A14F89" w:rsidRDefault="00A14F89" w:rsidP="00A14F89">
      <w:pPr>
        <w:pStyle w:val="Ruller41"/>
        <w:rPr>
          <w:rtl/>
        </w:rPr>
      </w:pPr>
    </w:p>
    <w:p w:rsidR="00A14F89" w:rsidRPr="005E3B60" w:rsidRDefault="00A14F89" w:rsidP="00A14F89">
      <w:pPr>
        <w:pStyle w:val="Ruller41"/>
        <w:rPr>
          <w:rFonts w:ascii="Century" w:hAnsi="Century" w:cs="Miriam"/>
          <w:b/>
          <w:spacing w:val="0"/>
          <w:szCs w:val="24"/>
          <w:rtl/>
        </w:rPr>
      </w:pPr>
      <w:r w:rsidRPr="005E3B60">
        <w:rPr>
          <w:rFonts w:ascii="Century" w:hAnsi="Century" w:cs="Miriam" w:hint="cs"/>
          <w:b/>
          <w:spacing w:val="0"/>
          <w:szCs w:val="24"/>
          <w:rtl/>
        </w:rPr>
        <w:t>דיון והכרעה</w:t>
      </w:r>
    </w:p>
    <w:p w:rsidR="00A14F89" w:rsidRDefault="00A14F89" w:rsidP="00A14F89">
      <w:pPr>
        <w:pStyle w:val="Ruller41"/>
        <w:rPr>
          <w:rtl/>
        </w:rPr>
      </w:pPr>
    </w:p>
    <w:p w:rsidR="00A14F89" w:rsidRDefault="00A14F89" w:rsidP="00A14F89">
      <w:pPr>
        <w:pStyle w:val="Ruller41"/>
        <w:rPr>
          <w:rtl/>
        </w:rPr>
      </w:pPr>
      <w:r>
        <w:rPr>
          <w:rFonts w:hint="cs"/>
          <w:rtl/>
        </w:rPr>
        <w:t>30.</w:t>
      </w:r>
      <w:r>
        <w:rPr>
          <w:rtl/>
        </w:rPr>
        <w:tab/>
      </w:r>
      <w:r>
        <w:rPr>
          <w:rFonts w:hint="cs"/>
          <w:rtl/>
        </w:rPr>
        <w:t xml:space="preserve">השאלה העקרונית המרכזית בה יש להכריע במסגרת הערעורים שלפנינו היא אם יש לכלול את הוצאות פיתוח המקרקעין בסכום שעליו מוטל מס רכישה בגין מכירת הזכות במקרקעין הנדונים. כפי שיפורט להלן, הפסיקה עסקה בשאלה זו ובשאלות משיקות לה בהזדמנויות שונות, אך הצדדים חלוקים ביחס למסקנות שיש לגזור ממנה, ובעיקר מהפסיקה המאוחרת שעסקה בנושא. משכך, אעמוד על התשתית הנורמטיבית הרלוונטית לענייננו </w:t>
      </w:r>
      <w:r>
        <w:rPr>
          <w:rtl/>
        </w:rPr>
        <w:t>–</w:t>
      </w:r>
      <w:r>
        <w:rPr>
          <w:rFonts w:hint="cs"/>
          <w:rtl/>
        </w:rPr>
        <w:t xml:space="preserve"> ראשית על סעיפי החוק המסדירים את החיוב במס רכישה, ובהמשך על השתלשלות הפסיקה בנדון בנוגע להכללתן של הוצאות הפיתוח בסכום שעליו מוטל מס הרכישה. לבסוף, אעמוד על העקרונות וההבחנות שנקבעו בפסיקה ואפנה להכרעה במחלוקת העקרונית שבין הצדדים.</w:t>
      </w:r>
    </w:p>
    <w:p w:rsidR="00A14F89" w:rsidRDefault="00A14F89" w:rsidP="00A14F89">
      <w:pPr>
        <w:pStyle w:val="Ruller41"/>
        <w:rPr>
          <w:rtl/>
        </w:rPr>
      </w:pPr>
    </w:p>
    <w:p w:rsidR="00A14F89" w:rsidRPr="00555A9F" w:rsidRDefault="00A14F89" w:rsidP="00A14F89">
      <w:pPr>
        <w:pStyle w:val="Ruller41"/>
        <w:rPr>
          <w:rFonts w:ascii="Century" w:hAnsi="Century" w:cs="Miriam"/>
          <w:b/>
          <w:spacing w:val="0"/>
          <w:szCs w:val="24"/>
          <w:rtl/>
        </w:rPr>
      </w:pPr>
      <w:r w:rsidRPr="00555A9F">
        <w:rPr>
          <w:rFonts w:ascii="Century" w:hAnsi="Century" w:cs="Miriam" w:hint="cs"/>
          <w:b/>
          <w:spacing w:val="0"/>
          <w:szCs w:val="24"/>
          <w:rtl/>
        </w:rPr>
        <w:t>התשתית הנורמטיבית</w:t>
      </w:r>
    </w:p>
    <w:p w:rsidR="00A14F89" w:rsidRDefault="00A14F89" w:rsidP="00A14F89">
      <w:pPr>
        <w:pStyle w:val="Ruller41"/>
        <w:rPr>
          <w:rtl/>
        </w:rPr>
      </w:pPr>
    </w:p>
    <w:p w:rsidR="00A14F89" w:rsidRPr="00555A9F" w:rsidRDefault="00A14F89" w:rsidP="00A14F89">
      <w:pPr>
        <w:pStyle w:val="Ruller41"/>
        <w:rPr>
          <w:rFonts w:ascii="Century" w:hAnsi="Century" w:cs="Miriam"/>
          <w:b/>
          <w:spacing w:val="0"/>
          <w:szCs w:val="24"/>
          <w:rtl/>
        </w:rPr>
      </w:pPr>
      <w:r w:rsidRPr="00555A9F">
        <w:rPr>
          <w:rFonts w:ascii="Century" w:hAnsi="Century" w:cs="Miriam" w:hint="cs"/>
          <w:b/>
          <w:spacing w:val="0"/>
          <w:szCs w:val="24"/>
          <w:rtl/>
        </w:rPr>
        <w:t>סעיפי החוק</w:t>
      </w:r>
    </w:p>
    <w:p w:rsidR="00A14F89" w:rsidRDefault="00A14F89" w:rsidP="00A14F89">
      <w:pPr>
        <w:pStyle w:val="Ruller41"/>
        <w:rPr>
          <w:rtl/>
        </w:rPr>
      </w:pPr>
    </w:p>
    <w:p w:rsidR="00A14F89" w:rsidRDefault="00A14F89" w:rsidP="00A14F89">
      <w:pPr>
        <w:pStyle w:val="Ruller41"/>
        <w:rPr>
          <w:rtl/>
        </w:rPr>
      </w:pPr>
      <w:r>
        <w:rPr>
          <w:rFonts w:hint="cs"/>
          <w:rtl/>
        </w:rPr>
        <w:t>31.</w:t>
      </w:r>
      <w:r>
        <w:rPr>
          <w:rtl/>
        </w:rPr>
        <w:tab/>
      </w:r>
      <w:r>
        <w:rPr>
          <w:rFonts w:hint="cs"/>
          <w:rtl/>
        </w:rPr>
        <w:t>החיוב במס בגין רכישת מקרקעין מעוגן בסעיף 9(א) לחוק מיסוי מקרקעין:</w:t>
      </w:r>
    </w:p>
    <w:p w:rsidR="00A14F89" w:rsidRDefault="00A14F89" w:rsidP="00A14F89">
      <w:pPr>
        <w:pStyle w:val="Ruller41"/>
        <w:rPr>
          <w:rtl/>
        </w:rPr>
      </w:pPr>
    </w:p>
    <w:p w:rsidR="00A14F89" w:rsidRPr="00555A9F" w:rsidRDefault="00A14F89" w:rsidP="00A14F89">
      <w:pPr>
        <w:pStyle w:val="Ruller5"/>
      </w:pPr>
      <w:r w:rsidRPr="00555A9F">
        <w:rPr>
          <w:rtl/>
        </w:rPr>
        <w:t xml:space="preserve">מס רכישה </w:t>
      </w:r>
    </w:p>
    <w:p w:rsidR="00A14F89" w:rsidRPr="00555A9F" w:rsidRDefault="00A14F89" w:rsidP="00A14F89">
      <w:pPr>
        <w:pStyle w:val="Ruller5"/>
        <w:rPr>
          <w:rtl/>
        </w:rPr>
      </w:pPr>
      <w:r w:rsidRPr="00555A9F">
        <w:rPr>
          <w:rFonts w:hint="cs"/>
          <w:rtl/>
        </w:rPr>
        <w:t xml:space="preserve">9.    (א)  במכירת </w:t>
      </w:r>
      <w:r w:rsidRPr="007E0CC7">
        <w:rPr>
          <w:rFonts w:ascii="Century" w:hAnsi="Century" w:cs="Miriam" w:hint="cs"/>
          <w:b/>
          <w:spacing w:val="0"/>
          <w:szCs w:val="24"/>
          <w:rtl/>
        </w:rPr>
        <w:t>זכות במקרקעין</w:t>
      </w:r>
      <w:r w:rsidRPr="007E0CC7">
        <w:rPr>
          <w:rFonts w:hint="cs"/>
          <w:rtl/>
        </w:rPr>
        <w:t xml:space="preserve"> </w:t>
      </w:r>
      <w:r w:rsidRPr="00555A9F">
        <w:rPr>
          <w:rFonts w:hint="cs"/>
          <w:rtl/>
        </w:rPr>
        <w:t xml:space="preserve">יהא הרוכש חייב במס רכישת מקרקעין (להלן – מס רכישה); מס הרכישה יהיה בשיעור </w:t>
      </w:r>
      <w:r w:rsidRPr="007E0CC7">
        <w:rPr>
          <w:rFonts w:ascii="Century" w:hAnsi="Century" w:cs="Miriam" w:hint="cs"/>
          <w:b/>
          <w:spacing w:val="0"/>
          <w:szCs w:val="24"/>
          <w:rtl/>
        </w:rPr>
        <w:t>משווי המכירה</w:t>
      </w:r>
      <w:r w:rsidRPr="007E0CC7">
        <w:rPr>
          <w:rFonts w:hint="cs"/>
          <w:rtl/>
        </w:rPr>
        <w:t xml:space="preserve"> </w:t>
      </w:r>
      <w:r>
        <w:rPr>
          <w:rFonts w:hint="cs"/>
          <w:rtl/>
        </w:rPr>
        <w:t>..</w:t>
      </w:r>
      <w:r w:rsidRPr="00555A9F">
        <w:rPr>
          <w:rFonts w:hint="cs"/>
          <w:rtl/>
        </w:rPr>
        <w:t>.</w:t>
      </w:r>
    </w:p>
    <w:p w:rsidR="00A14F89" w:rsidRDefault="00A14F89" w:rsidP="00A14F89">
      <w:pPr>
        <w:pStyle w:val="Ruller41"/>
        <w:rPr>
          <w:rtl/>
        </w:rPr>
      </w:pPr>
    </w:p>
    <w:p w:rsidR="00A14F89" w:rsidRDefault="00A14F89" w:rsidP="00A14F89">
      <w:pPr>
        <w:pStyle w:val="Ruller41"/>
        <w:rPr>
          <w:rtl/>
        </w:rPr>
      </w:pPr>
      <w:r>
        <w:rPr>
          <w:rFonts w:hint="cs"/>
          <w:rtl/>
        </w:rPr>
        <w:t>הגדרת המונח "שווי המכירה" קבועה בסעיף 17(א) לחוק מיסוי מקרקעין, כלהלן:</w:t>
      </w:r>
    </w:p>
    <w:p w:rsidR="00A14F89" w:rsidRDefault="00A14F89" w:rsidP="00A14F89">
      <w:pPr>
        <w:pStyle w:val="Ruller41"/>
        <w:rPr>
          <w:rtl/>
        </w:rPr>
      </w:pPr>
    </w:p>
    <w:p w:rsidR="00A14F89" w:rsidRPr="009F3A18" w:rsidRDefault="00A14F89" w:rsidP="00A14F89">
      <w:pPr>
        <w:pStyle w:val="Ruller5"/>
      </w:pPr>
      <w:r w:rsidRPr="009F3A18">
        <w:rPr>
          <w:rtl/>
        </w:rPr>
        <w:t>שווי המכירה</w:t>
      </w:r>
    </w:p>
    <w:p w:rsidR="00A14F89" w:rsidRPr="009F3A18" w:rsidRDefault="00A14F89" w:rsidP="00A14F89">
      <w:pPr>
        <w:pStyle w:val="Ruller5"/>
        <w:rPr>
          <w:rtl/>
        </w:rPr>
      </w:pPr>
      <w:r w:rsidRPr="009F3A18">
        <w:rPr>
          <w:rFonts w:hint="cs"/>
          <w:rtl/>
        </w:rPr>
        <w:t xml:space="preserve">17.   (א)  שווי המכירה הוא </w:t>
      </w:r>
      <w:r w:rsidRPr="004230E0">
        <w:rPr>
          <w:rFonts w:ascii="Century" w:hAnsi="Century" w:hint="cs"/>
          <w:rtl/>
        </w:rPr>
        <w:t>שווי ביום המכירה</w:t>
      </w:r>
      <w:r w:rsidRPr="00942406">
        <w:rPr>
          <w:rFonts w:hint="cs"/>
          <w:rtl/>
        </w:rPr>
        <w:t xml:space="preserve"> </w:t>
      </w:r>
      <w:r w:rsidRPr="009F3A18">
        <w:rPr>
          <w:rFonts w:hint="cs"/>
          <w:rtl/>
        </w:rPr>
        <w:t xml:space="preserve">של </w:t>
      </w:r>
      <w:r w:rsidRPr="007E0CC7">
        <w:rPr>
          <w:rFonts w:ascii="Century" w:hAnsi="Century" w:cs="Miriam" w:hint="cs"/>
          <w:b/>
          <w:spacing w:val="0"/>
          <w:szCs w:val="24"/>
          <w:rtl/>
        </w:rPr>
        <w:t>הזכות במקרקעין הנמכרת</w:t>
      </w:r>
      <w:r w:rsidRPr="007E0CC7">
        <w:rPr>
          <w:rFonts w:hint="cs"/>
          <w:rtl/>
        </w:rPr>
        <w:t xml:space="preserve"> </w:t>
      </w:r>
      <w:r w:rsidRPr="009F3A18">
        <w:rPr>
          <w:rFonts w:hint="cs"/>
          <w:rtl/>
        </w:rPr>
        <w:t>כשהיא נקיה מכל שעבוד הבא להבטיח חוב, משכנתה או זכות אחרת הבאה להבטיח תשלום.</w:t>
      </w:r>
    </w:p>
    <w:p w:rsidR="00A14F89" w:rsidRDefault="00A14F89" w:rsidP="00A14F89">
      <w:pPr>
        <w:pStyle w:val="Ruller41"/>
        <w:rPr>
          <w:rtl/>
        </w:rPr>
      </w:pPr>
    </w:p>
    <w:p w:rsidR="00A14F89" w:rsidRDefault="00A14F89" w:rsidP="00A14F89">
      <w:pPr>
        <w:pStyle w:val="Ruller41"/>
        <w:rPr>
          <w:rtl/>
        </w:rPr>
      </w:pPr>
      <w:r>
        <w:rPr>
          <w:rFonts w:hint="cs"/>
          <w:rtl/>
        </w:rPr>
        <w:t>הגדרת המונח "שווי" קבועה בסעיף 1 לחוק מיסוי מקרקעין, כלהלן:</w:t>
      </w:r>
    </w:p>
    <w:p w:rsidR="00A14F89" w:rsidRDefault="00A14F89" w:rsidP="00A14F89">
      <w:pPr>
        <w:pStyle w:val="Ruller41"/>
        <w:rPr>
          <w:rtl/>
        </w:rPr>
      </w:pPr>
    </w:p>
    <w:p w:rsidR="00A14F89" w:rsidRPr="00E073D3" w:rsidRDefault="00A14F89" w:rsidP="00A14F89">
      <w:pPr>
        <w:pStyle w:val="Ruller5"/>
      </w:pPr>
      <w:r w:rsidRPr="00E073D3">
        <w:rPr>
          <w:rFonts w:hint="cs"/>
          <w:rtl/>
        </w:rPr>
        <w:t>"שווי" של זכות פלונית – הסכום שיש לצפות לו ממכירת אותה זכות על ידי מוכר מרצון לקונה מרצון, ובלבד שבמכירות –</w:t>
      </w:r>
    </w:p>
    <w:p w:rsidR="00A14F89" w:rsidRPr="00E073D3" w:rsidRDefault="00A14F89" w:rsidP="00A14F89">
      <w:pPr>
        <w:pStyle w:val="Ruller5"/>
        <w:rPr>
          <w:rtl/>
        </w:rPr>
      </w:pPr>
      <w:r w:rsidRPr="00E073D3">
        <w:rPr>
          <w:rFonts w:hint="cs"/>
          <w:rtl/>
        </w:rPr>
        <w:t>(1)   שנעשו בכתב ושבהן שוכנע המנהל כי התמורה בעד הזכות במקרקעין או בעד זכות באיגוד נקבעה בתום לב ובלי שהושפעה מקיום יחסים מיוחדים בין המוכר לקונה, בין במישרין ובין בעקיפין – התמורה כאמור;</w:t>
      </w:r>
    </w:p>
    <w:p w:rsidR="00A14F89" w:rsidRPr="00E073D3" w:rsidRDefault="00A14F89" w:rsidP="00A14F89">
      <w:pPr>
        <w:pStyle w:val="Ruller5"/>
        <w:rPr>
          <w:rtl/>
        </w:rPr>
      </w:pPr>
      <w:r w:rsidRPr="00E073D3">
        <w:rPr>
          <w:rFonts w:hint="cs"/>
          <w:rtl/>
        </w:rPr>
        <w:t>(2)   שלגביהן נקבע בחוק זה אחרת – השווי כפי שנקבע בחוק זה;</w:t>
      </w:r>
    </w:p>
    <w:p w:rsidR="00A14F89" w:rsidRDefault="00A14F89" w:rsidP="00A14F89">
      <w:pPr>
        <w:pStyle w:val="Ruller41"/>
        <w:rPr>
          <w:rtl/>
        </w:rPr>
      </w:pPr>
      <w:r>
        <w:rPr>
          <w:rtl/>
        </w:rPr>
        <w:tab/>
      </w:r>
    </w:p>
    <w:p w:rsidR="00A14F89" w:rsidRDefault="00A14F89" w:rsidP="00A14F89">
      <w:pPr>
        <w:pStyle w:val="Ruller41"/>
        <w:rPr>
          <w:rtl/>
        </w:rPr>
      </w:pPr>
      <w:r>
        <w:rPr>
          <w:rFonts w:hint="cs"/>
          <w:rtl/>
        </w:rPr>
        <w:t>32.</w:t>
      </w:r>
      <w:r>
        <w:rPr>
          <w:rtl/>
        </w:rPr>
        <w:tab/>
      </w:r>
      <w:r>
        <w:rPr>
          <w:rFonts w:hint="cs"/>
          <w:rtl/>
        </w:rPr>
        <w:t>מצירוף סעיפי החוק וההגדרות שבו עולה כי מס רכישה הוא המס המוטל על הרוכש בגין עסקת מכר של זכות במקרקעין, וכי המס יהיה בשיעור מה</w:t>
      </w:r>
      <w:r w:rsidRPr="008D4D25">
        <w:rPr>
          <w:rFonts w:hint="cs"/>
          <w:rtl/>
        </w:rPr>
        <w:t>שווי</w:t>
      </w:r>
      <w:r>
        <w:rPr>
          <w:rFonts w:hint="cs"/>
          <w:rtl/>
        </w:rPr>
        <w:t xml:space="preserve"> של </w:t>
      </w:r>
      <w:r w:rsidRPr="00996773">
        <w:rPr>
          <w:rFonts w:ascii="Century" w:hAnsi="Century" w:cs="Miriam" w:hint="cs"/>
          <w:b/>
          <w:spacing w:val="0"/>
          <w:szCs w:val="24"/>
          <w:rtl/>
        </w:rPr>
        <w:t>הזכות במקרקעין הנמכרת</w:t>
      </w:r>
      <w:r>
        <w:rPr>
          <w:rFonts w:hint="cs"/>
          <w:rtl/>
        </w:rPr>
        <w:t xml:space="preserve">. לפיכך, השאלה הראשונה בה יש להכריע לצורך קביעת גובה המס היא </w:t>
      </w:r>
      <w:r>
        <w:rPr>
          <w:rtl/>
        </w:rPr>
        <w:t>–</w:t>
      </w:r>
      <w:r>
        <w:rPr>
          <w:rFonts w:hint="cs"/>
          <w:rtl/>
        </w:rPr>
        <w:t xml:space="preserve"> </w:t>
      </w:r>
      <w:r w:rsidRPr="004D3F6C">
        <w:rPr>
          <w:rFonts w:ascii="Century" w:hAnsi="Century" w:hint="eastAsia"/>
          <w:b/>
          <w:spacing w:val="0"/>
          <w:sz w:val="28"/>
          <w:rtl/>
        </w:rPr>
        <w:t>מהי</w:t>
      </w:r>
      <w:r w:rsidRPr="00996773">
        <w:rPr>
          <w:rFonts w:ascii="Century" w:hAnsi="Century" w:cs="Miriam" w:hint="cs"/>
          <w:b/>
          <w:spacing w:val="0"/>
          <w:szCs w:val="24"/>
          <w:rtl/>
        </w:rPr>
        <w:t xml:space="preserve"> </w:t>
      </w:r>
      <w:r>
        <w:rPr>
          <w:rFonts w:ascii="Century" w:hAnsi="Century" w:cs="Miriam" w:hint="cs"/>
          <w:b/>
          <w:spacing w:val="0"/>
          <w:szCs w:val="24"/>
          <w:rtl/>
        </w:rPr>
        <w:t>"</w:t>
      </w:r>
      <w:r w:rsidRPr="00996773">
        <w:rPr>
          <w:rFonts w:ascii="Century" w:hAnsi="Century" w:cs="Miriam" w:hint="cs"/>
          <w:b/>
          <w:spacing w:val="0"/>
          <w:szCs w:val="24"/>
          <w:rtl/>
        </w:rPr>
        <w:t>הזכות במקרקעין הנמכרת</w:t>
      </w:r>
      <w:r>
        <w:rPr>
          <w:rFonts w:hint="cs"/>
          <w:rtl/>
        </w:rPr>
        <w:t xml:space="preserve">"? לאחר מכן, יש לבחון את השאלה </w:t>
      </w:r>
      <w:r>
        <w:rPr>
          <w:rtl/>
        </w:rPr>
        <w:t>–</w:t>
      </w:r>
      <w:r>
        <w:rPr>
          <w:rFonts w:hint="cs"/>
          <w:rtl/>
        </w:rPr>
        <w:t xml:space="preserve"> מהו שוויה של זכות זו, היינו </w:t>
      </w:r>
      <w:r>
        <w:rPr>
          <w:rtl/>
        </w:rPr>
        <w:t>–</w:t>
      </w:r>
      <w:r>
        <w:rPr>
          <w:rFonts w:hint="cs"/>
          <w:rtl/>
        </w:rPr>
        <w:t xml:space="preserve"> מה שווי השוק שלה או מה התמורה ששולמה </w:t>
      </w:r>
      <w:r w:rsidRPr="00996773">
        <w:rPr>
          <w:rFonts w:ascii="Century" w:hAnsi="Century" w:cs="Miriam" w:hint="cs"/>
          <w:b/>
          <w:spacing w:val="0"/>
          <w:szCs w:val="24"/>
          <w:rtl/>
        </w:rPr>
        <w:t>עבור</w:t>
      </w:r>
      <w:r w:rsidRPr="00996773">
        <w:rPr>
          <w:rFonts w:hint="cs"/>
          <w:rtl/>
        </w:rPr>
        <w:t xml:space="preserve"> </w:t>
      </w:r>
      <w:r w:rsidRPr="00996773">
        <w:rPr>
          <w:rFonts w:ascii="Century" w:hAnsi="Century" w:cs="Miriam" w:hint="cs"/>
          <w:b/>
          <w:spacing w:val="0"/>
          <w:szCs w:val="24"/>
          <w:rtl/>
        </w:rPr>
        <w:t>אותה</w:t>
      </w:r>
      <w:r w:rsidRPr="00996773">
        <w:rPr>
          <w:rFonts w:hint="cs"/>
          <w:rtl/>
        </w:rPr>
        <w:t xml:space="preserve"> </w:t>
      </w:r>
      <w:r w:rsidRPr="00996773">
        <w:rPr>
          <w:rFonts w:ascii="Century" w:hAnsi="Century" w:cs="Miriam" w:hint="cs"/>
          <w:b/>
          <w:spacing w:val="0"/>
          <w:szCs w:val="24"/>
          <w:rtl/>
        </w:rPr>
        <w:t>זכות</w:t>
      </w:r>
      <w:r>
        <w:rPr>
          <w:rFonts w:hint="cs"/>
          <w:rtl/>
        </w:rPr>
        <w:t xml:space="preserve"> (בתום לב ובלי שהושפעה מיחסים מיוחדים בין המוכר לקונה)</w:t>
      </w:r>
      <w:r w:rsidRPr="00A2321D">
        <w:rPr>
          <w:rFonts w:hint="cs"/>
          <w:rtl/>
        </w:rPr>
        <w:t>?</w:t>
      </w:r>
      <w:r>
        <w:rPr>
          <w:rFonts w:hint="cs"/>
          <w:rtl/>
        </w:rPr>
        <w:t xml:space="preserve"> מסכום זה, יש לגזור את שיעור מס הרכישה.</w:t>
      </w:r>
    </w:p>
    <w:p w:rsidR="00A14F89" w:rsidRDefault="00A14F89" w:rsidP="00A14F89">
      <w:pPr>
        <w:pStyle w:val="Ruller41"/>
        <w:rPr>
          <w:rtl/>
        </w:rPr>
      </w:pPr>
    </w:p>
    <w:p w:rsidR="00A14F89" w:rsidRPr="00555A9F" w:rsidRDefault="00A14F89" w:rsidP="00A14F89">
      <w:pPr>
        <w:pStyle w:val="Ruller41"/>
        <w:rPr>
          <w:rFonts w:ascii="Century" w:hAnsi="Century" w:cs="Miriam"/>
          <w:b/>
          <w:spacing w:val="0"/>
          <w:szCs w:val="24"/>
          <w:rtl/>
        </w:rPr>
      </w:pPr>
      <w:r>
        <w:rPr>
          <w:rFonts w:ascii="Century" w:hAnsi="Century" w:cs="Miriam" w:hint="cs"/>
          <w:b/>
          <w:spacing w:val="0"/>
          <w:szCs w:val="24"/>
          <w:rtl/>
        </w:rPr>
        <w:t xml:space="preserve">סקירת הפסיקה הרלוונטית </w:t>
      </w:r>
    </w:p>
    <w:p w:rsidR="00A14F89" w:rsidRDefault="00A14F89" w:rsidP="00A14F89">
      <w:pPr>
        <w:pStyle w:val="Ruller41"/>
        <w:rPr>
          <w:rtl/>
        </w:rPr>
      </w:pPr>
    </w:p>
    <w:p w:rsidR="00A14F89" w:rsidRDefault="00A14F89" w:rsidP="00A14F89">
      <w:pPr>
        <w:pStyle w:val="Ruller41"/>
        <w:rPr>
          <w:rtl/>
        </w:rPr>
      </w:pPr>
      <w:r>
        <w:rPr>
          <w:rFonts w:hint="cs"/>
          <w:rtl/>
        </w:rPr>
        <w:t>33.</w:t>
      </w:r>
      <w:r>
        <w:rPr>
          <w:rtl/>
        </w:rPr>
        <w:tab/>
      </w:r>
      <w:r>
        <w:rPr>
          <w:rFonts w:hint="cs"/>
          <w:rtl/>
        </w:rPr>
        <w:t xml:space="preserve">לאורך השנים הפסיקה עסקה במקרים שבהם נערכת עסקת מכר של זכות בעלות או חכירת מקרקעין שאינם מפותחים, והוסכם בין הצדדים כי הרוכש ישלם למוכר סכום נוסף (שפעמים רבות עולה עשרות מונים על עלות המקרקעין עצמם) עבור פיתוח המקרקעין. השאלה שהתעוררה בנסיבות אלה הייתה אם הזכות במקרקעין שנמכרה הייתה בעלות (או חכירה) של מקרקעין </w:t>
      </w:r>
      <w:r w:rsidRPr="007E714E">
        <w:rPr>
          <w:rFonts w:ascii="Century" w:hAnsi="Century" w:cs="Miriam" w:hint="cs"/>
          <w:b/>
          <w:spacing w:val="0"/>
          <w:szCs w:val="24"/>
          <w:rtl/>
        </w:rPr>
        <w:t>שאינם מפותחים</w:t>
      </w:r>
      <w:r>
        <w:rPr>
          <w:rFonts w:hint="cs"/>
          <w:rtl/>
        </w:rPr>
        <w:t xml:space="preserve"> לצד עסקה נוספת לפיתוחם, או שמא הזכות במקרקעין שנמכרה הייתה בעלות או חכירת מקרקעין </w:t>
      </w:r>
      <w:r w:rsidRPr="007E714E">
        <w:rPr>
          <w:rFonts w:ascii="Century" w:hAnsi="Century" w:cs="Miriam" w:hint="cs"/>
          <w:b/>
          <w:spacing w:val="0"/>
          <w:szCs w:val="24"/>
          <w:rtl/>
        </w:rPr>
        <w:t>מפותחים</w:t>
      </w:r>
      <w:r>
        <w:rPr>
          <w:rFonts w:hint="cs"/>
          <w:rtl/>
        </w:rPr>
        <w:t xml:space="preserve">. משמעות הכרעה שלפיה מדובר במכירת זכות </w:t>
      </w:r>
      <w:r>
        <w:rPr>
          <w:rFonts w:ascii="Century" w:hAnsi="Century" w:cs="Miriam" w:hint="cs"/>
          <w:b/>
          <w:spacing w:val="0"/>
          <w:szCs w:val="24"/>
          <w:rtl/>
        </w:rPr>
        <w:t>ב</w:t>
      </w:r>
      <w:r w:rsidRPr="008A60E3">
        <w:rPr>
          <w:rFonts w:ascii="Century" w:hAnsi="Century" w:cs="Miriam" w:hint="cs"/>
          <w:b/>
          <w:spacing w:val="0"/>
          <w:szCs w:val="24"/>
          <w:rtl/>
        </w:rPr>
        <w:t>מקרקעין שאינם מפותחים</w:t>
      </w:r>
      <w:r>
        <w:rPr>
          <w:rFonts w:hint="cs"/>
          <w:rtl/>
        </w:rPr>
        <w:t xml:space="preserve"> היא כי שווי הזכות הנמכרת הוא בגובה התמורה ששולמה אך עבור המקרקעין עצמם, וכי משווי זה בלבד יש לגזור את גובה המס. לעומת זאת, משמעות הכרעה שלפיה מדובר במכירת זכות </w:t>
      </w:r>
      <w:r>
        <w:rPr>
          <w:rFonts w:ascii="Century" w:hAnsi="Century" w:cs="Miriam" w:hint="cs"/>
          <w:b/>
          <w:spacing w:val="0"/>
          <w:szCs w:val="24"/>
          <w:rtl/>
        </w:rPr>
        <w:lastRenderedPageBreak/>
        <w:t>ב</w:t>
      </w:r>
      <w:r w:rsidRPr="008A60E3">
        <w:rPr>
          <w:rFonts w:ascii="Century" w:hAnsi="Century" w:cs="Miriam" w:hint="cs"/>
          <w:b/>
          <w:spacing w:val="0"/>
          <w:szCs w:val="24"/>
          <w:rtl/>
        </w:rPr>
        <w:t>מקרקעין</w:t>
      </w:r>
      <w:r w:rsidRPr="008A60E3">
        <w:rPr>
          <w:rFonts w:hint="cs"/>
          <w:rtl/>
        </w:rPr>
        <w:t xml:space="preserve"> </w:t>
      </w:r>
      <w:r w:rsidRPr="008A60E3">
        <w:rPr>
          <w:rFonts w:ascii="Century" w:hAnsi="Century" w:cs="Miriam" w:hint="cs"/>
          <w:b/>
          <w:spacing w:val="0"/>
          <w:szCs w:val="24"/>
          <w:rtl/>
        </w:rPr>
        <w:t>מפותחים</w:t>
      </w:r>
      <w:r w:rsidRPr="008A60E3">
        <w:rPr>
          <w:rFonts w:hint="cs"/>
          <w:rtl/>
        </w:rPr>
        <w:t xml:space="preserve"> </w:t>
      </w:r>
      <w:r>
        <w:rPr>
          <w:rFonts w:hint="cs"/>
          <w:rtl/>
        </w:rPr>
        <w:t xml:space="preserve">היא כי שווי הזכות הנמכרת הוא בגובה </w:t>
      </w:r>
      <w:r w:rsidRPr="008A60E3">
        <w:rPr>
          <w:rFonts w:ascii="Century" w:hAnsi="Century" w:cs="Miriam" w:hint="cs"/>
          <w:b/>
          <w:spacing w:val="0"/>
          <w:szCs w:val="24"/>
          <w:rtl/>
        </w:rPr>
        <w:t>צירוף</w:t>
      </w:r>
      <w:r w:rsidRPr="008A60E3">
        <w:rPr>
          <w:rFonts w:hint="cs"/>
          <w:rtl/>
        </w:rPr>
        <w:t xml:space="preserve"> </w:t>
      </w:r>
      <w:r>
        <w:rPr>
          <w:rFonts w:hint="cs"/>
          <w:rtl/>
        </w:rPr>
        <w:t xml:space="preserve">התמורות של המקרקעין עצמם ושל פיתוחם, וכי משווי זה יש לגזור את גובה מס הרכישה. </w:t>
      </w:r>
    </w:p>
    <w:p w:rsidR="00A14F89" w:rsidRPr="00996773" w:rsidRDefault="00A14F89" w:rsidP="00A14F89">
      <w:pPr>
        <w:pStyle w:val="Ruller41"/>
        <w:rPr>
          <w:rtl/>
        </w:rPr>
      </w:pPr>
      <w:r>
        <w:rPr>
          <w:rtl/>
        </w:rPr>
        <w:tab/>
      </w:r>
      <w:r w:rsidRPr="00996773">
        <w:rPr>
          <w:rtl/>
        </w:rPr>
        <w:tab/>
      </w:r>
    </w:p>
    <w:p w:rsidR="00A14F89" w:rsidRDefault="00A14F89" w:rsidP="00A14F89">
      <w:pPr>
        <w:pStyle w:val="Ruller41"/>
        <w:rPr>
          <w:rtl/>
        </w:rPr>
      </w:pPr>
      <w:r>
        <w:rPr>
          <w:rFonts w:hint="cs"/>
          <w:rtl/>
        </w:rPr>
        <w:t>34.</w:t>
      </w:r>
      <w:r w:rsidRPr="00F7217F">
        <w:rPr>
          <w:rtl/>
        </w:rPr>
        <w:tab/>
      </w:r>
      <w:r w:rsidRPr="00A063EA">
        <w:rPr>
          <w:rFonts w:ascii="Century" w:hAnsi="Century" w:cs="Miriam" w:hint="cs"/>
          <w:b/>
          <w:spacing w:val="0"/>
          <w:szCs w:val="24"/>
          <w:rtl/>
        </w:rPr>
        <w:t xml:space="preserve">(1) עניין מלמוד, עניין הכט ועניין </w:t>
      </w:r>
      <w:proofErr w:type="spellStart"/>
      <w:r w:rsidRPr="00A063EA">
        <w:rPr>
          <w:rFonts w:ascii="Century" w:hAnsi="Century" w:cs="Miriam" w:hint="cs"/>
          <w:b/>
          <w:spacing w:val="0"/>
          <w:szCs w:val="24"/>
          <w:rtl/>
        </w:rPr>
        <w:t>גרינבלט</w:t>
      </w:r>
      <w:proofErr w:type="spellEnd"/>
      <w:r>
        <w:rPr>
          <w:rFonts w:hint="cs"/>
          <w:rtl/>
        </w:rPr>
        <w:t xml:space="preserve">: </w:t>
      </w:r>
      <w:r w:rsidRPr="00F7217F">
        <w:rPr>
          <w:rFonts w:hint="cs"/>
          <w:rtl/>
        </w:rPr>
        <w:t>שלושת פסקי הדין הראשונים שעסקו בשאלה האמורה, הכריעו כי הזכות שנמכרה היא זכות בעלות או חכיר</w:t>
      </w:r>
      <w:r>
        <w:rPr>
          <w:rFonts w:hint="cs"/>
          <w:rtl/>
        </w:rPr>
        <w:t>ה</w:t>
      </w:r>
      <w:r w:rsidRPr="00F7217F">
        <w:rPr>
          <w:rFonts w:hint="cs"/>
          <w:rtl/>
        </w:rPr>
        <w:t xml:space="preserve"> </w:t>
      </w:r>
      <w:r>
        <w:rPr>
          <w:rFonts w:hint="cs"/>
          <w:rtl/>
        </w:rPr>
        <w:t>ב</w:t>
      </w:r>
      <w:r w:rsidRPr="00F7217F">
        <w:rPr>
          <w:rFonts w:hint="cs"/>
          <w:rtl/>
        </w:rPr>
        <w:t xml:space="preserve">מקרקעין </w:t>
      </w:r>
      <w:r w:rsidRPr="004230E0">
        <w:rPr>
          <w:rFonts w:ascii="Century" w:hAnsi="Century" w:cs="Miriam" w:hint="cs"/>
          <w:b/>
          <w:spacing w:val="0"/>
          <w:szCs w:val="24"/>
          <w:rtl/>
        </w:rPr>
        <w:t>שאינם מפותחים</w:t>
      </w:r>
      <w:r w:rsidRPr="00F7217F">
        <w:rPr>
          <w:rFonts w:hint="cs"/>
          <w:rtl/>
        </w:rPr>
        <w:t xml:space="preserve">, וכי משכך </w:t>
      </w:r>
      <w:r w:rsidRPr="001444F7">
        <w:rPr>
          <w:rFonts w:ascii="Century" w:hAnsi="Century" w:cs="Miriam" w:hint="cs"/>
          <w:b/>
          <w:spacing w:val="0"/>
          <w:szCs w:val="24"/>
          <w:rtl/>
        </w:rPr>
        <w:t>אין</w:t>
      </w:r>
      <w:r w:rsidRPr="00F7217F">
        <w:rPr>
          <w:rFonts w:hint="cs"/>
          <w:rtl/>
        </w:rPr>
        <w:t xml:space="preserve"> לצרף את </w:t>
      </w:r>
      <w:r w:rsidRPr="009241D8">
        <w:rPr>
          <w:rFonts w:hint="cs"/>
          <w:rtl/>
        </w:rPr>
        <w:t xml:space="preserve">הוצאות הפיתוח לסכום שממנו יש לגזור את גובה המס (ראו: ע"א 610/78 </w:t>
      </w:r>
      <w:proofErr w:type="spellStart"/>
      <w:r w:rsidRPr="009241D8">
        <w:rPr>
          <w:rFonts w:ascii="Century" w:hAnsi="Century" w:cs="Miriam" w:hint="cs"/>
          <w:b/>
          <w:spacing w:val="0"/>
          <w:szCs w:val="24"/>
          <w:rtl/>
        </w:rPr>
        <w:t>מינהל</w:t>
      </w:r>
      <w:proofErr w:type="spellEnd"/>
      <w:r w:rsidRPr="009241D8">
        <w:rPr>
          <w:rFonts w:ascii="Century" w:hAnsi="Century" w:cs="Miriam" w:hint="cs"/>
          <w:b/>
          <w:spacing w:val="0"/>
          <w:szCs w:val="24"/>
          <w:rtl/>
        </w:rPr>
        <w:t xml:space="preserve"> מס שבח מקרקעין נ' מלמוד</w:t>
      </w:r>
      <w:r w:rsidRPr="009241D8">
        <w:rPr>
          <w:rFonts w:hint="cs"/>
          <w:rtl/>
        </w:rPr>
        <w:t xml:space="preserve">, פ"ד לג(2) 193 (1979) (להלן: </w:t>
      </w:r>
      <w:r w:rsidRPr="009241D8">
        <w:rPr>
          <w:rFonts w:ascii="Century" w:hAnsi="Century" w:cs="Miriam" w:hint="cs"/>
          <w:b/>
          <w:spacing w:val="0"/>
          <w:szCs w:val="24"/>
          <w:rtl/>
        </w:rPr>
        <w:t>עניין מלמוד</w:t>
      </w:r>
      <w:r w:rsidRPr="009241D8">
        <w:rPr>
          <w:rFonts w:hint="cs"/>
          <w:rtl/>
        </w:rPr>
        <w:t xml:space="preserve">); ע"א 225/84 </w:t>
      </w:r>
      <w:proofErr w:type="spellStart"/>
      <w:r w:rsidRPr="009241D8">
        <w:rPr>
          <w:rFonts w:ascii="Century" w:hAnsi="Century" w:cs="Miriam" w:hint="cs"/>
          <w:b/>
          <w:spacing w:val="0"/>
          <w:szCs w:val="24"/>
          <w:rtl/>
        </w:rPr>
        <w:t>מינהל</w:t>
      </w:r>
      <w:proofErr w:type="spellEnd"/>
      <w:r w:rsidRPr="009241D8">
        <w:rPr>
          <w:rFonts w:ascii="Century" w:hAnsi="Century" w:cs="Miriam" w:hint="cs"/>
          <w:b/>
          <w:spacing w:val="0"/>
          <w:szCs w:val="24"/>
          <w:rtl/>
        </w:rPr>
        <w:t xml:space="preserve"> מס שבח מקרקעין נ' הכט</w:t>
      </w:r>
      <w:r w:rsidRPr="009241D8">
        <w:rPr>
          <w:rFonts w:hint="cs"/>
          <w:rtl/>
        </w:rPr>
        <w:t xml:space="preserve">, פ"ד מ(1) 190 (1986) (להלן: </w:t>
      </w:r>
      <w:r w:rsidRPr="009241D8">
        <w:rPr>
          <w:rFonts w:ascii="Century" w:hAnsi="Century" w:cs="Miriam" w:hint="cs"/>
          <w:b/>
          <w:spacing w:val="0"/>
          <w:szCs w:val="24"/>
          <w:rtl/>
        </w:rPr>
        <w:t>עניין הכט</w:t>
      </w:r>
      <w:r w:rsidRPr="009241D8">
        <w:rPr>
          <w:rFonts w:hint="cs"/>
          <w:rtl/>
        </w:rPr>
        <w:t xml:space="preserve">); ע"א 293/89 </w:t>
      </w:r>
      <w:proofErr w:type="spellStart"/>
      <w:r w:rsidRPr="009241D8">
        <w:rPr>
          <w:rFonts w:ascii="Century" w:hAnsi="Century" w:cs="Miriam" w:hint="cs"/>
          <w:b/>
          <w:spacing w:val="0"/>
          <w:szCs w:val="24"/>
          <w:rtl/>
        </w:rPr>
        <w:t>מינהל</w:t>
      </w:r>
      <w:proofErr w:type="spellEnd"/>
      <w:r w:rsidRPr="009241D8">
        <w:rPr>
          <w:rFonts w:ascii="Century" w:hAnsi="Century" w:cs="Miriam" w:hint="cs"/>
          <w:b/>
          <w:spacing w:val="0"/>
          <w:szCs w:val="24"/>
          <w:rtl/>
        </w:rPr>
        <w:t xml:space="preserve"> מס שבח מקרקעין ירושלים נ' </w:t>
      </w:r>
      <w:proofErr w:type="spellStart"/>
      <w:r w:rsidRPr="009241D8">
        <w:rPr>
          <w:rFonts w:ascii="Century" w:hAnsi="Century" w:cs="Miriam" w:hint="cs"/>
          <w:b/>
          <w:spacing w:val="0"/>
          <w:szCs w:val="24"/>
          <w:rtl/>
        </w:rPr>
        <w:t>גרינבלט</w:t>
      </w:r>
      <w:proofErr w:type="spellEnd"/>
      <w:r w:rsidRPr="009241D8">
        <w:rPr>
          <w:rFonts w:hint="cs"/>
          <w:rtl/>
        </w:rPr>
        <w:t xml:space="preserve">, פ"ד מו(4) 456 (1992) (להלן: </w:t>
      </w:r>
      <w:r w:rsidRPr="009241D8">
        <w:rPr>
          <w:rFonts w:ascii="Century" w:hAnsi="Century" w:cs="Miriam" w:hint="cs"/>
          <w:b/>
          <w:spacing w:val="0"/>
          <w:szCs w:val="24"/>
          <w:rtl/>
        </w:rPr>
        <w:t xml:space="preserve">עניין </w:t>
      </w:r>
      <w:proofErr w:type="spellStart"/>
      <w:r w:rsidRPr="009241D8">
        <w:rPr>
          <w:rFonts w:ascii="Century" w:hAnsi="Century" w:cs="Miriam" w:hint="cs"/>
          <w:b/>
          <w:spacing w:val="0"/>
          <w:szCs w:val="24"/>
          <w:rtl/>
        </w:rPr>
        <w:t>גרינבלט</w:t>
      </w:r>
      <w:proofErr w:type="spellEnd"/>
      <w:r w:rsidRPr="009241D8">
        <w:rPr>
          <w:rFonts w:hint="cs"/>
          <w:rtl/>
        </w:rPr>
        <w:t>)).</w:t>
      </w:r>
    </w:p>
    <w:p w:rsidR="00A14F89" w:rsidRDefault="00A14F89" w:rsidP="00A14F89">
      <w:pPr>
        <w:pStyle w:val="Ruller41"/>
        <w:rPr>
          <w:rtl/>
        </w:rPr>
      </w:pPr>
    </w:p>
    <w:p w:rsidR="00A14F89" w:rsidRDefault="00A14F89" w:rsidP="00A14F89">
      <w:pPr>
        <w:pStyle w:val="Ruller41"/>
        <w:rPr>
          <w:rtl/>
        </w:rPr>
      </w:pPr>
      <w:r>
        <w:rPr>
          <w:rtl/>
        </w:rPr>
        <w:tab/>
      </w:r>
      <w:r>
        <w:rPr>
          <w:rFonts w:hint="cs"/>
          <w:rtl/>
        </w:rPr>
        <w:t xml:space="preserve">כך, בעניין </w:t>
      </w:r>
      <w:r w:rsidRPr="009241D8">
        <w:rPr>
          <w:rFonts w:ascii="Century" w:hAnsi="Century" w:cs="Miriam" w:hint="cs"/>
          <w:b/>
          <w:spacing w:val="0"/>
          <w:szCs w:val="24"/>
          <w:rtl/>
        </w:rPr>
        <w:t>מלמוד</w:t>
      </w:r>
      <w:r>
        <w:rPr>
          <w:rFonts w:hint="cs"/>
          <w:rtl/>
        </w:rPr>
        <w:t xml:space="preserve">, נקבע כי </w:t>
      </w:r>
      <w:r w:rsidRPr="009241D8">
        <w:rPr>
          <w:rFonts w:ascii="Century" w:hAnsi="Century" w:hint="cs"/>
          <w:rtl/>
        </w:rPr>
        <w:t>"מה שקנה המשיב הוא מגרש בלתי מפותח וזה היה המצב בעת גיבוש העסקה</w:t>
      </w:r>
      <w:r>
        <w:rPr>
          <w:rFonts w:ascii="Century" w:hAnsi="Century" w:hint="cs"/>
          <w:rtl/>
        </w:rPr>
        <w:t xml:space="preserve">" (עניין </w:t>
      </w:r>
      <w:r w:rsidRPr="00FC7B43">
        <w:rPr>
          <w:rFonts w:ascii="Century" w:hAnsi="Century" w:cs="Miriam" w:hint="cs"/>
          <w:b/>
          <w:spacing w:val="0"/>
          <w:szCs w:val="24"/>
          <w:rtl/>
        </w:rPr>
        <w:t>מלמוד</w:t>
      </w:r>
      <w:r>
        <w:rPr>
          <w:rFonts w:ascii="Century" w:hAnsi="Century" w:hint="cs"/>
          <w:rtl/>
        </w:rPr>
        <w:t>, עמ' 196</w:t>
      </w:r>
      <w:r>
        <w:rPr>
          <w:rFonts w:hint="cs"/>
          <w:rtl/>
        </w:rPr>
        <w:t xml:space="preserve">), ובעניין </w:t>
      </w:r>
      <w:r w:rsidRPr="005A7AE3">
        <w:rPr>
          <w:rFonts w:ascii="Century" w:hAnsi="Century" w:cs="Miriam" w:hint="cs"/>
          <w:b/>
          <w:spacing w:val="0"/>
          <w:szCs w:val="24"/>
          <w:rtl/>
        </w:rPr>
        <w:t>הכט</w:t>
      </w:r>
      <w:r w:rsidRPr="005A7AE3">
        <w:rPr>
          <w:rFonts w:hint="cs"/>
          <w:rtl/>
        </w:rPr>
        <w:t xml:space="preserve"> </w:t>
      </w:r>
      <w:r>
        <w:rPr>
          <w:rFonts w:hint="cs"/>
          <w:rtl/>
        </w:rPr>
        <w:t>צוין כי "</w:t>
      </w:r>
      <w:r>
        <w:rPr>
          <w:rtl/>
        </w:rPr>
        <w:t>הזכות שנרכשה במקרה דנן אינה כוללת את הפיתוח שטרם בוצע</w:t>
      </w:r>
      <w:r>
        <w:rPr>
          <w:rFonts w:hint="cs"/>
          <w:rtl/>
        </w:rPr>
        <w:t xml:space="preserve">" (עניין </w:t>
      </w:r>
      <w:r w:rsidRPr="00FC7B43">
        <w:rPr>
          <w:rFonts w:ascii="Century" w:hAnsi="Century" w:cs="Miriam" w:hint="cs"/>
          <w:b/>
          <w:spacing w:val="0"/>
          <w:szCs w:val="24"/>
          <w:rtl/>
        </w:rPr>
        <w:t>הכט</w:t>
      </w:r>
      <w:r>
        <w:rPr>
          <w:rFonts w:hint="cs"/>
          <w:rtl/>
        </w:rPr>
        <w:t>, עמ' 193). ואולם, לצד זאת הובהר כי המסקנה האמורה נובעת מהנסיבות הקונקרטיות של המקרים שנדונו, ועל יסוד המערכת החוזית שנערכה בין הצדדים בכל אחד מהם, וכי "</w:t>
      </w:r>
      <w:r w:rsidRPr="005A7AE3">
        <w:rPr>
          <w:rFonts w:ascii="Century" w:hAnsi="Century"/>
          <w:rtl/>
        </w:rPr>
        <w:t xml:space="preserve">אין פירושו של דבר, כי לא ניתן לבנות מערכת חוזית אחרת, אשר מוליכה גם למסקנה שונה. כל מקרה ונסיבותיו וכל חוזה ותנאיו, ואך מובן הוא, שאיני מביע את דעתי בשאלה, מה יהיה הדין </w:t>
      </w:r>
      <w:r w:rsidRPr="005A7AE3">
        <w:rPr>
          <w:rFonts w:ascii="Century" w:hAnsi="Century" w:hint="cs"/>
          <w:rtl/>
        </w:rPr>
        <w:t xml:space="preserve">... </w:t>
      </w:r>
      <w:r w:rsidRPr="005A7AE3">
        <w:rPr>
          <w:rFonts w:ascii="Century" w:hAnsi="Century"/>
          <w:rtl/>
        </w:rPr>
        <w:t>אם הזכות הנמכרת תוגדר בדרך אחרת</w:t>
      </w:r>
      <w:r w:rsidRPr="005A7AE3">
        <w:rPr>
          <w:rFonts w:ascii="Century" w:hAnsi="Century" w:hint="cs"/>
          <w:rtl/>
        </w:rPr>
        <w:t>"</w:t>
      </w:r>
      <w:r>
        <w:rPr>
          <w:rFonts w:ascii="Century" w:hAnsi="Century" w:hint="cs"/>
          <w:rtl/>
        </w:rPr>
        <w:t xml:space="preserve"> (ראו: עניין </w:t>
      </w:r>
      <w:r w:rsidRPr="005A7AE3">
        <w:rPr>
          <w:rFonts w:ascii="Century" w:hAnsi="Century" w:cs="Miriam" w:hint="cs"/>
          <w:b/>
          <w:spacing w:val="0"/>
          <w:szCs w:val="24"/>
          <w:rtl/>
        </w:rPr>
        <w:t>הכט</w:t>
      </w:r>
      <w:r>
        <w:rPr>
          <w:rFonts w:ascii="Century" w:hAnsi="Century" w:hint="cs"/>
          <w:rtl/>
        </w:rPr>
        <w:t>, עמ' 193).</w:t>
      </w:r>
    </w:p>
    <w:p w:rsidR="00A14F89" w:rsidRDefault="00A14F89" w:rsidP="00A14F89">
      <w:pPr>
        <w:pStyle w:val="Ruller41"/>
        <w:rPr>
          <w:rtl/>
        </w:rPr>
      </w:pPr>
    </w:p>
    <w:p w:rsidR="00A14F89" w:rsidRPr="00072112" w:rsidRDefault="00A14F89" w:rsidP="00A14F89">
      <w:pPr>
        <w:pStyle w:val="Ruller41"/>
      </w:pPr>
      <w:r>
        <w:rPr>
          <w:rtl/>
        </w:rPr>
        <w:tab/>
      </w:r>
      <w:r>
        <w:rPr>
          <w:rFonts w:hint="cs"/>
          <w:rtl/>
        </w:rPr>
        <w:t xml:space="preserve">עוד יוער, למען שלמות התמונה, כי בעניין </w:t>
      </w:r>
      <w:proofErr w:type="spellStart"/>
      <w:r w:rsidRPr="005A7AE3">
        <w:rPr>
          <w:rFonts w:ascii="Century" w:hAnsi="Century" w:cs="Miriam" w:hint="cs"/>
          <w:b/>
          <w:spacing w:val="0"/>
          <w:szCs w:val="24"/>
          <w:rtl/>
        </w:rPr>
        <w:t>גרינבלט</w:t>
      </w:r>
      <w:proofErr w:type="spellEnd"/>
      <w:r w:rsidRPr="005A7AE3">
        <w:rPr>
          <w:rFonts w:hint="cs"/>
          <w:rtl/>
        </w:rPr>
        <w:t xml:space="preserve"> </w:t>
      </w:r>
      <w:r>
        <w:rPr>
          <w:rFonts w:hint="cs"/>
          <w:rtl/>
        </w:rPr>
        <w:t>צוין גם כי המערער רשאי לפעול לתיקון חקיקתי של המצב הקיים, וכי ניסיון כאמור (שלא צלח) נעשה במסגרת סעיף 10 ל</w:t>
      </w:r>
      <w:r w:rsidRPr="00072112">
        <w:rPr>
          <w:rtl/>
        </w:rPr>
        <w:t>הצעת חוק הסדרים במשק המדינה (תיקוני חקיקה)</w:t>
      </w:r>
      <w:r>
        <w:rPr>
          <w:rtl/>
        </w:rPr>
        <w:t xml:space="preserve"> (מס 2), תשנ"א</w:t>
      </w:r>
      <w:r>
        <w:rPr>
          <w:rFonts w:hint="cs"/>
          <w:rtl/>
        </w:rPr>
        <w:t xml:space="preserve">-1991, בו הוצע לכלול באופן מפורש את הוצאות הפיתוח שהרוכש התחייב לשלם למוכר במונח "שווי המכירה" של זכות במקרקעין. </w:t>
      </w:r>
    </w:p>
    <w:p w:rsidR="00A14F89" w:rsidRDefault="00A14F89" w:rsidP="00A14F89">
      <w:pPr>
        <w:pStyle w:val="Ruller41"/>
        <w:rPr>
          <w:rtl/>
        </w:rPr>
      </w:pPr>
    </w:p>
    <w:p w:rsidR="00A14F89" w:rsidRDefault="00A14F89" w:rsidP="00A14F89">
      <w:pPr>
        <w:pStyle w:val="Ruller41"/>
        <w:rPr>
          <w:rtl/>
        </w:rPr>
      </w:pPr>
      <w:r>
        <w:rPr>
          <w:rFonts w:hint="cs"/>
          <w:rtl/>
        </w:rPr>
        <w:t>35.</w:t>
      </w:r>
      <w:r>
        <w:rPr>
          <w:rtl/>
        </w:rPr>
        <w:tab/>
      </w:r>
      <w:r w:rsidRPr="00A063EA">
        <w:rPr>
          <w:rFonts w:ascii="Century" w:hAnsi="Century" w:cs="Miriam" w:hint="cs"/>
          <w:b/>
          <w:spacing w:val="0"/>
          <w:szCs w:val="24"/>
          <w:rtl/>
        </w:rPr>
        <w:t>(2) עניין שרביט</w:t>
      </w:r>
      <w:r>
        <w:rPr>
          <w:rFonts w:hint="cs"/>
          <w:rtl/>
        </w:rPr>
        <w:t>: בהמשך, נדונה השאלה האמורה ב</w:t>
      </w:r>
      <w:r w:rsidRPr="003D076B">
        <w:rPr>
          <w:rFonts w:hint="cs"/>
          <w:rtl/>
        </w:rPr>
        <w:t xml:space="preserve">ע"א 2960/95 </w:t>
      </w:r>
      <w:r w:rsidRPr="003D076B">
        <w:rPr>
          <w:rFonts w:ascii="Century" w:hAnsi="Century" w:cs="Miriam" w:hint="cs"/>
          <w:b/>
          <w:spacing w:val="0"/>
          <w:szCs w:val="24"/>
          <w:rtl/>
        </w:rPr>
        <w:t>מנהל מס שבח מקרקעין נ' שרביט ייזום פרויקטים ובניה (1991)</w:t>
      </w:r>
      <w:r w:rsidRPr="003D076B">
        <w:rPr>
          <w:rFonts w:hint="cs"/>
          <w:rtl/>
        </w:rPr>
        <w:t xml:space="preserve"> (2.11.1998) (להלן: </w:t>
      </w:r>
      <w:r w:rsidRPr="003D076B">
        <w:rPr>
          <w:rFonts w:ascii="Century" w:hAnsi="Century" w:cs="Miriam" w:hint="cs"/>
          <w:b/>
          <w:spacing w:val="0"/>
          <w:szCs w:val="24"/>
          <w:rtl/>
        </w:rPr>
        <w:t>עניין שרביט</w:t>
      </w:r>
      <w:r w:rsidRPr="003D076B">
        <w:rPr>
          <w:rFonts w:hint="cs"/>
          <w:rtl/>
        </w:rPr>
        <w:t>)</w:t>
      </w:r>
      <w:r>
        <w:rPr>
          <w:rFonts w:hint="cs"/>
          <w:rtl/>
        </w:rPr>
        <w:t xml:space="preserve">, ובמסגרת ההכרעה נקבע כי יש לייחס משקל מכריע לשאלה אם במועד עריכת הסכם המכירה כבר בוצעו עבודות הפיתוח במקרקעין הנדונים, אם לאו. כך, נקבע כי: </w:t>
      </w:r>
    </w:p>
    <w:p w:rsidR="00A14F89" w:rsidRDefault="00A14F89" w:rsidP="00A14F89">
      <w:pPr>
        <w:pStyle w:val="Ruller41"/>
      </w:pPr>
    </w:p>
    <w:p w:rsidR="00A14F89" w:rsidRDefault="00A14F89" w:rsidP="00A14F89">
      <w:pPr>
        <w:pStyle w:val="Ruller5"/>
        <w:rPr>
          <w:rFonts w:ascii="Century" w:hAnsi="Century"/>
          <w:rtl/>
        </w:rPr>
      </w:pPr>
      <w:r>
        <w:rPr>
          <w:rFonts w:hint="cs"/>
          <w:rtl/>
        </w:rPr>
        <w:t>"</w:t>
      </w:r>
      <w:r>
        <w:rPr>
          <w:rtl/>
        </w:rPr>
        <w:t xml:space="preserve">כאשר בוצעו כל עבודות הפיתוח לפני מועד הרכישה, נרכשת הקרקע כשהיא מפותחת ולפיכך מתווספות הוצאות הפיתוח למחיר הקרקע ואילו כאשר לא בוצע דבר, אין התשלום עבור הוצאות פיתוח עתידיות מתווסף </w:t>
      </w:r>
      <w:r>
        <w:rPr>
          <w:rtl/>
        </w:rPr>
        <w:lastRenderedPageBreak/>
        <w:t xml:space="preserve">למחיר הקרקע שהרי הרוכש רוכש קרקע בלתי מפותחת. </w:t>
      </w:r>
      <w:r>
        <w:rPr>
          <w:rFonts w:hint="cs"/>
          <w:rtl/>
        </w:rPr>
        <w:t>מ</w:t>
      </w:r>
      <w:r>
        <w:rPr>
          <w:rtl/>
        </w:rPr>
        <w:t xml:space="preserve">ה הדין כאשר הקרקע נרכשת כשהיא מפותחת באופן חלקי? </w:t>
      </w:r>
      <w:r>
        <w:rPr>
          <w:rFonts w:hint="cs"/>
          <w:rtl/>
        </w:rPr>
        <w:t xml:space="preserve">... </w:t>
      </w:r>
      <w:r>
        <w:rPr>
          <w:rtl/>
        </w:rPr>
        <w:t xml:space="preserve">כל פיתוח שנעשה בקרקע, משביח אותה ומעלה את ערכה. השכל הישר </w:t>
      </w:r>
      <w:proofErr w:type="spellStart"/>
      <w:r>
        <w:rPr>
          <w:rtl/>
        </w:rPr>
        <w:t>וההגיון</w:t>
      </w:r>
      <w:proofErr w:type="spellEnd"/>
      <w:r>
        <w:rPr>
          <w:rtl/>
        </w:rPr>
        <w:t xml:space="preserve"> הכלכלי המסחרי והמשפטי, מובילים למסקנה, כי אם בוצע חלק מעבודות הפיתוח, מתווספות ההוצאות לביצוע חלק זה למחיר הקרקע, שהרי הרוכש רוכש את הקרקע כשהיא</w:t>
      </w:r>
      <w:r>
        <w:t xml:space="preserve"> </w:t>
      </w:r>
      <w:r>
        <w:rPr>
          <w:rtl/>
        </w:rPr>
        <w:t xml:space="preserve">מפותחת באופן חלקי ושווי המכירה </w:t>
      </w:r>
      <w:proofErr w:type="spellStart"/>
      <w:r>
        <w:rPr>
          <w:rtl/>
        </w:rPr>
        <w:t>האמיתי</w:t>
      </w:r>
      <w:proofErr w:type="spellEnd"/>
      <w:r>
        <w:rPr>
          <w:rtl/>
        </w:rPr>
        <w:t xml:space="preserve"> שלה הוא השווי הכולל את הפיתוח שכבר נעשה בה</w:t>
      </w:r>
      <w:r>
        <w:rPr>
          <w:rFonts w:hint="cs"/>
          <w:rtl/>
        </w:rPr>
        <w:t xml:space="preserve"> </w:t>
      </w:r>
      <w:r>
        <w:rPr>
          <w:rtl/>
        </w:rPr>
        <w:t>.</w:t>
      </w:r>
      <w:r>
        <w:rPr>
          <w:rFonts w:hint="cs"/>
          <w:rtl/>
        </w:rPr>
        <w:t>..</w:t>
      </w:r>
      <w:r w:rsidRPr="00FF4C09">
        <w:rPr>
          <w:rFonts w:ascii="Century" w:hAnsi="Century"/>
          <w:rtl/>
        </w:rPr>
        <w:t xml:space="preserve">לסיכום, כאשר נערך הסכם לרכישת מגרש בלתי מפותח </w:t>
      </w:r>
      <w:proofErr w:type="spellStart"/>
      <w:r w:rsidRPr="00FF4C09">
        <w:rPr>
          <w:rFonts w:ascii="Century" w:hAnsi="Century"/>
          <w:rtl/>
        </w:rPr>
        <w:t>ולצידו</w:t>
      </w:r>
      <w:proofErr w:type="spellEnd"/>
      <w:r w:rsidRPr="00FF4C09">
        <w:rPr>
          <w:rFonts w:ascii="Century" w:hAnsi="Century"/>
          <w:rtl/>
        </w:rPr>
        <w:t xml:space="preserve"> מתחייב הקונה לשלם הוצאות פיתוח וכאשר במועד הרכישה טרם בוצעו עבודות הפיתוח, אין לכלול את </w:t>
      </w:r>
      <w:r w:rsidRPr="00FF4C09">
        <w:rPr>
          <w:rFonts w:ascii="Century" w:hAnsi="Century" w:hint="cs"/>
          <w:rtl/>
        </w:rPr>
        <w:t>'</w:t>
      </w:r>
      <w:r w:rsidRPr="00FF4C09">
        <w:rPr>
          <w:rFonts w:ascii="Century" w:hAnsi="Century"/>
          <w:rtl/>
        </w:rPr>
        <w:t>הוצאות הפיתוח</w:t>
      </w:r>
      <w:r w:rsidRPr="00FF4C09">
        <w:rPr>
          <w:rFonts w:ascii="Century" w:hAnsi="Century" w:hint="cs"/>
          <w:rtl/>
        </w:rPr>
        <w:t>'</w:t>
      </w:r>
      <w:r w:rsidRPr="00FF4C09">
        <w:rPr>
          <w:rFonts w:ascii="Century" w:hAnsi="Century"/>
          <w:rtl/>
        </w:rPr>
        <w:t xml:space="preserve"> ב</w:t>
      </w:r>
      <w:r w:rsidRPr="00FF4C09">
        <w:rPr>
          <w:rFonts w:ascii="Century" w:hAnsi="Century" w:hint="cs"/>
          <w:rtl/>
        </w:rPr>
        <w:t>'</w:t>
      </w:r>
      <w:r w:rsidRPr="00FF4C09">
        <w:rPr>
          <w:rFonts w:ascii="Century" w:hAnsi="Century"/>
          <w:rtl/>
        </w:rPr>
        <w:t>שווי המכירה</w:t>
      </w:r>
      <w:r w:rsidRPr="00FF4C09">
        <w:rPr>
          <w:rFonts w:ascii="Century" w:hAnsi="Century" w:hint="cs"/>
          <w:rtl/>
        </w:rPr>
        <w:t>'</w:t>
      </w:r>
      <w:r w:rsidRPr="00FF4C09">
        <w:rPr>
          <w:rFonts w:ascii="Century" w:hAnsi="Century"/>
          <w:rtl/>
        </w:rPr>
        <w:t xml:space="preserve"> ואילו כאשר כבר בוצעו עבודות הפיתוח בעת הרכישה, באופן מלא או חלקי, יש לכלול את </w:t>
      </w:r>
      <w:r w:rsidRPr="00FF4C09">
        <w:rPr>
          <w:rFonts w:ascii="Century" w:hAnsi="Century" w:hint="cs"/>
          <w:rtl/>
        </w:rPr>
        <w:t>'</w:t>
      </w:r>
      <w:r w:rsidRPr="00FF4C09">
        <w:rPr>
          <w:rFonts w:ascii="Century" w:hAnsi="Century"/>
          <w:rtl/>
        </w:rPr>
        <w:t>הוצאות הפיתוח</w:t>
      </w:r>
      <w:r w:rsidRPr="00FF4C09">
        <w:rPr>
          <w:rFonts w:ascii="Century" w:hAnsi="Century" w:hint="cs"/>
          <w:rtl/>
        </w:rPr>
        <w:t>'</w:t>
      </w:r>
      <w:r w:rsidRPr="00FF4C09">
        <w:rPr>
          <w:rFonts w:ascii="Century" w:hAnsi="Century"/>
          <w:rtl/>
        </w:rPr>
        <w:t xml:space="preserve"> באופן מלא או חלקי, ב</w:t>
      </w:r>
      <w:r w:rsidRPr="00FF4C09">
        <w:rPr>
          <w:rFonts w:ascii="Century" w:hAnsi="Century" w:hint="cs"/>
          <w:rtl/>
        </w:rPr>
        <w:t>'</w:t>
      </w:r>
      <w:r w:rsidRPr="00FF4C09">
        <w:rPr>
          <w:rFonts w:ascii="Century" w:hAnsi="Century"/>
          <w:rtl/>
        </w:rPr>
        <w:t>שווי המכירה</w:t>
      </w:r>
      <w:r w:rsidRPr="00FF4C09">
        <w:rPr>
          <w:rFonts w:ascii="Century" w:hAnsi="Century" w:hint="cs"/>
          <w:rtl/>
        </w:rPr>
        <w:t>'</w:t>
      </w:r>
      <w:r>
        <w:rPr>
          <w:rFonts w:ascii="Century" w:hAnsi="Century" w:hint="cs"/>
          <w:rtl/>
        </w:rPr>
        <w:t xml:space="preserve">" (עניין </w:t>
      </w:r>
      <w:r w:rsidRPr="00FC7B43">
        <w:rPr>
          <w:rFonts w:ascii="Century" w:hAnsi="Century" w:cs="Miriam" w:hint="cs"/>
          <w:b/>
          <w:spacing w:val="0"/>
          <w:szCs w:val="24"/>
          <w:rtl/>
        </w:rPr>
        <w:t>שרביט</w:t>
      </w:r>
      <w:r>
        <w:rPr>
          <w:rFonts w:ascii="Century" w:hAnsi="Century" w:hint="cs"/>
          <w:rtl/>
        </w:rPr>
        <w:t>, פסקאות 9-7)</w:t>
      </w:r>
      <w:r w:rsidRPr="00FF4C09">
        <w:rPr>
          <w:rFonts w:ascii="Century" w:hAnsi="Century"/>
          <w:rtl/>
        </w:rPr>
        <w:t xml:space="preserve">. </w:t>
      </w:r>
    </w:p>
    <w:p w:rsidR="00A14F89" w:rsidRDefault="00A14F89" w:rsidP="00A14F89">
      <w:pPr>
        <w:pStyle w:val="Ruller41"/>
        <w:rPr>
          <w:rFonts w:ascii="Century" w:hAnsi="Century"/>
          <w:rtl/>
        </w:rPr>
      </w:pPr>
    </w:p>
    <w:p w:rsidR="00A14F89" w:rsidRDefault="00A14F89" w:rsidP="00A14F89">
      <w:pPr>
        <w:pStyle w:val="Ruller41"/>
        <w:rPr>
          <w:rFonts w:ascii="Century" w:hAnsi="Century"/>
          <w:rtl/>
        </w:rPr>
      </w:pPr>
      <w:r>
        <w:rPr>
          <w:rFonts w:ascii="Century" w:hAnsi="Century"/>
          <w:rtl/>
        </w:rPr>
        <w:tab/>
      </w:r>
      <w:r>
        <w:rPr>
          <w:rFonts w:ascii="Century" w:hAnsi="Century" w:hint="cs"/>
          <w:rtl/>
        </w:rPr>
        <w:t xml:space="preserve">ואולם, יצוין כי הבהירות והפשטות של הכלל שנקבע לעיל סויג עם סיומו של פסק הדין בעניין </w:t>
      </w:r>
      <w:r w:rsidRPr="00AD2466">
        <w:rPr>
          <w:rFonts w:ascii="Century" w:hAnsi="Century" w:cs="Miriam" w:hint="cs"/>
          <w:b/>
          <w:spacing w:val="0"/>
          <w:szCs w:val="24"/>
          <w:rtl/>
        </w:rPr>
        <w:t>שרביט</w:t>
      </w:r>
      <w:r>
        <w:rPr>
          <w:rFonts w:ascii="Century" w:hAnsi="Century" w:hint="cs"/>
          <w:rtl/>
        </w:rPr>
        <w:t xml:space="preserve">, עת נקבע כלהלן: </w:t>
      </w:r>
    </w:p>
    <w:p w:rsidR="00A14F89" w:rsidRPr="00FF4C09" w:rsidRDefault="00A14F89" w:rsidP="00A14F89">
      <w:pPr>
        <w:pStyle w:val="Ruller41"/>
        <w:rPr>
          <w:rFonts w:ascii="Century" w:hAnsi="Century"/>
          <w:rtl/>
        </w:rPr>
      </w:pPr>
    </w:p>
    <w:p w:rsidR="00A14F89" w:rsidRDefault="00A14F89" w:rsidP="00A14F89">
      <w:pPr>
        <w:pStyle w:val="Ruller5"/>
        <w:rPr>
          <w:rtl/>
        </w:rPr>
      </w:pPr>
      <w:r>
        <w:rPr>
          <w:rFonts w:hint="cs"/>
          <w:rtl/>
        </w:rPr>
        <w:t>"</w:t>
      </w:r>
      <w:r>
        <w:rPr>
          <w:rtl/>
        </w:rPr>
        <w:t>אין בכל האמור, כדי לשלול את האפשרות של ראיית חוזה רכישה וחוזה פיתוח, כשני חוזים נפרדים, מלכתחילה ללא קשר למידת הפיתוח שכבר נעשה או שעתיד להיעשות והכל בהתאם לנסיבות</w:t>
      </w:r>
      <w:r>
        <w:rPr>
          <w:rFonts w:hint="cs"/>
          <w:rtl/>
        </w:rPr>
        <w:t>" (שם, פסקה 10)</w:t>
      </w:r>
      <w:r>
        <w:rPr>
          <w:rtl/>
        </w:rPr>
        <w:t xml:space="preserve">. </w:t>
      </w:r>
    </w:p>
    <w:p w:rsidR="00A14F89" w:rsidRDefault="00A14F89" w:rsidP="00A14F89">
      <w:pPr>
        <w:pStyle w:val="Ruller41"/>
        <w:rPr>
          <w:rtl/>
        </w:rPr>
      </w:pPr>
    </w:p>
    <w:p w:rsidR="00A14F89" w:rsidRPr="00AD2466" w:rsidRDefault="00A14F89" w:rsidP="00A14F89">
      <w:pPr>
        <w:pStyle w:val="Ruller41"/>
        <w:rPr>
          <w:rtl/>
        </w:rPr>
      </w:pPr>
      <w:r>
        <w:rPr>
          <w:rtl/>
        </w:rPr>
        <w:tab/>
      </w:r>
      <w:r>
        <w:rPr>
          <w:rFonts w:hint="cs"/>
          <w:rtl/>
        </w:rPr>
        <w:t xml:space="preserve">לאחר פסק הדין בעניין </w:t>
      </w:r>
      <w:r w:rsidRPr="00AD2466">
        <w:rPr>
          <w:rFonts w:ascii="Century" w:hAnsi="Century" w:cs="Miriam" w:hint="cs"/>
          <w:b/>
          <w:spacing w:val="0"/>
          <w:szCs w:val="24"/>
          <w:rtl/>
        </w:rPr>
        <w:t>שרביט</w:t>
      </w:r>
      <w:r>
        <w:rPr>
          <w:rFonts w:hint="cs"/>
          <w:rtl/>
        </w:rPr>
        <w:t>, בו, כאמור, נקבע כלל פשוט ובהיר ביחס לשאלה באילו נסיבות יש לכלול את הוצאות הפיתוח במחיר המקרקעין לצורך חישוב גובה מס הרכישה, ניתנו שני פסקי דין נוספים אשר אמנם לא עסקו בהוצאות פיתוח אלא בהוצאות אחרות שנלוו לעסקת מכר המקרקעין, אך אף להם השלכה על ענייננו.</w:t>
      </w:r>
    </w:p>
    <w:p w:rsidR="00A14F89" w:rsidRPr="00BC0B38" w:rsidRDefault="00A14F89" w:rsidP="00A14F89">
      <w:pPr>
        <w:pStyle w:val="Ruller41"/>
        <w:rPr>
          <w:rtl/>
        </w:rPr>
      </w:pPr>
    </w:p>
    <w:p w:rsidR="00A14F89" w:rsidRPr="00C4093A" w:rsidRDefault="00A14F89" w:rsidP="00A14F89">
      <w:pPr>
        <w:pStyle w:val="Ruller41"/>
        <w:rPr>
          <w:rtl/>
        </w:rPr>
      </w:pPr>
      <w:r>
        <w:rPr>
          <w:rFonts w:hint="cs"/>
          <w:rtl/>
        </w:rPr>
        <w:t>36.</w:t>
      </w:r>
      <w:r w:rsidRPr="00BC0B38">
        <w:rPr>
          <w:rtl/>
        </w:rPr>
        <w:tab/>
      </w:r>
      <w:r w:rsidRPr="00A063EA">
        <w:rPr>
          <w:rFonts w:ascii="Century" w:hAnsi="Century" w:cs="Miriam" w:hint="cs"/>
          <w:b/>
          <w:spacing w:val="0"/>
          <w:szCs w:val="24"/>
          <w:rtl/>
        </w:rPr>
        <w:t>(3) עניין אורלי</w:t>
      </w:r>
      <w:r>
        <w:rPr>
          <w:rFonts w:hint="cs"/>
          <w:rtl/>
        </w:rPr>
        <w:t xml:space="preserve">: </w:t>
      </w:r>
      <w:r w:rsidRPr="00BC0B38">
        <w:rPr>
          <w:rFonts w:hint="cs"/>
          <w:rtl/>
        </w:rPr>
        <w:t xml:space="preserve">פסק הדין הראשון מבין השניים הנזכרים הוא פסק הדין שניתן בע"א 5025/03 </w:t>
      </w:r>
      <w:r w:rsidRPr="00BC0B38">
        <w:rPr>
          <w:rFonts w:ascii="Century" w:hAnsi="Century" w:cs="Miriam" w:hint="cs"/>
          <w:b/>
          <w:spacing w:val="0"/>
          <w:szCs w:val="24"/>
          <w:rtl/>
        </w:rPr>
        <w:t xml:space="preserve">מנהל מיסוי מקרקעין </w:t>
      </w:r>
      <w:proofErr w:type="spellStart"/>
      <w:r w:rsidRPr="00BC0B38">
        <w:rPr>
          <w:rFonts w:ascii="Century" w:hAnsi="Century" w:cs="Miriam" w:hint="cs"/>
          <w:b/>
          <w:spacing w:val="0"/>
          <w:szCs w:val="24"/>
          <w:rtl/>
        </w:rPr>
        <w:t>איזור</w:t>
      </w:r>
      <w:proofErr w:type="spellEnd"/>
      <w:r w:rsidRPr="00BC0B38">
        <w:rPr>
          <w:rFonts w:ascii="Century" w:hAnsi="Century" w:cs="Miriam" w:hint="cs"/>
          <w:b/>
          <w:spacing w:val="0"/>
          <w:szCs w:val="24"/>
          <w:rtl/>
        </w:rPr>
        <w:t xml:space="preserve"> תל אביב נגד אורלי חברה </w:t>
      </w:r>
      <w:proofErr w:type="spellStart"/>
      <w:r w:rsidRPr="00BC0B38">
        <w:rPr>
          <w:rFonts w:ascii="Century" w:hAnsi="Century" w:cs="Miriam" w:hint="cs"/>
          <w:b/>
          <w:spacing w:val="0"/>
          <w:szCs w:val="24"/>
          <w:rtl/>
        </w:rPr>
        <w:t>לבנין</w:t>
      </w:r>
      <w:proofErr w:type="spellEnd"/>
      <w:r w:rsidRPr="00BC0B38">
        <w:rPr>
          <w:rFonts w:ascii="Century" w:hAnsi="Century" w:cs="Miriam" w:hint="cs"/>
          <w:b/>
          <w:spacing w:val="0"/>
          <w:szCs w:val="24"/>
          <w:rtl/>
        </w:rPr>
        <w:t xml:space="preserve"> ופיתוח בע"מ</w:t>
      </w:r>
      <w:r w:rsidRPr="00BC0B38">
        <w:rPr>
          <w:rFonts w:hint="cs"/>
          <w:rtl/>
        </w:rPr>
        <w:t xml:space="preserve"> (16.8.2006) (להלן: </w:t>
      </w:r>
      <w:r w:rsidRPr="00BC0B38">
        <w:rPr>
          <w:rFonts w:ascii="Century" w:hAnsi="Century" w:cs="Miriam" w:hint="cs"/>
          <w:b/>
          <w:spacing w:val="0"/>
          <w:szCs w:val="24"/>
          <w:rtl/>
        </w:rPr>
        <w:t>עניין אורלי</w:t>
      </w:r>
      <w:r w:rsidRPr="00BC0B38">
        <w:rPr>
          <w:rFonts w:hint="cs"/>
          <w:rtl/>
        </w:rPr>
        <w:t>))</w:t>
      </w:r>
      <w:r>
        <w:rPr>
          <w:rFonts w:hint="cs"/>
          <w:rtl/>
        </w:rPr>
        <w:t xml:space="preserve">. באותו מקרה רכשה חברת </w:t>
      </w:r>
      <w:proofErr w:type="spellStart"/>
      <w:r>
        <w:rPr>
          <w:rFonts w:hint="cs"/>
          <w:rtl/>
        </w:rPr>
        <w:t>מרלז</w:t>
      </w:r>
      <w:proofErr w:type="spellEnd"/>
      <w:r>
        <w:rPr>
          <w:rFonts w:hint="cs"/>
          <w:rtl/>
        </w:rPr>
        <w:t xml:space="preserve"> מחלמיש (חברה ממשלתית עירונית לשיקום הדיור בתל אביב) זכויות במגרש, והתחייבה לבנות עליו יחידות דיור </w:t>
      </w:r>
      <w:r w:rsidRPr="00FB6627">
        <w:rPr>
          <w:rFonts w:ascii="Century" w:hAnsi="Century" w:cs="Miriam" w:hint="cs"/>
          <w:b/>
          <w:spacing w:val="0"/>
          <w:szCs w:val="24"/>
          <w:rtl/>
        </w:rPr>
        <w:t>ולקבל היתר בנייה לשם כך</w:t>
      </w:r>
      <w:r>
        <w:rPr>
          <w:rFonts w:hint="cs"/>
          <w:rtl/>
        </w:rPr>
        <w:t xml:space="preserve">. </w:t>
      </w:r>
      <w:proofErr w:type="spellStart"/>
      <w:r>
        <w:rPr>
          <w:rFonts w:hint="cs"/>
          <w:rtl/>
        </w:rPr>
        <w:t>מרלז</w:t>
      </w:r>
      <w:proofErr w:type="spellEnd"/>
      <w:r>
        <w:rPr>
          <w:rFonts w:hint="cs"/>
          <w:rtl/>
        </w:rPr>
        <w:t xml:space="preserve"> הגישה את הבקשה להיתר וזו אושרה על-ידי הוועדה המקומית לתכנון ובנייה תל אביב-יפו, אך היתר הבניה לא הוצא בפועל משום </w:t>
      </w:r>
      <w:proofErr w:type="spellStart"/>
      <w:r>
        <w:rPr>
          <w:rFonts w:hint="cs"/>
          <w:rtl/>
        </w:rPr>
        <w:t>שמרלז</w:t>
      </w:r>
      <w:proofErr w:type="spellEnd"/>
      <w:r>
        <w:rPr>
          <w:rFonts w:hint="cs"/>
          <w:rtl/>
        </w:rPr>
        <w:t xml:space="preserve"> לא שילמה את ההיטלים והאגרות הנדרשים לשם כך. כעבור שנה, </w:t>
      </w:r>
      <w:proofErr w:type="spellStart"/>
      <w:r>
        <w:rPr>
          <w:rFonts w:hint="cs"/>
          <w:rtl/>
        </w:rPr>
        <w:t>מרלז</w:t>
      </w:r>
      <w:proofErr w:type="spellEnd"/>
      <w:r>
        <w:rPr>
          <w:rFonts w:hint="cs"/>
          <w:rtl/>
        </w:rPr>
        <w:t xml:space="preserve"> מכרה לחברת אורלי את זכויותיה במגרש, ובחוזה ביניהן קיבלה על עצמה אורלי את רוב חובותיה של </w:t>
      </w:r>
      <w:proofErr w:type="spellStart"/>
      <w:r>
        <w:rPr>
          <w:rFonts w:hint="cs"/>
          <w:rtl/>
        </w:rPr>
        <w:t>מרלז</w:t>
      </w:r>
      <w:proofErr w:type="spellEnd"/>
      <w:r>
        <w:rPr>
          <w:rFonts w:hint="cs"/>
          <w:rtl/>
        </w:rPr>
        <w:t xml:space="preserve"> כלפי חלמיש, והתחייבה לשלם </w:t>
      </w:r>
      <w:proofErr w:type="spellStart"/>
      <w:r>
        <w:rPr>
          <w:rFonts w:hint="cs"/>
          <w:rtl/>
        </w:rPr>
        <w:t>למרלז</w:t>
      </w:r>
      <w:proofErr w:type="spellEnd"/>
      <w:r>
        <w:rPr>
          <w:rFonts w:hint="cs"/>
          <w:rtl/>
        </w:rPr>
        <w:t xml:space="preserve"> תמורה עבור הזכויות במגרש, כמו גם סכום נוסף הנדרש למימון אגרות הבניה וההיטלים שתשלומם היווה תנאי </w:t>
      </w:r>
      <w:r>
        <w:rPr>
          <w:rFonts w:hint="cs"/>
          <w:rtl/>
        </w:rPr>
        <w:lastRenderedPageBreak/>
        <w:t xml:space="preserve">להוצאת היתר הבנייה. השאלה שנדונה בפסק הדין היא אם הסכום ששולם על-ידי אורלי </w:t>
      </w:r>
      <w:proofErr w:type="spellStart"/>
      <w:r>
        <w:rPr>
          <w:rFonts w:hint="cs"/>
          <w:rtl/>
        </w:rPr>
        <w:t>למרלז</w:t>
      </w:r>
      <w:proofErr w:type="spellEnd"/>
      <w:r>
        <w:rPr>
          <w:rFonts w:hint="cs"/>
          <w:rtl/>
        </w:rPr>
        <w:t xml:space="preserve"> לצורך מימון ההיטלים ואגרות הבנייה מהווה חלק מן </w:t>
      </w:r>
      <w:r w:rsidRPr="00C4093A">
        <w:rPr>
          <w:rFonts w:hint="cs"/>
          <w:rtl/>
        </w:rPr>
        <w:t xml:space="preserve">התמורה על פי החוזה לצורך חישוב מס הרכישה. </w:t>
      </w:r>
    </w:p>
    <w:p w:rsidR="00A14F89" w:rsidRDefault="00A14F89" w:rsidP="00A14F89">
      <w:pPr>
        <w:pStyle w:val="Ruller41"/>
        <w:rPr>
          <w:sz w:val="28"/>
          <w:rtl/>
        </w:rPr>
      </w:pPr>
    </w:p>
    <w:p w:rsidR="00A14F89" w:rsidRDefault="00A14F89" w:rsidP="00A14F89">
      <w:pPr>
        <w:pStyle w:val="Ruller41"/>
        <w:rPr>
          <w:sz w:val="28"/>
          <w:rtl/>
        </w:rPr>
      </w:pPr>
      <w:r>
        <w:rPr>
          <w:sz w:val="28"/>
          <w:rtl/>
        </w:rPr>
        <w:tab/>
      </w:r>
      <w:r>
        <w:rPr>
          <w:rFonts w:hint="cs"/>
          <w:sz w:val="28"/>
          <w:rtl/>
        </w:rPr>
        <w:t xml:space="preserve">בפסק הדין בעניין </w:t>
      </w:r>
      <w:r w:rsidRPr="00452A5F">
        <w:rPr>
          <w:rFonts w:ascii="Century" w:hAnsi="Century" w:cs="Miriam" w:hint="cs"/>
          <w:b/>
          <w:spacing w:val="0"/>
          <w:szCs w:val="24"/>
          <w:rtl/>
        </w:rPr>
        <w:t>אורלי</w:t>
      </w:r>
      <w:r w:rsidRPr="00452A5F">
        <w:rPr>
          <w:rFonts w:hint="cs"/>
          <w:sz w:val="28"/>
          <w:rtl/>
        </w:rPr>
        <w:t xml:space="preserve"> </w:t>
      </w:r>
      <w:r>
        <w:rPr>
          <w:rFonts w:hint="cs"/>
          <w:sz w:val="28"/>
          <w:rtl/>
        </w:rPr>
        <w:t xml:space="preserve">נקבע כי עיון במערכת היחסים החוזיים שבין חברת אורלי לחברת </w:t>
      </w:r>
      <w:proofErr w:type="spellStart"/>
      <w:r>
        <w:rPr>
          <w:rFonts w:hint="cs"/>
          <w:sz w:val="28"/>
          <w:rtl/>
        </w:rPr>
        <w:t>מרלז</w:t>
      </w:r>
      <w:proofErr w:type="spellEnd"/>
      <w:r>
        <w:rPr>
          <w:rFonts w:hint="cs"/>
          <w:sz w:val="28"/>
          <w:rtl/>
        </w:rPr>
        <w:t xml:space="preserve"> מעלה כי העסקה</w:t>
      </w:r>
      <w:r w:rsidRPr="00C4093A">
        <w:rPr>
          <w:rFonts w:hint="cs"/>
          <w:sz w:val="28"/>
          <w:rtl/>
        </w:rPr>
        <w:t xml:space="preserve"> כללה מבחינת תוכנה הכלכלי לא רק את רכישת הזכויות הקנייניות במגרש אלא גם את רכישת הזכות שעמדה </w:t>
      </w:r>
      <w:proofErr w:type="spellStart"/>
      <w:r w:rsidRPr="00C4093A">
        <w:rPr>
          <w:rFonts w:hint="cs"/>
          <w:sz w:val="28"/>
          <w:rtl/>
        </w:rPr>
        <w:t>למרלז</w:t>
      </w:r>
      <w:proofErr w:type="spellEnd"/>
      <w:r w:rsidRPr="00C4093A">
        <w:rPr>
          <w:rFonts w:hint="cs"/>
          <w:sz w:val="28"/>
          <w:rtl/>
        </w:rPr>
        <w:t xml:space="preserve"> לקבלת היתר בנייה </w:t>
      </w:r>
      <w:proofErr w:type="spellStart"/>
      <w:r w:rsidRPr="00C4093A">
        <w:rPr>
          <w:rFonts w:hint="cs"/>
          <w:sz w:val="28"/>
          <w:rtl/>
        </w:rPr>
        <w:t>מיידי</w:t>
      </w:r>
      <w:proofErr w:type="spellEnd"/>
      <w:r w:rsidRPr="00C4093A">
        <w:rPr>
          <w:rFonts w:hint="cs"/>
          <w:sz w:val="28"/>
          <w:rtl/>
        </w:rPr>
        <w:t>, על פי הבקשה והתוכניות שהגישה</w:t>
      </w:r>
      <w:r>
        <w:rPr>
          <w:rFonts w:hint="cs"/>
          <w:sz w:val="28"/>
          <w:rtl/>
        </w:rPr>
        <w:t>, וכי</w:t>
      </w:r>
      <w:r w:rsidRPr="00C4093A">
        <w:rPr>
          <w:rFonts w:hint="cs"/>
          <w:sz w:val="28"/>
          <w:rtl/>
        </w:rPr>
        <w:t xml:space="preserve"> העובדה ש</w:t>
      </w:r>
      <w:r>
        <w:rPr>
          <w:rFonts w:hint="cs"/>
          <w:sz w:val="28"/>
          <w:rtl/>
        </w:rPr>
        <w:t xml:space="preserve">אורלי </w:t>
      </w:r>
      <w:r w:rsidRPr="00C4093A">
        <w:rPr>
          <w:rFonts w:hint="cs"/>
          <w:sz w:val="28"/>
          <w:rtl/>
        </w:rPr>
        <w:t xml:space="preserve">היא שמימנה את תשלום האגרות וההיטלים אינה הופכת חלק זה של העסקה לעסקה נפרדת של מתן שירותים להוצאת היתר גרידא מצד </w:t>
      </w:r>
      <w:proofErr w:type="spellStart"/>
      <w:r>
        <w:rPr>
          <w:rFonts w:hint="cs"/>
          <w:sz w:val="28"/>
          <w:rtl/>
        </w:rPr>
        <w:t>מרלז</w:t>
      </w:r>
      <w:proofErr w:type="spellEnd"/>
      <w:r w:rsidRPr="00C4093A">
        <w:rPr>
          <w:rFonts w:hint="cs"/>
          <w:sz w:val="28"/>
          <w:rtl/>
        </w:rPr>
        <w:t xml:space="preserve">. </w:t>
      </w:r>
      <w:r>
        <w:rPr>
          <w:rFonts w:hint="cs"/>
          <w:sz w:val="28"/>
          <w:rtl/>
        </w:rPr>
        <w:t xml:space="preserve">כן הודגש, כי </w:t>
      </w:r>
      <w:r w:rsidRPr="00C4093A">
        <w:rPr>
          <w:rFonts w:hint="cs"/>
          <w:sz w:val="28"/>
          <w:rtl/>
        </w:rPr>
        <w:t xml:space="preserve">הזכות שעמדה </w:t>
      </w:r>
      <w:proofErr w:type="spellStart"/>
      <w:r w:rsidRPr="00C4093A">
        <w:rPr>
          <w:rFonts w:hint="cs"/>
          <w:sz w:val="28"/>
          <w:rtl/>
        </w:rPr>
        <w:t>למרלז</w:t>
      </w:r>
      <w:proofErr w:type="spellEnd"/>
      <w:r w:rsidRPr="00C4093A">
        <w:rPr>
          <w:rFonts w:hint="cs"/>
          <w:sz w:val="28"/>
          <w:rtl/>
        </w:rPr>
        <w:t xml:space="preserve"> לקבל על שמה היתר בנייה </w:t>
      </w:r>
      <w:r>
        <w:rPr>
          <w:rFonts w:hint="cs"/>
          <w:sz w:val="28"/>
          <w:rtl/>
        </w:rPr>
        <w:t xml:space="preserve">שאושר כבר </w:t>
      </w:r>
      <w:r w:rsidRPr="00C4093A">
        <w:rPr>
          <w:rFonts w:hint="cs"/>
          <w:sz w:val="28"/>
          <w:rtl/>
        </w:rPr>
        <w:t>נ</w:t>
      </w:r>
      <w:r>
        <w:rPr>
          <w:rFonts w:hint="cs"/>
          <w:sz w:val="28"/>
          <w:rtl/>
        </w:rPr>
        <w:t>שאה</w:t>
      </w:r>
      <w:r w:rsidRPr="00C4093A">
        <w:rPr>
          <w:rFonts w:hint="cs"/>
          <w:sz w:val="28"/>
          <w:rtl/>
        </w:rPr>
        <w:t xml:space="preserve"> ערך כלכלי ממשי</w:t>
      </w:r>
      <w:r>
        <w:rPr>
          <w:rFonts w:hint="cs"/>
          <w:sz w:val="28"/>
          <w:rtl/>
        </w:rPr>
        <w:t xml:space="preserve">, וכי אין מקום להבחנה </w:t>
      </w:r>
      <w:r w:rsidRPr="00452A5F">
        <w:rPr>
          <w:rFonts w:hint="cs"/>
          <w:sz w:val="28"/>
          <w:rtl/>
        </w:rPr>
        <w:t>בין התחייבותו של קונה לממן את האגרות וההיטלים שעל המוכר לשלם לצורך הוצאת ההיתר על שמו (כפי שנעשה במקרה שלפנינו), ובין התחייבותו של קונה להחזיר למוכר בדיעבד את סכומי האגרות וההיטלים ששילם לצורך הוצאת היתר כאמור. בשני המקרים, כך נקבע, החייב בתשלום האגרות וההיטלים הוא המוכר כמי שהגיש את הבקשה, ובשני המקרים הוצאת ההיתר על שם המוכר יש לה משמעות כלכלית המשתקפת בהסכם שערכו הצדדים</w:t>
      </w:r>
      <w:r>
        <w:rPr>
          <w:rFonts w:hint="cs"/>
          <w:sz w:val="28"/>
          <w:rtl/>
        </w:rPr>
        <w:t>. על רקע האמור, נקבע כי התשלום ששילמה אורלי עבור האגרות וההיטלים היווה חלק בלתי נפרד מהתמורה, וכי משכך יש לכלול תשלום זה ב"שווי המכירה" לצורך מס הרכישה החל על אורלי בגין העסקה.</w:t>
      </w:r>
    </w:p>
    <w:p w:rsidR="00A14F89" w:rsidRDefault="00A14F89" w:rsidP="00A14F89">
      <w:pPr>
        <w:pStyle w:val="Ruller41"/>
        <w:rPr>
          <w:sz w:val="28"/>
          <w:rtl/>
        </w:rPr>
      </w:pPr>
    </w:p>
    <w:p w:rsidR="00A14F89" w:rsidRDefault="00A14F89" w:rsidP="00A14F89">
      <w:pPr>
        <w:pStyle w:val="Ruller41"/>
        <w:rPr>
          <w:rtl/>
        </w:rPr>
      </w:pPr>
      <w:r>
        <w:rPr>
          <w:rFonts w:hint="cs"/>
          <w:sz w:val="28"/>
          <w:rtl/>
        </w:rPr>
        <w:t>37.</w:t>
      </w:r>
      <w:r>
        <w:rPr>
          <w:sz w:val="28"/>
          <w:rtl/>
        </w:rPr>
        <w:tab/>
      </w:r>
      <w:r w:rsidRPr="00FB6627">
        <w:rPr>
          <w:rFonts w:ascii="Century" w:hAnsi="Century" w:cs="Miriam" w:hint="cs"/>
          <w:b/>
          <w:spacing w:val="0"/>
          <w:szCs w:val="24"/>
          <w:rtl/>
        </w:rPr>
        <w:t>(4) ע</w:t>
      </w:r>
      <w:r w:rsidRPr="008A2C19">
        <w:rPr>
          <w:rFonts w:ascii="Century" w:hAnsi="Century" w:cs="Miriam" w:hint="cs"/>
          <w:b/>
          <w:spacing w:val="0"/>
          <w:szCs w:val="24"/>
          <w:rtl/>
        </w:rPr>
        <w:t>ניין פרידמן</w:t>
      </w:r>
      <w:r w:rsidRPr="008A2C19">
        <w:rPr>
          <w:rFonts w:hint="cs"/>
          <w:rtl/>
        </w:rPr>
        <w:t xml:space="preserve">: פסק הדין השני אשר אינו עוסק במישרין בהוצאות פיתוח, אך יש לו השלכה לענייננו הוא פסק הדין שניתן בע"א 3534/07 </w:t>
      </w:r>
      <w:r w:rsidRPr="008A2C19">
        <w:rPr>
          <w:rFonts w:ascii="Century" w:hAnsi="Century" w:cs="Miriam" w:hint="cs"/>
          <w:b/>
          <w:spacing w:val="0"/>
          <w:szCs w:val="24"/>
          <w:rtl/>
        </w:rPr>
        <w:t xml:space="preserve">פרידמן </w:t>
      </w:r>
      <w:proofErr w:type="spellStart"/>
      <w:r w:rsidRPr="008A2C19">
        <w:rPr>
          <w:rFonts w:ascii="Century" w:hAnsi="Century" w:cs="Miriam" w:hint="cs"/>
          <w:b/>
          <w:spacing w:val="0"/>
          <w:szCs w:val="24"/>
          <w:rtl/>
        </w:rPr>
        <w:t>חכשורי</w:t>
      </w:r>
      <w:proofErr w:type="spellEnd"/>
      <w:r w:rsidRPr="008A2C19">
        <w:rPr>
          <w:rFonts w:ascii="Century" w:hAnsi="Century" w:cs="Miriam" w:hint="cs"/>
          <w:b/>
          <w:spacing w:val="0"/>
          <w:szCs w:val="24"/>
          <w:rtl/>
        </w:rPr>
        <w:t xml:space="preserve"> חברה להנדסה ולבניה בע"מ נ' מנהל מיסוי מקרקעין אזור תל אביב</w:t>
      </w:r>
      <w:r w:rsidRPr="008A2C19">
        <w:rPr>
          <w:rFonts w:hint="cs"/>
          <w:rtl/>
        </w:rPr>
        <w:t xml:space="preserve"> (26.1.2010) (להלן: </w:t>
      </w:r>
      <w:r w:rsidRPr="008A2C19">
        <w:rPr>
          <w:rFonts w:ascii="Century" w:hAnsi="Century" w:cs="Miriam" w:hint="cs"/>
          <w:b/>
          <w:spacing w:val="0"/>
          <w:szCs w:val="24"/>
          <w:rtl/>
        </w:rPr>
        <w:t>עניין פרידמן</w:t>
      </w:r>
      <w:r w:rsidRPr="008A2C19">
        <w:rPr>
          <w:rFonts w:hint="cs"/>
          <w:rtl/>
        </w:rPr>
        <w:t>).</w:t>
      </w:r>
      <w:r>
        <w:rPr>
          <w:rFonts w:hint="cs"/>
          <w:rtl/>
        </w:rPr>
        <w:t xml:space="preserve"> באותו מקרה המערערות זכו במכרז שפרסם </w:t>
      </w:r>
      <w:proofErr w:type="spellStart"/>
      <w:r>
        <w:rPr>
          <w:rFonts w:hint="cs"/>
          <w:rtl/>
        </w:rPr>
        <w:t>מינהל</w:t>
      </w:r>
      <w:proofErr w:type="spellEnd"/>
      <w:r>
        <w:rPr>
          <w:rFonts w:hint="cs"/>
          <w:rtl/>
        </w:rPr>
        <w:t xml:space="preserve"> מקרקעי ישראל (להלן: </w:t>
      </w:r>
      <w:proofErr w:type="spellStart"/>
      <w:r w:rsidRPr="00795301">
        <w:rPr>
          <w:rFonts w:ascii="Century" w:hAnsi="Century" w:cs="Miriam" w:hint="cs"/>
          <w:b/>
          <w:spacing w:val="0"/>
          <w:szCs w:val="24"/>
          <w:rtl/>
        </w:rPr>
        <w:t>המינהל</w:t>
      </w:r>
      <w:proofErr w:type="spellEnd"/>
      <w:r>
        <w:rPr>
          <w:rFonts w:hint="cs"/>
          <w:rtl/>
        </w:rPr>
        <w:t xml:space="preserve">) יחד עם עיריית תל אביב לביצוע פרויקט "פינוי בינוי" במתחם "שכונת הארגזים" בתל אביב. כחלק מתנאי המכרז, הוטלו על הזוכה החובה לדאוג לפינוים של התושבים שהתגוררו במקרקעין והחובה לשאת בעלויות פיצוים של התושבים המפונים. </w:t>
      </w:r>
      <w:r>
        <w:rPr>
          <w:rFonts w:ascii="Century" w:hAnsi="Century" w:hint="cs"/>
          <w:b/>
          <w:spacing w:val="0"/>
          <w:sz w:val="28"/>
          <w:rtl/>
        </w:rPr>
        <w:t>חשוב לה</w:t>
      </w:r>
      <w:r w:rsidRPr="004D3F6C">
        <w:rPr>
          <w:rFonts w:ascii="Century" w:hAnsi="Century" w:hint="eastAsia"/>
          <w:b/>
          <w:spacing w:val="0"/>
          <w:sz w:val="28"/>
          <w:rtl/>
        </w:rPr>
        <w:t>דגיש</w:t>
      </w:r>
      <w:r w:rsidRPr="004D3F6C">
        <w:rPr>
          <w:rFonts w:ascii="Century" w:hAnsi="Century"/>
          <w:b/>
          <w:spacing w:val="0"/>
          <w:sz w:val="28"/>
          <w:rtl/>
        </w:rPr>
        <w:t xml:space="preserve"> </w:t>
      </w:r>
      <w:r w:rsidRPr="004D3F6C">
        <w:rPr>
          <w:rFonts w:ascii="Century" w:hAnsi="Century" w:hint="eastAsia"/>
          <w:b/>
          <w:spacing w:val="0"/>
          <w:sz w:val="28"/>
          <w:rtl/>
        </w:rPr>
        <w:t>כי</w:t>
      </w:r>
      <w:r>
        <w:rPr>
          <w:rFonts w:ascii="Century" w:hAnsi="Century" w:cs="Miriam" w:hint="cs"/>
          <w:b/>
          <w:spacing w:val="0"/>
          <w:szCs w:val="24"/>
          <w:rtl/>
        </w:rPr>
        <w:t xml:space="preserve"> </w:t>
      </w:r>
      <w:r w:rsidRPr="00FB6627">
        <w:rPr>
          <w:rFonts w:ascii="Century" w:hAnsi="Century" w:cs="Miriam" w:hint="cs"/>
          <w:b/>
          <w:spacing w:val="0"/>
          <w:szCs w:val="24"/>
          <w:rtl/>
        </w:rPr>
        <w:t>תכנית המתאר התנתה את מתן היתרי הבניה בפינוי התושבים</w:t>
      </w:r>
      <w:r>
        <w:rPr>
          <w:rFonts w:hint="cs"/>
          <w:rtl/>
        </w:rPr>
        <w:t>. השאלה שנדונה היא האם התמורה ששולמה לצורך חישוב מס הרכישה כוללת את עלויות הפינוי הצפויות במסגרת הפרויקט או אך את הסכום ששולם עבור חכירת המקרקעין.</w:t>
      </w:r>
    </w:p>
    <w:p w:rsidR="00A14F89" w:rsidRDefault="00A14F89" w:rsidP="00A14F89">
      <w:pPr>
        <w:pStyle w:val="Ruller41"/>
        <w:rPr>
          <w:rtl/>
        </w:rPr>
      </w:pPr>
    </w:p>
    <w:p w:rsidR="00A14F89" w:rsidRDefault="00A14F89" w:rsidP="00A14F89">
      <w:pPr>
        <w:pStyle w:val="Ruller41"/>
        <w:rPr>
          <w:rFonts w:ascii="Times New Roman" w:hAnsi="Times New Roman"/>
          <w:rtl/>
        </w:rPr>
      </w:pPr>
      <w:r>
        <w:rPr>
          <w:rtl/>
        </w:rPr>
        <w:tab/>
      </w:r>
      <w:r>
        <w:rPr>
          <w:rFonts w:hint="cs"/>
          <w:rtl/>
        </w:rPr>
        <w:t xml:space="preserve">בפסק הדין עמד בית משפט זה על </w:t>
      </w:r>
      <w:r>
        <w:rPr>
          <w:rFonts w:ascii="Times New Roman" w:hAnsi="Times New Roman" w:hint="cs"/>
          <w:rtl/>
        </w:rPr>
        <w:t xml:space="preserve">"עקרון צירוף כל התמורות", שלפיו </w:t>
      </w:r>
      <w:r>
        <w:rPr>
          <w:rFonts w:hint="cs"/>
          <w:rtl/>
        </w:rPr>
        <w:t xml:space="preserve">"...שווי המכירה יכלול את כל התמורות הישירות והעקיפות שהקונה מתחייב לשלם למוכר או למי מטעמו" </w:t>
      </w:r>
      <w:r w:rsidRPr="004230E0">
        <w:rPr>
          <w:rFonts w:ascii="Century" w:hAnsi="Century" w:cs="Miriam" w:hint="cs"/>
          <w:b/>
          <w:spacing w:val="0"/>
          <w:szCs w:val="24"/>
          <w:rtl/>
        </w:rPr>
        <w:t>עבור הזכות הנמכרת</w:t>
      </w:r>
      <w:r w:rsidRPr="005A0BA1">
        <w:rPr>
          <w:rFonts w:hint="cs"/>
          <w:rtl/>
        </w:rPr>
        <w:t xml:space="preserve"> </w:t>
      </w:r>
      <w:r>
        <w:rPr>
          <w:rFonts w:hint="cs"/>
          <w:rtl/>
        </w:rPr>
        <w:t xml:space="preserve">(ראו: </w:t>
      </w:r>
      <w:r w:rsidRPr="00A2321D">
        <w:rPr>
          <w:rFonts w:ascii="Times New Roman" w:hAnsi="Times New Roman" w:hint="cs"/>
          <w:rtl/>
        </w:rPr>
        <w:t xml:space="preserve">אהרן </w:t>
      </w:r>
      <w:proofErr w:type="spellStart"/>
      <w:r w:rsidRPr="00A2321D">
        <w:rPr>
          <w:rFonts w:ascii="Times New Roman" w:hAnsi="Times New Roman" w:hint="cs"/>
          <w:rtl/>
        </w:rPr>
        <w:t>נמדר</w:t>
      </w:r>
      <w:proofErr w:type="spellEnd"/>
      <w:r>
        <w:rPr>
          <w:rFonts w:ascii="Times New Roman" w:hAnsi="Times New Roman" w:hint="cs"/>
          <w:rtl/>
        </w:rPr>
        <w:t xml:space="preserve"> </w:t>
      </w:r>
      <w:r>
        <w:rPr>
          <w:rFonts w:ascii="Times New Roman" w:hAnsi="Times New Roman" w:cs="Miriam" w:hint="cs"/>
          <w:spacing w:val="0"/>
          <w:sz w:val="28"/>
          <w:szCs w:val="24"/>
          <w:rtl/>
        </w:rPr>
        <w:t>מיסוי מקרקעין</w:t>
      </w:r>
      <w:r>
        <w:rPr>
          <w:rFonts w:ascii="Times New Roman" w:hAnsi="Times New Roman" w:hint="cs"/>
          <w:rtl/>
        </w:rPr>
        <w:t xml:space="preserve"> כרך ד (חישוב המס </w:t>
      </w:r>
      <w:r>
        <w:rPr>
          <w:rFonts w:ascii="Times New Roman" w:hAnsi="Times New Roman" w:hint="cs"/>
          <w:rtl/>
        </w:rPr>
        <w:lastRenderedPageBreak/>
        <w:t>ותשלומו) 303 (מהדורה חמישית, 2007)).</w:t>
      </w:r>
      <w:r>
        <w:rPr>
          <w:rFonts w:hint="cs"/>
          <w:rtl/>
        </w:rPr>
        <w:t xml:space="preserve"> במקרה הנדון, כך נקבע, </w:t>
      </w:r>
      <w:r>
        <w:rPr>
          <w:rFonts w:ascii="Times New Roman" w:hAnsi="Times New Roman" w:hint="cs"/>
          <w:rtl/>
        </w:rPr>
        <w:t xml:space="preserve">התחייבותו של </w:t>
      </w:r>
      <w:proofErr w:type="spellStart"/>
      <w:r>
        <w:rPr>
          <w:rFonts w:ascii="Times New Roman" w:hAnsi="Times New Roman" w:hint="cs"/>
          <w:rtl/>
        </w:rPr>
        <w:t>המינהל</w:t>
      </w:r>
      <w:proofErr w:type="spellEnd"/>
      <w:r>
        <w:rPr>
          <w:rFonts w:ascii="Times New Roman" w:hAnsi="Times New Roman" w:hint="cs"/>
          <w:rtl/>
        </w:rPr>
        <w:t xml:space="preserve"> להעניק למערערות זכויות במקרקעין איננה ניתנת להפרדה </w:t>
      </w:r>
      <w:proofErr w:type="spellStart"/>
      <w:r>
        <w:rPr>
          <w:rFonts w:ascii="Times New Roman" w:hAnsi="Times New Roman" w:hint="cs"/>
          <w:rtl/>
        </w:rPr>
        <w:t>אמיתית</w:t>
      </w:r>
      <w:proofErr w:type="spellEnd"/>
      <w:r>
        <w:rPr>
          <w:rFonts w:ascii="Times New Roman" w:hAnsi="Times New Roman" w:hint="cs"/>
          <w:rtl/>
        </w:rPr>
        <w:t xml:space="preserve"> מהתחייבותן של המערערות להביא לפינוים של המקרקעין, וכי הכללת הוצאות הפינוי ב"שווי המכירה" היא נגזרת של "עקרון צירוף כל התמורות" שהוצג לעיל. ואולם, לצד זאת הובהר כי הכללת הוצאות הפינוי ב"שווי המכירה" נובעת </w:t>
      </w:r>
      <w:r w:rsidRPr="00795301">
        <w:rPr>
          <w:rFonts w:ascii="Century" w:hAnsi="Century" w:hint="cs"/>
          <w:rtl/>
        </w:rPr>
        <w:t>מכך שעובר לכריתת הסכם המכר, הייתה קיימת התחייבות של מוכר המקרקעין</w:t>
      </w:r>
      <w:r>
        <w:rPr>
          <w:rFonts w:ascii="Century" w:hAnsi="Century" w:hint="cs"/>
          <w:rtl/>
        </w:rPr>
        <w:t xml:space="preserve">, </w:t>
      </w:r>
      <w:proofErr w:type="spellStart"/>
      <w:r>
        <w:rPr>
          <w:rFonts w:ascii="Century" w:hAnsi="Century" w:hint="cs"/>
          <w:rtl/>
        </w:rPr>
        <w:t>המינהל</w:t>
      </w:r>
      <w:proofErr w:type="spellEnd"/>
      <w:r>
        <w:rPr>
          <w:rFonts w:ascii="Century" w:hAnsi="Century" w:hint="cs"/>
          <w:rtl/>
        </w:rPr>
        <w:t>,</w:t>
      </w:r>
      <w:r w:rsidRPr="00795301">
        <w:rPr>
          <w:rFonts w:ascii="Century" w:hAnsi="Century" w:hint="cs"/>
          <w:rtl/>
        </w:rPr>
        <w:t xml:space="preserve"> שלא להביא לפינויו של דייר המתגורר </w:t>
      </w:r>
      <w:r>
        <w:rPr>
          <w:rFonts w:ascii="Century" w:hAnsi="Century" w:hint="cs"/>
          <w:rtl/>
        </w:rPr>
        <w:t>במקרקעין</w:t>
      </w:r>
      <w:r w:rsidRPr="00795301">
        <w:rPr>
          <w:rFonts w:ascii="Century" w:hAnsi="Century" w:hint="cs"/>
          <w:rtl/>
        </w:rPr>
        <w:t xml:space="preserve">, מבלי שפינוי זה ילווה בדמי פינוי שישולמו לאותו דייר. </w:t>
      </w:r>
      <w:r w:rsidRPr="001444F7">
        <w:rPr>
          <w:rFonts w:ascii="Century" w:hAnsi="Century" w:cs="Miriam" w:hint="cs"/>
          <w:b/>
          <w:spacing w:val="0"/>
          <w:szCs w:val="24"/>
          <w:rtl/>
        </w:rPr>
        <w:t>כן צוינה ההבחנה בין הוצאות פיתוח לבין הוצאות הפינוי</w:t>
      </w:r>
      <w:r>
        <w:rPr>
          <w:rFonts w:ascii="Times New Roman" w:hAnsi="Times New Roman" w:hint="cs"/>
          <w:rtl/>
        </w:rPr>
        <w:t xml:space="preserve">, כלהלן: </w:t>
      </w:r>
    </w:p>
    <w:p w:rsidR="00A14F89" w:rsidRDefault="00A14F89" w:rsidP="00A14F89">
      <w:pPr>
        <w:pStyle w:val="Ruller41"/>
        <w:rPr>
          <w:rFonts w:ascii="Times New Roman" w:hAnsi="Times New Roman"/>
        </w:rPr>
      </w:pPr>
    </w:p>
    <w:p w:rsidR="00A14F89" w:rsidRPr="00190BC7" w:rsidRDefault="00A14F89" w:rsidP="00A14F89">
      <w:pPr>
        <w:pStyle w:val="Ruller5"/>
        <w:rPr>
          <w:rtl/>
        </w:rPr>
      </w:pPr>
      <w:r w:rsidRPr="005A0BA1">
        <w:rPr>
          <w:rFonts w:hint="cs"/>
          <w:rtl/>
        </w:rPr>
        <w:t xml:space="preserve">"בין הצדדים </w:t>
      </w:r>
      <w:r w:rsidRPr="00A80EE7">
        <w:rPr>
          <w:rFonts w:hint="eastAsia"/>
          <w:rtl/>
        </w:rPr>
        <w:t>לערעור</w:t>
      </w:r>
      <w:r w:rsidRPr="00A80EE7">
        <w:rPr>
          <w:rtl/>
        </w:rPr>
        <w:t xml:space="preserve"> זה אין פלוגתא כי הוצאות הפיתוח בהן התחייבו המערערות לשאת אינם כלולים ב'שווי המכירה', ומסקנה זו הולמת את מצוותה של הלכת </w:t>
      </w:r>
      <w:r w:rsidRPr="004D3F6C">
        <w:rPr>
          <w:rFonts w:cs="Miriam" w:hint="eastAsia"/>
          <w:spacing w:val="0"/>
          <w:sz w:val="28"/>
          <w:szCs w:val="24"/>
          <w:rtl/>
        </w:rPr>
        <w:t>שרביט</w:t>
      </w:r>
      <w:r w:rsidRPr="004D3F6C">
        <w:rPr>
          <w:rtl/>
        </w:rPr>
        <w:t xml:space="preserve">, </w:t>
      </w:r>
      <w:r w:rsidRPr="004D3F6C">
        <w:rPr>
          <w:rFonts w:hint="eastAsia"/>
          <w:rtl/>
        </w:rPr>
        <w:t>כפי</w:t>
      </w:r>
      <w:r w:rsidRPr="004D3F6C">
        <w:rPr>
          <w:rtl/>
        </w:rPr>
        <w:t xml:space="preserve"> </w:t>
      </w:r>
      <w:r w:rsidRPr="004D3F6C">
        <w:rPr>
          <w:rFonts w:hint="eastAsia"/>
          <w:rtl/>
        </w:rPr>
        <w:t>שפורט</w:t>
      </w:r>
      <w:r w:rsidRPr="004D3F6C">
        <w:rPr>
          <w:rtl/>
        </w:rPr>
        <w:t xml:space="preserve"> </w:t>
      </w:r>
      <w:r w:rsidRPr="004D3F6C">
        <w:rPr>
          <w:rFonts w:hint="eastAsia"/>
          <w:rtl/>
        </w:rPr>
        <w:t>לעיל</w:t>
      </w:r>
      <w:r w:rsidRPr="004D3F6C">
        <w:rPr>
          <w:rFonts w:hint="cs"/>
          <w:rtl/>
        </w:rPr>
        <w:t>. ואולם</w:t>
      </w:r>
      <w:r w:rsidRPr="00A2321D">
        <w:rPr>
          <w:rFonts w:hint="cs"/>
          <w:rtl/>
        </w:rPr>
        <w:t>, 'גורלן</w:t>
      </w:r>
      <w:r w:rsidRPr="001C5665">
        <w:rPr>
          <w:rFonts w:hint="cs"/>
          <w:rtl/>
        </w:rPr>
        <w:t>'</w:t>
      </w:r>
      <w:r w:rsidRPr="001444F7">
        <w:rPr>
          <w:rFonts w:hint="cs"/>
          <w:rtl/>
        </w:rPr>
        <w:t xml:space="preserve"> של הוצאות הפינוי בענייננו שונה מזה של הוצאות הפיתוח.</w:t>
      </w:r>
      <w:r w:rsidRPr="00DC1C71">
        <w:rPr>
          <w:rFonts w:hint="cs"/>
          <w:rtl/>
        </w:rPr>
        <w:t xml:space="preserve"> שכן בהתחייבן לשאת בעלויות הנובעות מביצועה של מלאכת הפינוי, לקחו על עצמן המערערות, הלכה למעשה, </w:t>
      </w:r>
      <w:proofErr w:type="spellStart"/>
      <w:r w:rsidRPr="00DC1C71">
        <w:rPr>
          <w:rFonts w:hint="cs"/>
          <w:rtl/>
        </w:rPr>
        <w:t>מחוייבות</w:t>
      </w:r>
      <w:proofErr w:type="spellEnd"/>
      <w:r w:rsidRPr="00DC1C71">
        <w:rPr>
          <w:rFonts w:cs="Miriam" w:hint="cs"/>
          <w:spacing w:val="0"/>
          <w:sz w:val="28"/>
          <w:szCs w:val="24"/>
          <w:rtl/>
        </w:rPr>
        <w:t xml:space="preserve"> מצד </w:t>
      </w:r>
      <w:proofErr w:type="spellStart"/>
      <w:r w:rsidRPr="00DC1C71">
        <w:rPr>
          <w:rFonts w:cs="Miriam" w:hint="cs"/>
          <w:spacing w:val="0"/>
          <w:sz w:val="28"/>
          <w:szCs w:val="24"/>
          <w:rtl/>
        </w:rPr>
        <w:t>המינהל</w:t>
      </w:r>
      <w:proofErr w:type="spellEnd"/>
      <w:r w:rsidRPr="00DC1C71">
        <w:rPr>
          <w:rFonts w:cs="Miriam" w:hint="cs"/>
          <w:spacing w:val="0"/>
          <w:sz w:val="28"/>
          <w:szCs w:val="24"/>
          <w:rtl/>
        </w:rPr>
        <w:t xml:space="preserve"> כלפי הדיירים המתגוררים בנכס</w:t>
      </w:r>
      <w:r w:rsidRPr="00DC1C71">
        <w:rPr>
          <w:rFonts w:hint="cs"/>
          <w:rtl/>
        </w:rPr>
        <w:t xml:space="preserve">. משלקחו על עצמן המערערות (רוכשות הזכות במקרקעין) מחויבות שהייתה מוטלת על </w:t>
      </w:r>
      <w:proofErr w:type="spellStart"/>
      <w:r w:rsidRPr="00DC1C71">
        <w:rPr>
          <w:rFonts w:hint="cs"/>
          <w:rtl/>
        </w:rPr>
        <w:t>המינהל</w:t>
      </w:r>
      <w:proofErr w:type="spellEnd"/>
      <w:r w:rsidRPr="00DC1C71">
        <w:rPr>
          <w:rFonts w:hint="cs"/>
          <w:rtl/>
        </w:rPr>
        <w:t xml:space="preserve"> (מוכר הזכות) כלפי צד שלישי, מחויבים אנו לבחון את ערכה הכלכלי של מחויבות זו במסגרת התמורה החוזית</w:t>
      </w:r>
      <w:r>
        <w:rPr>
          <w:rFonts w:hint="cs"/>
          <w:rtl/>
        </w:rPr>
        <w:t xml:space="preserve"> שנקבעה בין הצדדים; זאת בהתאם ל'</w:t>
      </w:r>
      <w:r w:rsidRPr="00DC1C71">
        <w:rPr>
          <w:rFonts w:hint="cs"/>
          <w:rtl/>
        </w:rPr>
        <w:t>עקרון צירוף כל התמורות</w:t>
      </w:r>
      <w:r>
        <w:rPr>
          <w:rFonts w:hint="cs"/>
          <w:rtl/>
        </w:rPr>
        <w:t>'...</w:t>
      </w:r>
      <w:r w:rsidRPr="00190BC7">
        <w:rPr>
          <w:rFonts w:hint="cs"/>
          <w:rtl/>
        </w:rPr>
        <w:t xml:space="preserve"> </w:t>
      </w:r>
      <w:r>
        <w:rPr>
          <w:rFonts w:hint="cs"/>
          <w:rtl/>
        </w:rPr>
        <w:t>דעתי היא כי התמורה החוזית לה התחייבו המערערות במסגרת ההסכם, הינה סכו</w:t>
      </w:r>
      <w:r w:rsidRPr="00DC1C71">
        <w:rPr>
          <w:rFonts w:hint="cs"/>
          <w:rtl/>
        </w:rPr>
        <w:t xml:space="preserve">ם של התמורה במזומן שהתחייבו להעביר, בצירוף כל התחייבות אחרת של מוכר המקרקעין – </w:t>
      </w:r>
      <w:proofErr w:type="spellStart"/>
      <w:r w:rsidRPr="00DC1C71">
        <w:rPr>
          <w:rFonts w:hint="cs"/>
          <w:rtl/>
        </w:rPr>
        <w:t>המינהל</w:t>
      </w:r>
      <w:proofErr w:type="spellEnd"/>
      <w:r w:rsidRPr="00DC1C71">
        <w:rPr>
          <w:rFonts w:hint="cs"/>
          <w:rtl/>
        </w:rPr>
        <w:t xml:space="preserve"> – שהסכימו המערערות לקחת על עצמן במסגרת חוזה הפיתוח"</w:t>
      </w:r>
      <w:r>
        <w:rPr>
          <w:rFonts w:hint="cs"/>
          <w:rtl/>
        </w:rPr>
        <w:t xml:space="preserve"> (עניין </w:t>
      </w:r>
      <w:r w:rsidRPr="00DC1C71">
        <w:rPr>
          <w:rFonts w:ascii="Century" w:hAnsi="Century" w:cs="Miriam" w:hint="cs"/>
          <w:b/>
          <w:spacing w:val="0"/>
          <w:szCs w:val="24"/>
          <w:rtl/>
        </w:rPr>
        <w:t>פרידמן</w:t>
      </w:r>
      <w:r>
        <w:rPr>
          <w:rFonts w:hint="cs"/>
          <w:rtl/>
        </w:rPr>
        <w:t>, פסקה 17).</w:t>
      </w:r>
    </w:p>
    <w:p w:rsidR="00A14F89" w:rsidRDefault="00A14F89" w:rsidP="00A14F89">
      <w:pPr>
        <w:pStyle w:val="Ruller41"/>
        <w:rPr>
          <w:rtl/>
        </w:rPr>
      </w:pPr>
    </w:p>
    <w:p w:rsidR="00A14F89" w:rsidRDefault="00A14F89" w:rsidP="00A14F89">
      <w:pPr>
        <w:pStyle w:val="Ruller41"/>
        <w:rPr>
          <w:rtl/>
        </w:rPr>
      </w:pPr>
      <w:r>
        <w:rPr>
          <w:rFonts w:hint="cs"/>
          <w:rtl/>
        </w:rPr>
        <w:t>38.</w:t>
      </w:r>
      <w:r>
        <w:rPr>
          <w:rtl/>
        </w:rPr>
        <w:tab/>
      </w:r>
      <w:r w:rsidRPr="00256BB0">
        <w:rPr>
          <w:rFonts w:ascii="Century" w:hAnsi="Century" w:cs="Miriam" w:hint="cs"/>
          <w:b/>
          <w:spacing w:val="0"/>
          <w:szCs w:val="24"/>
          <w:rtl/>
        </w:rPr>
        <w:t>סיכום ביניים</w:t>
      </w:r>
      <w:r>
        <w:rPr>
          <w:rFonts w:hint="cs"/>
          <w:rtl/>
        </w:rPr>
        <w:t xml:space="preserve">: פסקי הדין בעניין </w:t>
      </w:r>
      <w:r w:rsidRPr="00A54290">
        <w:rPr>
          <w:rFonts w:ascii="Century" w:hAnsi="Century" w:cs="Miriam" w:hint="cs"/>
          <w:b/>
          <w:spacing w:val="0"/>
          <w:szCs w:val="24"/>
          <w:rtl/>
        </w:rPr>
        <w:t>אורלי</w:t>
      </w:r>
      <w:r w:rsidRPr="00A54290">
        <w:rPr>
          <w:rFonts w:hint="cs"/>
          <w:rtl/>
        </w:rPr>
        <w:t xml:space="preserve"> </w:t>
      </w:r>
      <w:r>
        <w:rPr>
          <w:rFonts w:hint="cs"/>
          <w:rtl/>
        </w:rPr>
        <w:t xml:space="preserve">ובעניין </w:t>
      </w:r>
      <w:r w:rsidRPr="00A54290">
        <w:rPr>
          <w:rFonts w:ascii="Century" w:hAnsi="Century" w:cs="Miriam" w:hint="cs"/>
          <w:b/>
          <w:spacing w:val="0"/>
          <w:szCs w:val="24"/>
          <w:rtl/>
        </w:rPr>
        <w:t>פרידמן</w:t>
      </w:r>
      <w:r w:rsidRPr="00A54290">
        <w:rPr>
          <w:rFonts w:hint="cs"/>
          <w:rtl/>
        </w:rPr>
        <w:t xml:space="preserve"> </w:t>
      </w:r>
      <w:r>
        <w:rPr>
          <w:rFonts w:hint="cs"/>
          <w:rtl/>
        </w:rPr>
        <w:t xml:space="preserve">לא עסקו בשאלת הכללתן של </w:t>
      </w:r>
      <w:r w:rsidRPr="00A54290">
        <w:rPr>
          <w:rFonts w:ascii="Century" w:hAnsi="Century" w:cs="Miriam" w:hint="cs"/>
          <w:b/>
          <w:spacing w:val="0"/>
          <w:szCs w:val="24"/>
          <w:rtl/>
        </w:rPr>
        <w:t>הוצאות פיתוח</w:t>
      </w:r>
      <w:r>
        <w:rPr>
          <w:rFonts w:hint="cs"/>
          <w:rtl/>
        </w:rPr>
        <w:t xml:space="preserve"> ב"שווי המכירה" לצורך חישובו של מס הרכישה, ומשכך הם אינם משליכים באופן </w:t>
      </w:r>
      <w:r w:rsidRPr="00A54290">
        <w:rPr>
          <w:rFonts w:ascii="Century" w:hAnsi="Century" w:cs="Miriam" w:hint="cs"/>
          <w:b/>
          <w:spacing w:val="0"/>
          <w:szCs w:val="24"/>
          <w:rtl/>
        </w:rPr>
        <w:t>ישיר</w:t>
      </w:r>
      <w:r w:rsidRPr="00A54290">
        <w:rPr>
          <w:rFonts w:hint="cs"/>
          <w:rtl/>
        </w:rPr>
        <w:t xml:space="preserve"> </w:t>
      </w:r>
      <w:r>
        <w:rPr>
          <w:rFonts w:hint="cs"/>
          <w:rtl/>
        </w:rPr>
        <w:t xml:space="preserve">על ענייננו. ואולם, פסקי הדין האמורים עסקו אף הם בשאלה מהי העסקה </w:t>
      </w:r>
      <w:proofErr w:type="spellStart"/>
      <w:r>
        <w:rPr>
          <w:rFonts w:hint="cs"/>
          <w:rtl/>
        </w:rPr>
        <w:t>האמיתית</w:t>
      </w:r>
      <w:proofErr w:type="spellEnd"/>
      <w:r>
        <w:rPr>
          <w:rFonts w:hint="cs"/>
          <w:rtl/>
        </w:rPr>
        <w:t xml:space="preserve"> שנכרתה בין הצדדים, ובפרט </w:t>
      </w:r>
      <w:r>
        <w:rPr>
          <w:rtl/>
        </w:rPr>
        <w:t>–</w:t>
      </w:r>
      <w:r>
        <w:rPr>
          <w:rFonts w:hint="cs"/>
          <w:rtl/>
        </w:rPr>
        <w:t xml:space="preserve"> מהי </w:t>
      </w:r>
      <w:r w:rsidRPr="000F218E">
        <w:rPr>
          <w:rFonts w:ascii="Century" w:hAnsi="Century" w:cs="Miriam" w:hint="cs"/>
          <w:b/>
          <w:spacing w:val="0"/>
          <w:szCs w:val="24"/>
          <w:rtl/>
        </w:rPr>
        <w:t>הזכות במקרקעין</w:t>
      </w:r>
      <w:r w:rsidRPr="000F218E">
        <w:rPr>
          <w:rFonts w:hint="cs"/>
          <w:rtl/>
        </w:rPr>
        <w:t xml:space="preserve"> </w:t>
      </w:r>
      <w:r>
        <w:rPr>
          <w:rFonts w:hint="cs"/>
          <w:rtl/>
        </w:rPr>
        <w:t xml:space="preserve">שנמכרה ומהי </w:t>
      </w:r>
      <w:r w:rsidRPr="000F218E">
        <w:rPr>
          <w:rFonts w:ascii="Century" w:hAnsi="Century" w:cs="Miriam" w:hint="cs"/>
          <w:b/>
          <w:spacing w:val="0"/>
          <w:szCs w:val="24"/>
          <w:rtl/>
        </w:rPr>
        <w:t>התמורה</w:t>
      </w:r>
      <w:r w:rsidRPr="000F218E">
        <w:rPr>
          <w:rFonts w:hint="cs"/>
          <w:rtl/>
        </w:rPr>
        <w:t xml:space="preserve"> </w:t>
      </w:r>
      <w:r>
        <w:rPr>
          <w:rFonts w:hint="cs"/>
          <w:rtl/>
        </w:rPr>
        <w:t xml:space="preserve">ששולמה בעד זכות זו. </w:t>
      </w:r>
    </w:p>
    <w:p w:rsidR="00A14F89" w:rsidRDefault="00A14F89" w:rsidP="00A14F89">
      <w:pPr>
        <w:pStyle w:val="Ruller41"/>
        <w:rPr>
          <w:rtl/>
        </w:rPr>
      </w:pPr>
    </w:p>
    <w:p w:rsidR="00A14F89" w:rsidRDefault="00A14F89" w:rsidP="00A14F89">
      <w:pPr>
        <w:pStyle w:val="Ruller41"/>
        <w:rPr>
          <w:rtl/>
        </w:rPr>
      </w:pPr>
      <w:r>
        <w:rPr>
          <w:rtl/>
        </w:rPr>
        <w:tab/>
      </w:r>
      <w:r>
        <w:rPr>
          <w:rFonts w:hint="cs"/>
          <w:rtl/>
        </w:rPr>
        <w:t xml:space="preserve">בתוך כך, נראה כי בעניין </w:t>
      </w:r>
      <w:r w:rsidRPr="00A54290">
        <w:rPr>
          <w:rFonts w:ascii="Century" w:hAnsi="Century" w:cs="Miriam" w:hint="cs"/>
          <w:b/>
          <w:spacing w:val="0"/>
          <w:szCs w:val="24"/>
          <w:rtl/>
        </w:rPr>
        <w:t>אורלי</w:t>
      </w:r>
      <w:r w:rsidRPr="00A54290">
        <w:rPr>
          <w:rFonts w:hint="cs"/>
          <w:rtl/>
        </w:rPr>
        <w:t xml:space="preserve"> </w:t>
      </w:r>
      <w:r>
        <w:rPr>
          <w:rFonts w:hint="cs"/>
          <w:rtl/>
        </w:rPr>
        <w:t xml:space="preserve">נקבע כי הזכות במקרקעין שנמכרה היא בעלות במגרש </w:t>
      </w:r>
      <w:r w:rsidRPr="00A54290">
        <w:rPr>
          <w:rFonts w:ascii="Century" w:hAnsi="Century" w:cs="Miriam" w:hint="cs"/>
          <w:b/>
          <w:spacing w:val="0"/>
          <w:szCs w:val="24"/>
          <w:rtl/>
        </w:rPr>
        <w:t>הכולל היתר בנייה</w:t>
      </w:r>
      <w:r>
        <w:rPr>
          <w:rFonts w:hint="cs"/>
          <w:rtl/>
        </w:rPr>
        <w:t xml:space="preserve">, אשר אושר זה מכבר, ומשכך התמורה עבור זכות זו שיקפה את עלות המקרקעין עצמם ואת השבחתם עקב אישור  ההיתר (נראה כי במקרה הנדון התמורה עבור שווי ההשבחה הוגדרה כהשבת האגרות וההיטלים שהוצאו לצורך הוצאת ההיתר). עוד יודגש, כי החובה להוצאת ההיתר, ובכלל זה לתשלום אגרות הבנייה וההיטלים בגינו, היא חובה חוזית שרבצה על </w:t>
      </w:r>
      <w:proofErr w:type="spellStart"/>
      <w:r>
        <w:rPr>
          <w:rFonts w:hint="cs"/>
          <w:rtl/>
        </w:rPr>
        <w:t>מרלז</w:t>
      </w:r>
      <w:proofErr w:type="spellEnd"/>
      <w:r>
        <w:rPr>
          <w:rFonts w:hint="cs"/>
          <w:rtl/>
        </w:rPr>
        <w:t xml:space="preserve"> (המוכרת לאורלי) כלפי חלמיש </w:t>
      </w:r>
      <w:r>
        <w:rPr>
          <w:rFonts w:hint="cs"/>
          <w:rtl/>
        </w:rPr>
        <w:lastRenderedPageBreak/>
        <w:t xml:space="preserve">(ממנה רכשה </w:t>
      </w:r>
      <w:proofErr w:type="spellStart"/>
      <w:r>
        <w:rPr>
          <w:rFonts w:hint="cs"/>
          <w:rtl/>
        </w:rPr>
        <w:t>מרלז</w:t>
      </w:r>
      <w:proofErr w:type="spellEnd"/>
      <w:r>
        <w:rPr>
          <w:rFonts w:hint="cs"/>
          <w:rtl/>
        </w:rPr>
        <w:t xml:space="preserve"> את הזכויות במגרש) מכוח חוזה המכר ביניהן. חובה זו </w:t>
      </w:r>
      <w:proofErr w:type="spellStart"/>
      <w:r>
        <w:rPr>
          <w:rFonts w:hint="cs"/>
          <w:rtl/>
        </w:rPr>
        <w:t>הומחתה</w:t>
      </w:r>
      <w:proofErr w:type="spellEnd"/>
      <w:r>
        <w:rPr>
          <w:rFonts w:hint="cs"/>
          <w:rtl/>
        </w:rPr>
        <w:t xml:space="preserve"> לחברת אורלי כחלק מחוזה העברת הזכויות במגרש בינה לבין </w:t>
      </w:r>
      <w:proofErr w:type="spellStart"/>
      <w:r>
        <w:rPr>
          <w:rFonts w:hint="cs"/>
          <w:rtl/>
        </w:rPr>
        <w:t>מרלז</w:t>
      </w:r>
      <w:proofErr w:type="spellEnd"/>
      <w:r>
        <w:rPr>
          <w:rFonts w:hint="cs"/>
          <w:rtl/>
        </w:rPr>
        <w:t>.</w:t>
      </w:r>
    </w:p>
    <w:p w:rsidR="00A14F89" w:rsidRDefault="00A14F89" w:rsidP="00A14F89">
      <w:pPr>
        <w:pStyle w:val="Ruller41"/>
        <w:rPr>
          <w:rtl/>
        </w:rPr>
      </w:pPr>
    </w:p>
    <w:p w:rsidR="00A14F89" w:rsidRDefault="00A14F89" w:rsidP="00A14F89">
      <w:pPr>
        <w:pStyle w:val="Ruller41"/>
        <w:rPr>
          <w:rtl/>
        </w:rPr>
      </w:pPr>
      <w:r>
        <w:rPr>
          <w:rtl/>
        </w:rPr>
        <w:tab/>
      </w:r>
      <w:r>
        <w:rPr>
          <w:rFonts w:hint="cs"/>
          <w:rtl/>
        </w:rPr>
        <w:t xml:space="preserve">בדומה לכך, בעניין </w:t>
      </w:r>
      <w:r w:rsidRPr="00A80EE7">
        <w:rPr>
          <w:rFonts w:ascii="Century" w:hAnsi="Century" w:cs="Miriam" w:hint="eastAsia"/>
          <w:b/>
          <w:spacing w:val="0"/>
          <w:szCs w:val="24"/>
          <w:rtl/>
        </w:rPr>
        <w:t>פרידמן</w:t>
      </w:r>
      <w:r w:rsidRPr="00A80EE7">
        <w:rPr>
          <w:rFonts w:hint="cs"/>
          <w:rtl/>
        </w:rPr>
        <w:t xml:space="preserve"> </w:t>
      </w:r>
      <w:r w:rsidRPr="008C20B6">
        <w:rPr>
          <w:rFonts w:hint="cs"/>
          <w:rtl/>
        </w:rPr>
        <w:t>נקבע</w:t>
      </w:r>
      <w:r>
        <w:rPr>
          <w:rFonts w:hint="cs"/>
          <w:rtl/>
        </w:rPr>
        <w:t xml:space="preserve"> כי הזכות במקרקעין שנמכרה היא חכירת מגרשים </w:t>
      </w:r>
      <w:r w:rsidRPr="00FB2135">
        <w:rPr>
          <w:rFonts w:ascii="Century" w:hAnsi="Century" w:cs="Miriam" w:hint="cs"/>
          <w:b/>
          <w:spacing w:val="0"/>
          <w:szCs w:val="24"/>
          <w:rtl/>
        </w:rPr>
        <w:t>פנויים</w:t>
      </w:r>
      <w:r w:rsidRPr="00FB2135">
        <w:rPr>
          <w:rFonts w:hint="cs"/>
          <w:rtl/>
        </w:rPr>
        <w:t xml:space="preserve"> </w:t>
      </w:r>
      <w:r>
        <w:rPr>
          <w:rFonts w:hint="cs"/>
          <w:rtl/>
        </w:rPr>
        <w:t xml:space="preserve">מתושבים המתגוררים בהם (על אף שבעת החתימה על הסכם המכר המגרשים היו תפוסים), וכי התמורה עבור זכות זו שיקפה את שווי המגרשים כאשר הם פנויים. משכך, נקבע כי התמורה (היינו, שווי הזכות שנמכרה) כוללת הן את עלות המגרשים עצמם והן את עלות הפינוי של התושבים ופיצויים. כן הודגש בעניין </w:t>
      </w:r>
      <w:r w:rsidRPr="00256BB0">
        <w:rPr>
          <w:rFonts w:ascii="Century" w:hAnsi="Century" w:cs="Miriam" w:hint="cs"/>
          <w:b/>
          <w:spacing w:val="0"/>
          <w:szCs w:val="24"/>
          <w:rtl/>
        </w:rPr>
        <w:t>פרידמן</w:t>
      </w:r>
      <w:r>
        <w:rPr>
          <w:rFonts w:hint="cs"/>
          <w:rtl/>
        </w:rPr>
        <w:t>, כי החובה לפיצוי התושבים היא חובה אשר רבצה על המוכר (</w:t>
      </w:r>
      <w:proofErr w:type="spellStart"/>
      <w:r>
        <w:rPr>
          <w:rFonts w:hint="cs"/>
          <w:rtl/>
        </w:rPr>
        <w:t>מינהל</w:t>
      </w:r>
      <w:proofErr w:type="spellEnd"/>
      <w:r>
        <w:rPr>
          <w:rFonts w:hint="cs"/>
          <w:rtl/>
        </w:rPr>
        <w:t xml:space="preserve"> מקרקעי ישראל), ואשר </w:t>
      </w:r>
      <w:proofErr w:type="spellStart"/>
      <w:r>
        <w:rPr>
          <w:rFonts w:hint="cs"/>
          <w:rtl/>
        </w:rPr>
        <w:t>הומחתה</w:t>
      </w:r>
      <w:proofErr w:type="spellEnd"/>
      <w:r>
        <w:rPr>
          <w:rFonts w:hint="cs"/>
          <w:rtl/>
        </w:rPr>
        <w:t xml:space="preserve"> לרוכשות כחלק מתנאי רכישת הזכויות במגרש, </w:t>
      </w:r>
      <w:r w:rsidRPr="00795301">
        <w:rPr>
          <w:rFonts w:ascii="Century" w:hAnsi="Century" w:cs="Miriam" w:hint="cs"/>
          <w:b/>
          <w:spacing w:val="0"/>
          <w:szCs w:val="24"/>
          <w:rtl/>
        </w:rPr>
        <w:t>וכי פינוי התושבים היווה תנאי למתן היתרי הבנייה על-פי תכנית המתאר</w:t>
      </w:r>
      <w:r>
        <w:rPr>
          <w:rFonts w:ascii="Century" w:hAnsi="Century" w:hint="cs"/>
          <w:rtl/>
        </w:rPr>
        <w:t>, אשר יוביל להשבחת המקרקעין</w:t>
      </w:r>
      <w:r>
        <w:rPr>
          <w:rFonts w:hint="cs"/>
          <w:rtl/>
        </w:rPr>
        <w:t>.</w:t>
      </w:r>
    </w:p>
    <w:p w:rsidR="00A14F89" w:rsidRDefault="00A14F89" w:rsidP="00A14F89">
      <w:pPr>
        <w:pStyle w:val="Ruller41"/>
      </w:pPr>
    </w:p>
    <w:p w:rsidR="00A14F89" w:rsidRDefault="00A14F89" w:rsidP="00A14F89">
      <w:pPr>
        <w:pStyle w:val="Ruller41"/>
        <w:rPr>
          <w:rtl/>
        </w:rPr>
      </w:pPr>
      <w:r>
        <w:rPr>
          <w:rFonts w:hint="cs"/>
          <w:rtl/>
        </w:rPr>
        <w:t>39.</w:t>
      </w:r>
      <w:r>
        <w:rPr>
          <w:rtl/>
        </w:rPr>
        <w:tab/>
      </w:r>
      <w:r w:rsidRPr="00374DE1">
        <w:rPr>
          <w:rFonts w:ascii="Century" w:hAnsi="Century" w:cs="Miriam" w:hint="cs"/>
          <w:b/>
          <w:spacing w:val="0"/>
          <w:szCs w:val="24"/>
          <w:rtl/>
        </w:rPr>
        <w:t xml:space="preserve">(5) עניין </w:t>
      </w:r>
      <w:proofErr w:type="spellStart"/>
      <w:r w:rsidRPr="00374DE1">
        <w:rPr>
          <w:rFonts w:ascii="Century" w:hAnsi="Century" w:cs="Miriam" w:hint="cs"/>
          <w:b/>
          <w:spacing w:val="0"/>
          <w:szCs w:val="24"/>
          <w:rtl/>
        </w:rPr>
        <w:t>מידטאון</w:t>
      </w:r>
      <w:proofErr w:type="spellEnd"/>
      <w:r>
        <w:rPr>
          <w:rFonts w:hint="cs"/>
          <w:rtl/>
        </w:rPr>
        <w:t xml:space="preserve">: המשמעויות של </w:t>
      </w:r>
      <w:r w:rsidRPr="00374DE1">
        <w:rPr>
          <w:rFonts w:hint="cs"/>
          <w:rtl/>
        </w:rPr>
        <w:t xml:space="preserve">פסקי הדין בעניין </w:t>
      </w:r>
      <w:r w:rsidRPr="00374DE1">
        <w:rPr>
          <w:rFonts w:ascii="Century" w:hAnsi="Century" w:cs="Miriam" w:hint="cs"/>
          <w:b/>
          <w:spacing w:val="0"/>
          <w:szCs w:val="24"/>
          <w:rtl/>
        </w:rPr>
        <w:t>אורלי</w:t>
      </w:r>
      <w:r w:rsidRPr="00374DE1">
        <w:rPr>
          <w:rFonts w:hint="cs"/>
          <w:rtl/>
        </w:rPr>
        <w:t xml:space="preserve"> ובעניין </w:t>
      </w:r>
      <w:r w:rsidRPr="00374DE1">
        <w:rPr>
          <w:rFonts w:ascii="Century" w:hAnsi="Century" w:cs="Miriam" w:hint="cs"/>
          <w:b/>
          <w:spacing w:val="0"/>
          <w:szCs w:val="24"/>
          <w:rtl/>
        </w:rPr>
        <w:t>פרידמן</w:t>
      </w:r>
      <w:r w:rsidRPr="00374DE1">
        <w:rPr>
          <w:rFonts w:hint="cs"/>
          <w:rtl/>
        </w:rPr>
        <w:t xml:space="preserve"> לעניין סוגיית </w:t>
      </w:r>
      <w:r w:rsidRPr="00374DE1">
        <w:rPr>
          <w:rFonts w:ascii="Century" w:hAnsi="Century" w:cs="Miriam" w:hint="cs"/>
          <w:b/>
          <w:spacing w:val="0"/>
          <w:szCs w:val="24"/>
          <w:rtl/>
        </w:rPr>
        <w:t>הוצאות</w:t>
      </w:r>
      <w:r w:rsidRPr="00374DE1">
        <w:rPr>
          <w:rFonts w:hint="cs"/>
          <w:rtl/>
        </w:rPr>
        <w:t xml:space="preserve"> </w:t>
      </w:r>
      <w:r w:rsidRPr="00374DE1">
        <w:rPr>
          <w:rFonts w:ascii="Century" w:hAnsi="Century" w:cs="Miriam" w:hint="cs"/>
          <w:b/>
          <w:spacing w:val="0"/>
          <w:szCs w:val="24"/>
          <w:rtl/>
        </w:rPr>
        <w:t>הפיתוח</w:t>
      </w:r>
      <w:r w:rsidRPr="00374DE1">
        <w:rPr>
          <w:rFonts w:hint="cs"/>
          <w:rtl/>
        </w:rPr>
        <w:t xml:space="preserve"> נדונו בפסק דין שניתן בע"א 914/14 </w:t>
      </w:r>
      <w:proofErr w:type="spellStart"/>
      <w:r w:rsidRPr="00374DE1">
        <w:rPr>
          <w:rFonts w:ascii="Century" w:hAnsi="Century" w:cs="Miriam" w:hint="cs"/>
          <w:b/>
          <w:spacing w:val="0"/>
          <w:szCs w:val="24"/>
          <w:rtl/>
        </w:rPr>
        <w:t>מידטאון</w:t>
      </w:r>
      <w:proofErr w:type="spellEnd"/>
      <w:r w:rsidRPr="00374DE1">
        <w:rPr>
          <w:rFonts w:ascii="Century" w:hAnsi="Century" w:cs="Miriam" w:hint="cs"/>
          <w:b/>
          <w:spacing w:val="0"/>
          <w:szCs w:val="24"/>
          <w:rtl/>
        </w:rPr>
        <w:t xml:space="preserve"> בע"מ נ' מנהל מיסוי מקרקעין אזור תל-אביב</w:t>
      </w:r>
      <w:r w:rsidRPr="00374DE1">
        <w:rPr>
          <w:rFonts w:hint="cs"/>
          <w:rtl/>
        </w:rPr>
        <w:t xml:space="preserve"> (31.5.2015) (להלן: </w:t>
      </w:r>
      <w:r w:rsidRPr="00374DE1">
        <w:rPr>
          <w:rFonts w:ascii="Century" w:hAnsi="Century" w:cs="Miriam" w:hint="cs"/>
          <w:b/>
          <w:spacing w:val="0"/>
          <w:szCs w:val="24"/>
          <w:rtl/>
        </w:rPr>
        <w:t xml:space="preserve">עניין </w:t>
      </w:r>
      <w:proofErr w:type="spellStart"/>
      <w:r w:rsidRPr="00374DE1">
        <w:rPr>
          <w:rFonts w:ascii="Century" w:hAnsi="Century" w:cs="Miriam" w:hint="cs"/>
          <w:b/>
          <w:spacing w:val="0"/>
          <w:szCs w:val="24"/>
          <w:rtl/>
        </w:rPr>
        <w:t>מידטאון</w:t>
      </w:r>
      <w:proofErr w:type="spellEnd"/>
      <w:r>
        <w:rPr>
          <w:rFonts w:hint="cs"/>
          <w:rtl/>
        </w:rPr>
        <w:t xml:space="preserve">). באותו מקרה חברת </w:t>
      </w:r>
      <w:proofErr w:type="spellStart"/>
      <w:r>
        <w:rPr>
          <w:rFonts w:hint="cs"/>
          <w:rtl/>
        </w:rPr>
        <w:t>מידטאון</w:t>
      </w:r>
      <w:proofErr w:type="spellEnd"/>
      <w:r>
        <w:rPr>
          <w:rFonts w:hint="cs"/>
          <w:rtl/>
        </w:rPr>
        <w:t xml:space="preserve"> רכשה מתנובה זכויות במקרקעין תמורת 530 מיליון ש"ח והתחייבה לבצע עבודות פיתוח עתידיות במקרקעין שעלותן הוערכה על-ידי מנהל מיסוי מקרקעין ב-35 מיליון ש"ח. ההתחייבות לביצוע עבודות הפיתוח הייתה למעשה התחייבות של תנובה כלפי עיריית תל אביב-יפו </w:t>
      </w:r>
      <w:r w:rsidRPr="00795301">
        <w:rPr>
          <w:rFonts w:ascii="Century" w:hAnsi="Century" w:cs="Miriam" w:hint="cs"/>
          <w:b/>
          <w:spacing w:val="0"/>
          <w:szCs w:val="24"/>
          <w:rtl/>
        </w:rPr>
        <w:t>והיא נועדה לאפשר ניצול של זכויות הבנייה המתוכננות במקרקעין, שאם לא כן לא ניתן היה לאשר זכויות בנייה אלה</w:t>
      </w:r>
      <w:r>
        <w:rPr>
          <w:rFonts w:hint="cs"/>
          <w:rtl/>
        </w:rPr>
        <w:t xml:space="preserve">. התחייבות זו, כאמור, </w:t>
      </w:r>
      <w:proofErr w:type="spellStart"/>
      <w:r>
        <w:rPr>
          <w:rFonts w:hint="cs"/>
          <w:rtl/>
        </w:rPr>
        <w:t>הומחתה</w:t>
      </w:r>
      <w:proofErr w:type="spellEnd"/>
      <w:r>
        <w:rPr>
          <w:rFonts w:hint="cs"/>
          <w:rtl/>
        </w:rPr>
        <w:t xml:space="preserve"> </w:t>
      </w:r>
      <w:proofErr w:type="spellStart"/>
      <w:r>
        <w:rPr>
          <w:rFonts w:hint="cs"/>
          <w:rtl/>
        </w:rPr>
        <w:t>למידטאון</w:t>
      </w:r>
      <w:proofErr w:type="spellEnd"/>
      <w:r>
        <w:rPr>
          <w:rFonts w:hint="cs"/>
          <w:rtl/>
        </w:rPr>
        <w:t xml:space="preserve"> במסגרת חוזה מכר המקרקעין. </w:t>
      </w:r>
    </w:p>
    <w:p w:rsidR="00A14F89" w:rsidRDefault="00A14F89" w:rsidP="00A14F89">
      <w:pPr>
        <w:pStyle w:val="Ruller41"/>
        <w:rPr>
          <w:rtl/>
        </w:rPr>
      </w:pPr>
    </w:p>
    <w:p w:rsidR="00A14F89" w:rsidRDefault="00A14F89" w:rsidP="00A14F89">
      <w:pPr>
        <w:pStyle w:val="Ruller41"/>
        <w:rPr>
          <w:rtl/>
        </w:rPr>
      </w:pPr>
      <w:r>
        <w:rPr>
          <w:rtl/>
        </w:rPr>
        <w:tab/>
      </w:r>
      <w:r>
        <w:rPr>
          <w:rFonts w:hint="cs"/>
          <w:rtl/>
        </w:rPr>
        <w:t xml:space="preserve">בפסק הדין בעניין </w:t>
      </w:r>
      <w:proofErr w:type="spellStart"/>
      <w:r w:rsidRPr="00B61A6A">
        <w:rPr>
          <w:rFonts w:ascii="Century" w:hAnsi="Century" w:cs="Miriam" w:hint="cs"/>
          <w:b/>
          <w:spacing w:val="0"/>
          <w:szCs w:val="24"/>
          <w:rtl/>
        </w:rPr>
        <w:t>מידטאון</w:t>
      </w:r>
      <w:proofErr w:type="spellEnd"/>
      <w:r w:rsidRPr="00B61A6A">
        <w:rPr>
          <w:rFonts w:hint="cs"/>
          <w:rtl/>
        </w:rPr>
        <w:t xml:space="preserve"> </w:t>
      </w:r>
      <w:r>
        <w:rPr>
          <w:rFonts w:hint="cs"/>
          <w:rtl/>
        </w:rPr>
        <w:t xml:space="preserve">נסקרה הפסיקה שעסקה בשאלת הכללתן של הוצאות פיתוח ב"שווי המכירה" לצורך קביעת גובה מס הרכישה, וכן פסקי הדין בעניין </w:t>
      </w:r>
      <w:r w:rsidRPr="004729F8">
        <w:rPr>
          <w:rFonts w:ascii="Century" w:hAnsi="Century" w:cs="Miriam" w:hint="cs"/>
          <w:b/>
          <w:spacing w:val="0"/>
          <w:szCs w:val="24"/>
          <w:rtl/>
        </w:rPr>
        <w:t>אורלי</w:t>
      </w:r>
      <w:r w:rsidRPr="004729F8">
        <w:rPr>
          <w:rFonts w:hint="cs"/>
          <w:rtl/>
        </w:rPr>
        <w:t xml:space="preserve"> </w:t>
      </w:r>
      <w:r>
        <w:rPr>
          <w:rFonts w:hint="cs"/>
          <w:rtl/>
        </w:rPr>
        <w:t xml:space="preserve">ובעניין </w:t>
      </w:r>
      <w:r w:rsidRPr="004729F8">
        <w:rPr>
          <w:rFonts w:ascii="Century" w:hAnsi="Century" w:cs="Miriam" w:hint="cs"/>
          <w:b/>
          <w:spacing w:val="0"/>
          <w:szCs w:val="24"/>
          <w:rtl/>
        </w:rPr>
        <w:t>פרידמן</w:t>
      </w:r>
      <w:r>
        <w:rPr>
          <w:rFonts w:hint="cs"/>
          <w:rtl/>
        </w:rPr>
        <w:t>. בהמשך לסקירה זו נקבע כי:</w:t>
      </w:r>
    </w:p>
    <w:p w:rsidR="00A14F89" w:rsidRDefault="00A14F89" w:rsidP="00A14F89">
      <w:pPr>
        <w:pStyle w:val="Ruller41"/>
        <w:rPr>
          <w:rtl/>
        </w:rPr>
      </w:pPr>
    </w:p>
    <w:p w:rsidR="00A14F89" w:rsidRDefault="00A14F89" w:rsidP="00A14F89">
      <w:pPr>
        <w:pStyle w:val="Ruller5"/>
        <w:rPr>
          <w:rtl/>
        </w:rPr>
      </w:pPr>
      <w:r>
        <w:rPr>
          <w:rFonts w:hint="cs"/>
          <w:rtl/>
        </w:rPr>
        <w:t xml:space="preserve">"מן המקובץ עולה כי הפסיקה החדשה התרחקה באופן הדרגתי מן </w:t>
      </w:r>
      <w:proofErr w:type="spellStart"/>
      <w:r>
        <w:rPr>
          <w:rFonts w:hint="cs"/>
          <w:rtl/>
        </w:rPr>
        <w:t>הרציונאלים</w:t>
      </w:r>
      <w:proofErr w:type="spellEnd"/>
      <w:r>
        <w:rPr>
          <w:rFonts w:hint="cs"/>
          <w:rtl/>
        </w:rPr>
        <w:t xml:space="preserve"> שעמדו בבסיסה של הפסיקה שקדמה לה. הפסיקה החדשה איננה עוסקת בשאלת הסיווג של ההוצאות, שכן סיווג של הוצאות כ'הוצאות פיתוח' לא יוביל למסקנה האוטומטית כי הוצאות אלה לא יכללו בסך שווי המכירה. במקום זאת, מתמקדת הפסיקה בשאלה האם מבחינת מהותה הכלכלית של העסקה העלויות הנוספות מהוות התקשרות נפרדת, או שמא מדובר בחלק אינטגראלי משוויה של הזכות במקרקעין. ודוק – כפי שניתן ללמוד מעניין </w:t>
      </w:r>
      <w:r>
        <w:rPr>
          <w:rFonts w:ascii="Century" w:hAnsi="Century" w:cs="Miriam" w:hint="cs"/>
          <w:b/>
          <w:spacing w:val="0"/>
          <w:szCs w:val="24"/>
          <w:rtl/>
        </w:rPr>
        <w:t>אורלי</w:t>
      </w:r>
      <w:r>
        <w:rPr>
          <w:rFonts w:hint="cs"/>
          <w:rtl/>
        </w:rPr>
        <w:t xml:space="preserve"> ומעניין </w:t>
      </w:r>
      <w:r>
        <w:rPr>
          <w:rFonts w:ascii="Century" w:hAnsi="Century" w:cs="Miriam" w:hint="cs"/>
          <w:b/>
          <w:spacing w:val="0"/>
          <w:szCs w:val="24"/>
          <w:rtl/>
        </w:rPr>
        <w:t>פרידמן</w:t>
      </w:r>
      <w:r>
        <w:rPr>
          <w:rFonts w:hint="cs"/>
          <w:rtl/>
        </w:rPr>
        <w:t xml:space="preserve"> </w:t>
      </w:r>
      <w:proofErr w:type="spellStart"/>
      <w:r>
        <w:rPr>
          <w:rFonts w:ascii="Century" w:hAnsi="Century" w:cs="Miriam" w:hint="cs"/>
          <w:b/>
          <w:spacing w:val="0"/>
          <w:szCs w:val="24"/>
          <w:rtl/>
        </w:rPr>
        <w:t>חכשורי</w:t>
      </w:r>
      <w:proofErr w:type="spellEnd"/>
      <w:r>
        <w:rPr>
          <w:rFonts w:hint="cs"/>
          <w:rtl/>
        </w:rPr>
        <w:t xml:space="preserve">, הזכות במקרקעין מושא עסקה פלונית איננה </w:t>
      </w:r>
      <w:r>
        <w:rPr>
          <w:rFonts w:hint="cs"/>
          <w:rtl/>
        </w:rPr>
        <w:lastRenderedPageBreak/>
        <w:t xml:space="preserve">מוגבלת בהקשר הזה לעצם הבעלות בקרקע כפי שהיא. לעתים, כמו בעניין </w:t>
      </w:r>
      <w:r>
        <w:rPr>
          <w:rFonts w:ascii="Century" w:hAnsi="Century" w:cs="Miriam" w:hint="cs"/>
          <w:b/>
          <w:spacing w:val="0"/>
          <w:szCs w:val="24"/>
          <w:rtl/>
        </w:rPr>
        <w:t>אורלי</w:t>
      </w:r>
      <w:r>
        <w:rPr>
          <w:rFonts w:hint="cs"/>
          <w:rtl/>
        </w:rPr>
        <w:t xml:space="preserve">, הרוכש מעוניין לרכוש קרקע הכוללת היתר בנייה, וכדי לזכות במבוקשו עליו לשלם הן עבור הקרקע והן </w:t>
      </w:r>
      <w:r w:rsidRPr="00A80EE7">
        <w:rPr>
          <w:rFonts w:hint="cs"/>
          <w:rtl/>
        </w:rPr>
        <w:t xml:space="preserve">עבור ההיתר. פעמים אחרות, כמו בעניין </w:t>
      </w:r>
      <w:r w:rsidRPr="00EB2B32">
        <w:rPr>
          <w:rFonts w:ascii="Century" w:hAnsi="Century" w:cs="Miriam" w:hint="cs"/>
          <w:b/>
          <w:spacing w:val="0"/>
          <w:szCs w:val="24"/>
          <w:rtl/>
        </w:rPr>
        <w:t xml:space="preserve">פרידמן </w:t>
      </w:r>
      <w:proofErr w:type="spellStart"/>
      <w:r w:rsidRPr="00EB2B32">
        <w:rPr>
          <w:rFonts w:ascii="Century" w:hAnsi="Century" w:cs="Miriam" w:hint="cs"/>
          <w:b/>
          <w:spacing w:val="0"/>
          <w:szCs w:val="24"/>
          <w:rtl/>
        </w:rPr>
        <w:t>חכשורי</w:t>
      </w:r>
      <w:proofErr w:type="spellEnd"/>
      <w:r w:rsidRPr="004D3F6C">
        <w:rPr>
          <w:rFonts w:hint="cs"/>
          <w:rtl/>
        </w:rPr>
        <w:t xml:space="preserve">, </w:t>
      </w:r>
      <w:r w:rsidRPr="004D3F6C">
        <w:rPr>
          <w:rFonts w:hint="eastAsia"/>
          <w:rtl/>
        </w:rPr>
        <w:t>הרוכש</w:t>
      </w:r>
      <w:r w:rsidRPr="004D3F6C">
        <w:rPr>
          <w:rtl/>
        </w:rPr>
        <w:t xml:space="preserve"> מעוניין </w:t>
      </w:r>
      <w:r w:rsidRPr="004D3F6C">
        <w:rPr>
          <w:rFonts w:hint="eastAsia"/>
          <w:rtl/>
        </w:rPr>
        <w:t>לרכוש</w:t>
      </w:r>
      <w:r w:rsidRPr="004D3F6C">
        <w:rPr>
          <w:rtl/>
        </w:rPr>
        <w:t xml:space="preserve"> </w:t>
      </w:r>
      <w:r w:rsidRPr="004D3F6C">
        <w:rPr>
          <w:rFonts w:hint="eastAsia"/>
          <w:rtl/>
        </w:rPr>
        <w:t>קרקע</w:t>
      </w:r>
      <w:r w:rsidRPr="004D3F6C">
        <w:rPr>
          <w:rtl/>
        </w:rPr>
        <w:t xml:space="preserve"> </w:t>
      </w:r>
      <w:r w:rsidRPr="004D3F6C">
        <w:rPr>
          <w:rFonts w:hint="eastAsia"/>
          <w:rtl/>
        </w:rPr>
        <w:t>כשהיא</w:t>
      </w:r>
      <w:r w:rsidRPr="004D3F6C">
        <w:rPr>
          <w:rtl/>
        </w:rPr>
        <w:t xml:space="preserve"> </w:t>
      </w:r>
      <w:r w:rsidRPr="004D3F6C">
        <w:rPr>
          <w:rFonts w:hint="eastAsia"/>
          <w:rtl/>
        </w:rPr>
        <w:t>פנויה</w:t>
      </w:r>
      <w:r w:rsidRPr="004D3F6C">
        <w:rPr>
          <w:rtl/>
        </w:rPr>
        <w:t xml:space="preserve"> </w:t>
      </w:r>
      <w:r w:rsidRPr="004D3F6C">
        <w:rPr>
          <w:rFonts w:hint="eastAsia"/>
          <w:rtl/>
        </w:rPr>
        <w:t>מדיירים</w:t>
      </w:r>
      <w:r w:rsidRPr="004D3F6C">
        <w:rPr>
          <w:rtl/>
        </w:rPr>
        <w:t xml:space="preserve"> </w:t>
      </w:r>
      <w:r w:rsidRPr="004D3F6C">
        <w:rPr>
          <w:rFonts w:hint="eastAsia"/>
          <w:rtl/>
        </w:rPr>
        <w:t>על</w:t>
      </w:r>
      <w:r w:rsidRPr="004D3F6C">
        <w:rPr>
          <w:rtl/>
        </w:rPr>
        <w:t xml:space="preserve"> </w:t>
      </w:r>
      <w:r w:rsidRPr="004D3F6C">
        <w:rPr>
          <w:rFonts w:hint="eastAsia"/>
          <w:rtl/>
        </w:rPr>
        <w:t>מנת</w:t>
      </w:r>
      <w:r w:rsidRPr="004D3F6C">
        <w:rPr>
          <w:rtl/>
        </w:rPr>
        <w:t xml:space="preserve"> </w:t>
      </w:r>
      <w:r w:rsidRPr="004D3F6C">
        <w:rPr>
          <w:rFonts w:hint="eastAsia"/>
          <w:rtl/>
        </w:rPr>
        <w:t>להוציא</w:t>
      </w:r>
      <w:r w:rsidRPr="004D3F6C">
        <w:rPr>
          <w:rtl/>
        </w:rPr>
        <w:t xml:space="preserve"> </w:t>
      </w:r>
      <w:r w:rsidRPr="004D3F6C">
        <w:rPr>
          <w:rFonts w:hint="eastAsia"/>
          <w:rtl/>
        </w:rPr>
        <w:t>לפועל</w:t>
      </w:r>
      <w:r w:rsidRPr="004D3F6C">
        <w:rPr>
          <w:rtl/>
        </w:rPr>
        <w:t xml:space="preserve"> </w:t>
      </w:r>
      <w:r w:rsidRPr="004D3F6C">
        <w:rPr>
          <w:rFonts w:hint="eastAsia"/>
          <w:rtl/>
        </w:rPr>
        <w:t>פרויקט</w:t>
      </w:r>
      <w:r w:rsidRPr="004D3F6C">
        <w:rPr>
          <w:rtl/>
        </w:rPr>
        <w:t xml:space="preserve"> </w:t>
      </w:r>
      <w:r w:rsidRPr="004D3F6C">
        <w:rPr>
          <w:rFonts w:hint="eastAsia"/>
          <w:rtl/>
        </w:rPr>
        <w:t>של</w:t>
      </w:r>
      <w:r w:rsidRPr="004D3F6C">
        <w:rPr>
          <w:rtl/>
        </w:rPr>
        <w:t xml:space="preserve"> </w:t>
      </w:r>
      <w:r w:rsidRPr="004D3F6C">
        <w:rPr>
          <w:rFonts w:hint="eastAsia"/>
          <w:rtl/>
        </w:rPr>
        <w:t>פינוי</w:t>
      </w:r>
      <w:r w:rsidRPr="004D3F6C">
        <w:rPr>
          <w:rtl/>
        </w:rPr>
        <w:t xml:space="preserve">-בינוי, </w:t>
      </w:r>
      <w:r w:rsidRPr="004D3F6C">
        <w:rPr>
          <w:rFonts w:hint="eastAsia"/>
          <w:rtl/>
        </w:rPr>
        <w:t>וכדי</w:t>
      </w:r>
      <w:r w:rsidRPr="004D3F6C">
        <w:rPr>
          <w:rtl/>
        </w:rPr>
        <w:t xml:space="preserve"> </w:t>
      </w:r>
      <w:r w:rsidRPr="004D3F6C">
        <w:rPr>
          <w:rFonts w:hint="eastAsia"/>
          <w:rtl/>
        </w:rPr>
        <w:t>לזכות</w:t>
      </w:r>
      <w:r w:rsidRPr="004D3F6C">
        <w:rPr>
          <w:rtl/>
        </w:rPr>
        <w:t xml:space="preserve"> </w:t>
      </w:r>
      <w:r w:rsidRPr="004D3F6C">
        <w:rPr>
          <w:rFonts w:hint="eastAsia"/>
          <w:rtl/>
        </w:rPr>
        <w:t>במבוקשו</w:t>
      </w:r>
      <w:r w:rsidRPr="004D3F6C">
        <w:rPr>
          <w:rtl/>
        </w:rPr>
        <w:t xml:space="preserve"> </w:t>
      </w:r>
      <w:r w:rsidRPr="004D3F6C">
        <w:rPr>
          <w:rFonts w:hint="eastAsia"/>
          <w:rtl/>
        </w:rPr>
        <w:t>עליו</w:t>
      </w:r>
      <w:r w:rsidRPr="004D3F6C">
        <w:rPr>
          <w:rtl/>
        </w:rPr>
        <w:t xml:space="preserve"> </w:t>
      </w:r>
      <w:r w:rsidRPr="004D3F6C">
        <w:rPr>
          <w:rFonts w:hint="eastAsia"/>
          <w:rtl/>
        </w:rPr>
        <w:t>לשלם</w:t>
      </w:r>
      <w:r w:rsidRPr="004D3F6C">
        <w:rPr>
          <w:rtl/>
        </w:rPr>
        <w:t xml:space="preserve"> </w:t>
      </w:r>
      <w:r w:rsidRPr="004D3F6C">
        <w:rPr>
          <w:rFonts w:hint="eastAsia"/>
          <w:rtl/>
        </w:rPr>
        <w:t>הן</w:t>
      </w:r>
      <w:r w:rsidRPr="004D3F6C">
        <w:rPr>
          <w:rtl/>
        </w:rPr>
        <w:t xml:space="preserve"> </w:t>
      </w:r>
      <w:r w:rsidRPr="004D3F6C">
        <w:rPr>
          <w:rFonts w:hint="eastAsia"/>
          <w:rtl/>
        </w:rPr>
        <w:t>עבור</w:t>
      </w:r>
      <w:r w:rsidRPr="004D3F6C">
        <w:rPr>
          <w:rtl/>
        </w:rPr>
        <w:t xml:space="preserve"> </w:t>
      </w:r>
      <w:r w:rsidRPr="004D3F6C">
        <w:rPr>
          <w:rFonts w:hint="eastAsia"/>
          <w:rtl/>
        </w:rPr>
        <w:t>הקרקע</w:t>
      </w:r>
      <w:r w:rsidRPr="004D3F6C">
        <w:rPr>
          <w:rtl/>
        </w:rPr>
        <w:t xml:space="preserve"> </w:t>
      </w:r>
      <w:r w:rsidRPr="004D3F6C">
        <w:rPr>
          <w:rFonts w:hint="eastAsia"/>
          <w:rtl/>
        </w:rPr>
        <w:t>והן</w:t>
      </w:r>
      <w:r w:rsidRPr="004D3F6C">
        <w:rPr>
          <w:rtl/>
        </w:rPr>
        <w:t xml:space="preserve"> </w:t>
      </w:r>
      <w:r w:rsidRPr="004D3F6C">
        <w:rPr>
          <w:rFonts w:hint="eastAsia"/>
          <w:rtl/>
        </w:rPr>
        <w:t>עבור</w:t>
      </w:r>
      <w:r w:rsidRPr="004D3F6C">
        <w:rPr>
          <w:rtl/>
        </w:rPr>
        <w:t xml:space="preserve"> </w:t>
      </w:r>
      <w:r w:rsidRPr="004D3F6C">
        <w:rPr>
          <w:rFonts w:hint="eastAsia"/>
          <w:rtl/>
        </w:rPr>
        <w:t>פינוי</w:t>
      </w:r>
      <w:r w:rsidRPr="004D3F6C">
        <w:rPr>
          <w:rtl/>
        </w:rPr>
        <w:t xml:space="preserve"> </w:t>
      </w:r>
      <w:r w:rsidRPr="004D3F6C">
        <w:rPr>
          <w:rFonts w:hint="eastAsia"/>
          <w:rtl/>
        </w:rPr>
        <w:t>הדיירים</w:t>
      </w:r>
      <w:r w:rsidRPr="004D3F6C">
        <w:rPr>
          <w:rtl/>
        </w:rPr>
        <w:t>.</w:t>
      </w:r>
      <w:r w:rsidRPr="004D3F6C">
        <w:rPr>
          <w:rFonts w:hint="cs"/>
          <w:rtl/>
        </w:rPr>
        <w:t xml:space="preserve"> בשני</w:t>
      </w:r>
      <w:r>
        <w:rPr>
          <w:rFonts w:hint="cs"/>
          <w:rtl/>
        </w:rPr>
        <w:t xml:space="preserve"> המקרים, העובדה שמדובר בשתי התחייבות נפרדות אינה שוללת את המסקנה כי שתיהן מהוות חלק מעסקת רכישה כוללת אחת. למותר לציין כי אין מדובר בהבחנה פשוטה כלל ועיקר, אלא בשאלה הנגזרת מנסיבותיו של המקרה הקונקרטי" (עניין </w:t>
      </w:r>
      <w:proofErr w:type="spellStart"/>
      <w:r w:rsidRPr="00FC7B43">
        <w:rPr>
          <w:rFonts w:ascii="Century" w:hAnsi="Century" w:cs="Miriam" w:hint="cs"/>
          <w:b/>
          <w:spacing w:val="0"/>
          <w:szCs w:val="24"/>
          <w:rtl/>
        </w:rPr>
        <w:t>מידטאון</w:t>
      </w:r>
      <w:proofErr w:type="spellEnd"/>
      <w:r>
        <w:rPr>
          <w:rFonts w:hint="cs"/>
          <w:rtl/>
        </w:rPr>
        <w:t>, פסקה 23).</w:t>
      </w:r>
    </w:p>
    <w:p w:rsidR="00A14F89" w:rsidRDefault="00A14F89" w:rsidP="00A14F89">
      <w:pPr>
        <w:pStyle w:val="Ruller41"/>
        <w:rPr>
          <w:rtl/>
        </w:rPr>
      </w:pPr>
    </w:p>
    <w:p w:rsidR="00A14F89" w:rsidRDefault="00A14F89" w:rsidP="00A14F89">
      <w:pPr>
        <w:pStyle w:val="Ruller41"/>
        <w:ind w:firstLine="720"/>
        <w:rPr>
          <w:rtl/>
        </w:rPr>
      </w:pPr>
      <w:r>
        <w:rPr>
          <w:rFonts w:hint="cs"/>
          <w:rtl/>
        </w:rPr>
        <w:t xml:space="preserve">במקרה הנדון, כך נקבע, אף אם מבחינת סוג העבודות יש לסווגן כ"עבודות פיתוח", </w:t>
      </w:r>
      <w:r w:rsidRPr="00795301">
        <w:rPr>
          <w:rFonts w:ascii="Century" w:hAnsi="Century" w:cs="Miriam" w:hint="cs"/>
          <w:b/>
          <w:spacing w:val="0"/>
          <w:szCs w:val="24"/>
          <w:rtl/>
        </w:rPr>
        <w:t xml:space="preserve">הרי שמבחינת תכליתן הן נועדו לאפשר </w:t>
      </w:r>
      <w:proofErr w:type="spellStart"/>
      <w:r w:rsidRPr="00795301">
        <w:rPr>
          <w:rFonts w:ascii="Century" w:hAnsi="Century" w:cs="Miriam" w:hint="cs"/>
          <w:b/>
          <w:spacing w:val="0"/>
          <w:szCs w:val="24"/>
          <w:rtl/>
        </w:rPr>
        <w:t>למידטאון</w:t>
      </w:r>
      <w:proofErr w:type="spellEnd"/>
      <w:r w:rsidRPr="00795301">
        <w:rPr>
          <w:rFonts w:ascii="Century" w:hAnsi="Century" w:cs="Miriam" w:hint="cs"/>
          <w:b/>
          <w:spacing w:val="0"/>
          <w:szCs w:val="24"/>
          <w:rtl/>
        </w:rPr>
        <w:t xml:space="preserve"> לנצל את זכויות הבנייה המתוכננות</w:t>
      </w:r>
      <w:r>
        <w:rPr>
          <w:rFonts w:hint="cs"/>
          <w:rtl/>
        </w:rPr>
        <w:t xml:space="preserve">, וכי אם עבודות אלה לא תבוצענה היא לא תוכל למצות את מלוא הפוטנציאל הכלכלי של המקרקעין. במילים אחרות, נקבע כי הזכות במקרקעין שנמכרה היא זכות לבעלות במקרקעין </w:t>
      </w:r>
      <w:r w:rsidRPr="00795301">
        <w:rPr>
          <w:rFonts w:ascii="Century" w:hAnsi="Century" w:cs="Miriam" w:hint="cs"/>
          <w:b/>
          <w:spacing w:val="0"/>
          <w:szCs w:val="24"/>
          <w:rtl/>
        </w:rPr>
        <w:t>הכוללים את האפשרות לנצל את זכויות הבנייה האמורות</w:t>
      </w:r>
      <w:r>
        <w:rPr>
          <w:rFonts w:hint="cs"/>
          <w:rtl/>
        </w:rPr>
        <w:t xml:space="preserve">, וכי התמורה עבור זכות זו כוללת הן את עלות המקרקעין והן את עלות הוצאות עבודות הפיתוח אשר ביצוען היה תנאי לניצול זכויות הבנייה, </w:t>
      </w:r>
      <w:r w:rsidRPr="004D3F6C">
        <w:rPr>
          <w:rFonts w:cs="Miriam" w:hint="eastAsia"/>
          <w:sz w:val="24"/>
          <w:szCs w:val="24"/>
          <w:rtl/>
        </w:rPr>
        <w:t>כלומר</w:t>
      </w:r>
      <w:r w:rsidRPr="004D3F6C">
        <w:rPr>
          <w:rFonts w:cs="Miriam"/>
          <w:sz w:val="24"/>
          <w:szCs w:val="24"/>
          <w:rtl/>
        </w:rPr>
        <w:t xml:space="preserve"> </w:t>
      </w:r>
      <w:r w:rsidRPr="004D3F6C">
        <w:rPr>
          <w:rFonts w:cs="Miriam" w:hint="eastAsia"/>
          <w:sz w:val="24"/>
          <w:szCs w:val="24"/>
          <w:rtl/>
        </w:rPr>
        <w:t>להשבחת</w:t>
      </w:r>
      <w:r w:rsidRPr="004D3F6C">
        <w:rPr>
          <w:rFonts w:cs="Miriam"/>
          <w:sz w:val="24"/>
          <w:szCs w:val="24"/>
          <w:rtl/>
        </w:rPr>
        <w:t xml:space="preserve"> </w:t>
      </w:r>
      <w:r w:rsidRPr="004D3F6C">
        <w:rPr>
          <w:rFonts w:cs="Miriam" w:hint="eastAsia"/>
          <w:sz w:val="24"/>
          <w:szCs w:val="24"/>
          <w:rtl/>
        </w:rPr>
        <w:t>המקרקעין</w:t>
      </w:r>
      <w:r>
        <w:rPr>
          <w:rFonts w:hint="cs"/>
          <w:rtl/>
        </w:rPr>
        <w:t>. בהקשר זה נקבע כי:</w:t>
      </w:r>
    </w:p>
    <w:p w:rsidR="00A14F89" w:rsidRDefault="00A14F89" w:rsidP="00A14F89">
      <w:pPr>
        <w:pStyle w:val="Ruller41"/>
        <w:ind w:firstLine="720"/>
        <w:rPr>
          <w:rtl/>
        </w:rPr>
      </w:pPr>
    </w:p>
    <w:p w:rsidR="00A14F89" w:rsidRDefault="00A14F89" w:rsidP="00A14F89">
      <w:pPr>
        <w:pStyle w:val="Ruller5"/>
      </w:pPr>
      <w:r>
        <w:rPr>
          <w:rFonts w:hint="cs"/>
          <w:rtl/>
        </w:rPr>
        <w:t xml:space="preserve">"כשם שבצדה האחד של העסקה – צד הממכר – ניצבים המקרקעין, לרבות האפשרות לנצל את זכויות הבנייה בהם, כך בצדה האחר – הוא צד התמורה – ניצבים הן התשלום לתנובה והן שוויה של ההתחייבות כלפי העירייה" (עניין </w:t>
      </w:r>
      <w:proofErr w:type="spellStart"/>
      <w:r w:rsidRPr="00C669AA">
        <w:rPr>
          <w:rFonts w:ascii="Century" w:hAnsi="Century" w:cs="Miriam" w:hint="cs"/>
          <w:b/>
          <w:spacing w:val="0"/>
          <w:szCs w:val="24"/>
          <w:rtl/>
        </w:rPr>
        <w:t>מידטאון</w:t>
      </w:r>
      <w:proofErr w:type="spellEnd"/>
      <w:r>
        <w:rPr>
          <w:rFonts w:hint="cs"/>
          <w:rtl/>
        </w:rPr>
        <w:t>, פסקה 24).</w:t>
      </w:r>
    </w:p>
    <w:p w:rsidR="00A14F89" w:rsidRDefault="00A14F89" w:rsidP="00A14F89">
      <w:pPr>
        <w:pStyle w:val="Ruller41"/>
        <w:rPr>
          <w:rtl/>
        </w:rPr>
      </w:pPr>
    </w:p>
    <w:p w:rsidR="00A14F89" w:rsidRDefault="00A14F89" w:rsidP="00A14F89">
      <w:pPr>
        <w:pStyle w:val="Ruller41"/>
        <w:rPr>
          <w:rFonts w:ascii="Century" w:hAnsi="Century"/>
          <w:rtl/>
        </w:rPr>
      </w:pPr>
      <w:r w:rsidRPr="00713ADB">
        <w:rPr>
          <w:rFonts w:ascii="Century" w:hAnsi="Century" w:cs="Miriam" w:hint="cs"/>
          <w:b/>
          <w:spacing w:val="0"/>
          <w:szCs w:val="24"/>
          <w:rtl/>
        </w:rPr>
        <w:t>העקרונות העול</w:t>
      </w:r>
      <w:r w:rsidRPr="00B456A3">
        <w:rPr>
          <w:rFonts w:ascii="Century" w:hAnsi="Century" w:cs="Miriam" w:hint="cs"/>
          <w:b/>
          <w:spacing w:val="0"/>
          <w:szCs w:val="24"/>
          <w:rtl/>
        </w:rPr>
        <w:t xml:space="preserve">ים מהפסיקה </w:t>
      </w:r>
      <w:r w:rsidRPr="00B456A3">
        <w:rPr>
          <w:rFonts w:ascii="Century" w:hAnsi="Century" w:cs="Miriam"/>
          <w:b/>
          <w:spacing w:val="0"/>
          <w:szCs w:val="24"/>
          <w:rtl/>
        </w:rPr>
        <w:t>–</w:t>
      </w:r>
      <w:r w:rsidRPr="00B456A3">
        <w:rPr>
          <w:rFonts w:ascii="Century" w:hAnsi="Century" w:cs="Miriam" w:hint="cs"/>
          <w:b/>
          <w:spacing w:val="0"/>
          <w:szCs w:val="24"/>
          <w:rtl/>
        </w:rPr>
        <w:t xml:space="preserve"> האם חל שינוי במצב המשפטי בעקבות הפסיקה החדשה, ואם כן </w:t>
      </w:r>
      <w:r w:rsidRPr="00B456A3">
        <w:rPr>
          <w:rFonts w:ascii="Century" w:hAnsi="Century" w:cs="Miriam"/>
          <w:b/>
          <w:spacing w:val="0"/>
          <w:szCs w:val="24"/>
          <w:rtl/>
        </w:rPr>
        <w:t>–</w:t>
      </w:r>
      <w:r w:rsidRPr="00B456A3">
        <w:rPr>
          <w:rFonts w:ascii="Century" w:hAnsi="Century" w:cs="Miriam" w:hint="cs"/>
          <w:b/>
          <w:spacing w:val="0"/>
          <w:szCs w:val="24"/>
          <w:rtl/>
        </w:rPr>
        <w:t xml:space="preserve"> מהו?</w:t>
      </w:r>
    </w:p>
    <w:p w:rsidR="00A14F89" w:rsidRDefault="00A14F89" w:rsidP="00A14F89">
      <w:pPr>
        <w:pStyle w:val="Ruller41"/>
        <w:rPr>
          <w:rFonts w:ascii="Century" w:hAnsi="Century"/>
          <w:rtl/>
        </w:rPr>
      </w:pPr>
    </w:p>
    <w:p w:rsidR="00A14F89" w:rsidRDefault="00A14F89" w:rsidP="00A14F89">
      <w:pPr>
        <w:pStyle w:val="Ruller41"/>
        <w:rPr>
          <w:rFonts w:ascii="Century" w:hAnsi="Century"/>
          <w:rtl/>
        </w:rPr>
      </w:pPr>
      <w:r>
        <w:rPr>
          <w:rFonts w:ascii="Century" w:hAnsi="Century" w:hint="cs"/>
          <w:rtl/>
        </w:rPr>
        <w:t>40.</w:t>
      </w:r>
      <w:r>
        <w:rPr>
          <w:rFonts w:ascii="Century" w:hAnsi="Century"/>
          <w:rtl/>
        </w:rPr>
        <w:tab/>
      </w:r>
      <w:r>
        <w:rPr>
          <w:rFonts w:ascii="Century" w:hAnsi="Century" w:hint="cs"/>
          <w:rtl/>
        </w:rPr>
        <w:t xml:space="preserve">כאמור, המערער סבור כי פסקי הדין שניתנו בעניין </w:t>
      </w:r>
      <w:r w:rsidRPr="00795301">
        <w:rPr>
          <w:rFonts w:ascii="Century" w:hAnsi="Century" w:cs="Miriam" w:hint="cs"/>
          <w:b/>
          <w:spacing w:val="0"/>
          <w:szCs w:val="24"/>
          <w:rtl/>
        </w:rPr>
        <w:t>אורלי</w:t>
      </w:r>
      <w:r>
        <w:rPr>
          <w:rFonts w:ascii="Century" w:hAnsi="Century" w:hint="cs"/>
          <w:rtl/>
        </w:rPr>
        <w:t xml:space="preserve">, </w:t>
      </w:r>
      <w:r w:rsidRPr="00795301">
        <w:rPr>
          <w:rFonts w:ascii="Century" w:hAnsi="Century" w:cs="Miriam" w:hint="cs"/>
          <w:b/>
          <w:spacing w:val="0"/>
          <w:szCs w:val="24"/>
          <w:rtl/>
        </w:rPr>
        <w:t>פרידמן</w:t>
      </w:r>
      <w:r w:rsidRPr="00795301">
        <w:rPr>
          <w:rFonts w:ascii="Century" w:hAnsi="Century" w:hint="cs"/>
          <w:rtl/>
        </w:rPr>
        <w:t xml:space="preserve"> </w:t>
      </w:r>
      <w:r>
        <w:rPr>
          <w:rFonts w:ascii="Century" w:hAnsi="Century" w:hint="cs"/>
          <w:rtl/>
        </w:rPr>
        <w:t>ו-</w:t>
      </w:r>
      <w:proofErr w:type="spellStart"/>
      <w:r w:rsidRPr="00795301">
        <w:rPr>
          <w:rFonts w:ascii="Century" w:hAnsi="Century" w:cs="Miriam" w:hint="cs"/>
          <w:b/>
          <w:spacing w:val="0"/>
          <w:szCs w:val="24"/>
          <w:rtl/>
        </w:rPr>
        <w:t>מידטאון</w:t>
      </w:r>
      <w:proofErr w:type="spellEnd"/>
      <w:r>
        <w:rPr>
          <w:rFonts w:ascii="Century" w:hAnsi="Century" w:hint="cs"/>
          <w:rtl/>
        </w:rPr>
        <w:t xml:space="preserve"> הובילו לשינוי המצב המשפטי שנקבע בעניין </w:t>
      </w:r>
      <w:r w:rsidRPr="004230E0">
        <w:rPr>
          <w:rFonts w:ascii="Century" w:hAnsi="Century" w:cs="Miriam" w:hint="cs"/>
          <w:b/>
          <w:spacing w:val="0"/>
          <w:szCs w:val="24"/>
          <w:rtl/>
        </w:rPr>
        <w:t>שרביט</w:t>
      </w:r>
      <w:r>
        <w:rPr>
          <w:rFonts w:ascii="Century" w:hAnsi="Century" w:hint="cs"/>
          <w:rtl/>
        </w:rPr>
        <w:t xml:space="preserve">, כך שבנסיבות המתאימות, כאשר רוכש של זכות במקרקעין מתחייב לשאת בעלות פיתוחם, הוצאות הפיתוח ייכללו ב"שווי המכירה", היינו במסגרת הסכום שממנו ייגזר גובה מס הרכישה, וזאת אף אם במועד הרכישה עבודות הפיתוח טרם בוצעו בפועל. לשיטת המערער, בעניין </w:t>
      </w:r>
      <w:r w:rsidRPr="00B456A3">
        <w:rPr>
          <w:rFonts w:ascii="Century" w:hAnsi="Century" w:cs="Miriam" w:hint="cs"/>
          <w:b/>
          <w:spacing w:val="0"/>
          <w:szCs w:val="24"/>
          <w:rtl/>
        </w:rPr>
        <w:t>אורלי</w:t>
      </w:r>
      <w:r w:rsidRPr="00B456A3">
        <w:rPr>
          <w:rFonts w:ascii="Century" w:hAnsi="Century" w:hint="cs"/>
          <w:rtl/>
        </w:rPr>
        <w:t xml:space="preserve"> </w:t>
      </w:r>
      <w:r>
        <w:rPr>
          <w:rFonts w:ascii="Century" w:hAnsi="Century" w:hint="cs"/>
          <w:rtl/>
        </w:rPr>
        <w:t xml:space="preserve">נקבע כי הזכות שנרכשה היא מקרקעין הכוללים היתר בניה, וזאת על אף שבמועד הרכישה ההיתר טרם ניתן בפועל, ובעניין </w:t>
      </w:r>
      <w:r w:rsidRPr="00B456A3">
        <w:rPr>
          <w:rFonts w:ascii="Century" w:hAnsi="Century" w:cs="Miriam" w:hint="cs"/>
          <w:b/>
          <w:spacing w:val="0"/>
          <w:szCs w:val="24"/>
          <w:rtl/>
        </w:rPr>
        <w:t>פרידמן</w:t>
      </w:r>
      <w:r w:rsidRPr="00B456A3">
        <w:rPr>
          <w:rFonts w:ascii="Century" w:hAnsi="Century" w:hint="cs"/>
          <w:rtl/>
        </w:rPr>
        <w:t xml:space="preserve"> </w:t>
      </w:r>
      <w:r>
        <w:rPr>
          <w:rFonts w:ascii="Century" w:hAnsi="Century" w:hint="cs"/>
          <w:rtl/>
        </w:rPr>
        <w:t xml:space="preserve">נקבע כי הזכות שנרכשה היא מקרקעין פנויים, וזאת על אף שבמועד הרכישה הם היו תפוסים. לטענתו, יישום ההלכות האמורות על ענייננו </w:t>
      </w:r>
      <w:r>
        <w:rPr>
          <w:rFonts w:ascii="Century" w:hAnsi="Century" w:hint="cs"/>
          <w:rtl/>
        </w:rPr>
        <w:lastRenderedPageBreak/>
        <w:t xml:space="preserve">מוליך למסקנה שבנסיבות המתאימות עצם העובדה שבמועד המכירה המקרקעין אינם מפותחים אין משמעה שלא ניתן לראות את הזכות הנמכרת כזכות במקרקעין מפותחים, שכן קיימת התחייבות חוזית לפיתוחם בעתיד וניתנת תמורה כנגד התחייבות זו. עוד נטען כי בעניין </w:t>
      </w:r>
      <w:proofErr w:type="spellStart"/>
      <w:r w:rsidRPr="00B456A3">
        <w:rPr>
          <w:rFonts w:ascii="Century" w:hAnsi="Century" w:cs="Miriam" w:hint="cs"/>
          <w:b/>
          <w:spacing w:val="0"/>
          <w:szCs w:val="24"/>
          <w:rtl/>
        </w:rPr>
        <w:t>מידטאון</w:t>
      </w:r>
      <w:proofErr w:type="spellEnd"/>
      <w:r w:rsidRPr="00B456A3">
        <w:rPr>
          <w:rFonts w:ascii="Century" w:hAnsi="Century" w:hint="cs"/>
          <w:rtl/>
        </w:rPr>
        <w:t xml:space="preserve"> </w:t>
      </w:r>
      <w:r>
        <w:rPr>
          <w:rFonts w:ascii="Century" w:hAnsi="Century" w:hint="cs"/>
          <w:rtl/>
        </w:rPr>
        <w:t xml:space="preserve">יושמה עמדת המערער האמורה, ונקבע כי לאור מהות העסקה יש לכלול את הוצאות הפיתוח בגדר התמורה החוזית. על רקע ניתוח הפסיקה כאמור, טוען המערער שיש לקבל את הערעורים, ולקבוע כי הן בעניין </w:t>
      </w:r>
      <w:r w:rsidRPr="00130580">
        <w:rPr>
          <w:rFonts w:ascii="Century" w:hAnsi="Century" w:cs="Miriam" w:hint="cs"/>
          <w:b/>
          <w:spacing w:val="0"/>
          <w:szCs w:val="24"/>
          <w:rtl/>
        </w:rPr>
        <w:t>אמרלד</w:t>
      </w:r>
      <w:r w:rsidRPr="00130580">
        <w:rPr>
          <w:rFonts w:ascii="Century" w:hAnsi="Century" w:hint="cs"/>
          <w:rtl/>
        </w:rPr>
        <w:t xml:space="preserve"> </w:t>
      </w:r>
      <w:r>
        <w:rPr>
          <w:rFonts w:ascii="Century" w:hAnsi="Century" w:hint="cs"/>
          <w:rtl/>
        </w:rPr>
        <w:t xml:space="preserve">והן בעניין </w:t>
      </w:r>
      <w:r w:rsidRPr="00130580">
        <w:rPr>
          <w:rFonts w:ascii="Century" w:hAnsi="Century" w:cs="Miriam" w:hint="cs"/>
          <w:b/>
          <w:spacing w:val="0"/>
          <w:szCs w:val="24"/>
          <w:rtl/>
        </w:rPr>
        <w:t>שיכון ובינוי</w:t>
      </w:r>
      <w:r>
        <w:rPr>
          <w:rFonts w:ascii="Century" w:hAnsi="Century" w:hint="cs"/>
          <w:rtl/>
        </w:rPr>
        <w:t xml:space="preserve"> יש לכלול את הוצאות הפיתוח במסגרת "שווי המכירה".</w:t>
      </w:r>
    </w:p>
    <w:p w:rsidR="00A14F89" w:rsidRDefault="00A14F89" w:rsidP="00A14F89">
      <w:pPr>
        <w:pStyle w:val="Ruller41"/>
        <w:rPr>
          <w:rFonts w:ascii="Century" w:hAnsi="Century"/>
          <w:rtl/>
        </w:rPr>
      </w:pPr>
    </w:p>
    <w:p w:rsidR="00A14F89" w:rsidRDefault="00A14F89" w:rsidP="00A14F89">
      <w:pPr>
        <w:pStyle w:val="Ruller41"/>
        <w:rPr>
          <w:rFonts w:ascii="Century" w:hAnsi="Century"/>
          <w:rtl/>
        </w:rPr>
      </w:pPr>
      <w:r>
        <w:rPr>
          <w:rFonts w:ascii="Century" w:hAnsi="Century" w:hint="cs"/>
          <w:rtl/>
        </w:rPr>
        <w:t>41.</w:t>
      </w:r>
      <w:r>
        <w:rPr>
          <w:rFonts w:ascii="Century" w:hAnsi="Century"/>
          <w:rtl/>
        </w:rPr>
        <w:tab/>
      </w:r>
      <w:r>
        <w:rPr>
          <w:rFonts w:ascii="Century" w:hAnsi="Century" w:hint="cs"/>
          <w:rtl/>
        </w:rPr>
        <w:t xml:space="preserve">כפי שיובהר להלן, עמדתי שונה, ואיני סבורה כי פסקי הדין בעניין </w:t>
      </w:r>
      <w:r w:rsidRPr="00130580">
        <w:rPr>
          <w:rFonts w:ascii="Century" w:hAnsi="Century" w:cs="Miriam" w:hint="cs"/>
          <w:b/>
          <w:spacing w:val="0"/>
          <w:szCs w:val="24"/>
          <w:rtl/>
        </w:rPr>
        <w:t>אורלי</w:t>
      </w:r>
      <w:r>
        <w:rPr>
          <w:rFonts w:ascii="Century" w:hAnsi="Century" w:hint="cs"/>
          <w:rtl/>
        </w:rPr>
        <w:t xml:space="preserve">, </w:t>
      </w:r>
      <w:r w:rsidRPr="00130580">
        <w:rPr>
          <w:rFonts w:ascii="Century" w:hAnsi="Century" w:cs="Miriam" w:hint="cs"/>
          <w:b/>
          <w:spacing w:val="0"/>
          <w:szCs w:val="24"/>
          <w:rtl/>
        </w:rPr>
        <w:t>פרידמן</w:t>
      </w:r>
      <w:r w:rsidRPr="00130580">
        <w:rPr>
          <w:rFonts w:ascii="Century" w:hAnsi="Century" w:hint="cs"/>
          <w:rtl/>
        </w:rPr>
        <w:t xml:space="preserve"> </w:t>
      </w:r>
      <w:r>
        <w:rPr>
          <w:rFonts w:ascii="Century" w:hAnsi="Century" w:hint="cs"/>
          <w:rtl/>
        </w:rPr>
        <w:t>ו-</w:t>
      </w:r>
      <w:proofErr w:type="spellStart"/>
      <w:r w:rsidRPr="00130580">
        <w:rPr>
          <w:rFonts w:ascii="Century" w:hAnsi="Century" w:cs="Miriam" w:hint="cs"/>
          <w:b/>
          <w:spacing w:val="0"/>
          <w:szCs w:val="24"/>
          <w:rtl/>
        </w:rPr>
        <w:t>מידטאון</w:t>
      </w:r>
      <w:proofErr w:type="spellEnd"/>
      <w:r>
        <w:rPr>
          <w:rFonts w:ascii="Century" w:hAnsi="Century" w:hint="cs"/>
          <w:rtl/>
        </w:rPr>
        <w:t xml:space="preserve"> מוליכים למסקנות שלהן טוען המערער. </w:t>
      </w:r>
    </w:p>
    <w:p w:rsidR="00A14F89" w:rsidRDefault="00A14F89" w:rsidP="00A14F89">
      <w:pPr>
        <w:pStyle w:val="Ruller41"/>
        <w:rPr>
          <w:rFonts w:ascii="Century" w:hAnsi="Century"/>
          <w:rtl/>
        </w:rPr>
      </w:pPr>
    </w:p>
    <w:p w:rsidR="00A14F89" w:rsidRDefault="00A14F89" w:rsidP="00A14F89">
      <w:pPr>
        <w:pStyle w:val="Ruller41"/>
        <w:rPr>
          <w:rFonts w:ascii="Century" w:hAnsi="Century"/>
          <w:rtl/>
        </w:rPr>
      </w:pPr>
      <w:r>
        <w:rPr>
          <w:rFonts w:ascii="Century" w:hAnsi="Century" w:hint="cs"/>
          <w:rtl/>
        </w:rPr>
        <w:t>42.</w:t>
      </w:r>
      <w:r>
        <w:rPr>
          <w:rFonts w:ascii="Century" w:hAnsi="Century" w:hint="cs"/>
          <w:rtl/>
        </w:rPr>
        <w:tab/>
        <w:t xml:space="preserve">בשלושת פסקי הדין בעניין </w:t>
      </w:r>
      <w:r w:rsidRPr="004430E6">
        <w:rPr>
          <w:rFonts w:ascii="Century" w:hAnsi="Century" w:cs="Miriam" w:hint="cs"/>
          <w:b/>
          <w:spacing w:val="0"/>
          <w:szCs w:val="24"/>
          <w:rtl/>
        </w:rPr>
        <w:t>אורלי</w:t>
      </w:r>
      <w:r>
        <w:rPr>
          <w:rFonts w:ascii="Century" w:hAnsi="Century" w:hint="cs"/>
          <w:rtl/>
        </w:rPr>
        <w:t xml:space="preserve">, </w:t>
      </w:r>
      <w:r w:rsidRPr="004430E6">
        <w:rPr>
          <w:rFonts w:ascii="Century" w:hAnsi="Century" w:cs="Miriam" w:hint="cs"/>
          <w:b/>
          <w:spacing w:val="0"/>
          <w:szCs w:val="24"/>
          <w:rtl/>
        </w:rPr>
        <w:t>פרידמן</w:t>
      </w:r>
      <w:r w:rsidRPr="004430E6">
        <w:rPr>
          <w:rFonts w:ascii="Century" w:hAnsi="Century" w:hint="cs"/>
          <w:rtl/>
        </w:rPr>
        <w:t xml:space="preserve"> </w:t>
      </w:r>
      <w:r>
        <w:rPr>
          <w:rFonts w:ascii="Century" w:hAnsi="Century" w:hint="cs"/>
          <w:rtl/>
        </w:rPr>
        <w:t>ו-</w:t>
      </w:r>
      <w:proofErr w:type="spellStart"/>
      <w:r w:rsidRPr="004430E6">
        <w:rPr>
          <w:rFonts w:ascii="Century" w:hAnsi="Century" w:cs="Miriam" w:hint="cs"/>
          <w:b/>
          <w:spacing w:val="0"/>
          <w:szCs w:val="24"/>
          <w:rtl/>
        </w:rPr>
        <w:t>מידטאון</w:t>
      </w:r>
      <w:proofErr w:type="spellEnd"/>
      <w:r w:rsidRPr="004430E6">
        <w:rPr>
          <w:rFonts w:ascii="Century" w:hAnsi="Century" w:hint="cs"/>
          <w:rtl/>
        </w:rPr>
        <w:t xml:space="preserve"> </w:t>
      </w:r>
      <w:r>
        <w:rPr>
          <w:rFonts w:ascii="Century" w:hAnsi="Century" w:hint="cs"/>
          <w:rtl/>
        </w:rPr>
        <w:t xml:space="preserve">הנסיבות היו כאלה  שמימוש ההתחייבות </w:t>
      </w:r>
      <w:r w:rsidRPr="009F0E8E">
        <w:rPr>
          <w:rFonts w:ascii="Century" w:hAnsi="Century" w:hint="eastAsia"/>
          <w:rtl/>
        </w:rPr>
        <w:t>של</w:t>
      </w:r>
      <w:r w:rsidRPr="009F0E8E">
        <w:rPr>
          <w:rFonts w:ascii="Century" w:hAnsi="Century"/>
          <w:rtl/>
        </w:rPr>
        <w:t xml:space="preserve"> </w:t>
      </w:r>
      <w:r w:rsidRPr="009F0E8E">
        <w:rPr>
          <w:rFonts w:ascii="Century" w:hAnsi="Century" w:hint="eastAsia"/>
          <w:rtl/>
        </w:rPr>
        <w:t>המוכר</w:t>
      </w:r>
      <w:r w:rsidRPr="009F0E8E">
        <w:rPr>
          <w:rFonts w:ascii="Century" w:hAnsi="Century"/>
          <w:rtl/>
        </w:rPr>
        <w:t xml:space="preserve"> </w:t>
      </w:r>
      <w:r w:rsidRPr="009F0E8E">
        <w:rPr>
          <w:rFonts w:ascii="Century" w:hAnsi="Century" w:hint="eastAsia"/>
          <w:rtl/>
        </w:rPr>
        <w:t>אשר</w:t>
      </w:r>
      <w:r w:rsidRPr="009F0E8E">
        <w:rPr>
          <w:rFonts w:ascii="Century" w:hAnsi="Century"/>
          <w:rtl/>
        </w:rPr>
        <w:t xml:space="preserve"> </w:t>
      </w:r>
      <w:proofErr w:type="spellStart"/>
      <w:r w:rsidRPr="009F0E8E">
        <w:rPr>
          <w:rFonts w:ascii="Century" w:hAnsi="Century" w:hint="eastAsia"/>
          <w:rtl/>
        </w:rPr>
        <w:t>הומחתה</w:t>
      </w:r>
      <w:proofErr w:type="spellEnd"/>
      <w:r w:rsidRPr="009F0E8E">
        <w:rPr>
          <w:rFonts w:ascii="Century" w:hAnsi="Century"/>
          <w:rtl/>
        </w:rPr>
        <w:t xml:space="preserve"> </w:t>
      </w:r>
      <w:r w:rsidRPr="009F0E8E">
        <w:rPr>
          <w:rFonts w:ascii="Century" w:hAnsi="Century" w:hint="eastAsia"/>
          <w:rtl/>
        </w:rPr>
        <w:t>לרוכש</w:t>
      </w:r>
      <w:r w:rsidRPr="009F0E8E">
        <w:rPr>
          <w:rFonts w:ascii="Century" w:hAnsi="Century"/>
          <w:rtl/>
        </w:rPr>
        <w:t xml:space="preserve"> </w:t>
      </w:r>
      <w:r w:rsidRPr="009F0E8E">
        <w:rPr>
          <w:rFonts w:ascii="Century" w:hAnsi="Century" w:hint="eastAsia"/>
          <w:rtl/>
        </w:rPr>
        <w:t>במסגרת</w:t>
      </w:r>
      <w:r w:rsidRPr="009F0E8E">
        <w:rPr>
          <w:rFonts w:ascii="Century" w:hAnsi="Century"/>
          <w:rtl/>
        </w:rPr>
        <w:t xml:space="preserve"> </w:t>
      </w:r>
      <w:r w:rsidRPr="009F0E8E">
        <w:rPr>
          <w:rFonts w:ascii="Century" w:hAnsi="Century" w:hint="eastAsia"/>
          <w:rtl/>
        </w:rPr>
        <w:t>הסכם</w:t>
      </w:r>
      <w:r w:rsidRPr="009F0E8E">
        <w:rPr>
          <w:rFonts w:ascii="Century" w:hAnsi="Century"/>
          <w:rtl/>
        </w:rPr>
        <w:t xml:space="preserve"> </w:t>
      </w:r>
      <w:r w:rsidRPr="009F0E8E">
        <w:rPr>
          <w:rFonts w:ascii="Century" w:hAnsi="Century" w:hint="eastAsia"/>
          <w:rtl/>
        </w:rPr>
        <w:t>המכר</w:t>
      </w:r>
      <w:r>
        <w:rPr>
          <w:rFonts w:ascii="Century" w:hAnsi="Century" w:hint="cs"/>
          <w:rtl/>
        </w:rPr>
        <w:t xml:space="preserve"> היה צפוי </w:t>
      </w:r>
      <w:r w:rsidRPr="004D3F6C">
        <w:rPr>
          <w:rFonts w:ascii="Century" w:hAnsi="Century" w:cs="Miriam" w:hint="eastAsia"/>
          <w:sz w:val="24"/>
          <w:szCs w:val="24"/>
          <w:rtl/>
        </w:rPr>
        <w:t>להשביח</w:t>
      </w:r>
      <w:r w:rsidRPr="004D3F6C">
        <w:rPr>
          <w:rFonts w:ascii="Century" w:hAnsi="Century" w:cs="Miriam"/>
          <w:sz w:val="24"/>
          <w:szCs w:val="24"/>
          <w:rtl/>
        </w:rPr>
        <w:t xml:space="preserve"> </w:t>
      </w:r>
      <w:r w:rsidRPr="004D3F6C">
        <w:rPr>
          <w:rFonts w:ascii="Century" w:hAnsi="Century" w:cs="Miriam" w:hint="eastAsia"/>
          <w:sz w:val="24"/>
          <w:szCs w:val="24"/>
          <w:rtl/>
        </w:rPr>
        <w:t>את</w:t>
      </w:r>
      <w:r w:rsidRPr="004D3F6C">
        <w:rPr>
          <w:rFonts w:ascii="Century" w:hAnsi="Century" w:cs="Miriam"/>
          <w:sz w:val="24"/>
          <w:szCs w:val="24"/>
          <w:rtl/>
        </w:rPr>
        <w:t xml:space="preserve"> </w:t>
      </w:r>
      <w:r w:rsidRPr="004D3F6C">
        <w:rPr>
          <w:rFonts w:ascii="Century" w:hAnsi="Century" w:cs="Miriam" w:hint="eastAsia"/>
          <w:sz w:val="24"/>
          <w:szCs w:val="24"/>
          <w:rtl/>
        </w:rPr>
        <w:t>המקרקעין</w:t>
      </w:r>
      <w:r>
        <w:rPr>
          <w:rFonts w:ascii="Century" w:hAnsi="Century" w:hint="cs"/>
          <w:rtl/>
        </w:rPr>
        <w:t xml:space="preserve">. כלומר, </w:t>
      </w:r>
      <w:r>
        <w:rPr>
          <w:rFonts w:hint="cs"/>
          <w:rtl/>
        </w:rPr>
        <w:t xml:space="preserve">הזכות במקרקעין שנמכרה גילמה, הלכה למעשה, זכות במקרקעין </w:t>
      </w:r>
      <w:r w:rsidRPr="004D3F6C">
        <w:rPr>
          <w:rFonts w:cs="Miriam" w:hint="eastAsia"/>
          <w:sz w:val="24"/>
          <w:szCs w:val="24"/>
          <w:rtl/>
        </w:rPr>
        <w:t>מושבחים</w:t>
      </w:r>
      <w:r>
        <w:rPr>
          <w:rFonts w:hint="cs"/>
          <w:rtl/>
        </w:rPr>
        <w:t>,</w:t>
      </w:r>
      <w:r w:rsidRPr="00F21145">
        <w:rPr>
          <w:rFonts w:ascii="Century" w:hAnsi="Century" w:hint="cs"/>
          <w:rtl/>
        </w:rPr>
        <w:t xml:space="preserve"> </w:t>
      </w:r>
      <w:r>
        <w:rPr>
          <w:rFonts w:ascii="Century" w:hAnsi="Century" w:hint="cs"/>
          <w:rtl/>
        </w:rPr>
        <w:t xml:space="preserve">ולפיכך, התמורה בגין ההשבחה הובאה בחשבון ב"שווי המכירה". </w:t>
      </w:r>
    </w:p>
    <w:p w:rsidR="00A14F89" w:rsidRDefault="00A14F89" w:rsidP="00A14F89">
      <w:pPr>
        <w:pStyle w:val="Ruller41"/>
        <w:rPr>
          <w:rFonts w:ascii="Century" w:hAnsi="Century"/>
          <w:rtl/>
        </w:rPr>
      </w:pPr>
      <w:r>
        <w:rPr>
          <w:rFonts w:ascii="Century" w:hAnsi="Century" w:hint="cs"/>
          <w:rtl/>
        </w:rPr>
        <w:t xml:space="preserve">כך, בעניין </w:t>
      </w:r>
      <w:r w:rsidRPr="004430E6">
        <w:rPr>
          <w:rFonts w:ascii="Century" w:hAnsi="Century" w:cs="Miriam" w:hint="cs"/>
          <w:b/>
          <w:spacing w:val="0"/>
          <w:szCs w:val="24"/>
          <w:rtl/>
        </w:rPr>
        <w:t>אורלי</w:t>
      </w:r>
      <w:r>
        <w:rPr>
          <w:rFonts w:ascii="Century" w:hAnsi="Century" w:hint="cs"/>
          <w:rtl/>
        </w:rPr>
        <w:t xml:space="preserve">, תשלום עבור היתר הבניה כחלק מהתמורה בגין הזכויות במקרקעין גילם רכישת זכות במקרקעין שאושר לגביהם היתר בניה, על כל המשמעות הכלכלית הנובעת מכך; אף בעניין </w:t>
      </w:r>
      <w:r w:rsidRPr="004430E6">
        <w:rPr>
          <w:rFonts w:ascii="Century" w:hAnsi="Century" w:cs="Miriam" w:hint="cs"/>
          <w:b/>
          <w:spacing w:val="0"/>
          <w:szCs w:val="24"/>
          <w:rtl/>
        </w:rPr>
        <w:t>פרידמן</w:t>
      </w:r>
      <w:r>
        <w:rPr>
          <w:rFonts w:ascii="Century" w:hAnsi="Century" w:hint="cs"/>
          <w:rtl/>
        </w:rPr>
        <w:t xml:space="preserve">, פינוי הדיירים ופיצויים צפוי היה להביא למתן היתרי הבנייה בהתאם לתוכנית המתאר שחלה על המקרקעין; ובעניין </w:t>
      </w:r>
      <w:proofErr w:type="spellStart"/>
      <w:r w:rsidRPr="004430E6">
        <w:rPr>
          <w:rFonts w:ascii="Century" w:hAnsi="Century" w:cs="Miriam" w:hint="cs"/>
          <w:b/>
          <w:spacing w:val="0"/>
          <w:szCs w:val="24"/>
          <w:rtl/>
        </w:rPr>
        <w:t>מידטאון</w:t>
      </w:r>
      <w:proofErr w:type="spellEnd"/>
      <w:r>
        <w:rPr>
          <w:rFonts w:ascii="Century" w:hAnsi="Century" w:hint="cs"/>
          <w:rtl/>
        </w:rPr>
        <w:t xml:space="preserve">, פיתוח המקרקעין צפוי היה לאפשר לרוכש לנצל את זכויות הבנייה המתוכננות ובכך להשביח את המקרקעין. </w:t>
      </w:r>
    </w:p>
    <w:p w:rsidR="00A14F89" w:rsidRDefault="00A14F89" w:rsidP="00A14F89">
      <w:pPr>
        <w:pStyle w:val="Ruller41"/>
        <w:rPr>
          <w:rFonts w:ascii="Century" w:hAnsi="Century"/>
          <w:rtl/>
        </w:rPr>
      </w:pPr>
    </w:p>
    <w:p w:rsidR="00A14F89" w:rsidRDefault="00A14F89" w:rsidP="00A14F89">
      <w:pPr>
        <w:pStyle w:val="Ruller41"/>
        <w:rPr>
          <w:rFonts w:ascii="Century" w:hAnsi="Century"/>
          <w:rtl/>
        </w:rPr>
      </w:pPr>
      <w:r>
        <w:rPr>
          <w:rFonts w:ascii="Century" w:hAnsi="Century" w:hint="cs"/>
          <w:rtl/>
        </w:rPr>
        <w:t>43.</w:t>
      </w:r>
      <w:r>
        <w:rPr>
          <w:rFonts w:ascii="Century" w:hAnsi="Century"/>
          <w:rtl/>
        </w:rPr>
        <w:tab/>
      </w:r>
      <w:r>
        <w:rPr>
          <w:rFonts w:ascii="Century" w:hAnsi="Century" w:hint="cs"/>
          <w:rtl/>
        </w:rPr>
        <w:t xml:space="preserve">בנסיבות ייחודיות אלה, כאשר כנגד תמורה חוזית מוסכמת בה מתחייב לשאת הרוכש (תשלומי ההיטלים ואגרות הבנייה בעניין </w:t>
      </w:r>
      <w:r w:rsidRPr="004430E6">
        <w:rPr>
          <w:rFonts w:ascii="Century" w:hAnsi="Century" w:cs="Miriam" w:hint="cs"/>
          <w:b/>
          <w:spacing w:val="0"/>
          <w:szCs w:val="24"/>
          <w:rtl/>
        </w:rPr>
        <w:t>אורלי</w:t>
      </w:r>
      <w:r>
        <w:rPr>
          <w:rFonts w:ascii="Century" w:hAnsi="Century" w:hint="cs"/>
          <w:rtl/>
        </w:rPr>
        <w:t xml:space="preserve">; עלויות הפינוי והפיצוי של התושבים בעניין </w:t>
      </w:r>
      <w:r w:rsidRPr="004430E6">
        <w:rPr>
          <w:rFonts w:ascii="Century" w:hAnsi="Century" w:cs="Miriam" w:hint="cs"/>
          <w:b/>
          <w:spacing w:val="0"/>
          <w:szCs w:val="24"/>
          <w:rtl/>
        </w:rPr>
        <w:t>פרידמן</w:t>
      </w:r>
      <w:r>
        <w:rPr>
          <w:rFonts w:ascii="Century" w:hAnsi="Century" w:hint="cs"/>
          <w:rtl/>
        </w:rPr>
        <w:t xml:space="preserve">; ועלויות הפיתוח בעניין </w:t>
      </w:r>
      <w:proofErr w:type="spellStart"/>
      <w:r w:rsidRPr="004430E6">
        <w:rPr>
          <w:rFonts w:ascii="Century" w:hAnsi="Century" w:cs="Miriam" w:hint="cs"/>
          <w:b/>
          <w:spacing w:val="0"/>
          <w:szCs w:val="24"/>
          <w:rtl/>
        </w:rPr>
        <w:t>מידטאון</w:t>
      </w:r>
      <w:proofErr w:type="spellEnd"/>
      <w:r>
        <w:rPr>
          <w:rFonts w:ascii="Century" w:hAnsi="Century" w:hint="cs"/>
          <w:rtl/>
        </w:rPr>
        <w:t xml:space="preserve">) עומדת לו זכות </w:t>
      </w:r>
      <w:r w:rsidRPr="004230E0">
        <w:rPr>
          <w:rFonts w:ascii="Century" w:hAnsi="Century" w:cs="Miriam" w:hint="cs"/>
          <w:b/>
          <w:spacing w:val="0"/>
          <w:szCs w:val="24"/>
          <w:rtl/>
        </w:rPr>
        <w:t>להשבחת המקרקעין</w:t>
      </w:r>
      <w:r>
        <w:rPr>
          <w:rFonts w:ascii="Century" w:hAnsi="Century" w:hint="cs"/>
          <w:rtl/>
        </w:rPr>
        <w:t xml:space="preserve"> </w:t>
      </w:r>
      <w:r>
        <w:rPr>
          <w:rFonts w:ascii="Century" w:hAnsi="Century"/>
          <w:rtl/>
        </w:rPr>
        <w:t>–</w:t>
      </w:r>
      <w:r>
        <w:rPr>
          <w:rFonts w:ascii="Century" w:hAnsi="Century" w:hint="cs"/>
          <w:rtl/>
        </w:rPr>
        <w:t xml:space="preserve"> היינו להעלאת שווים בהתאם לתכנית שחלה בעת עריכת הסכם המכר </w:t>
      </w:r>
      <w:r>
        <w:rPr>
          <w:rFonts w:ascii="Century" w:hAnsi="Century"/>
          <w:rtl/>
        </w:rPr>
        <w:t>–</w:t>
      </w:r>
      <w:r>
        <w:rPr>
          <w:rFonts w:ascii="Century" w:hAnsi="Century" w:hint="cs"/>
          <w:rtl/>
        </w:rPr>
        <w:t xml:space="preserve"> אזי יש לראות את </w:t>
      </w:r>
      <w:r w:rsidRPr="004D3F6C">
        <w:rPr>
          <w:rFonts w:ascii="Century" w:hAnsi="Century" w:cs="Miriam" w:hint="eastAsia"/>
          <w:sz w:val="24"/>
          <w:szCs w:val="24"/>
          <w:rtl/>
        </w:rPr>
        <w:t>הזכות</w:t>
      </w:r>
      <w:r w:rsidRPr="004D3F6C">
        <w:rPr>
          <w:rFonts w:ascii="Century" w:hAnsi="Century" w:cs="Miriam"/>
          <w:sz w:val="24"/>
          <w:szCs w:val="24"/>
          <w:rtl/>
        </w:rPr>
        <w:t xml:space="preserve"> </w:t>
      </w:r>
      <w:r w:rsidRPr="004D3F6C">
        <w:rPr>
          <w:rFonts w:ascii="Century" w:hAnsi="Century" w:cs="Miriam" w:hint="eastAsia"/>
          <w:sz w:val="24"/>
          <w:szCs w:val="24"/>
          <w:rtl/>
        </w:rPr>
        <w:t>במקרקעין</w:t>
      </w:r>
      <w:r w:rsidRPr="004D3F6C">
        <w:rPr>
          <w:rFonts w:ascii="Century" w:hAnsi="Century" w:cs="Miriam"/>
          <w:sz w:val="24"/>
          <w:szCs w:val="24"/>
          <w:rtl/>
        </w:rPr>
        <w:t xml:space="preserve"> </w:t>
      </w:r>
      <w:r w:rsidRPr="004D3F6C">
        <w:rPr>
          <w:rFonts w:ascii="Century" w:hAnsi="Century" w:cs="Miriam" w:hint="eastAsia"/>
          <w:sz w:val="24"/>
          <w:szCs w:val="24"/>
          <w:rtl/>
        </w:rPr>
        <w:t>הנמכרת</w:t>
      </w:r>
      <w:r>
        <w:rPr>
          <w:rFonts w:ascii="Century" w:hAnsi="Century" w:hint="cs"/>
          <w:rtl/>
        </w:rPr>
        <w:t xml:space="preserve"> כזכות במקרקעין </w:t>
      </w:r>
      <w:r w:rsidRPr="004D3F6C">
        <w:rPr>
          <w:rFonts w:ascii="Century" w:hAnsi="Century" w:cs="Miriam" w:hint="eastAsia"/>
          <w:sz w:val="24"/>
          <w:szCs w:val="24"/>
          <w:rtl/>
        </w:rPr>
        <w:t>המושבחים</w:t>
      </w:r>
      <w:r>
        <w:rPr>
          <w:rFonts w:ascii="Century" w:hAnsi="Century" w:hint="cs"/>
          <w:rtl/>
        </w:rPr>
        <w:t xml:space="preserve">, ואת "שווי המכירה" כגובה התמורה המשקפת את שווים של המקרקעין המושבחים. </w:t>
      </w:r>
    </w:p>
    <w:p w:rsidR="00A14F89" w:rsidRDefault="00A14F89" w:rsidP="00A14F89">
      <w:pPr>
        <w:pStyle w:val="Ruller41"/>
        <w:rPr>
          <w:rFonts w:ascii="Century" w:hAnsi="Century"/>
          <w:rtl/>
        </w:rPr>
      </w:pPr>
    </w:p>
    <w:p w:rsidR="00A14F89" w:rsidRDefault="00A14F89" w:rsidP="00A14F89">
      <w:pPr>
        <w:pStyle w:val="Ruller41"/>
        <w:rPr>
          <w:rFonts w:ascii="Century" w:hAnsi="Century"/>
          <w:rtl/>
        </w:rPr>
      </w:pPr>
      <w:r>
        <w:rPr>
          <w:rFonts w:ascii="Century" w:hAnsi="Century" w:hint="cs"/>
          <w:rtl/>
        </w:rPr>
        <w:t>44.</w:t>
      </w:r>
      <w:r>
        <w:rPr>
          <w:rFonts w:ascii="Century" w:hAnsi="Century"/>
          <w:rtl/>
        </w:rPr>
        <w:tab/>
      </w:r>
      <w:r>
        <w:rPr>
          <w:rFonts w:ascii="Century" w:hAnsi="Century" w:hint="cs"/>
          <w:rtl/>
        </w:rPr>
        <w:t xml:space="preserve">ואולם, אין לגזור מהאמור לעיל גזירה שווה לעניין הכללתן של 'הוצאות פיתוח' ב"שווי המכירה" בנסיבות שבהן התנאים שנזכרו לעיל אינן מתקיימים. היינו, כאשר מימוש ההתחייבות שנטל על עצמו הרוכש (נשיאה בהוצאות הפיתוח כנגד התחייבותו של המוכר לפעול לפיתוח המקרקעין), </w:t>
      </w:r>
      <w:r w:rsidRPr="001444F7">
        <w:rPr>
          <w:rFonts w:ascii="Century" w:hAnsi="Century" w:cs="Miriam" w:hint="cs"/>
          <w:b/>
          <w:spacing w:val="0"/>
          <w:szCs w:val="24"/>
          <w:rtl/>
        </w:rPr>
        <w:t>אינ</w:t>
      </w:r>
      <w:r>
        <w:rPr>
          <w:rFonts w:ascii="Century" w:hAnsi="Century" w:cs="Miriam" w:hint="cs"/>
          <w:b/>
          <w:spacing w:val="0"/>
          <w:szCs w:val="24"/>
          <w:rtl/>
        </w:rPr>
        <w:t>ו</w:t>
      </w:r>
      <w:r w:rsidRPr="001444F7">
        <w:rPr>
          <w:rFonts w:ascii="Century" w:hAnsi="Century" w:cs="Miriam" w:hint="cs"/>
          <w:b/>
          <w:spacing w:val="0"/>
          <w:szCs w:val="24"/>
          <w:rtl/>
        </w:rPr>
        <w:t xml:space="preserve"> </w:t>
      </w:r>
      <w:r>
        <w:rPr>
          <w:rFonts w:ascii="Century" w:hAnsi="Century" w:cs="Miriam" w:hint="cs"/>
          <w:b/>
          <w:spacing w:val="0"/>
          <w:szCs w:val="24"/>
          <w:rtl/>
        </w:rPr>
        <w:t>מוביל</w:t>
      </w:r>
      <w:r w:rsidRPr="001444F7">
        <w:rPr>
          <w:rFonts w:ascii="Century" w:hAnsi="Century" w:cs="Miriam" w:hint="cs"/>
          <w:b/>
          <w:spacing w:val="0"/>
          <w:szCs w:val="24"/>
          <w:rtl/>
        </w:rPr>
        <w:t xml:space="preserve"> להשבחת המקרקעין</w:t>
      </w:r>
      <w:r w:rsidRPr="0089134A">
        <w:rPr>
          <w:rFonts w:ascii="Century" w:hAnsi="Century" w:hint="cs"/>
          <w:rtl/>
        </w:rPr>
        <w:t xml:space="preserve"> </w:t>
      </w:r>
      <w:r>
        <w:rPr>
          <w:rFonts w:ascii="Century" w:hAnsi="Century" w:hint="cs"/>
          <w:rtl/>
        </w:rPr>
        <w:t xml:space="preserve">בהתאם לתכנית שחלה ותקפה </w:t>
      </w:r>
      <w:r w:rsidRPr="004230E0">
        <w:rPr>
          <w:rFonts w:ascii="Century" w:hAnsi="Century" w:cs="Miriam" w:hint="cs"/>
          <w:b/>
          <w:spacing w:val="0"/>
          <w:szCs w:val="24"/>
          <w:rtl/>
        </w:rPr>
        <w:t>באותה עת</w:t>
      </w:r>
      <w:r>
        <w:rPr>
          <w:rFonts w:ascii="Century" w:hAnsi="Century" w:hint="cs"/>
          <w:rtl/>
        </w:rPr>
        <w:t xml:space="preserve">. בנסיבות אלה, חלה הלכת </w:t>
      </w:r>
      <w:r w:rsidRPr="00AA7AD9">
        <w:rPr>
          <w:rFonts w:ascii="Century" w:hAnsi="Century" w:cs="Miriam" w:hint="cs"/>
          <w:b/>
          <w:spacing w:val="0"/>
          <w:szCs w:val="24"/>
          <w:rtl/>
        </w:rPr>
        <w:t>שרביט</w:t>
      </w:r>
      <w:r>
        <w:rPr>
          <w:rFonts w:ascii="Century" w:hAnsi="Century" w:hint="cs"/>
          <w:rtl/>
        </w:rPr>
        <w:t xml:space="preserve">, שלפיה הזכות במקרקעין </w:t>
      </w:r>
      <w:r>
        <w:rPr>
          <w:rFonts w:ascii="Century" w:hAnsi="Century" w:hint="cs"/>
          <w:rtl/>
        </w:rPr>
        <w:lastRenderedPageBreak/>
        <w:t xml:space="preserve">הנרכשת היא זכות במקרקעין לא מפותחים, ובצדה הסכם לפיתוח עתידי של המקרקעין. </w:t>
      </w:r>
      <w:r w:rsidRPr="00EB2B32">
        <w:rPr>
          <w:rFonts w:ascii="Century" w:hAnsi="Century" w:hint="eastAsia"/>
          <w:rtl/>
        </w:rPr>
        <w:t>לעומת</w:t>
      </w:r>
      <w:r w:rsidRPr="00EB2B32">
        <w:rPr>
          <w:rFonts w:ascii="Century" w:hAnsi="Century"/>
          <w:rtl/>
        </w:rPr>
        <w:t xml:space="preserve"> </w:t>
      </w:r>
      <w:r w:rsidRPr="00EB2B32">
        <w:rPr>
          <w:rFonts w:ascii="Century" w:hAnsi="Century" w:hint="eastAsia"/>
          <w:rtl/>
        </w:rPr>
        <w:t>זאת</w:t>
      </w:r>
      <w:r w:rsidRPr="00EB2B32">
        <w:rPr>
          <w:rFonts w:ascii="Century" w:hAnsi="Century"/>
          <w:rtl/>
        </w:rPr>
        <w:t xml:space="preserve">, </w:t>
      </w:r>
      <w:r w:rsidRPr="00EB2B32">
        <w:rPr>
          <w:rFonts w:ascii="Century" w:hAnsi="Century" w:hint="eastAsia"/>
          <w:rtl/>
        </w:rPr>
        <w:t>כאשר</w:t>
      </w:r>
      <w:r w:rsidRPr="00EB2B32">
        <w:rPr>
          <w:rFonts w:ascii="Century" w:hAnsi="Century"/>
          <w:rtl/>
        </w:rPr>
        <w:t xml:space="preserve"> </w:t>
      </w:r>
      <w:r w:rsidRPr="00EB2B32">
        <w:rPr>
          <w:rFonts w:ascii="Century" w:hAnsi="Century" w:hint="eastAsia"/>
          <w:rtl/>
        </w:rPr>
        <w:t>רוכש</w:t>
      </w:r>
      <w:r w:rsidRPr="00EB2B32">
        <w:rPr>
          <w:rFonts w:ascii="Century" w:hAnsi="Century"/>
          <w:rtl/>
        </w:rPr>
        <w:t xml:space="preserve"> </w:t>
      </w:r>
      <w:r w:rsidRPr="00EB2B32">
        <w:rPr>
          <w:rFonts w:ascii="Century" w:hAnsi="Century" w:hint="eastAsia"/>
          <w:rtl/>
        </w:rPr>
        <w:t>מקבל</w:t>
      </w:r>
      <w:r w:rsidRPr="00EB2B32">
        <w:rPr>
          <w:rFonts w:ascii="Century" w:hAnsi="Century"/>
          <w:rtl/>
        </w:rPr>
        <w:t xml:space="preserve"> </w:t>
      </w:r>
      <w:r w:rsidRPr="00EB2B32">
        <w:rPr>
          <w:rFonts w:ascii="Century" w:hAnsi="Century" w:hint="eastAsia"/>
          <w:rtl/>
        </w:rPr>
        <w:t>על</w:t>
      </w:r>
      <w:r w:rsidRPr="00EB2B32">
        <w:rPr>
          <w:rFonts w:ascii="Century" w:hAnsi="Century"/>
          <w:rtl/>
        </w:rPr>
        <w:t xml:space="preserve"> </w:t>
      </w:r>
      <w:r w:rsidRPr="00EB2B32">
        <w:rPr>
          <w:rFonts w:ascii="Century" w:hAnsi="Century" w:hint="eastAsia"/>
          <w:rtl/>
        </w:rPr>
        <w:t>עצמו</w:t>
      </w:r>
      <w:r w:rsidRPr="00EB2B32">
        <w:rPr>
          <w:rFonts w:ascii="Century" w:hAnsi="Century"/>
          <w:rtl/>
        </w:rPr>
        <w:t xml:space="preserve"> </w:t>
      </w:r>
      <w:r w:rsidRPr="00EB2B32">
        <w:rPr>
          <w:rFonts w:ascii="Century" w:hAnsi="Century" w:hint="eastAsia"/>
          <w:rtl/>
        </w:rPr>
        <w:t>את</w:t>
      </w:r>
      <w:r w:rsidRPr="00EB2B32">
        <w:rPr>
          <w:rFonts w:ascii="Century" w:hAnsi="Century"/>
          <w:rtl/>
        </w:rPr>
        <w:t xml:space="preserve"> </w:t>
      </w:r>
      <w:r w:rsidRPr="00EB2B32">
        <w:rPr>
          <w:rFonts w:ascii="Century" w:hAnsi="Century" w:hint="eastAsia"/>
          <w:rtl/>
        </w:rPr>
        <w:t>התחייבות</w:t>
      </w:r>
      <w:r w:rsidRPr="00EB2B32">
        <w:rPr>
          <w:rFonts w:ascii="Century" w:hAnsi="Century"/>
          <w:rtl/>
        </w:rPr>
        <w:t xml:space="preserve"> </w:t>
      </w:r>
      <w:r w:rsidRPr="00EB2B32">
        <w:rPr>
          <w:rFonts w:ascii="Century" w:hAnsi="Century" w:hint="eastAsia"/>
          <w:rtl/>
        </w:rPr>
        <w:t>המוכר</w:t>
      </w:r>
      <w:r w:rsidRPr="00EB2B32">
        <w:rPr>
          <w:rFonts w:ascii="Century" w:hAnsi="Century"/>
          <w:rtl/>
        </w:rPr>
        <w:t xml:space="preserve"> </w:t>
      </w:r>
      <w:r w:rsidRPr="00EB2B32">
        <w:rPr>
          <w:rFonts w:ascii="Century" w:hAnsi="Century" w:hint="eastAsia"/>
          <w:rtl/>
        </w:rPr>
        <w:t>לשאת</w:t>
      </w:r>
      <w:r w:rsidRPr="00EB2B32">
        <w:rPr>
          <w:rFonts w:ascii="Century" w:hAnsi="Century"/>
          <w:rtl/>
        </w:rPr>
        <w:t xml:space="preserve"> </w:t>
      </w:r>
      <w:r w:rsidRPr="00EB2B32">
        <w:rPr>
          <w:rFonts w:ascii="Century" w:hAnsi="Century" w:hint="eastAsia"/>
          <w:rtl/>
        </w:rPr>
        <w:t>בהוצאות</w:t>
      </w:r>
      <w:r w:rsidRPr="00EB2B32">
        <w:rPr>
          <w:rFonts w:ascii="Century" w:hAnsi="Century"/>
          <w:rtl/>
        </w:rPr>
        <w:t xml:space="preserve"> </w:t>
      </w:r>
      <w:r w:rsidRPr="00EB2B32">
        <w:rPr>
          <w:rFonts w:ascii="Century" w:hAnsi="Century" w:hint="eastAsia"/>
          <w:rtl/>
        </w:rPr>
        <w:t>הפיתוח</w:t>
      </w:r>
      <w:r w:rsidRPr="00EB2B32">
        <w:rPr>
          <w:rFonts w:ascii="Century" w:hAnsi="Century"/>
          <w:rtl/>
        </w:rPr>
        <w:t xml:space="preserve"> </w:t>
      </w:r>
      <w:r w:rsidRPr="00EB2B32">
        <w:rPr>
          <w:rFonts w:ascii="Century" w:hAnsi="Century" w:hint="eastAsia"/>
          <w:rtl/>
        </w:rPr>
        <w:t>או</w:t>
      </w:r>
      <w:r w:rsidRPr="00EB2B32">
        <w:rPr>
          <w:rFonts w:ascii="Century" w:hAnsi="Century"/>
          <w:rtl/>
        </w:rPr>
        <w:t xml:space="preserve"> </w:t>
      </w:r>
      <w:r w:rsidRPr="00EB2B32">
        <w:rPr>
          <w:rFonts w:ascii="Century" w:hAnsi="Century" w:hint="eastAsia"/>
          <w:rtl/>
        </w:rPr>
        <w:t>לפתח</w:t>
      </w:r>
      <w:r w:rsidRPr="00EB2B32">
        <w:rPr>
          <w:rFonts w:ascii="Century" w:hAnsi="Century"/>
          <w:rtl/>
        </w:rPr>
        <w:t xml:space="preserve"> </w:t>
      </w:r>
      <w:r w:rsidRPr="00EB2B32">
        <w:rPr>
          <w:rFonts w:ascii="Century" w:hAnsi="Century" w:hint="eastAsia"/>
          <w:rtl/>
        </w:rPr>
        <w:t>את</w:t>
      </w:r>
      <w:r w:rsidRPr="00EB2B32">
        <w:rPr>
          <w:rFonts w:ascii="Century" w:hAnsi="Century"/>
          <w:rtl/>
        </w:rPr>
        <w:t xml:space="preserve"> </w:t>
      </w:r>
      <w:r w:rsidRPr="00EB2B32">
        <w:rPr>
          <w:rFonts w:ascii="Century" w:hAnsi="Century" w:hint="eastAsia"/>
          <w:rtl/>
        </w:rPr>
        <w:t>המקרקעין</w:t>
      </w:r>
      <w:r w:rsidRPr="00EB2B32">
        <w:rPr>
          <w:rFonts w:ascii="Century" w:hAnsi="Century"/>
          <w:rtl/>
        </w:rPr>
        <w:t xml:space="preserve"> </w:t>
      </w:r>
      <w:r w:rsidRPr="00EB2B32">
        <w:rPr>
          <w:rFonts w:ascii="Century" w:hAnsi="Century" w:hint="eastAsia"/>
          <w:rtl/>
        </w:rPr>
        <w:t>בפועל</w:t>
      </w:r>
      <w:r w:rsidRPr="00EB2B32">
        <w:rPr>
          <w:rFonts w:ascii="Century" w:hAnsi="Century"/>
          <w:rtl/>
        </w:rPr>
        <w:t xml:space="preserve">, </w:t>
      </w:r>
      <w:r w:rsidRPr="00EB2B32">
        <w:rPr>
          <w:rFonts w:ascii="Century" w:hAnsi="Century" w:cs="Miriam" w:hint="eastAsia"/>
          <w:b/>
          <w:spacing w:val="0"/>
          <w:szCs w:val="24"/>
          <w:rtl/>
        </w:rPr>
        <w:t>וזאת</w:t>
      </w:r>
      <w:r w:rsidRPr="00EB2B32">
        <w:rPr>
          <w:rFonts w:ascii="Century" w:hAnsi="Century" w:cs="Miriam"/>
          <w:b/>
          <w:spacing w:val="0"/>
          <w:szCs w:val="24"/>
          <w:rtl/>
        </w:rPr>
        <w:t xml:space="preserve"> </w:t>
      </w:r>
      <w:r w:rsidRPr="00EB2B32">
        <w:rPr>
          <w:rFonts w:ascii="Century" w:hAnsi="Century" w:cs="Miriam" w:hint="eastAsia"/>
          <w:b/>
          <w:spacing w:val="0"/>
          <w:szCs w:val="24"/>
          <w:rtl/>
        </w:rPr>
        <w:t>כאשר</w:t>
      </w:r>
      <w:r w:rsidRPr="00EB2B32">
        <w:rPr>
          <w:rFonts w:ascii="Century" w:hAnsi="Century" w:cs="Miriam"/>
          <w:b/>
          <w:spacing w:val="0"/>
          <w:szCs w:val="24"/>
          <w:rtl/>
        </w:rPr>
        <w:t xml:space="preserve"> </w:t>
      </w:r>
      <w:r w:rsidRPr="00EB2B32">
        <w:rPr>
          <w:rFonts w:ascii="Century" w:hAnsi="Century" w:cs="Miriam" w:hint="eastAsia"/>
          <w:b/>
          <w:spacing w:val="0"/>
          <w:szCs w:val="24"/>
          <w:rtl/>
        </w:rPr>
        <w:t>פיתוח</w:t>
      </w:r>
      <w:r w:rsidRPr="00EB2B32">
        <w:rPr>
          <w:rFonts w:ascii="Century" w:hAnsi="Century" w:cs="Miriam"/>
          <w:b/>
          <w:spacing w:val="0"/>
          <w:szCs w:val="24"/>
          <w:rtl/>
        </w:rPr>
        <w:t xml:space="preserve"> </w:t>
      </w:r>
      <w:r w:rsidRPr="00EB2B32">
        <w:rPr>
          <w:rFonts w:ascii="Century" w:hAnsi="Century" w:cs="Miriam" w:hint="eastAsia"/>
          <w:b/>
          <w:spacing w:val="0"/>
          <w:szCs w:val="24"/>
          <w:rtl/>
        </w:rPr>
        <w:t>המקרקעין</w:t>
      </w:r>
      <w:r w:rsidRPr="00EB2B32">
        <w:rPr>
          <w:rFonts w:ascii="Century" w:hAnsi="Century" w:cs="Miriam"/>
          <w:b/>
          <w:spacing w:val="0"/>
          <w:szCs w:val="24"/>
          <w:rtl/>
        </w:rPr>
        <w:t xml:space="preserve"> </w:t>
      </w:r>
      <w:r w:rsidRPr="00EB2B32">
        <w:rPr>
          <w:rFonts w:ascii="Century" w:hAnsi="Century" w:cs="Miriam" w:hint="eastAsia"/>
          <w:b/>
          <w:spacing w:val="0"/>
          <w:szCs w:val="24"/>
          <w:rtl/>
        </w:rPr>
        <w:t>הוא</w:t>
      </w:r>
      <w:r w:rsidRPr="00EB2B32">
        <w:rPr>
          <w:rFonts w:ascii="Century" w:hAnsi="Century" w:cs="Miriam"/>
          <w:b/>
          <w:spacing w:val="0"/>
          <w:szCs w:val="24"/>
          <w:rtl/>
        </w:rPr>
        <w:t xml:space="preserve"> </w:t>
      </w:r>
      <w:r w:rsidRPr="00EB2B32">
        <w:rPr>
          <w:rFonts w:ascii="Century" w:hAnsi="Century" w:cs="Miriam" w:hint="eastAsia"/>
          <w:b/>
          <w:spacing w:val="0"/>
          <w:szCs w:val="24"/>
          <w:rtl/>
        </w:rPr>
        <w:t>תנאי</w:t>
      </w:r>
      <w:r w:rsidRPr="00EB2B32">
        <w:rPr>
          <w:rFonts w:ascii="Century" w:hAnsi="Century" w:cs="Miriam"/>
          <w:b/>
          <w:spacing w:val="0"/>
          <w:szCs w:val="24"/>
          <w:rtl/>
        </w:rPr>
        <w:t xml:space="preserve"> </w:t>
      </w:r>
      <w:r w:rsidRPr="00EB2B32">
        <w:rPr>
          <w:rFonts w:ascii="Century" w:hAnsi="Century" w:cs="Miriam" w:hint="eastAsia"/>
          <w:b/>
          <w:spacing w:val="0"/>
          <w:szCs w:val="24"/>
          <w:rtl/>
        </w:rPr>
        <w:t>להשבחתם</w:t>
      </w:r>
      <w:r w:rsidRPr="00EB2B32">
        <w:rPr>
          <w:rFonts w:ascii="Century" w:hAnsi="Century" w:cs="Miriam"/>
          <w:b/>
          <w:spacing w:val="0"/>
          <w:szCs w:val="24"/>
          <w:rtl/>
        </w:rPr>
        <w:t xml:space="preserve"> </w:t>
      </w:r>
      <w:r w:rsidRPr="00EB2B32">
        <w:rPr>
          <w:rFonts w:ascii="Century" w:hAnsi="Century" w:cs="Miriam" w:hint="eastAsia"/>
          <w:b/>
          <w:spacing w:val="0"/>
          <w:szCs w:val="24"/>
          <w:rtl/>
        </w:rPr>
        <w:t>בכל</w:t>
      </w:r>
      <w:r w:rsidRPr="00EB2B32">
        <w:rPr>
          <w:rFonts w:ascii="Century" w:hAnsi="Century" w:cs="Miriam"/>
          <w:b/>
          <w:spacing w:val="0"/>
          <w:szCs w:val="24"/>
          <w:rtl/>
        </w:rPr>
        <w:t xml:space="preserve"> </w:t>
      </w:r>
      <w:r w:rsidRPr="00EB2B32">
        <w:rPr>
          <w:rFonts w:ascii="Century" w:hAnsi="Century" w:cs="Miriam" w:hint="eastAsia"/>
          <w:b/>
          <w:spacing w:val="0"/>
          <w:szCs w:val="24"/>
          <w:rtl/>
        </w:rPr>
        <w:t>דרך</w:t>
      </w:r>
      <w:r w:rsidRPr="00EB2B32">
        <w:rPr>
          <w:rFonts w:ascii="Century" w:hAnsi="Century" w:cs="Miriam"/>
          <w:b/>
          <w:spacing w:val="0"/>
          <w:szCs w:val="24"/>
          <w:rtl/>
        </w:rPr>
        <w:t xml:space="preserve"> </w:t>
      </w:r>
      <w:r w:rsidRPr="00EB2B32">
        <w:rPr>
          <w:rFonts w:ascii="Century" w:hAnsi="Century" w:cs="Miriam" w:hint="eastAsia"/>
          <w:b/>
          <w:spacing w:val="0"/>
          <w:szCs w:val="24"/>
          <w:rtl/>
        </w:rPr>
        <w:t>שהיא</w:t>
      </w:r>
      <w:r w:rsidRPr="00EB2B32">
        <w:rPr>
          <w:rFonts w:ascii="Century" w:hAnsi="Century" w:cs="Miriam"/>
          <w:b/>
          <w:spacing w:val="0"/>
          <w:szCs w:val="24"/>
          <w:rtl/>
        </w:rPr>
        <w:t xml:space="preserve"> </w:t>
      </w:r>
      <w:r w:rsidRPr="00EB2B32">
        <w:rPr>
          <w:rFonts w:ascii="Century" w:hAnsi="Century" w:cs="Miriam" w:hint="eastAsia"/>
          <w:b/>
          <w:spacing w:val="0"/>
          <w:szCs w:val="24"/>
          <w:rtl/>
        </w:rPr>
        <w:t>בהתאם</w:t>
      </w:r>
      <w:r w:rsidRPr="00EB2B32">
        <w:rPr>
          <w:rFonts w:ascii="Century" w:hAnsi="Century" w:cs="Miriam"/>
          <w:b/>
          <w:spacing w:val="0"/>
          <w:szCs w:val="24"/>
          <w:rtl/>
        </w:rPr>
        <w:t xml:space="preserve"> </w:t>
      </w:r>
      <w:r w:rsidRPr="00EB2B32">
        <w:rPr>
          <w:rFonts w:ascii="Century" w:hAnsi="Century" w:cs="Miriam" w:hint="eastAsia"/>
          <w:b/>
          <w:spacing w:val="0"/>
          <w:szCs w:val="24"/>
          <w:rtl/>
        </w:rPr>
        <w:t>לתכנית</w:t>
      </w:r>
      <w:r w:rsidRPr="00EB2B32">
        <w:rPr>
          <w:rFonts w:ascii="Century" w:hAnsi="Century" w:cs="Miriam"/>
          <w:b/>
          <w:spacing w:val="0"/>
          <w:szCs w:val="24"/>
          <w:rtl/>
        </w:rPr>
        <w:t xml:space="preserve"> </w:t>
      </w:r>
      <w:r w:rsidRPr="00EB2B32">
        <w:rPr>
          <w:rFonts w:ascii="Century" w:hAnsi="Century" w:cs="Miriam" w:hint="eastAsia"/>
          <w:b/>
          <w:spacing w:val="0"/>
          <w:szCs w:val="24"/>
          <w:rtl/>
        </w:rPr>
        <w:t>החלה</w:t>
      </w:r>
      <w:r w:rsidRPr="00EB2B32">
        <w:rPr>
          <w:rFonts w:ascii="Century" w:hAnsi="Century" w:cs="Miriam"/>
          <w:b/>
          <w:spacing w:val="0"/>
          <w:szCs w:val="24"/>
          <w:rtl/>
        </w:rPr>
        <w:t xml:space="preserve"> </w:t>
      </w:r>
      <w:r w:rsidRPr="00EB2B32">
        <w:rPr>
          <w:rFonts w:ascii="Century" w:hAnsi="Century" w:cs="Miriam" w:hint="eastAsia"/>
          <w:b/>
          <w:spacing w:val="0"/>
          <w:szCs w:val="24"/>
          <w:rtl/>
        </w:rPr>
        <w:t>בעת</w:t>
      </w:r>
      <w:r w:rsidRPr="00EB2B32">
        <w:rPr>
          <w:rFonts w:ascii="Century" w:hAnsi="Century" w:cs="Miriam"/>
          <w:b/>
          <w:spacing w:val="0"/>
          <w:szCs w:val="24"/>
          <w:rtl/>
        </w:rPr>
        <w:t xml:space="preserve"> </w:t>
      </w:r>
      <w:r w:rsidRPr="00EB2B32">
        <w:rPr>
          <w:rFonts w:ascii="Century" w:hAnsi="Century" w:cs="Miriam" w:hint="eastAsia"/>
          <w:b/>
          <w:spacing w:val="0"/>
          <w:szCs w:val="24"/>
          <w:rtl/>
        </w:rPr>
        <w:t>המכירה</w:t>
      </w:r>
      <w:r w:rsidRPr="00EB2B32">
        <w:rPr>
          <w:rFonts w:ascii="Century" w:hAnsi="Century"/>
          <w:rtl/>
        </w:rPr>
        <w:t xml:space="preserve">, </w:t>
      </w:r>
      <w:r w:rsidRPr="00EB2B32">
        <w:rPr>
          <w:rFonts w:ascii="Century" w:hAnsi="Century" w:hint="eastAsia"/>
          <w:rtl/>
        </w:rPr>
        <w:t>הרי</w:t>
      </w:r>
      <w:r w:rsidRPr="00EB2B32">
        <w:rPr>
          <w:rFonts w:ascii="Century" w:hAnsi="Century"/>
          <w:rtl/>
        </w:rPr>
        <w:t xml:space="preserve"> </w:t>
      </w:r>
      <w:r w:rsidRPr="00EB2B32">
        <w:rPr>
          <w:rFonts w:ascii="Century" w:hAnsi="Century" w:hint="eastAsia"/>
          <w:rtl/>
        </w:rPr>
        <w:t>שיש</w:t>
      </w:r>
      <w:r w:rsidRPr="00EB2B32">
        <w:rPr>
          <w:rFonts w:ascii="Century" w:hAnsi="Century"/>
          <w:rtl/>
        </w:rPr>
        <w:t xml:space="preserve"> </w:t>
      </w:r>
      <w:r w:rsidRPr="00EB2B32">
        <w:rPr>
          <w:rFonts w:ascii="Century" w:hAnsi="Century" w:hint="eastAsia"/>
          <w:rtl/>
        </w:rPr>
        <w:t>לראות</w:t>
      </w:r>
      <w:r w:rsidRPr="00EB2B32">
        <w:rPr>
          <w:rFonts w:ascii="Century" w:hAnsi="Century"/>
          <w:rtl/>
        </w:rPr>
        <w:t xml:space="preserve"> </w:t>
      </w:r>
      <w:r w:rsidRPr="00EB2B32">
        <w:rPr>
          <w:rFonts w:ascii="Century" w:hAnsi="Century" w:hint="eastAsia"/>
          <w:rtl/>
        </w:rPr>
        <w:t>את</w:t>
      </w:r>
      <w:r w:rsidRPr="00EB2B32">
        <w:rPr>
          <w:rFonts w:ascii="Century" w:hAnsi="Century"/>
          <w:rtl/>
        </w:rPr>
        <w:t xml:space="preserve"> </w:t>
      </w:r>
      <w:r w:rsidRPr="00EB2B32">
        <w:rPr>
          <w:rFonts w:ascii="Century" w:hAnsi="Century" w:hint="eastAsia"/>
          <w:rtl/>
        </w:rPr>
        <w:t>הזכות</w:t>
      </w:r>
      <w:r w:rsidRPr="00EB2B32">
        <w:rPr>
          <w:rFonts w:ascii="Century" w:hAnsi="Century"/>
          <w:rtl/>
        </w:rPr>
        <w:t xml:space="preserve"> </w:t>
      </w:r>
      <w:r w:rsidRPr="00EB2B32">
        <w:rPr>
          <w:rFonts w:ascii="Century" w:hAnsi="Century" w:hint="eastAsia"/>
          <w:rtl/>
        </w:rPr>
        <w:t>במקרקעין</w:t>
      </w:r>
      <w:r w:rsidRPr="00EB2B32">
        <w:rPr>
          <w:rFonts w:ascii="Century" w:hAnsi="Century"/>
          <w:rtl/>
        </w:rPr>
        <w:t xml:space="preserve"> </w:t>
      </w:r>
      <w:r w:rsidRPr="00EB2B32">
        <w:rPr>
          <w:rFonts w:ascii="Century" w:hAnsi="Century" w:hint="eastAsia"/>
          <w:rtl/>
        </w:rPr>
        <w:t>הנמכרת</w:t>
      </w:r>
      <w:r w:rsidRPr="00EB2B32">
        <w:rPr>
          <w:rFonts w:ascii="Century" w:hAnsi="Century"/>
          <w:rtl/>
        </w:rPr>
        <w:t xml:space="preserve"> </w:t>
      </w:r>
      <w:r w:rsidRPr="00EB2B32">
        <w:rPr>
          <w:rFonts w:ascii="Century" w:hAnsi="Century" w:cs="Miriam" w:hint="eastAsia"/>
          <w:b/>
          <w:spacing w:val="0"/>
          <w:szCs w:val="24"/>
          <w:rtl/>
        </w:rPr>
        <w:t>כזכות</w:t>
      </w:r>
      <w:r w:rsidRPr="00EB2B32">
        <w:rPr>
          <w:rFonts w:ascii="Century" w:hAnsi="Century" w:cs="Miriam"/>
          <w:b/>
          <w:spacing w:val="0"/>
          <w:szCs w:val="24"/>
          <w:rtl/>
        </w:rPr>
        <w:t xml:space="preserve"> </w:t>
      </w:r>
      <w:r w:rsidRPr="00EB2B32">
        <w:rPr>
          <w:rFonts w:ascii="Century" w:hAnsi="Century" w:cs="Miriam" w:hint="eastAsia"/>
          <w:b/>
          <w:spacing w:val="0"/>
          <w:szCs w:val="24"/>
          <w:rtl/>
        </w:rPr>
        <w:t>במקרקעין</w:t>
      </w:r>
      <w:r w:rsidRPr="00EB2B32">
        <w:rPr>
          <w:rFonts w:ascii="Century" w:hAnsi="Century" w:cs="Miriam"/>
          <w:b/>
          <w:spacing w:val="0"/>
          <w:szCs w:val="24"/>
          <w:rtl/>
        </w:rPr>
        <w:t xml:space="preserve"> </w:t>
      </w:r>
      <w:r w:rsidRPr="00EB2B32">
        <w:rPr>
          <w:rFonts w:ascii="Century" w:hAnsi="Century" w:cs="Miriam" w:hint="eastAsia"/>
          <w:b/>
          <w:spacing w:val="0"/>
          <w:szCs w:val="24"/>
          <w:rtl/>
        </w:rPr>
        <w:t>מושבחים</w:t>
      </w:r>
      <w:r>
        <w:rPr>
          <w:rFonts w:ascii="Century" w:hAnsi="Century" w:cs="Miriam" w:hint="cs"/>
          <w:b/>
          <w:spacing w:val="0"/>
          <w:szCs w:val="24"/>
          <w:rtl/>
        </w:rPr>
        <w:t xml:space="preserve"> (להבדיל ממפותחים)</w:t>
      </w:r>
      <w:r w:rsidRPr="00EB2B32">
        <w:rPr>
          <w:rFonts w:ascii="Century" w:hAnsi="Century"/>
          <w:rtl/>
        </w:rPr>
        <w:t xml:space="preserve">, </w:t>
      </w:r>
      <w:r w:rsidRPr="00EB2B32">
        <w:rPr>
          <w:rFonts w:ascii="Century" w:hAnsi="Century" w:hint="eastAsia"/>
          <w:rtl/>
        </w:rPr>
        <w:t>ואת</w:t>
      </w:r>
      <w:r w:rsidRPr="00EB2B32">
        <w:rPr>
          <w:rFonts w:ascii="Century" w:hAnsi="Century"/>
          <w:rtl/>
        </w:rPr>
        <w:t xml:space="preserve"> </w:t>
      </w:r>
      <w:r w:rsidRPr="00EB2B32">
        <w:rPr>
          <w:rFonts w:ascii="Century" w:hAnsi="Century" w:hint="eastAsia"/>
          <w:rtl/>
        </w:rPr>
        <w:t>שווי</w:t>
      </w:r>
      <w:r w:rsidRPr="00EB2B32">
        <w:rPr>
          <w:rFonts w:ascii="Century" w:hAnsi="Century"/>
          <w:rtl/>
        </w:rPr>
        <w:t xml:space="preserve"> </w:t>
      </w:r>
      <w:r w:rsidRPr="00EB2B32">
        <w:rPr>
          <w:rFonts w:ascii="Century" w:hAnsi="Century" w:hint="eastAsia"/>
          <w:rtl/>
        </w:rPr>
        <w:t>המכירה</w:t>
      </w:r>
      <w:r w:rsidRPr="00EB2B32">
        <w:rPr>
          <w:rFonts w:ascii="Century" w:hAnsi="Century"/>
          <w:rtl/>
        </w:rPr>
        <w:t xml:space="preserve"> </w:t>
      </w:r>
      <w:r w:rsidRPr="00EB2B32">
        <w:rPr>
          <w:rFonts w:ascii="Century" w:hAnsi="Century" w:hint="eastAsia"/>
          <w:rtl/>
        </w:rPr>
        <w:t>כשווי</w:t>
      </w:r>
      <w:r w:rsidRPr="00EB2B32">
        <w:rPr>
          <w:rFonts w:ascii="Century" w:hAnsi="Century"/>
          <w:rtl/>
        </w:rPr>
        <w:t xml:space="preserve"> </w:t>
      </w:r>
      <w:r w:rsidRPr="00EB2B32">
        <w:rPr>
          <w:rFonts w:ascii="Century" w:hAnsi="Century" w:hint="eastAsia"/>
          <w:rtl/>
        </w:rPr>
        <w:t>המקרקעין</w:t>
      </w:r>
      <w:r w:rsidRPr="00EB2B32">
        <w:rPr>
          <w:rFonts w:ascii="Century" w:hAnsi="Century"/>
          <w:rtl/>
        </w:rPr>
        <w:t xml:space="preserve"> </w:t>
      </w:r>
      <w:r w:rsidRPr="00EB2B32">
        <w:rPr>
          <w:rFonts w:ascii="Century" w:hAnsi="Century" w:cs="Miriam" w:hint="eastAsia"/>
          <w:b/>
          <w:spacing w:val="0"/>
          <w:szCs w:val="24"/>
          <w:rtl/>
        </w:rPr>
        <w:t>בתוספת</w:t>
      </w:r>
      <w:r w:rsidRPr="00EB2B32">
        <w:rPr>
          <w:rFonts w:ascii="Century" w:hAnsi="Century" w:cs="Miriam"/>
          <w:b/>
          <w:spacing w:val="0"/>
          <w:szCs w:val="24"/>
          <w:rtl/>
        </w:rPr>
        <w:t xml:space="preserve"> </w:t>
      </w:r>
      <w:r w:rsidRPr="00EB2B32">
        <w:rPr>
          <w:rFonts w:ascii="Century" w:hAnsi="Century" w:cs="Miriam" w:hint="eastAsia"/>
          <w:b/>
          <w:spacing w:val="0"/>
          <w:szCs w:val="24"/>
          <w:rtl/>
        </w:rPr>
        <w:t>ההשבחה</w:t>
      </w:r>
      <w:r w:rsidRPr="00EB2B32">
        <w:rPr>
          <w:rFonts w:ascii="Century" w:hAnsi="Century" w:cs="Miriam"/>
          <w:b/>
          <w:spacing w:val="0"/>
          <w:szCs w:val="24"/>
          <w:rtl/>
        </w:rPr>
        <w:t xml:space="preserve"> </w:t>
      </w:r>
      <w:r w:rsidRPr="00EB2B32">
        <w:rPr>
          <w:rFonts w:ascii="Century" w:hAnsi="Century" w:cs="Miriam" w:hint="eastAsia"/>
          <w:b/>
          <w:spacing w:val="0"/>
          <w:szCs w:val="24"/>
          <w:rtl/>
        </w:rPr>
        <w:t>הצפויה</w:t>
      </w:r>
      <w:r>
        <w:rPr>
          <w:rFonts w:ascii="Century" w:hAnsi="Century" w:hint="cs"/>
          <w:rtl/>
        </w:rPr>
        <w:t xml:space="preserve"> (כפי שהיו הנסיבות בעניין </w:t>
      </w:r>
      <w:proofErr w:type="spellStart"/>
      <w:r w:rsidRPr="00EB2B32">
        <w:rPr>
          <w:rFonts w:ascii="Century" w:hAnsi="Century" w:cs="Miriam" w:hint="cs"/>
          <w:b/>
          <w:spacing w:val="0"/>
          <w:szCs w:val="24"/>
          <w:rtl/>
        </w:rPr>
        <w:t>מידטאון</w:t>
      </w:r>
      <w:proofErr w:type="spellEnd"/>
      <w:r>
        <w:rPr>
          <w:rFonts w:ascii="Century" w:hAnsi="Century" w:hint="cs"/>
          <w:rtl/>
        </w:rPr>
        <w:t>)</w:t>
      </w:r>
      <w:r w:rsidRPr="00EB2B32">
        <w:rPr>
          <w:rFonts w:ascii="Century" w:hAnsi="Century"/>
          <w:rtl/>
        </w:rPr>
        <w:t>.</w:t>
      </w:r>
      <w:r>
        <w:rPr>
          <w:rFonts w:ascii="Century" w:hAnsi="Century" w:hint="cs"/>
          <w:rtl/>
        </w:rPr>
        <w:t xml:space="preserve"> </w:t>
      </w:r>
    </w:p>
    <w:p w:rsidR="00A14F89" w:rsidRDefault="00A14F89" w:rsidP="00A14F89">
      <w:pPr>
        <w:pStyle w:val="Ruller41"/>
        <w:rPr>
          <w:rFonts w:ascii="Century" w:hAnsi="Century"/>
          <w:rtl/>
        </w:rPr>
      </w:pPr>
    </w:p>
    <w:p w:rsidR="00A14F89" w:rsidRDefault="00A14F89" w:rsidP="00A14F89">
      <w:pPr>
        <w:pStyle w:val="Ruller41"/>
        <w:rPr>
          <w:rFonts w:ascii="Century" w:hAnsi="Century"/>
          <w:rtl/>
        </w:rPr>
      </w:pPr>
      <w:r>
        <w:rPr>
          <w:rFonts w:ascii="Century" w:hAnsi="Century"/>
          <w:rtl/>
        </w:rPr>
        <w:tab/>
      </w:r>
      <w:r>
        <w:rPr>
          <w:rFonts w:ascii="Century" w:hAnsi="Century" w:hint="cs"/>
          <w:rtl/>
        </w:rPr>
        <w:t xml:space="preserve">ויובהר </w:t>
      </w:r>
      <w:r>
        <w:rPr>
          <w:rFonts w:ascii="Century" w:hAnsi="Century"/>
          <w:rtl/>
        </w:rPr>
        <w:t>–</w:t>
      </w:r>
      <w:r>
        <w:rPr>
          <w:rFonts w:ascii="Century" w:hAnsi="Century" w:hint="cs"/>
          <w:rtl/>
        </w:rPr>
        <w:t xml:space="preserve"> מובן כי פיתוח מקרקעין מעלה את ערכם (כשם שבניית בית על מקרקעין פנויים מעלה את ערך הזכות במקרקעין הנדונים, וכפי שאף שיפוץ דירה מעלה את ערך הזכות הנמכרת במקרקעין). ואולם, הכללת הוצאות הפיתוח ב"שווי המכירה" לא תתאפשר בנסיבות שבהן הרוכש אך מתחייב לשאת בעלויות עבודות הפיתוח (אשר כאמור יעלו את ערך המקרקעין), אלא היא תתאפשר אך ורק בנסיבות שבהן כתוצאה מהתחייבות זו המקרקעין צפויים להיות מושבחים בהתאם לתכנית החלה על המקרקעין בעת המכירה </w:t>
      </w:r>
      <w:r>
        <w:rPr>
          <w:rFonts w:ascii="Century" w:hAnsi="Century"/>
          <w:rtl/>
        </w:rPr>
        <w:t>–</w:t>
      </w:r>
      <w:r>
        <w:rPr>
          <w:rFonts w:ascii="Century" w:hAnsi="Century" w:hint="cs"/>
          <w:rtl/>
        </w:rPr>
        <w:t xml:space="preserve"> </w:t>
      </w:r>
      <w:r w:rsidRPr="00E96993">
        <w:rPr>
          <w:rFonts w:ascii="Century" w:hAnsi="Century" w:hint="cs"/>
          <w:rtl/>
        </w:rPr>
        <w:t xml:space="preserve">היינו, ערכם צפוי לעלות </w:t>
      </w:r>
      <w:r w:rsidRPr="00E96993">
        <w:rPr>
          <w:rFonts w:ascii="Century" w:hAnsi="Century" w:cs="Miriam" w:hint="eastAsia"/>
          <w:b/>
          <w:spacing w:val="0"/>
          <w:szCs w:val="24"/>
          <w:rtl/>
        </w:rPr>
        <w:t>כתוצאה</w:t>
      </w:r>
      <w:r w:rsidRPr="007A408F">
        <w:rPr>
          <w:rFonts w:ascii="Century" w:hAnsi="Century" w:cs="Miriam"/>
          <w:b/>
          <w:spacing w:val="0"/>
          <w:szCs w:val="24"/>
          <w:rtl/>
        </w:rPr>
        <w:t xml:space="preserve"> </w:t>
      </w:r>
      <w:r w:rsidRPr="007A408F">
        <w:rPr>
          <w:rFonts w:ascii="Century" w:hAnsi="Century" w:cs="Miriam" w:hint="eastAsia"/>
          <w:b/>
          <w:spacing w:val="0"/>
          <w:szCs w:val="24"/>
          <w:rtl/>
        </w:rPr>
        <w:t>מהחלטה</w:t>
      </w:r>
      <w:r w:rsidRPr="007A408F">
        <w:rPr>
          <w:rFonts w:ascii="Century" w:hAnsi="Century" w:cs="Miriam"/>
          <w:b/>
          <w:spacing w:val="0"/>
          <w:szCs w:val="24"/>
          <w:rtl/>
        </w:rPr>
        <w:t xml:space="preserve"> </w:t>
      </w:r>
      <w:r w:rsidRPr="007A408F">
        <w:rPr>
          <w:rFonts w:ascii="Century" w:hAnsi="Century" w:cs="Miriam" w:hint="eastAsia"/>
          <w:b/>
          <w:spacing w:val="0"/>
          <w:szCs w:val="24"/>
          <w:rtl/>
        </w:rPr>
        <w:t>של</w:t>
      </w:r>
      <w:r w:rsidRPr="007A408F">
        <w:rPr>
          <w:rFonts w:ascii="Century" w:hAnsi="Century" w:cs="Miriam"/>
          <w:b/>
          <w:spacing w:val="0"/>
          <w:szCs w:val="24"/>
          <w:rtl/>
        </w:rPr>
        <w:t xml:space="preserve"> </w:t>
      </w:r>
      <w:r w:rsidRPr="007A408F">
        <w:rPr>
          <w:rFonts w:ascii="Century" w:hAnsi="Century" w:cs="Miriam" w:hint="eastAsia"/>
          <w:b/>
          <w:spacing w:val="0"/>
          <w:szCs w:val="24"/>
          <w:rtl/>
        </w:rPr>
        <w:t>הרשות</w:t>
      </w:r>
      <w:r w:rsidRPr="007A408F">
        <w:rPr>
          <w:rFonts w:ascii="Century" w:hAnsi="Century" w:cs="Miriam"/>
          <w:b/>
          <w:spacing w:val="0"/>
          <w:szCs w:val="24"/>
          <w:rtl/>
        </w:rPr>
        <w:t xml:space="preserve"> </w:t>
      </w:r>
      <w:r w:rsidRPr="007A408F">
        <w:rPr>
          <w:rFonts w:ascii="Century" w:hAnsi="Century" w:cs="Miriam" w:hint="eastAsia"/>
          <w:b/>
          <w:spacing w:val="0"/>
          <w:szCs w:val="24"/>
          <w:rtl/>
        </w:rPr>
        <w:t>התכנונית</w:t>
      </w:r>
      <w:r w:rsidRPr="007A408F">
        <w:rPr>
          <w:rFonts w:ascii="Century" w:hAnsi="Century" w:cs="Miriam"/>
          <w:b/>
          <w:spacing w:val="0"/>
          <w:szCs w:val="24"/>
          <w:rtl/>
        </w:rPr>
        <w:t xml:space="preserve"> </w:t>
      </w:r>
      <w:r w:rsidRPr="007A408F">
        <w:rPr>
          <w:rFonts w:ascii="Century" w:hAnsi="Century" w:cs="Miriam" w:hint="eastAsia"/>
          <w:b/>
          <w:spacing w:val="0"/>
          <w:szCs w:val="24"/>
          <w:rtl/>
        </w:rPr>
        <w:t>הרלוונטית</w:t>
      </w:r>
      <w:r w:rsidRPr="007A408F">
        <w:rPr>
          <w:rFonts w:ascii="Century" w:hAnsi="Century" w:hint="cs"/>
          <w:rtl/>
        </w:rPr>
        <w:t>,</w:t>
      </w:r>
      <w:r>
        <w:rPr>
          <w:rFonts w:ascii="Century" w:hAnsi="Century" w:hint="cs"/>
          <w:rtl/>
        </w:rPr>
        <w:t xml:space="preserve"> ולא אך בשל מעשה או התחייבות מצד בעל המקרקעין או הרוכש. </w:t>
      </w:r>
    </w:p>
    <w:p w:rsidR="00A14F89" w:rsidRDefault="00A14F89" w:rsidP="00A14F89">
      <w:pPr>
        <w:pStyle w:val="Ruller41"/>
        <w:rPr>
          <w:rFonts w:ascii="Century" w:hAnsi="Century"/>
          <w:rtl/>
        </w:rPr>
      </w:pPr>
    </w:p>
    <w:p w:rsidR="00A14F89" w:rsidRDefault="00A14F89" w:rsidP="00A14F89">
      <w:pPr>
        <w:pStyle w:val="Ruller41"/>
        <w:rPr>
          <w:rFonts w:ascii="Century" w:hAnsi="Century"/>
          <w:rtl/>
        </w:rPr>
      </w:pPr>
      <w:r>
        <w:rPr>
          <w:rFonts w:ascii="Century" w:hAnsi="Century" w:hint="cs"/>
          <w:rtl/>
        </w:rPr>
        <w:t>45.</w:t>
      </w:r>
      <w:r>
        <w:rPr>
          <w:rFonts w:ascii="Century" w:hAnsi="Century" w:hint="cs"/>
          <w:rtl/>
        </w:rPr>
        <w:tab/>
        <w:t xml:space="preserve">חיזוק למסקנה האמורה, שלפיה פסקי הדין בעניין </w:t>
      </w:r>
      <w:r w:rsidRPr="00BE53A5">
        <w:rPr>
          <w:rFonts w:ascii="Century" w:hAnsi="Century" w:cs="Miriam" w:hint="cs"/>
          <w:b/>
          <w:spacing w:val="0"/>
          <w:szCs w:val="24"/>
          <w:rtl/>
        </w:rPr>
        <w:t>אורלי</w:t>
      </w:r>
      <w:r>
        <w:rPr>
          <w:rFonts w:ascii="Century" w:hAnsi="Century" w:hint="cs"/>
          <w:rtl/>
        </w:rPr>
        <w:t xml:space="preserve">, </w:t>
      </w:r>
      <w:r w:rsidRPr="00BE53A5">
        <w:rPr>
          <w:rFonts w:ascii="Century" w:hAnsi="Century" w:cs="Miriam" w:hint="cs"/>
          <w:b/>
          <w:spacing w:val="0"/>
          <w:szCs w:val="24"/>
          <w:rtl/>
        </w:rPr>
        <w:t>פרידמן</w:t>
      </w:r>
      <w:r w:rsidRPr="00BE53A5">
        <w:rPr>
          <w:rFonts w:ascii="Century" w:hAnsi="Century" w:hint="cs"/>
          <w:rtl/>
        </w:rPr>
        <w:t xml:space="preserve"> ו</w:t>
      </w:r>
      <w:r>
        <w:rPr>
          <w:rFonts w:ascii="Century" w:hAnsi="Century" w:hint="cs"/>
          <w:rtl/>
        </w:rPr>
        <w:t>-</w:t>
      </w:r>
      <w:proofErr w:type="spellStart"/>
      <w:r w:rsidRPr="00BE53A5">
        <w:rPr>
          <w:rFonts w:ascii="Century" w:hAnsi="Century" w:cs="Miriam" w:hint="cs"/>
          <w:b/>
          <w:spacing w:val="0"/>
          <w:szCs w:val="24"/>
          <w:rtl/>
        </w:rPr>
        <w:t>מידטאון</w:t>
      </w:r>
      <w:proofErr w:type="spellEnd"/>
      <w:r>
        <w:rPr>
          <w:rFonts w:ascii="Century" w:hAnsi="Century" w:hint="cs"/>
          <w:rtl/>
        </w:rPr>
        <w:t xml:space="preserve"> לא כוונו לשינוי הלכת </w:t>
      </w:r>
      <w:r w:rsidRPr="00BE53A5">
        <w:rPr>
          <w:rFonts w:ascii="Century" w:hAnsi="Century" w:cs="Miriam" w:hint="cs"/>
          <w:b/>
          <w:spacing w:val="0"/>
          <w:szCs w:val="24"/>
          <w:rtl/>
        </w:rPr>
        <w:t>שרביט</w:t>
      </w:r>
      <w:r>
        <w:rPr>
          <w:rFonts w:ascii="Century" w:hAnsi="Century" w:hint="cs"/>
          <w:rtl/>
        </w:rPr>
        <w:t xml:space="preserve">, אלא עסקו בנסיבות בהן מימוש ההתחייבות של הרוכש צפויה הייתה להשביח את המקרקעין, ניתן לראות בפסקי הדין </w:t>
      </w:r>
      <w:r w:rsidRPr="004D3F6C">
        <w:rPr>
          <w:rFonts w:ascii="Century" w:hAnsi="Century" w:hint="cs"/>
          <w:rtl/>
        </w:rPr>
        <w:t xml:space="preserve">האמורים עצמם, אשר הבחינו באופן מפורש בין המקרים, כפי שפורט לעיל (ראו לעיל בפסקאות </w:t>
      </w:r>
      <w:r w:rsidRPr="004D3F6C">
        <w:rPr>
          <w:rFonts w:ascii="Century" w:hAnsi="Century"/>
          <w:rtl/>
        </w:rPr>
        <w:t xml:space="preserve">37 </w:t>
      </w:r>
      <w:r w:rsidRPr="004D3F6C">
        <w:rPr>
          <w:rFonts w:ascii="Century" w:hAnsi="Century" w:hint="eastAsia"/>
          <w:rtl/>
        </w:rPr>
        <w:t>ו</w:t>
      </w:r>
      <w:r w:rsidRPr="004D3F6C">
        <w:rPr>
          <w:rFonts w:ascii="Century" w:hAnsi="Century"/>
          <w:rtl/>
        </w:rPr>
        <w:t>-39</w:t>
      </w:r>
      <w:r w:rsidRPr="004D3F6C">
        <w:rPr>
          <w:rFonts w:ascii="Century" w:hAnsi="Century" w:hint="cs"/>
          <w:rtl/>
        </w:rPr>
        <w:t>). במילים אחרות, הפסיקה החדשה, כפי שמכנה אותה המערער, ראתה עצמה מחויבת להלכת</w:t>
      </w:r>
      <w:r>
        <w:rPr>
          <w:rFonts w:ascii="Century" w:hAnsi="Century" w:hint="cs"/>
          <w:rtl/>
        </w:rPr>
        <w:t xml:space="preserve"> </w:t>
      </w:r>
      <w:r w:rsidRPr="00DF5654">
        <w:rPr>
          <w:rFonts w:ascii="Century" w:hAnsi="Century" w:cs="Miriam" w:hint="cs"/>
          <w:b/>
          <w:spacing w:val="0"/>
          <w:szCs w:val="24"/>
          <w:rtl/>
        </w:rPr>
        <w:t>שרביט</w:t>
      </w:r>
      <w:r>
        <w:rPr>
          <w:rFonts w:ascii="Century" w:hAnsi="Century" w:hint="cs"/>
          <w:rtl/>
        </w:rPr>
        <w:t xml:space="preserve">, וקבעה כי היא אינה סותרת אותה. אף אני סבורה כי הלכת </w:t>
      </w:r>
      <w:r w:rsidRPr="008A2A65">
        <w:rPr>
          <w:rFonts w:ascii="Century" w:hAnsi="Century" w:cs="Miriam" w:hint="cs"/>
          <w:b/>
          <w:spacing w:val="0"/>
          <w:szCs w:val="24"/>
          <w:rtl/>
        </w:rPr>
        <w:t>שרביט</w:t>
      </w:r>
      <w:r w:rsidRPr="008A2A65">
        <w:rPr>
          <w:rFonts w:ascii="Century" w:hAnsi="Century" w:hint="cs"/>
          <w:rtl/>
        </w:rPr>
        <w:t xml:space="preserve"> </w:t>
      </w:r>
      <w:r>
        <w:rPr>
          <w:rFonts w:ascii="Century" w:hAnsi="Century" w:hint="cs"/>
          <w:rtl/>
        </w:rPr>
        <w:t xml:space="preserve">עומדת על </w:t>
      </w:r>
      <w:r w:rsidRPr="00526E5E">
        <w:rPr>
          <w:rFonts w:ascii="Century" w:hAnsi="Century" w:hint="cs"/>
          <w:rtl/>
        </w:rPr>
        <w:t xml:space="preserve">מכונה, </w:t>
      </w:r>
      <w:r w:rsidRPr="00526E5E">
        <w:rPr>
          <w:rFonts w:ascii="Century" w:hAnsi="Century" w:hint="eastAsia"/>
          <w:rtl/>
        </w:rPr>
        <w:t>ואזכיר</w:t>
      </w:r>
      <w:r w:rsidRPr="00526E5E">
        <w:rPr>
          <w:rFonts w:ascii="Century" w:hAnsi="Century"/>
          <w:rtl/>
        </w:rPr>
        <w:t xml:space="preserve"> </w:t>
      </w:r>
      <w:r w:rsidRPr="00526E5E">
        <w:rPr>
          <w:rFonts w:ascii="Century" w:hAnsi="Century" w:hint="eastAsia"/>
          <w:rtl/>
        </w:rPr>
        <w:t>כי</w:t>
      </w:r>
      <w:r w:rsidRPr="00526E5E">
        <w:rPr>
          <w:rFonts w:ascii="Century" w:hAnsi="Century"/>
          <w:rtl/>
        </w:rPr>
        <w:t xml:space="preserve"> </w:t>
      </w:r>
      <w:r w:rsidRPr="00526E5E">
        <w:rPr>
          <w:rFonts w:ascii="Century" w:hAnsi="Century" w:hint="eastAsia"/>
          <w:rtl/>
        </w:rPr>
        <w:t>אף</w:t>
      </w:r>
      <w:r w:rsidRPr="00526E5E">
        <w:rPr>
          <w:rFonts w:ascii="Century" w:hAnsi="Century"/>
          <w:rtl/>
        </w:rPr>
        <w:t xml:space="preserve"> </w:t>
      </w:r>
      <w:r w:rsidRPr="00526E5E">
        <w:rPr>
          <w:rFonts w:ascii="Century" w:hAnsi="Century" w:hint="eastAsia"/>
          <w:rtl/>
        </w:rPr>
        <w:t>במסגרתה</w:t>
      </w:r>
      <w:r w:rsidRPr="00526E5E">
        <w:rPr>
          <w:rFonts w:ascii="Century" w:hAnsi="Century"/>
          <w:rtl/>
        </w:rPr>
        <w:t xml:space="preserve"> (</w:t>
      </w:r>
      <w:r w:rsidRPr="00526E5E">
        <w:rPr>
          <w:rFonts w:ascii="Century" w:hAnsi="Century" w:hint="eastAsia"/>
          <w:rtl/>
        </w:rPr>
        <w:t>ובמסגרת</w:t>
      </w:r>
      <w:r w:rsidRPr="00526E5E">
        <w:rPr>
          <w:rFonts w:ascii="Century" w:hAnsi="Century"/>
          <w:rtl/>
        </w:rPr>
        <w:t xml:space="preserve"> </w:t>
      </w:r>
      <w:r w:rsidRPr="00526E5E">
        <w:rPr>
          <w:rFonts w:ascii="Century" w:hAnsi="Century" w:hint="eastAsia"/>
          <w:rtl/>
        </w:rPr>
        <w:t>פסקי</w:t>
      </w:r>
      <w:r w:rsidRPr="00526E5E">
        <w:rPr>
          <w:rFonts w:ascii="Century" w:hAnsi="Century"/>
          <w:rtl/>
        </w:rPr>
        <w:t xml:space="preserve"> </w:t>
      </w:r>
      <w:r w:rsidRPr="00526E5E">
        <w:rPr>
          <w:rFonts w:ascii="Century" w:hAnsi="Century" w:hint="eastAsia"/>
          <w:rtl/>
        </w:rPr>
        <w:t>הדין</w:t>
      </w:r>
      <w:r w:rsidRPr="00526E5E">
        <w:rPr>
          <w:rFonts w:ascii="Century" w:hAnsi="Century"/>
          <w:rtl/>
        </w:rPr>
        <w:t xml:space="preserve"> </w:t>
      </w:r>
      <w:r w:rsidRPr="00526E5E">
        <w:rPr>
          <w:rFonts w:ascii="Century" w:hAnsi="Century" w:hint="eastAsia"/>
          <w:rtl/>
        </w:rPr>
        <w:t>שקדמו</w:t>
      </w:r>
      <w:r w:rsidRPr="00526E5E">
        <w:rPr>
          <w:rFonts w:ascii="Century" w:hAnsi="Century"/>
          <w:rtl/>
        </w:rPr>
        <w:t xml:space="preserve"> </w:t>
      </w:r>
      <w:r w:rsidRPr="004230E0">
        <w:rPr>
          <w:rFonts w:ascii="Century" w:hAnsi="Century" w:hint="eastAsia"/>
          <w:rtl/>
        </w:rPr>
        <w:t>לה</w:t>
      </w:r>
      <w:r w:rsidRPr="004230E0">
        <w:rPr>
          <w:rFonts w:ascii="Century" w:hAnsi="Century"/>
          <w:rtl/>
        </w:rPr>
        <w:t xml:space="preserve"> </w:t>
      </w:r>
      <w:r w:rsidRPr="004230E0">
        <w:rPr>
          <w:rFonts w:ascii="Century" w:hAnsi="Century" w:hint="eastAsia"/>
          <w:rtl/>
        </w:rPr>
        <w:t>ועסקו</w:t>
      </w:r>
      <w:r w:rsidRPr="004230E0">
        <w:rPr>
          <w:rFonts w:ascii="Century" w:hAnsi="Century"/>
          <w:rtl/>
        </w:rPr>
        <w:t xml:space="preserve"> </w:t>
      </w:r>
      <w:r w:rsidRPr="004230E0">
        <w:rPr>
          <w:rFonts w:ascii="Century" w:hAnsi="Century" w:hint="eastAsia"/>
          <w:rtl/>
        </w:rPr>
        <w:t>בסוגיה</w:t>
      </w:r>
      <w:r w:rsidRPr="004230E0">
        <w:rPr>
          <w:rFonts w:ascii="Century" w:hAnsi="Century"/>
          <w:rtl/>
        </w:rPr>
        <w:t xml:space="preserve">) </w:t>
      </w:r>
      <w:r w:rsidRPr="004230E0">
        <w:rPr>
          <w:rFonts w:ascii="Century" w:hAnsi="Century" w:hint="eastAsia"/>
          <w:rtl/>
        </w:rPr>
        <w:t>הודגש</w:t>
      </w:r>
      <w:r w:rsidRPr="004230E0">
        <w:rPr>
          <w:rFonts w:ascii="Century" w:hAnsi="Century"/>
          <w:rtl/>
        </w:rPr>
        <w:t xml:space="preserve"> </w:t>
      </w:r>
      <w:r w:rsidRPr="004230E0">
        <w:rPr>
          <w:rFonts w:ascii="Century" w:hAnsi="Century" w:hint="eastAsia"/>
          <w:rtl/>
        </w:rPr>
        <w:t>כי</w:t>
      </w:r>
      <w:r w:rsidRPr="004230E0">
        <w:rPr>
          <w:rFonts w:ascii="Century" w:hAnsi="Century"/>
          <w:rtl/>
        </w:rPr>
        <w:t xml:space="preserve"> </w:t>
      </w:r>
      <w:r w:rsidRPr="004230E0">
        <w:rPr>
          <w:rFonts w:ascii="Century" w:hAnsi="Century" w:hint="eastAsia"/>
          <w:rtl/>
        </w:rPr>
        <w:t>בנסיבות</w:t>
      </w:r>
      <w:r w:rsidRPr="004230E0">
        <w:rPr>
          <w:rFonts w:ascii="Century" w:hAnsi="Century"/>
          <w:rtl/>
        </w:rPr>
        <w:t xml:space="preserve"> </w:t>
      </w:r>
      <w:r w:rsidRPr="004230E0">
        <w:rPr>
          <w:rFonts w:ascii="Century" w:hAnsi="Century" w:hint="eastAsia"/>
          <w:rtl/>
        </w:rPr>
        <w:t>מסוימות</w:t>
      </w:r>
      <w:r w:rsidRPr="004230E0">
        <w:rPr>
          <w:rFonts w:ascii="Century" w:hAnsi="Century"/>
          <w:rtl/>
        </w:rPr>
        <w:t xml:space="preserve">, </w:t>
      </w:r>
      <w:r w:rsidRPr="004230E0">
        <w:rPr>
          <w:rFonts w:ascii="Century" w:hAnsi="Century" w:hint="eastAsia"/>
          <w:rtl/>
        </w:rPr>
        <w:t>בהתאם</w:t>
      </w:r>
      <w:r w:rsidRPr="004230E0">
        <w:rPr>
          <w:rFonts w:ascii="Century" w:hAnsi="Century"/>
          <w:rtl/>
        </w:rPr>
        <w:t xml:space="preserve"> </w:t>
      </w:r>
      <w:r w:rsidRPr="004230E0">
        <w:rPr>
          <w:rFonts w:ascii="Century" w:hAnsi="Century" w:hint="eastAsia"/>
          <w:rtl/>
        </w:rPr>
        <w:t>לבחינת</w:t>
      </w:r>
      <w:r w:rsidRPr="004230E0">
        <w:rPr>
          <w:rFonts w:ascii="Century" w:hAnsi="Century"/>
          <w:rtl/>
        </w:rPr>
        <w:t xml:space="preserve"> </w:t>
      </w:r>
      <w:r w:rsidRPr="004230E0">
        <w:rPr>
          <w:rFonts w:ascii="Century" w:hAnsi="Century" w:hint="eastAsia"/>
          <w:rtl/>
        </w:rPr>
        <w:t>מהותה</w:t>
      </w:r>
      <w:r w:rsidRPr="004230E0">
        <w:rPr>
          <w:rFonts w:ascii="Century" w:hAnsi="Century"/>
          <w:rtl/>
        </w:rPr>
        <w:t xml:space="preserve"> </w:t>
      </w:r>
      <w:r w:rsidRPr="004230E0">
        <w:rPr>
          <w:rFonts w:ascii="Century" w:hAnsi="Century" w:hint="eastAsia"/>
          <w:rtl/>
        </w:rPr>
        <w:t>הכלכלית</w:t>
      </w:r>
      <w:r w:rsidRPr="004230E0">
        <w:rPr>
          <w:rFonts w:ascii="Century" w:hAnsi="Century"/>
          <w:rtl/>
        </w:rPr>
        <w:t xml:space="preserve"> </w:t>
      </w:r>
      <w:proofErr w:type="spellStart"/>
      <w:r w:rsidRPr="004230E0">
        <w:rPr>
          <w:rFonts w:ascii="Century" w:hAnsi="Century" w:hint="eastAsia"/>
          <w:rtl/>
        </w:rPr>
        <w:t>האמיתית</w:t>
      </w:r>
      <w:proofErr w:type="spellEnd"/>
      <w:r w:rsidRPr="004230E0">
        <w:rPr>
          <w:rFonts w:ascii="Century" w:hAnsi="Century"/>
          <w:rtl/>
        </w:rPr>
        <w:t xml:space="preserve"> </w:t>
      </w:r>
      <w:r w:rsidRPr="004230E0">
        <w:rPr>
          <w:rFonts w:ascii="Century" w:hAnsi="Century" w:hint="eastAsia"/>
          <w:rtl/>
        </w:rPr>
        <w:t>של</w:t>
      </w:r>
      <w:r w:rsidRPr="004230E0">
        <w:rPr>
          <w:rFonts w:ascii="Century" w:hAnsi="Century"/>
          <w:rtl/>
        </w:rPr>
        <w:t xml:space="preserve"> </w:t>
      </w:r>
      <w:r w:rsidRPr="004230E0">
        <w:rPr>
          <w:rFonts w:ascii="Century" w:hAnsi="Century" w:hint="eastAsia"/>
          <w:rtl/>
        </w:rPr>
        <w:t>העסקה</w:t>
      </w:r>
      <w:r w:rsidRPr="004230E0">
        <w:rPr>
          <w:rFonts w:ascii="Century" w:hAnsi="Century"/>
          <w:rtl/>
        </w:rPr>
        <w:t xml:space="preserve">, </w:t>
      </w:r>
      <w:r w:rsidRPr="004230E0">
        <w:rPr>
          <w:rFonts w:ascii="Century" w:hAnsi="Century" w:hint="eastAsia"/>
          <w:rtl/>
        </w:rPr>
        <w:t>יהיה</w:t>
      </w:r>
      <w:r w:rsidRPr="004230E0">
        <w:rPr>
          <w:rFonts w:ascii="Century" w:hAnsi="Century"/>
          <w:rtl/>
        </w:rPr>
        <w:t xml:space="preserve"> </w:t>
      </w:r>
      <w:r w:rsidRPr="004230E0">
        <w:rPr>
          <w:rFonts w:ascii="Century" w:hAnsi="Century" w:hint="eastAsia"/>
          <w:rtl/>
        </w:rPr>
        <w:t>ניתן</w:t>
      </w:r>
      <w:r w:rsidRPr="004230E0">
        <w:rPr>
          <w:rFonts w:ascii="Century" w:hAnsi="Century"/>
          <w:rtl/>
        </w:rPr>
        <w:t xml:space="preserve"> </w:t>
      </w:r>
      <w:r w:rsidRPr="004230E0">
        <w:rPr>
          <w:rFonts w:ascii="Century" w:hAnsi="Century" w:hint="eastAsia"/>
          <w:rtl/>
        </w:rPr>
        <w:t>לכלול</w:t>
      </w:r>
      <w:r w:rsidRPr="004230E0">
        <w:rPr>
          <w:rFonts w:ascii="Century" w:hAnsi="Century"/>
          <w:rtl/>
        </w:rPr>
        <w:t xml:space="preserve"> </w:t>
      </w:r>
      <w:r w:rsidRPr="004230E0">
        <w:rPr>
          <w:rFonts w:ascii="Century" w:hAnsi="Century" w:hint="eastAsia"/>
          <w:rtl/>
        </w:rPr>
        <w:t>את</w:t>
      </w:r>
      <w:r w:rsidRPr="004230E0">
        <w:rPr>
          <w:rFonts w:ascii="Century" w:hAnsi="Century"/>
          <w:rtl/>
        </w:rPr>
        <w:t xml:space="preserve"> </w:t>
      </w:r>
      <w:r w:rsidRPr="004230E0">
        <w:rPr>
          <w:rFonts w:ascii="Century" w:hAnsi="Century" w:hint="eastAsia"/>
          <w:rtl/>
        </w:rPr>
        <w:t>הוצאות</w:t>
      </w:r>
      <w:r w:rsidRPr="004230E0">
        <w:rPr>
          <w:rFonts w:ascii="Century" w:hAnsi="Century"/>
          <w:rtl/>
        </w:rPr>
        <w:t xml:space="preserve"> </w:t>
      </w:r>
      <w:r w:rsidRPr="004230E0">
        <w:rPr>
          <w:rFonts w:ascii="Century" w:hAnsi="Century" w:hint="eastAsia"/>
          <w:rtl/>
        </w:rPr>
        <w:t>הפיתוח</w:t>
      </w:r>
      <w:r w:rsidRPr="004230E0">
        <w:rPr>
          <w:rFonts w:ascii="Century" w:hAnsi="Century"/>
          <w:rtl/>
        </w:rPr>
        <w:t xml:space="preserve"> </w:t>
      </w:r>
      <w:r w:rsidRPr="004230E0">
        <w:rPr>
          <w:rFonts w:ascii="Century" w:hAnsi="Century" w:hint="eastAsia"/>
          <w:rtl/>
        </w:rPr>
        <w:t>ב</w:t>
      </w:r>
      <w:r w:rsidRPr="004230E0">
        <w:rPr>
          <w:rFonts w:ascii="Century" w:hAnsi="Century"/>
          <w:rtl/>
        </w:rPr>
        <w:t>"</w:t>
      </w:r>
      <w:r w:rsidRPr="004230E0">
        <w:rPr>
          <w:rFonts w:ascii="Century" w:hAnsi="Century" w:hint="eastAsia"/>
          <w:rtl/>
        </w:rPr>
        <w:t>שווי</w:t>
      </w:r>
      <w:r w:rsidRPr="004230E0">
        <w:rPr>
          <w:rFonts w:ascii="Century" w:hAnsi="Century"/>
          <w:rtl/>
        </w:rPr>
        <w:t xml:space="preserve"> </w:t>
      </w:r>
      <w:r w:rsidRPr="004230E0">
        <w:rPr>
          <w:rFonts w:ascii="Century" w:hAnsi="Century" w:hint="eastAsia"/>
          <w:rtl/>
        </w:rPr>
        <w:t>המכירה</w:t>
      </w:r>
      <w:r w:rsidRPr="004230E0">
        <w:rPr>
          <w:rFonts w:ascii="Century" w:hAnsi="Century"/>
          <w:rtl/>
        </w:rPr>
        <w:t>".</w:t>
      </w:r>
      <w:r w:rsidRPr="004230E0">
        <w:rPr>
          <w:rFonts w:ascii="Century" w:hAnsi="Century" w:hint="cs"/>
          <w:rtl/>
        </w:rPr>
        <w:t xml:space="preserve"> נסיבות אלה, כפי שצוין לעיל, הן כאלה שאירעו למשל בעניין </w:t>
      </w:r>
      <w:proofErr w:type="spellStart"/>
      <w:r w:rsidRPr="004230E0">
        <w:rPr>
          <w:rFonts w:ascii="Century" w:hAnsi="Century" w:cs="Miriam" w:hint="cs"/>
          <w:b/>
          <w:spacing w:val="0"/>
          <w:szCs w:val="24"/>
          <w:rtl/>
        </w:rPr>
        <w:t>מידטאון</w:t>
      </w:r>
      <w:proofErr w:type="spellEnd"/>
      <w:r w:rsidRPr="004230E0">
        <w:rPr>
          <w:rFonts w:ascii="Century" w:hAnsi="Century" w:hint="cs"/>
          <w:rtl/>
        </w:rPr>
        <w:t>, אך זאת בשל ההשבחה</w:t>
      </w:r>
      <w:r>
        <w:rPr>
          <w:rFonts w:ascii="Century" w:hAnsi="Century" w:hint="cs"/>
          <w:rtl/>
        </w:rPr>
        <w:t xml:space="preserve"> שהייתה צפויה למקרקעין כתוצאה מפיתוחם (האפשרות לנצל את זכויות הבנייה בהתאם לתכנית שחלה באותה עת), ולא בשל עצם ההתחייבות לפתחם. </w:t>
      </w:r>
    </w:p>
    <w:p w:rsidR="00A14F89" w:rsidRDefault="00A14F89" w:rsidP="00A14F89">
      <w:pPr>
        <w:pStyle w:val="Ruller41"/>
        <w:rPr>
          <w:rFonts w:ascii="Century" w:hAnsi="Century"/>
          <w:rtl/>
        </w:rPr>
      </w:pPr>
    </w:p>
    <w:p w:rsidR="00A14F89" w:rsidRDefault="00A14F89" w:rsidP="00A14F89">
      <w:pPr>
        <w:pStyle w:val="Ruller41"/>
        <w:rPr>
          <w:rFonts w:ascii="Century" w:hAnsi="Century"/>
          <w:rtl/>
        </w:rPr>
      </w:pPr>
      <w:r>
        <w:rPr>
          <w:rFonts w:ascii="Century" w:hAnsi="Century" w:hint="cs"/>
          <w:rtl/>
        </w:rPr>
        <w:t>46.</w:t>
      </w:r>
      <w:r>
        <w:rPr>
          <w:rFonts w:ascii="Century" w:hAnsi="Century" w:hint="cs"/>
          <w:rtl/>
        </w:rPr>
        <w:tab/>
        <w:t xml:space="preserve">עוד אציין, כי כמו המשיבות אף אני סבורה שיש לייחס משקל מסוים לעובדה שניסיונות לעגן באופן מפורש במסגרת חוק מיסוי מקרקעין את הכללתן של הוצאות הפיתוח ב"שווי המכירה" לא צלחו (ראו בעניין </w:t>
      </w:r>
      <w:proofErr w:type="spellStart"/>
      <w:r w:rsidRPr="00E5796A">
        <w:rPr>
          <w:rFonts w:ascii="Century" w:hAnsi="Century" w:cs="Miriam" w:hint="cs"/>
          <w:b/>
          <w:spacing w:val="0"/>
          <w:szCs w:val="24"/>
          <w:rtl/>
        </w:rPr>
        <w:t>גרינבלט</w:t>
      </w:r>
      <w:proofErr w:type="spellEnd"/>
      <w:r>
        <w:rPr>
          <w:rFonts w:ascii="Century" w:hAnsi="Century" w:hint="cs"/>
          <w:rtl/>
        </w:rPr>
        <w:t xml:space="preserve">, עמ' 461-460). עובדה זו מלמדת שהמחוקק נדרש לסוגיה האמורה, אך עמדתה של רשות המסים בדבר המדיניות הראויה בסוגיה לא התקבלה על-ידו, ומכל מקום הניסיונות לעגנה בחוק לא נשאו פרי. </w:t>
      </w:r>
      <w:r>
        <w:rPr>
          <w:rFonts w:ascii="Century" w:hAnsi="Century" w:hint="cs"/>
          <w:rtl/>
        </w:rPr>
        <w:lastRenderedPageBreak/>
        <w:t xml:space="preserve">על רקע האמור, אמנם לא ניתן לקבוע כי המחוקק גילה דעתו באופן מפורש בסוגיה, שכן ניסיונות חקיקה אינם צולחים מסיבות שונות, ואולם נראה כי בפני רשות המסים פתוחה הדרך להוסיף ולנסות להביא לשינוי המצב המשפטי הקיים באמצעות שינוי החקיקה, כפי שאף הוער לפני שנים רבות בעניין </w:t>
      </w:r>
      <w:proofErr w:type="spellStart"/>
      <w:r w:rsidRPr="000A4499">
        <w:rPr>
          <w:rFonts w:ascii="Century" w:hAnsi="Century" w:cs="Miriam" w:hint="cs"/>
          <w:b/>
          <w:spacing w:val="0"/>
          <w:szCs w:val="24"/>
          <w:rtl/>
        </w:rPr>
        <w:t>גרינבלט</w:t>
      </w:r>
      <w:proofErr w:type="spellEnd"/>
      <w:r>
        <w:rPr>
          <w:rFonts w:ascii="Century" w:hAnsi="Century" w:hint="cs"/>
          <w:rtl/>
        </w:rPr>
        <w:t>.</w:t>
      </w:r>
    </w:p>
    <w:p w:rsidR="00A14F89" w:rsidRDefault="00A14F89" w:rsidP="00A14F89">
      <w:pPr>
        <w:pStyle w:val="Ruller41"/>
        <w:rPr>
          <w:rFonts w:ascii="Century" w:hAnsi="Century"/>
          <w:rtl/>
        </w:rPr>
      </w:pPr>
    </w:p>
    <w:p w:rsidR="00A14F89" w:rsidRPr="00C77C07" w:rsidRDefault="00A14F89" w:rsidP="00A14F89">
      <w:pPr>
        <w:pStyle w:val="Ruller41"/>
        <w:rPr>
          <w:rFonts w:ascii="Century" w:hAnsi="Century" w:cs="Miriam"/>
          <w:b/>
          <w:spacing w:val="0"/>
          <w:szCs w:val="24"/>
          <w:rtl/>
        </w:rPr>
      </w:pPr>
      <w:r w:rsidRPr="00C77C07">
        <w:rPr>
          <w:rFonts w:ascii="Century" w:hAnsi="Century" w:cs="Miriam" w:hint="cs"/>
          <w:b/>
          <w:spacing w:val="0"/>
          <w:szCs w:val="24"/>
          <w:rtl/>
        </w:rPr>
        <w:t>מן הכלל אל הפרט</w:t>
      </w:r>
    </w:p>
    <w:p w:rsidR="00A14F89" w:rsidRDefault="00A14F89" w:rsidP="00A14F89">
      <w:pPr>
        <w:pStyle w:val="Ruller41"/>
        <w:rPr>
          <w:rFonts w:ascii="Century" w:hAnsi="Century"/>
          <w:rtl/>
        </w:rPr>
      </w:pPr>
    </w:p>
    <w:p w:rsidR="00A14F89" w:rsidRDefault="00A14F89" w:rsidP="00A14F89">
      <w:pPr>
        <w:pStyle w:val="Ruller41"/>
        <w:rPr>
          <w:rFonts w:ascii="Century" w:hAnsi="Century"/>
          <w:rtl/>
        </w:rPr>
      </w:pPr>
      <w:r>
        <w:rPr>
          <w:rFonts w:ascii="Century" w:hAnsi="Century" w:hint="cs"/>
          <w:rtl/>
        </w:rPr>
        <w:t>47.</w:t>
      </w:r>
      <w:r>
        <w:rPr>
          <w:rFonts w:ascii="Century" w:hAnsi="Century"/>
          <w:rtl/>
        </w:rPr>
        <w:tab/>
      </w:r>
      <w:r>
        <w:rPr>
          <w:rFonts w:ascii="Century" w:hAnsi="Century" w:hint="cs"/>
          <w:rtl/>
        </w:rPr>
        <w:t xml:space="preserve">בענייננו, המערער לא טען כי התחייבות המשיבות לשאת בעלויות פיתוח המקרקעין היא התחייבות אשר </w:t>
      </w:r>
      <w:proofErr w:type="spellStart"/>
      <w:r>
        <w:rPr>
          <w:rFonts w:ascii="Century" w:hAnsi="Century" w:hint="cs"/>
          <w:rtl/>
        </w:rPr>
        <w:t>הומחתה</w:t>
      </w:r>
      <w:proofErr w:type="spellEnd"/>
      <w:r>
        <w:rPr>
          <w:rFonts w:ascii="Century" w:hAnsi="Century" w:hint="cs"/>
          <w:rtl/>
        </w:rPr>
        <w:t xml:space="preserve"> להן על-ידי המוכר, ואשר קיומה הוא תנאי להשבחה צפויה של המקרקעין בהתאם לתכנית החלה לגביהם בעת המכירה. מטענות הצדדים עולה כי התחייבות המשיבות לשאת בעלויות הפיתוח ניתנה כנגד התחייבות המוכרות (או מי מטעמן) לפתח את המקרקעין, ללא כל קשר להשבחתם כתוצאה מכך מכוח תכנית החלה על המקרקעין באותה עת. משכך, נראה כי לעקרונות שנקבעו בעניין </w:t>
      </w:r>
      <w:r w:rsidRPr="008E66C7">
        <w:rPr>
          <w:rFonts w:ascii="Century" w:hAnsi="Century" w:cs="Miriam" w:hint="cs"/>
          <w:b/>
          <w:spacing w:val="0"/>
          <w:szCs w:val="24"/>
          <w:rtl/>
        </w:rPr>
        <w:t>אורלי</w:t>
      </w:r>
      <w:r>
        <w:rPr>
          <w:rFonts w:ascii="Century" w:hAnsi="Century" w:hint="cs"/>
          <w:rtl/>
        </w:rPr>
        <w:t xml:space="preserve">, </w:t>
      </w:r>
      <w:r w:rsidRPr="008E66C7">
        <w:rPr>
          <w:rFonts w:ascii="Century" w:hAnsi="Century" w:cs="Miriam" w:hint="cs"/>
          <w:b/>
          <w:spacing w:val="0"/>
          <w:szCs w:val="24"/>
          <w:rtl/>
        </w:rPr>
        <w:t>פרידמן</w:t>
      </w:r>
      <w:r w:rsidRPr="008E66C7">
        <w:rPr>
          <w:rFonts w:ascii="Century" w:hAnsi="Century" w:hint="cs"/>
          <w:rtl/>
        </w:rPr>
        <w:t xml:space="preserve"> ו</w:t>
      </w:r>
      <w:r>
        <w:rPr>
          <w:rFonts w:ascii="Century" w:hAnsi="Century" w:hint="cs"/>
          <w:rtl/>
        </w:rPr>
        <w:t>-</w:t>
      </w:r>
      <w:proofErr w:type="spellStart"/>
      <w:r w:rsidRPr="008E66C7">
        <w:rPr>
          <w:rFonts w:ascii="Century" w:hAnsi="Century" w:cs="Miriam" w:hint="cs"/>
          <w:b/>
          <w:spacing w:val="0"/>
          <w:szCs w:val="24"/>
          <w:rtl/>
        </w:rPr>
        <w:t>מידטאון</w:t>
      </w:r>
      <w:proofErr w:type="spellEnd"/>
      <w:r w:rsidRPr="008E66C7">
        <w:rPr>
          <w:rFonts w:ascii="Century" w:hAnsi="Century" w:hint="cs"/>
          <w:rtl/>
        </w:rPr>
        <w:t xml:space="preserve"> </w:t>
      </w:r>
      <w:r>
        <w:rPr>
          <w:rFonts w:ascii="Century" w:hAnsi="Century" w:hint="cs"/>
          <w:rtl/>
        </w:rPr>
        <w:t xml:space="preserve">אין השלכה ישירה על הערעורים הנדונים, ויש להחיל לגביהם את הלכת </w:t>
      </w:r>
      <w:r w:rsidRPr="008E66C7">
        <w:rPr>
          <w:rFonts w:ascii="Century" w:hAnsi="Century" w:cs="Miriam" w:hint="cs"/>
          <w:b/>
          <w:spacing w:val="0"/>
          <w:szCs w:val="24"/>
          <w:rtl/>
        </w:rPr>
        <w:t>שרביט</w:t>
      </w:r>
      <w:r w:rsidRPr="008E66C7">
        <w:rPr>
          <w:rFonts w:ascii="Century" w:hAnsi="Century" w:hint="cs"/>
          <w:rtl/>
        </w:rPr>
        <w:t xml:space="preserve"> </w:t>
      </w:r>
      <w:r>
        <w:rPr>
          <w:rFonts w:ascii="Century" w:hAnsi="Century" w:hint="cs"/>
          <w:rtl/>
        </w:rPr>
        <w:t>הקובעת כי כל עוד עבודות הפיתוח לא בוצעו בפועל בעת המכירה, הרי שהוצאות הפיתוח לא ייחשבו כחלק מ"שווי המכירה". היינו, יש לראות בחוזה המכירה ככולל הסכם לרכישת זכות במקרקעין לא מפותחים והסכם לפיתוחם.</w:t>
      </w:r>
    </w:p>
    <w:p w:rsidR="00A14F89" w:rsidRDefault="00A14F89" w:rsidP="00A14F89">
      <w:pPr>
        <w:pStyle w:val="Ruller41"/>
        <w:rPr>
          <w:rFonts w:ascii="Century" w:hAnsi="Century"/>
          <w:rtl/>
        </w:rPr>
      </w:pPr>
    </w:p>
    <w:p w:rsidR="00A14F89" w:rsidRPr="00C55011" w:rsidRDefault="00A14F89" w:rsidP="00A14F89">
      <w:pPr>
        <w:pStyle w:val="Ruller41"/>
        <w:rPr>
          <w:rFonts w:ascii="Century" w:hAnsi="Century" w:cs="Miriam"/>
          <w:b/>
          <w:spacing w:val="0"/>
          <w:szCs w:val="24"/>
          <w:rtl/>
        </w:rPr>
      </w:pPr>
      <w:r w:rsidRPr="00C55011">
        <w:rPr>
          <w:rFonts w:ascii="Century" w:hAnsi="Century" w:cs="Miriam" w:hint="cs"/>
          <w:b/>
          <w:spacing w:val="0"/>
          <w:szCs w:val="24"/>
          <w:rtl/>
        </w:rPr>
        <w:t>טענת ההסתמכות</w:t>
      </w:r>
    </w:p>
    <w:p w:rsidR="00A14F89" w:rsidRDefault="00A14F89" w:rsidP="00A14F89">
      <w:pPr>
        <w:pStyle w:val="Ruller41"/>
        <w:rPr>
          <w:rFonts w:ascii="Century" w:hAnsi="Century"/>
          <w:rtl/>
        </w:rPr>
      </w:pPr>
    </w:p>
    <w:p w:rsidR="00A14F89" w:rsidRDefault="00A14F89" w:rsidP="00A14F89">
      <w:pPr>
        <w:pStyle w:val="Ruller41"/>
        <w:rPr>
          <w:rFonts w:ascii="Century" w:hAnsi="Century"/>
          <w:rtl/>
        </w:rPr>
      </w:pPr>
      <w:r>
        <w:rPr>
          <w:rFonts w:ascii="Century" w:hAnsi="Century" w:hint="cs"/>
          <w:rtl/>
        </w:rPr>
        <w:t>48.</w:t>
      </w:r>
      <w:r>
        <w:rPr>
          <w:rFonts w:ascii="Century" w:hAnsi="Century" w:hint="cs"/>
          <w:rtl/>
        </w:rPr>
        <w:tab/>
        <w:t xml:space="preserve">לאור התוצאה אליה הגעתי, אין הכרח להוסיף ולדון בטענת המערער כנגד קביעת הוועדות שלפיה המשיבות היו רשאיות </w:t>
      </w:r>
      <w:r w:rsidRPr="004D3F6C">
        <w:rPr>
          <w:rFonts w:ascii="Century" w:hAnsi="Century" w:hint="cs"/>
          <w:rtl/>
        </w:rPr>
        <w:t xml:space="preserve">להסתמך על המצג שיצר </w:t>
      </w:r>
      <w:r w:rsidRPr="004D3F6C">
        <w:rPr>
          <w:rFonts w:ascii="Century" w:hAnsi="Century"/>
          <w:rtl/>
        </w:rPr>
        <w:t>(</w:t>
      </w:r>
      <w:r w:rsidRPr="004D3F6C">
        <w:rPr>
          <w:rFonts w:ascii="Century" w:hAnsi="Century" w:hint="cs"/>
          <w:rtl/>
        </w:rPr>
        <w:t>ו</w:t>
      </w:r>
      <w:r w:rsidRPr="004D3F6C">
        <w:rPr>
          <w:rFonts w:ascii="Century" w:hAnsi="Century" w:hint="eastAsia"/>
          <w:rtl/>
        </w:rPr>
        <w:t>ראו</w:t>
      </w:r>
      <w:r w:rsidRPr="004D3F6C">
        <w:rPr>
          <w:rFonts w:ascii="Century" w:hAnsi="Century"/>
          <w:rtl/>
        </w:rPr>
        <w:t xml:space="preserve"> </w:t>
      </w:r>
      <w:r w:rsidRPr="004D3F6C">
        <w:rPr>
          <w:rFonts w:ascii="Century" w:hAnsi="Century" w:hint="eastAsia"/>
          <w:rtl/>
        </w:rPr>
        <w:t>לעניין</w:t>
      </w:r>
      <w:r w:rsidRPr="004D3F6C">
        <w:rPr>
          <w:rFonts w:ascii="Century" w:hAnsi="Century"/>
          <w:rtl/>
        </w:rPr>
        <w:t xml:space="preserve"> </w:t>
      </w:r>
      <w:r w:rsidRPr="004D3F6C">
        <w:rPr>
          <w:rFonts w:ascii="Century" w:hAnsi="Century" w:hint="eastAsia"/>
          <w:rtl/>
        </w:rPr>
        <w:t>זה</w:t>
      </w:r>
      <w:r w:rsidRPr="004D3F6C">
        <w:rPr>
          <w:rFonts w:ascii="Century" w:hAnsi="Century"/>
          <w:rtl/>
        </w:rPr>
        <w:t xml:space="preserve">: </w:t>
      </w:r>
      <w:r w:rsidRPr="004D3F6C">
        <w:rPr>
          <w:rFonts w:ascii="Century" w:hAnsi="Century" w:hint="eastAsia"/>
          <w:rtl/>
        </w:rPr>
        <w:t>ע</w:t>
      </w:r>
      <w:r w:rsidRPr="004D3F6C">
        <w:rPr>
          <w:rFonts w:ascii="Century" w:hAnsi="Century"/>
          <w:rtl/>
        </w:rPr>
        <w:t>"</w:t>
      </w:r>
      <w:r w:rsidRPr="004D3F6C">
        <w:rPr>
          <w:rFonts w:ascii="Century" w:hAnsi="Century" w:hint="eastAsia"/>
          <w:rtl/>
        </w:rPr>
        <w:t>א</w:t>
      </w:r>
      <w:r w:rsidRPr="004D3F6C">
        <w:rPr>
          <w:rFonts w:ascii="Century" w:hAnsi="Century"/>
          <w:rtl/>
        </w:rPr>
        <w:t xml:space="preserve"> 4525/13 </w:t>
      </w:r>
      <w:r w:rsidRPr="004D3F6C">
        <w:rPr>
          <w:rFonts w:ascii="Century" w:hAnsi="Century" w:cs="Miriam" w:hint="eastAsia"/>
          <w:b/>
          <w:spacing w:val="0"/>
          <w:szCs w:val="24"/>
          <w:rtl/>
        </w:rPr>
        <w:t>אחים</w:t>
      </w:r>
      <w:r w:rsidRPr="004D3F6C">
        <w:rPr>
          <w:rFonts w:ascii="Century" w:hAnsi="Century" w:cs="Miriam"/>
          <w:b/>
          <w:spacing w:val="0"/>
          <w:szCs w:val="24"/>
          <w:rtl/>
        </w:rPr>
        <w:t xml:space="preserve"> </w:t>
      </w:r>
      <w:proofErr w:type="spellStart"/>
      <w:r w:rsidRPr="004D3F6C">
        <w:rPr>
          <w:rFonts w:ascii="Century" w:hAnsi="Century" w:cs="Miriam" w:hint="eastAsia"/>
          <w:b/>
          <w:spacing w:val="0"/>
          <w:szCs w:val="24"/>
          <w:rtl/>
        </w:rPr>
        <w:t>דויטש</w:t>
      </w:r>
      <w:proofErr w:type="spellEnd"/>
      <w:r w:rsidRPr="004D3F6C">
        <w:rPr>
          <w:rFonts w:ascii="Century" w:hAnsi="Century" w:cs="Miriam"/>
          <w:b/>
          <w:spacing w:val="0"/>
          <w:szCs w:val="24"/>
          <w:rtl/>
        </w:rPr>
        <w:t xml:space="preserve"> </w:t>
      </w:r>
      <w:r w:rsidRPr="004D3F6C">
        <w:rPr>
          <w:rFonts w:ascii="Century" w:hAnsi="Century" w:cs="Miriam" w:hint="eastAsia"/>
          <w:b/>
          <w:spacing w:val="0"/>
          <w:szCs w:val="24"/>
          <w:rtl/>
        </w:rPr>
        <w:t>תעשיות</w:t>
      </w:r>
      <w:r w:rsidRPr="004D3F6C">
        <w:rPr>
          <w:rFonts w:ascii="Century" w:hAnsi="Century" w:cs="Miriam"/>
          <w:b/>
          <w:spacing w:val="0"/>
          <w:szCs w:val="24"/>
          <w:rtl/>
        </w:rPr>
        <w:t xml:space="preserve"> </w:t>
      </w:r>
      <w:r w:rsidRPr="004D3F6C">
        <w:rPr>
          <w:rFonts w:ascii="Century" w:hAnsi="Century" w:cs="Miriam" w:hint="eastAsia"/>
          <w:b/>
          <w:spacing w:val="0"/>
          <w:szCs w:val="24"/>
          <w:rtl/>
        </w:rPr>
        <w:t>טקסטיל</w:t>
      </w:r>
      <w:r w:rsidRPr="004D3F6C">
        <w:rPr>
          <w:rFonts w:ascii="Century" w:hAnsi="Century" w:cs="Miriam"/>
          <w:b/>
          <w:spacing w:val="0"/>
          <w:szCs w:val="24"/>
          <w:rtl/>
        </w:rPr>
        <w:t xml:space="preserve"> </w:t>
      </w:r>
      <w:r w:rsidRPr="004D3F6C">
        <w:rPr>
          <w:rFonts w:ascii="Century" w:hAnsi="Century" w:cs="Miriam" w:hint="eastAsia"/>
          <w:b/>
          <w:spacing w:val="0"/>
          <w:szCs w:val="24"/>
          <w:rtl/>
        </w:rPr>
        <w:t>בע</w:t>
      </w:r>
      <w:r w:rsidRPr="004D3F6C">
        <w:rPr>
          <w:rFonts w:ascii="Century" w:hAnsi="Century" w:cs="Miriam"/>
          <w:b/>
          <w:spacing w:val="0"/>
          <w:szCs w:val="24"/>
          <w:rtl/>
        </w:rPr>
        <w:t>"</w:t>
      </w:r>
      <w:r w:rsidRPr="004D3F6C">
        <w:rPr>
          <w:rFonts w:ascii="Century" w:hAnsi="Century" w:cs="Miriam" w:hint="eastAsia"/>
          <w:b/>
          <w:spacing w:val="0"/>
          <w:szCs w:val="24"/>
          <w:rtl/>
        </w:rPr>
        <w:t>מ</w:t>
      </w:r>
      <w:r w:rsidRPr="004D3F6C">
        <w:rPr>
          <w:rFonts w:ascii="Century" w:hAnsi="Century" w:cs="Miriam"/>
          <w:b/>
          <w:spacing w:val="0"/>
          <w:szCs w:val="24"/>
          <w:rtl/>
        </w:rPr>
        <w:t xml:space="preserve"> </w:t>
      </w:r>
      <w:r w:rsidRPr="004D3F6C">
        <w:rPr>
          <w:rFonts w:ascii="Century" w:hAnsi="Century" w:cs="Miriam" w:hint="eastAsia"/>
          <w:b/>
          <w:spacing w:val="0"/>
          <w:szCs w:val="24"/>
          <w:rtl/>
        </w:rPr>
        <w:t>נ</w:t>
      </w:r>
      <w:r w:rsidRPr="004D3F6C">
        <w:rPr>
          <w:rFonts w:ascii="Century" w:hAnsi="Century" w:cs="Miriam"/>
          <w:b/>
          <w:spacing w:val="0"/>
          <w:szCs w:val="24"/>
          <w:rtl/>
        </w:rPr>
        <w:t xml:space="preserve">' </w:t>
      </w:r>
      <w:r w:rsidRPr="004D3F6C">
        <w:rPr>
          <w:rFonts w:ascii="Century" w:hAnsi="Century" w:cs="Miriam" w:hint="eastAsia"/>
          <w:b/>
          <w:spacing w:val="0"/>
          <w:szCs w:val="24"/>
          <w:rtl/>
        </w:rPr>
        <w:t>פקיד</w:t>
      </w:r>
      <w:r w:rsidRPr="004D3F6C">
        <w:rPr>
          <w:rFonts w:ascii="Century" w:hAnsi="Century" w:cs="Miriam"/>
          <w:b/>
          <w:spacing w:val="0"/>
          <w:szCs w:val="24"/>
          <w:rtl/>
        </w:rPr>
        <w:t xml:space="preserve"> </w:t>
      </w:r>
      <w:r w:rsidRPr="004D3F6C">
        <w:rPr>
          <w:rFonts w:ascii="Century" w:hAnsi="Century" w:cs="Miriam" w:hint="eastAsia"/>
          <w:b/>
          <w:spacing w:val="0"/>
          <w:szCs w:val="24"/>
          <w:rtl/>
        </w:rPr>
        <w:t>השומה</w:t>
      </w:r>
      <w:r w:rsidRPr="004D3F6C">
        <w:rPr>
          <w:rFonts w:ascii="Century" w:hAnsi="Century" w:cs="Miriam"/>
          <w:b/>
          <w:spacing w:val="0"/>
          <w:szCs w:val="24"/>
          <w:rtl/>
        </w:rPr>
        <w:t xml:space="preserve"> </w:t>
      </w:r>
      <w:r w:rsidRPr="004D3F6C">
        <w:rPr>
          <w:rFonts w:ascii="Century" w:hAnsi="Century" w:cs="Miriam" w:hint="eastAsia"/>
          <w:b/>
          <w:spacing w:val="0"/>
          <w:szCs w:val="24"/>
          <w:rtl/>
        </w:rPr>
        <w:t>למפעלים</w:t>
      </w:r>
      <w:r w:rsidRPr="004D3F6C">
        <w:rPr>
          <w:rFonts w:ascii="Century" w:hAnsi="Century" w:cs="Miriam"/>
          <w:b/>
          <w:spacing w:val="0"/>
          <w:szCs w:val="24"/>
          <w:rtl/>
        </w:rPr>
        <w:t xml:space="preserve"> </w:t>
      </w:r>
      <w:r w:rsidRPr="004D3F6C">
        <w:rPr>
          <w:rFonts w:ascii="Century" w:hAnsi="Century" w:cs="Miriam" w:hint="eastAsia"/>
          <w:b/>
          <w:spacing w:val="0"/>
          <w:szCs w:val="24"/>
          <w:rtl/>
        </w:rPr>
        <w:t>גדולים</w:t>
      </w:r>
      <w:r w:rsidRPr="004D3F6C">
        <w:rPr>
          <w:rFonts w:ascii="Century" w:hAnsi="Century"/>
          <w:rtl/>
        </w:rPr>
        <w:t xml:space="preserve">, </w:t>
      </w:r>
      <w:r w:rsidRPr="004D3F6C">
        <w:rPr>
          <w:rFonts w:ascii="Century" w:hAnsi="Century" w:hint="eastAsia"/>
          <w:rtl/>
        </w:rPr>
        <w:t>פסקה</w:t>
      </w:r>
      <w:r w:rsidRPr="004D3F6C">
        <w:rPr>
          <w:rFonts w:ascii="Century" w:hAnsi="Century"/>
          <w:rtl/>
        </w:rPr>
        <w:t xml:space="preserve"> 22 (17.8.2016)).</w:t>
      </w:r>
      <w:r w:rsidRPr="004D3F6C">
        <w:rPr>
          <w:rFonts w:ascii="Century" w:hAnsi="Century" w:hint="cs"/>
          <w:rtl/>
        </w:rPr>
        <w:t xml:space="preserve"> ואולם, בשולי הדברים, מצאתי להעיר</w:t>
      </w:r>
      <w:r>
        <w:rPr>
          <w:rFonts w:ascii="Century" w:hAnsi="Century" w:hint="cs"/>
          <w:rtl/>
        </w:rPr>
        <w:t xml:space="preserve"> כי טוב יעשו רשויות </w:t>
      </w:r>
      <w:proofErr w:type="spellStart"/>
      <w:r>
        <w:rPr>
          <w:rFonts w:ascii="Century" w:hAnsi="Century" w:hint="cs"/>
          <w:rtl/>
        </w:rPr>
        <w:t>מינהליות</w:t>
      </w:r>
      <w:proofErr w:type="spellEnd"/>
      <w:r>
        <w:rPr>
          <w:rFonts w:ascii="Century" w:hAnsi="Century" w:hint="cs"/>
          <w:rtl/>
        </w:rPr>
        <w:t xml:space="preserve"> בכלל, ורשות המסים בפרט, אם יפעלו לעדכון הוראותיהן והנחיותיהן המפורסמות בציבור, ואשר עליהן נוטה הציבור להסתמך בפעולותיו, וזאת בהתאם לדין החל. כך בענייננו, ככל שרשות המסים סברה שהדין השתנה וכי בהתאם לכך היא רשאית להטיל מס רכישה בנסיבות מסוימות גם על רכיב הוצאות הפיתוח </w:t>
      </w:r>
      <w:r>
        <w:rPr>
          <w:rFonts w:ascii="Century" w:hAnsi="Century"/>
          <w:rtl/>
        </w:rPr>
        <w:t>–</w:t>
      </w:r>
      <w:r>
        <w:rPr>
          <w:rFonts w:ascii="Century" w:hAnsi="Century" w:hint="cs"/>
          <w:rtl/>
        </w:rPr>
        <w:t xml:space="preserve"> </w:t>
      </w:r>
      <w:r w:rsidRPr="00F62E0D">
        <w:rPr>
          <w:rFonts w:ascii="Century" w:hAnsi="Century" w:cs="Miriam" w:hint="eastAsia"/>
          <w:sz w:val="24"/>
          <w:szCs w:val="24"/>
          <w:rtl/>
        </w:rPr>
        <w:t>זאת</w:t>
      </w:r>
      <w:r w:rsidRPr="00F62E0D">
        <w:rPr>
          <w:rFonts w:ascii="Century" w:hAnsi="Century" w:cs="Miriam"/>
          <w:sz w:val="24"/>
          <w:szCs w:val="24"/>
          <w:rtl/>
        </w:rPr>
        <w:t xml:space="preserve"> </w:t>
      </w:r>
      <w:r w:rsidRPr="00F62E0D">
        <w:rPr>
          <w:rFonts w:ascii="Century" w:hAnsi="Century" w:cs="Miriam" w:hint="eastAsia"/>
          <w:sz w:val="24"/>
          <w:szCs w:val="24"/>
          <w:rtl/>
        </w:rPr>
        <w:t>בניגוד</w:t>
      </w:r>
      <w:r w:rsidRPr="00F62E0D">
        <w:rPr>
          <w:rFonts w:ascii="Century" w:hAnsi="Century" w:cs="Miriam"/>
          <w:sz w:val="24"/>
          <w:szCs w:val="24"/>
          <w:rtl/>
        </w:rPr>
        <w:t xml:space="preserve"> </w:t>
      </w:r>
      <w:r w:rsidRPr="00F62E0D">
        <w:rPr>
          <w:rFonts w:ascii="Century" w:hAnsi="Century" w:cs="Miriam" w:hint="eastAsia"/>
          <w:sz w:val="24"/>
          <w:szCs w:val="24"/>
          <w:rtl/>
        </w:rPr>
        <w:t>לאמור</w:t>
      </w:r>
      <w:r w:rsidRPr="00F62E0D">
        <w:rPr>
          <w:rFonts w:ascii="Century" w:hAnsi="Century" w:cs="Miriam"/>
          <w:sz w:val="24"/>
          <w:szCs w:val="24"/>
          <w:rtl/>
        </w:rPr>
        <w:t xml:space="preserve"> </w:t>
      </w:r>
      <w:r w:rsidRPr="00F62E0D">
        <w:rPr>
          <w:rFonts w:ascii="Century" w:hAnsi="Century" w:cs="Miriam" w:hint="eastAsia"/>
          <w:sz w:val="24"/>
          <w:szCs w:val="24"/>
          <w:rtl/>
        </w:rPr>
        <w:t>באופן</w:t>
      </w:r>
      <w:r w:rsidRPr="00F62E0D">
        <w:rPr>
          <w:rFonts w:ascii="Century" w:hAnsi="Century" w:cs="Miriam"/>
          <w:sz w:val="24"/>
          <w:szCs w:val="24"/>
          <w:rtl/>
        </w:rPr>
        <w:t xml:space="preserve"> </w:t>
      </w:r>
      <w:r w:rsidRPr="00F62E0D">
        <w:rPr>
          <w:rFonts w:ascii="Century" w:hAnsi="Century" w:cs="Miriam" w:hint="eastAsia"/>
          <w:sz w:val="24"/>
          <w:szCs w:val="24"/>
          <w:rtl/>
        </w:rPr>
        <w:t>מפורש</w:t>
      </w:r>
      <w:r w:rsidRPr="00F62E0D">
        <w:rPr>
          <w:rFonts w:ascii="Century" w:hAnsi="Century" w:cs="Miriam"/>
          <w:sz w:val="24"/>
          <w:szCs w:val="24"/>
          <w:rtl/>
        </w:rPr>
        <w:t xml:space="preserve"> </w:t>
      </w:r>
      <w:r w:rsidRPr="00F62E0D">
        <w:rPr>
          <w:rFonts w:ascii="Century" w:hAnsi="Century" w:cs="Miriam" w:hint="eastAsia"/>
          <w:sz w:val="24"/>
          <w:szCs w:val="24"/>
          <w:rtl/>
        </w:rPr>
        <w:t>בהוראת</w:t>
      </w:r>
      <w:r w:rsidRPr="00F62E0D">
        <w:rPr>
          <w:rFonts w:ascii="Century" w:hAnsi="Century" w:cs="Miriam"/>
          <w:sz w:val="24"/>
          <w:szCs w:val="24"/>
          <w:rtl/>
        </w:rPr>
        <w:t xml:space="preserve"> </w:t>
      </w:r>
      <w:r w:rsidRPr="00F62E0D">
        <w:rPr>
          <w:rFonts w:ascii="Century" w:hAnsi="Century" w:cs="Miriam" w:hint="eastAsia"/>
          <w:sz w:val="24"/>
          <w:szCs w:val="24"/>
          <w:rtl/>
        </w:rPr>
        <w:t>הביצוע</w:t>
      </w:r>
      <w:r w:rsidRPr="00F62E0D">
        <w:rPr>
          <w:rFonts w:ascii="Century" w:hAnsi="Century" w:cs="Miriam"/>
          <w:sz w:val="24"/>
          <w:szCs w:val="24"/>
          <w:rtl/>
        </w:rPr>
        <w:t xml:space="preserve"> </w:t>
      </w:r>
      <w:r w:rsidRPr="00F62E0D">
        <w:rPr>
          <w:rFonts w:ascii="Century" w:hAnsi="Century" w:cs="Miriam" w:hint="eastAsia"/>
          <w:sz w:val="24"/>
          <w:szCs w:val="24"/>
          <w:rtl/>
        </w:rPr>
        <w:t>שהוציאה</w:t>
      </w:r>
      <w:r w:rsidRPr="00F62E0D">
        <w:rPr>
          <w:rFonts w:ascii="Century" w:hAnsi="Century" w:cs="Miriam"/>
          <w:sz w:val="24"/>
          <w:szCs w:val="24"/>
          <w:rtl/>
        </w:rPr>
        <w:t xml:space="preserve"> </w:t>
      </w:r>
      <w:r w:rsidRPr="00F62E0D">
        <w:rPr>
          <w:rFonts w:ascii="Century" w:hAnsi="Century" w:cs="Miriam" w:hint="eastAsia"/>
          <w:sz w:val="24"/>
          <w:szCs w:val="24"/>
          <w:rtl/>
        </w:rPr>
        <w:t>תחת</w:t>
      </w:r>
      <w:r w:rsidRPr="00F62E0D">
        <w:rPr>
          <w:rFonts w:ascii="Century" w:hAnsi="Century" w:cs="Miriam"/>
          <w:sz w:val="24"/>
          <w:szCs w:val="24"/>
          <w:rtl/>
        </w:rPr>
        <w:t xml:space="preserve"> </w:t>
      </w:r>
      <w:r w:rsidRPr="00F62E0D">
        <w:rPr>
          <w:rFonts w:ascii="Century" w:hAnsi="Century" w:cs="Miriam" w:hint="eastAsia"/>
          <w:sz w:val="24"/>
          <w:szCs w:val="24"/>
          <w:rtl/>
        </w:rPr>
        <w:t>ידה</w:t>
      </w:r>
      <w:r>
        <w:rPr>
          <w:rFonts w:ascii="Century" w:hAnsi="Century" w:hint="cs"/>
          <w:rtl/>
        </w:rPr>
        <w:t xml:space="preserve"> </w:t>
      </w:r>
      <w:r>
        <w:rPr>
          <w:rFonts w:ascii="Century" w:hAnsi="Century"/>
          <w:rtl/>
        </w:rPr>
        <w:t>–</w:t>
      </w:r>
      <w:r>
        <w:rPr>
          <w:rFonts w:ascii="Century" w:hAnsi="Century" w:hint="cs"/>
          <w:rtl/>
        </w:rPr>
        <w:t xml:space="preserve"> היה עליה לפעול לעדכון הוראותיה בנדון בהתאם ולהבהיר לציבור מהן לשיטתה נסיבות אלה. מובן כי סתירה בין הוראת הביצוע הפומבית של הרשות ומכתב ההנחיה למשרדי השומה בנושא לבין השומות הפרטניות שהוצאו למשיבות בענייננו אינה מצב רצוי או תקין, ויש להימנע מכך. </w:t>
      </w:r>
    </w:p>
    <w:p w:rsidR="00A14F89" w:rsidRDefault="00A14F89" w:rsidP="00A14F89">
      <w:pPr>
        <w:pStyle w:val="Ruller41"/>
        <w:rPr>
          <w:rFonts w:ascii="Century" w:hAnsi="Century"/>
          <w:rtl/>
        </w:rPr>
      </w:pPr>
    </w:p>
    <w:p w:rsidR="00A14F89" w:rsidRDefault="00A14F89" w:rsidP="00A14F89">
      <w:pPr>
        <w:pStyle w:val="Ruller41"/>
        <w:rPr>
          <w:rFonts w:ascii="Century" w:hAnsi="Century"/>
          <w:rtl/>
        </w:rPr>
      </w:pPr>
      <w:r>
        <w:rPr>
          <w:rFonts w:ascii="Century" w:hAnsi="Century" w:hint="cs"/>
          <w:rtl/>
        </w:rPr>
        <w:t>49.</w:t>
      </w:r>
      <w:r>
        <w:rPr>
          <w:rFonts w:ascii="Century" w:hAnsi="Century" w:hint="cs"/>
          <w:rtl/>
        </w:rPr>
        <w:tab/>
      </w:r>
      <w:r w:rsidRPr="00F62E0D">
        <w:rPr>
          <w:rFonts w:ascii="Century" w:hAnsi="Century" w:cs="Miriam" w:hint="eastAsia"/>
          <w:sz w:val="24"/>
          <w:szCs w:val="24"/>
          <w:rtl/>
        </w:rPr>
        <w:t>סוף</w:t>
      </w:r>
      <w:r w:rsidRPr="00F62E0D">
        <w:rPr>
          <w:rFonts w:ascii="Century" w:hAnsi="Century" w:cs="Miriam"/>
          <w:sz w:val="24"/>
          <w:szCs w:val="24"/>
          <w:rtl/>
        </w:rPr>
        <w:t xml:space="preserve"> </w:t>
      </w:r>
      <w:r w:rsidRPr="00F62E0D">
        <w:rPr>
          <w:rFonts w:ascii="Century" w:hAnsi="Century" w:cs="Miriam" w:hint="eastAsia"/>
          <w:sz w:val="24"/>
          <w:szCs w:val="24"/>
          <w:rtl/>
        </w:rPr>
        <w:t>דבר</w:t>
      </w:r>
      <w:r>
        <w:rPr>
          <w:rFonts w:ascii="Century" w:hAnsi="Century" w:hint="cs"/>
          <w:rtl/>
        </w:rPr>
        <w:t>: לאור כל האמור, אציע לחבריי לדחות את שני הערעורים.</w:t>
      </w:r>
    </w:p>
    <w:p w:rsidR="00A14F89" w:rsidRDefault="00A14F89" w:rsidP="00A14F89">
      <w:pPr>
        <w:pStyle w:val="Ruller41"/>
        <w:rPr>
          <w:rFonts w:ascii="Century" w:hAnsi="Century"/>
          <w:rtl/>
        </w:rPr>
      </w:pPr>
    </w:p>
    <w:p w:rsidR="00A14F89" w:rsidRDefault="00A14F89" w:rsidP="00A14F89">
      <w:pPr>
        <w:pStyle w:val="Ruller41"/>
        <w:rPr>
          <w:rFonts w:ascii="Century" w:hAnsi="Century"/>
          <w:rtl/>
        </w:rPr>
      </w:pPr>
      <w:r>
        <w:rPr>
          <w:rFonts w:ascii="Century" w:hAnsi="Century"/>
          <w:rtl/>
        </w:rPr>
        <w:tab/>
      </w:r>
      <w:r>
        <w:rPr>
          <w:rFonts w:ascii="Century" w:hAnsi="Century" w:hint="cs"/>
          <w:rtl/>
        </w:rPr>
        <w:t>עוד אציע כי המערער יישא בהוצאות אמרלד ב</w:t>
      </w:r>
      <w:r w:rsidRPr="001444F7">
        <w:rPr>
          <w:rFonts w:ascii="Century" w:hAnsi="Century" w:hint="cs"/>
          <w:rtl/>
        </w:rPr>
        <w:t xml:space="preserve">סך של 15,000 ש"ח, ובהוצאות המשיבות בעניין </w:t>
      </w:r>
      <w:r>
        <w:rPr>
          <w:rFonts w:ascii="Century" w:hAnsi="Century" w:hint="cs"/>
          <w:rtl/>
        </w:rPr>
        <w:t>שיכון ובינוי</w:t>
      </w:r>
      <w:r w:rsidRPr="001444F7">
        <w:rPr>
          <w:rFonts w:ascii="Century" w:hAnsi="Century" w:hint="cs"/>
          <w:rtl/>
        </w:rPr>
        <w:t xml:space="preserve"> בסך של 15,000 ש"ח.</w:t>
      </w:r>
      <w:r>
        <w:rPr>
          <w:rFonts w:ascii="Century" w:hAnsi="Century" w:hint="cs"/>
          <w:rtl/>
        </w:rPr>
        <w:t xml:space="preserve"> </w:t>
      </w:r>
    </w:p>
    <w:p w:rsidR="00FA2B5E" w:rsidRDefault="00FA2B5E" w:rsidP="00A14F89">
      <w:pPr>
        <w:pStyle w:val="Ruller41"/>
        <w:rPr>
          <w:rFonts w:ascii="Century" w:hAnsi="Century"/>
          <w:rtl/>
        </w:rPr>
      </w:pPr>
    </w:p>
    <w:p w:rsidR="00FA2B5E" w:rsidRDefault="00FA2B5E" w:rsidP="00A14F89">
      <w:pPr>
        <w:pStyle w:val="Ruller41"/>
        <w:rPr>
          <w:rFonts w:ascii="Century" w:hAnsi="Century"/>
          <w:rtl/>
        </w:rPr>
      </w:pPr>
    </w:p>
    <w:p w:rsidR="00FA2B5E" w:rsidRDefault="00FA2B5E" w:rsidP="00A14F89">
      <w:pPr>
        <w:pStyle w:val="Ruller41"/>
        <w:rPr>
          <w:rFonts w:ascii="Century" w:hAnsi="Century"/>
          <w:rtl/>
        </w:rPr>
      </w:pPr>
      <w:r>
        <w:rPr>
          <w:rFonts w:ascii="Century" w:hAnsi="Century"/>
          <w:rtl/>
        </w:rPr>
        <w:tab/>
      </w:r>
      <w:r>
        <w:rPr>
          <w:rFonts w:ascii="Century" w:hAnsi="Century"/>
          <w:rtl/>
        </w:rPr>
        <w:tab/>
      </w:r>
      <w:r>
        <w:rPr>
          <w:rFonts w:ascii="Century" w:hAnsi="Century"/>
          <w:rtl/>
        </w:rPr>
        <w:tab/>
      </w:r>
      <w:r>
        <w:rPr>
          <w:rFonts w:ascii="Century" w:hAnsi="Century"/>
          <w:rtl/>
        </w:rPr>
        <w:tab/>
      </w:r>
      <w:r>
        <w:rPr>
          <w:rFonts w:ascii="Century" w:hAnsi="Century"/>
          <w:rtl/>
        </w:rPr>
        <w:tab/>
      </w:r>
      <w:r>
        <w:rPr>
          <w:rFonts w:ascii="Century" w:hAnsi="Century"/>
          <w:rtl/>
        </w:rPr>
        <w:tab/>
      </w:r>
      <w:r>
        <w:rPr>
          <w:rFonts w:ascii="Century" w:hAnsi="Century"/>
          <w:rtl/>
        </w:rPr>
        <w:tab/>
      </w:r>
      <w:r>
        <w:rPr>
          <w:rFonts w:ascii="Century" w:hAnsi="Century"/>
          <w:rtl/>
        </w:rPr>
        <w:tab/>
      </w:r>
      <w:r>
        <w:rPr>
          <w:rFonts w:ascii="Century" w:hAnsi="Century"/>
          <w:rtl/>
        </w:rPr>
        <w:tab/>
      </w:r>
      <w:r>
        <w:rPr>
          <w:rFonts w:ascii="Century" w:hAnsi="Century"/>
          <w:rtl/>
        </w:rPr>
        <w:tab/>
      </w:r>
      <w:r>
        <w:rPr>
          <w:rFonts w:ascii="Century" w:hAnsi="Century" w:hint="cs"/>
          <w:rtl/>
        </w:rPr>
        <w:t>ש ו פ ט ת</w:t>
      </w:r>
    </w:p>
    <w:p w:rsidR="00FA2B5E" w:rsidRDefault="00FA2B5E" w:rsidP="00A14F89">
      <w:pPr>
        <w:pStyle w:val="Ruller41"/>
        <w:rPr>
          <w:rFonts w:ascii="Century" w:hAnsi="Century"/>
          <w:rtl/>
        </w:rPr>
      </w:pPr>
    </w:p>
    <w:p w:rsidR="00FA2B5E" w:rsidRDefault="00FA2B5E" w:rsidP="00A14F89">
      <w:pPr>
        <w:pStyle w:val="Ruller41"/>
        <w:rPr>
          <w:rFonts w:ascii="Century" w:hAnsi="Century" w:cs="Miriam"/>
          <w:b/>
          <w:spacing w:val="0"/>
          <w:szCs w:val="24"/>
          <w:u w:val="single"/>
          <w:rtl/>
        </w:rPr>
      </w:pPr>
      <w:r w:rsidRPr="00FA2B5E">
        <w:rPr>
          <w:rFonts w:ascii="Century" w:hAnsi="Century" w:cs="Miriam" w:hint="cs"/>
          <w:b/>
          <w:spacing w:val="0"/>
          <w:szCs w:val="24"/>
          <w:u w:val="single"/>
          <w:rtl/>
        </w:rPr>
        <w:t>השופט נ' סולברג:</w:t>
      </w:r>
    </w:p>
    <w:p w:rsidR="00FA2B5E" w:rsidRDefault="00FA2B5E" w:rsidP="00A14F89">
      <w:pPr>
        <w:pStyle w:val="Ruller41"/>
        <w:rPr>
          <w:rFonts w:ascii="Century" w:hAnsi="Century" w:cs="Miriam"/>
          <w:b/>
          <w:spacing w:val="0"/>
          <w:szCs w:val="24"/>
          <w:u w:val="single"/>
          <w:rtl/>
        </w:rPr>
      </w:pPr>
    </w:p>
    <w:p w:rsidR="00524531" w:rsidRDefault="00A868A7" w:rsidP="00524531">
      <w:pPr>
        <w:pStyle w:val="Ruller4"/>
        <w:numPr>
          <w:ilvl w:val="0"/>
          <w:numId w:val="0"/>
        </w:numPr>
        <w:rPr>
          <w:rtl/>
        </w:rPr>
      </w:pPr>
      <w:r>
        <w:rPr>
          <w:rtl/>
        </w:rPr>
        <w:tab/>
      </w:r>
      <w:bookmarkStart w:id="4" w:name="_GoBack"/>
      <w:bookmarkEnd w:id="4"/>
      <w:r w:rsidR="00524531">
        <w:rPr>
          <w:rtl/>
        </w:rPr>
        <w:t>אני מסכים ל</w:t>
      </w:r>
      <w:r w:rsidR="00524531">
        <w:rPr>
          <w:rFonts w:hint="cs"/>
          <w:rtl/>
        </w:rPr>
        <w:t xml:space="preserve">מסקנתה </w:t>
      </w:r>
      <w:r w:rsidR="00524531">
        <w:rPr>
          <w:rtl/>
        </w:rPr>
        <w:t xml:space="preserve">של חברתי, השופטת </w:t>
      </w:r>
      <w:r w:rsidR="00524531">
        <w:rPr>
          <w:rFonts w:ascii="Century" w:hAnsi="Century" w:cs="Miriam"/>
          <w:b/>
          <w:spacing w:val="0"/>
          <w:sz w:val="22"/>
          <w:szCs w:val="24"/>
          <w:rtl/>
        </w:rPr>
        <w:t>י' וילנר</w:t>
      </w:r>
      <w:r w:rsidR="00524531">
        <w:rPr>
          <w:rtl/>
        </w:rPr>
        <w:t>, ולעיקרי נימוקיה. כמו</w:t>
      </w:r>
      <w:r w:rsidR="00524531">
        <w:rPr>
          <w:rFonts w:hint="cs"/>
          <w:rtl/>
        </w:rPr>
        <w:t xml:space="preserve">תה, אף </w:t>
      </w:r>
      <w:r w:rsidR="00524531">
        <w:rPr>
          <w:rtl/>
        </w:rPr>
        <w:t xml:space="preserve">אני סבור כי אין מקום לסטות מן ההלכה שנקבעה בע"א 2960/95 </w:t>
      </w:r>
      <w:r w:rsidR="00524531">
        <w:rPr>
          <w:rFonts w:ascii="Century" w:hAnsi="Century" w:cs="Miriam"/>
          <w:b/>
          <w:spacing w:val="0"/>
          <w:sz w:val="22"/>
          <w:szCs w:val="24"/>
          <w:rtl/>
        </w:rPr>
        <w:t>מנהל מס שבח מקרקעין נ' שרביט ייזום פרויקטים ובניה (1991) בע"מ</w:t>
      </w:r>
      <w:r w:rsidR="00524531">
        <w:rPr>
          <w:rtl/>
        </w:rPr>
        <w:t xml:space="preserve"> (2.11.1998) (להלן: </w:t>
      </w:r>
      <w:r w:rsidR="00524531">
        <w:rPr>
          <w:rFonts w:ascii="Century" w:hAnsi="Century" w:cs="Miriam"/>
          <w:b/>
          <w:spacing w:val="0"/>
          <w:sz w:val="22"/>
          <w:szCs w:val="24"/>
          <w:rtl/>
        </w:rPr>
        <w:t>הלכת שרביט</w:t>
      </w:r>
      <w:r w:rsidR="00524531">
        <w:rPr>
          <w:rtl/>
        </w:rPr>
        <w:t xml:space="preserve">), </w:t>
      </w:r>
      <w:r w:rsidR="00524531">
        <w:rPr>
          <w:rFonts w:hint="cs"/>
          <w:rtl/>
        </w:rPr>
        <w:t>באשר ל</w:t>
      </w:r>
      <w:r w:rsidR="00524531">
        <w:rPr>
          <w:rtl/>
        </w:rPr>
        <w:t xml:space="preserve">הבחנה בין הוצאות פיתוח קיימות להוצאות פיתוח עתידיות, לצורך חישוב מס רכישה. </w:t>
      </w:r>
    </w:p>
    <w:p w:rsidR="00524531" w:rsidRDefault="00524531" w:rsidP="00524531">
      <w:pPr>
        <w:pStyle w:val="Ruller4"/>
        <w:numPr>
          <w:ilvl w:val="0"/>
          <w:numId w:val="0"/>
        </w:numPr>
        <w:rPr>
          <w:rtl/>
        </w:rPr>
      </w:pPr>
    </w:p>
    <w:p w:rsidR="00524531" w:rsidRDefault="00524531" w:rsidP="00524531">
      <w:pPr>
        <w:pStyle w:val="Ruller4"/>
        <w:numPr>
          <w:ilvl w:val="0"/>
          <w:numId w:val="0"/>
        </w:numPr>
        <w:rPr>
          <w:rtl/>
        </w:rPr>
      </w:pPr>
      <w:r>
        <w:rPr>
          <w:rtl/>
        </w:rPr>
        <w:tab/>
        <w:t xml:space="preserve">לא שוכנעתי, כי פסקי הדין שניתנו בשנים האחרונות מחייבים את המסקנה שלפיה הלכת </w:t>
      </w:r>
      <w:r>
        <w:rPr>
          <w:rFonts w:ascii="Century" w:hAnsi="Century" w:cs="Miriam"/>
          <w:b/>
          <w:spacing w:val="0"/>
          <w:sz w:val="22"/>
          <w:szCs w:val="24"/>
          <w:rtl/>
        </w:rPr>
        <w:t>שרביט</w:t>
      </w:r>
      <w:r>
        <w:rPr>
          <w:rtl/>
        </w:rPr>
        <w:t xml:space="preserve"> איבדה מתוקפה, כך שיש לכלול בגדר 'שווי המכירה' לצורך חישוב מס רכישה, גם את שוו</w:t>
      </w:r>
      <w:r>
        <w:rPr>
          <w:rFonts w:hint="cs"/>
          <w:rtl/>
        </w:rPr>
        <w:t>י</w:t>
      </w:r>
      <w:r>
        <w:rPr>
          <w:rtl/>
        </w:rPr>
        <w:t xml:space="preserve">ין של התחייבויות לפיתוח עתידי. גם אם ניתן לומר שפסקי הדין המאוחרים התרחקו במידת-מה מן </w:t>
      </w:r>
      <w:proofErr w:type="spellStart"/>
      <w:r>
        <w:rPr>
          <w:rtl/>
        </w:rPr>
        <w:t>הרציונאלים</w:t>
      </w:r>
      <w:proofErr w:type="spellEnd"/>
      <w:r>
        <w:rPr>
          <w:rtl/>
        </w:rPr>
        <w:t xml:space="preserve"> שעמדו בבסיס הלכת </w:t>
      </w:r>
      <w:r>
        <w:rPr>
          <w:rFonts w:ascii="Century" w:hAnsi="Century" w:cs="Miriam"/>
          <w:b/>
          <w:spacing w:val="0"/>
          <w:sz w:val="22"/>
          <w:szCs w:val="24"/>
          <w:rtl/>
        </w:rPr>
        <w:t>שרביט</w:t>
      </w:r>
      <w:r>
        <w:rPr>
          <w:rtl/>
        </w:rPr>
        <w:t xml:space="preserve"> (ראו: ע"א 914/14 </w:t>
      </w:r>
      <w:proofErr w:type="spellStart"/>
      <w:r>
        <w:rPr>
          <w:rFonts w:ascii="Century" w:hAnsi="Century" w:cs="Miriam"/>
          <w:b/>
          <w:spacing w:val="0"/>
          <w:sz w:val="22"/>
          <w:szCs w:val="24"/>
          <w:rtl/>
        </w:rPr>
        <w:t>מידטאון</w:t>
      </w:r>
      <w:proofErr w:type="spellEnd"/>
      <w:r>
        <w:rPr>
          <w:rFonts w:ascii="Century" w:hAnsi="Century" w:cs="Miriam"/>
          <w:b/>
          <w:spacing w:val="0"/>
          <w:sz w:val="22"/>
          <w:szCs w:val="24"/>
          <w:rtl/>
        </w:rPr>
        <w:t xml:space="preserve"> בע"מ נ' מנהל מיסוי מקרקעין אזור תל-אביב</w:t>
      </w:r>
      <w:r>
        <w:rPr>
          <w:rtl/>
        </w:rPr>
        <w:t xml:space="preserve">, פסקה 23 (31.5.2015)), אין בכך כדי ללמד כי נס ליחה של הלכה זו. יש לראות </w:t>
      </w:r>
      <w:r>
        <w:rPr>
          <w:rFonts w:hint="cs"/>
          <w:rtl/>
        </w:rPr>
        <w:t xml:space="preserve">את </w:t>
      </w:r>
      <w:r>
        <w:rPr>
          <w:rtl/>
        </w:rPr>
        <w:t>פסקי הדין ה</w:t>
      </w:r>
      <w:r>
        <w:rPr>
          <w:rFonts w:hint="cs"/>
          <w:rtl/>
        </w:rPr>
        <w:t xml:space="preserve">ללו </w:t>
      </w:r>
      <w:r>
        <w:rPr>
          <w:rtl/>
        </w:rPr>
        <w:t>כפיתוח של ההלכה, בנסיבות שנדונו באותם מקרים, ולא כסטי</w:t>
      </w:r>
      <w:r>
        <w:rPr>
          <w:rFonts w:hint="cs"/>
          <w:rtl/>
        </w:rPr>
        <w:t>י</w:t>
      </w:r>
      <w:r>
        <w:rPr>
          <w:rtl/>
        </w:rPr>
        <w:t xml:space="preserve">ה ממנה. תמיכה לכך מצויה בפסקי הדין עצמם, אשר בגדרם </w:t>
      </w:r>
      <w:r>
        <w:rPr>
          <w:rFonts w:hint="cs"/>
          <w:rtl/>
        </w:rPr>
        <w:t>ה</w:t>
      </w:r>
      <w:r>
        <w:rPr>
          <w:rtl/>
        </w:rPr>
        <w:t xml:space="preserve">ובחנה במפורש הלכת </w:t>
      </w:r>
      <w:r>
        <w:rPr>
          <w:rFonts w:ascii="Century" w:hAnsi="Century" w:cs="Miriam"/>
          <w:b/>
          <w:spacing w:val="0"/>
          <w:sz w:val="22"/>
          <w:szCs w:val="24"/>
          <w:rtl/>
        </w:rPr>
        <w:t>שרביט</w:t>
      </w:r>
      <w:r>
        <w:rPr>
          <w:rtl/>
        </w:rPr>
        <w:t xml:space="preserve"> מהעניינים שנדונו שם, מבלי לקבוע כי הלכת </w:t>
      </w:r>
      <w:r>
        <w:rPr>
          <w:rFonts w:ascii="Century" w:hAnsi="Century" w:cs="Miriam"/>
          <w:b/>
          <w:spacing w:val="0"/>
          <w:sz w:val="22"/>
          <w:szCs w:val="24"/>
          <w:rtl/>
        </w:rPr>
        <w:t>שרביט</w:t>
      </w:r>
      <w:r>
        <w:rPr>
          <w:rtl/>
        </w:rPr>
        <w:t xml:space="preserve"> בטלה וחלפה מן העולם – שלא כטענת המערערים בהליך שלפנינו.  </w:t>
      </w:r>
    </w:p>
    <w:p w:rsidR="00524531" w:rsidRDefault="00524531" w:rsidP="00524531">
      <w:pPr>
        <w:pStyle w:val="Ruller4"/>
        <w:numPr>
          <w:ilvl w:val="0"/>
          <w:numId w:val="0"/>
        </w:numPr>
        <w:rPr>
          <w:rtl/>
        </w:rPr>
      </w:pPr>
    </w:p>
    <w:p w:rsidR="00524531" w:rsidRDefault="00524531" w:rsidP="00524531">
      <w:pPr>
        <w:pStyle w:val="Ruller41"/>
        <w:rPr>
          <w:rtl/>
        </w:rPr>
      </w:pPr>
      <w:r>
        <w:rPr>
          <w:rtl/>
        </w:rPr>
        <w:tab/>
        <w:t xml:space="preserve">אוסיף, כי אינני מוצא טעם לקבוע מסמרות בשאלת היחס המדויק שבין הלכת </w:t>
      </w:r>
      <w:r>
        <w:rPr>
          <w:rFonts w:ascii="Century" w:hAnsi="Century" w:cs="Miriam"/>
          <w:b/>
          <w:spacing w:val="0"/>
          <w:szCs w:val="24"/>
          <w:rtl/>
        </w:rPr>
        <w:t>שרביט</w:t>
      </w:r>
      <w:r>
        <w:rPr>
          <w:rtl/>
        </w:rPr>
        <w:t xml:space="preserve"> לבין פסקי הדין המאוחרים לה, ובשאלה מהו החוט המקשר בין פסקי דין אלו. חברתי, השופטת </w:t>
      </w:r>
      <w:r>
        <w:rPr>
          <w:rFonts w:ascii="Century" w:hAnsi="Century" w:cs="Miriam"/>
          <w:b/>
          <w:spacing w:val="0"/>
          <w:szCs w:val="24"/>
          <w:rtl/>
        </w:rPr>
        <w:t>וילנר</w:t>
      </w:r>
      <w:r>
        <w:rPr>
          <w:rtl/>
        </w:rPr>
        <w:t xml:space="preserve">, מצאה נוסחה משלה לפתרון שאלה זו (פסקאות 44-42 לחוות דעתה). כשלעצמי, די לי בכך שלא שוכנעתי מנימוקי המערערים, כי יש מקום לסטות מהלכת </w:t>
      </w:r>
      <w:r>
        <w:rPr>
          <w:rFonts w:ascii="Century" w:hAnsi="Century" w:cs="Miriam"/>
          <w:b/>
          <w:spacing w:val="0"/>
          <w:szCs w:val="24"/>
          <w:rtl/>
        </w:rPr>
        <w:t>שרביט</w:t>
      </w:r>
      <w:r>
        <w:rPr>
          <w:rtl/>
        </w:rPr>
        <w:t xml:space="preserve">, לגבי העניין הקונקרטי שנפסק בה: הכללת הוצאות פיתוח עתידיות לצורך חישוב מס הרכישה. הלכה זו הביאה עמה מבחן שימושי, פרקטי, הקובע כי 'שווי המכירה' לעניין חישוב מס רכישה, יכלול בקרבו גם הוצאות בגין פיתוח שבוצע עוד קודם לכן במקרקעין, עובר למועד הרכישה. זאת, בניגוד להוצאות פיתוח עתידי, שטרם </w:t>
      </w:r>
      <w:r>
        <w:rPr>
          <w:rtl/>
        </w:rPr>
        <w:lastRenderedPageBreak/>
        <w:t xml:space="preserve">בוצע. גם לא שוכנעתי כי מבחן 'המהות הכלכלית של העסקה' – אשר הוזכר בהלכת </w:t>
      </w:r>
      <w:r>
        <w:rPr>
          <w:rFonts w:ascii="Century" w:hAnsi="Century" w:cs="Miriam"/>
          <w:b/>
          <w:spacing w:val="0"/>
          <w:szCs w:val="24"/>
          <w:rtl/>
        </w:rPr>
        <w:t>שרביט</w:t>
      </w:r>
      <w:r>
        <w:rPr>
          <w:rtl/>
        </w:rPr>
        <w:t xml:space="preserve"> – מחייבנו להגיע למסקנה אחרת. טענה זו </w:t>
      </w:r>
      <w:proofErr w:type="spellStart"/>
      <w:r>
        <w:rPr>
          <w:rFonts w:hint="cs"/>
          <w:rtl/>
        </w:rPr>
        <w:t>הרי</w:t>
      </w:r>
      <w:r>
        <w:rPr>
          <w:rtl/>
        </w:rPr>
        <w:t>הי</w:t>
      </w:r>
      <w:proofErr w:type="spellEnd"/>
      <w:r>
        <w:rPr>
          <w:rtl/>
        </w:rPr>
        <w:t xml:space="preserve"> בבחינת הנחת המבוקש; בהחלט יתכן שהתשלום עבור הוצאות הפיתוח העתידי, הוא רכיב התמורה בהסכם נפרד לפיתוח עתידי של הקרקע, ואיננו חלק ממרכיבי התמורה ששולמה עבור רכישת הזכות במקרקעין. </w:t>
      </w:r>
    </w:p>
    <w:p w:rsidR="00FA2B5E" w:rsidRDefault="00FA2B5E" w:rsidP="00A14F89">
      <w:pPr>
        <w:pStyle w:val="Ruller41"/>
        <w:rPr>
          <w:rFonts w:ascii="Century" w:hAnsi="Century" w:cs="Miriam"/>
          <w:b/>
          <w:spacing w:val="0"/>
          <w:szCs w:val="24"/>
          <w:u w:val="single"/>
          <w:rtl/>
        </w:rPr>
      </w:pPr>
    </w:p>
    <w:p w:rsidR="00FA2B5E" w:rsidRDefault="00FA2B5E" w:rsidP="00A14F89">
      <w:pPr>
        <w:pStyle w:val="Ruller41"/>
        <w:rPr>
          <w:rFonts w:ascii="Century" w:hAnsi="Century" w:cs="Miriam"/>
          <w:b/>
          <w:spacing w:val="0"/>
          <w:szCs w:val="24"/>
          <w:u w:val="single"/>
          <w:rtl/>
        </w:rPr>
      </w:pPr>
    </w:p>
    <w:p w:rsidR="00FA2B5E" w:rsidRDefault="00FA2B5E" w:rsidP="00FA2B5E">
      <w:pPr>
        <w:pStyle w:val="Ruller41"/>
        <w:rPr>
          <w:rtl/>
        </w:rPr>
      </w:pPr>
      <w:r>
        <w:rPr>
          <w:rtl/>
        </w:rPr>
        <w:tab/>
      </w:r>
      <w:r>
        <w:rPr>
          <w:rtl/>
        </w:rPr>
        <w:tab/>
      </w:r>
      <w:r>
        <w:rPr>
          <w:rtl/>
        </w:rPr>
        <w:tab/>
      </w:r>
      <w:r>
        <w:rPr>
          <w:rtl/>
        </w:rPr>
        <w:tab/>
      </w:r>
      <w:r>
        <w:rPr>
          <w:rtl/>
        </w:rPr>
        <w:tab/>
      </w:r>
      <w:r>
        <w:rPr>
          <w:rtl/>
        </w:rPr>
        <w:tab/>
      </w:r>
      <w:r>
        <w:rPr>
          <w:rtl/>
        </w:rPr>
        <w:tab/>
      </w:r>
      <w:r>
        <w:rPr>
          <w:rtl/>
        </w:rPr>
        <w:tab/>
      </w:r>
      <w:r>
        <w:rPr>
          <w:rtl/>
        </w:rPr>
        <w:tab/>
      </w:r>
      <w:r>
        <w:rPr>
          <w:rtl/>
        </w:rPr>
        <w:tab/>
      </w:r>
      <w:r>
        <w:rPr>
          <w:rFonts w:hint="cs"/>
          <w:rtl/>
        </w:rPr>
        <w:t>ש ו פ ט</w:t>
      </w:r>
    </w:p>
    <w:p w:rsidR="00FA2B5E" w:rsidRDefault="00FA2B5E" w:rsidP="00FA2B5E">
      <w:pPr>
        <w:pStyle w:val="Ruller41"/>
        <w:rPr>
          <w:rtl/>
        </w:rPr>
      </w:pPr>
    </w:p>
    <w:p w:rsidR="00FA2B5E" w:rsidRDefault="00FA2B5E" w:rsidP="00FA2B5E">
      <w:pPr>
        <w:pStyle w:val="Ruller41"/>
        <w:rPr>
          <w:rtl/>
        </w:rPr>
      </w:pPr>
    </w:p>
    <w:p w:rsidR="00FA2B5E" w:rsidRDefault="00FA2B5E" w:rsidP="00FA2B5E">
      <w:pPr>
        <w:pStyle w:val="BODYVERDICT"/>
        <w:rPr>
          <w:rFonts w:cs="Miriam"/>
          <w:sz w:val="24"/>
          <w:szCs w:val="24"/>
          <w:u w:val="single"/>
          <w:rtl/>
        </w:rPr>
      </w:pPr>
      <w:r>
        <w:rPr>
          <w:rFonts w:cs="Miriam"/>
          <w:sz w:val="24"/>
          <w:szCs w:val="24"/>
          <w:u w:val="single"/>
          <w:rtl/>
        </w:rPr>
        <w:t>השופט ג' קרא:</w:t>
      </w:r>
    </w:p>
    <w:p w:rsidR="00FA2B5E" w:rsidRDefault="00FA2B5E" w:rsidP="00FA2B5E">
      <w:pPr>
        <w:pStyle w:val="BODYVERDICT"/>
        <w:rPr>
          <w:rFonts w:cs="Miriam"/>
          <w:sz w:val="24"/>
          <w:szCs w:val="24"/>
          <w:u w:val="single"/>
          <w:rtl/>
        </w:rPr>
      </w:pPr>
    </w:p>
    <w:p w:rsidR="00FA2B5E" w:rsidRDefault="00FA2B5E" w:rsidP="00FA2B5E">
      <w:pPr>
        <w:pStyle w:val="Ruller4"/>
        <w:rPr>
          <w:rtl/>
        </w:rPr>
      </w:pPr>
      <w:r>
        <w:rPr>
          <w:rFonts w:hint="cs"/>
          <w:rtl/>
        </w:rPr>
        <w:t xml:space="preserve">לאחר שעיינתי בחוות דעתה המקיפה של חברתי השופטת </w:t>
      </w:r>
      <w:r w:rsidRPr="009C5B5E">
        <w:rPr>
          <w:rFonts w:ascii="Century" w:hAnsi="Century" w:cs="Miriam" w:hint="cs"/>
          <w:b/>
          <w:spacing w:val="0"/>
          <w:sz w:val="22"/>
          <w:szCs w:val="24"/>
          <w:rtl/>
        </w:rPr>
        <w:t>י' וילנר</w:t>
      </w:r>
      <w:r>
        <w:rPr>
          <w:rFonts w:hint="cs"/>
          <w:rtl/>
        </w:rPr>
        <w:t xml:space="preserve">, ודברי חברי השופט </w:t>
      </w:r>
      <w:r w:rsidRPr="009C5B5E">
        <w:rPr>
          <w:rFonts w:ascii="Century" w:hAnsi="Century" w:cs="Miriam" w:hint="cs"/>
          <w:b/>
          <w:spacing w:val="0"/>
          <w:sz w:val="22"/>
          <w:szCs w:val="24"/>
          <w:rtl/>
        </w:rPr>
        <w:t>נ' סולברג</w:t>
      </w:r>
      <w:r w:rsidRPr="009C5B5E">
        <w:rPr>
          <w:rFonts w:hint="cs"/>
          <w:rtl/>
        </w:rPr>
        <w:t xml:space="preserve"> </w:t>
      </w:r>
      <w:r>
        <w:rPr>
          <w:rFonts w:hint="cs"/>
          <w:rtl/>
        </w:rPr>
        <w:t xml:space="preserve">שהסכים עם מסקנתה ועיקרי נימוקיה, לא מצאתי לצרף את דעתי לדעתם משסבור אני שיש לקבל את הערעור. </w:t>
      </w:r>
    </w:p>
    <w:p w:rsidR="00FA2B5E" w:rsidRDefault="00FA2B5E" w:rsidP="00FA2B5E">
      <w:pPr>
        <w:pStyle w:val="Ruller4"/>
        <w:numPr>
          <w:ilvl w:val="0"/>
          <w:numId w:val="0"/>
        </w:numPr>
        <w:rPr>
          <w:rtl/>
        </w:rPr>
      </w:pPr>
    </w:p>
    <w:p w:rsidR="00FA2B5E" w:rsidRDefault="00FA2B5E" w:rsidP="00FA2B5E">
      <w:pPr>
        <w:pStyle w:val="Ruller4"/>
        <w:rPr>
          <w:rtl/>
        </w:rPr>
      </w:pPr>
      <w:r>
        <w:rPr>
          <w:rFonts w:hint="cs"/>
          <w:rtl/>
        </w:rPr>
        <w:t xml:space="preserve">חברתי פרשה יריעה נרחבת של ההתפתחות הפסיקתית בשאלה העקרונית "האם יש לכלול במסגרת הסכום שעליו מוטל מס רכישה בגין רכישת זכות במקרקעין את </w:t>
      </w:r>
      <w:r w:rsidRPr="009C5B5E">
        <w:rPr>
          <w:rFonts w:ascii="Century" w:hAnsi="Century" w:cs="Miriam" w:hint="cs"/>
          <w:b/>
          <w:spacing w:val="0"/>
          <w:sz w:val="22"/>
          <w:szCs w:val="24"/>
          <w:rtl/>
        </w:rPr>
        <w:t>הוצאות הפיתוח</w:t>
      </w:r>
      <w:r w:rsidRPr="009C5B5E">
        <w:rPr>
          <w:rFonts w:hint="cs"/>
          <w:rtl/>
        </w:rPr>
        <w:t xml:space="preserve"> </w:t>
      </w:r>
      <w:r>
        <w:rPr>
          <w:rFonts w:hint="cs"/>
          <w:rtl/>
        </w:rPr>
        <w:t xml:space="preserve">של המקרקעין הנידונים, כאשר הרוכש מתחייב לשאת בהן במסגרת ההסכמות שנכרתה בין הצדדים"? לאור רוחב היריעה, שנפרשה כאמור, אמנע מחזרה על הדברים ואמקד את דבריי בנימוקי עמדתי. </w:t>
      </w:r>
    </w:p>
    <w:p w:rsidR="00FA2B5E" w:rsidRDefault="00FA2B5E" w:rsidP="00FA2B5E">
      <w:pPr>
        <w:pStyle w:val="Ruller4"/>
        <w:numPr>
          <w:ilvl w:val="0"/>
          <w:numId w:val="0"/>
        </w:numPr>
        <w:rPr>
          <w:rtl/>
        </w:rPr>
      </w:pPr>
    </w:p>
    <w:p w:rsidR="00FA2B5E" w:rsidRDefault="00FA2B5E" w:rsidP="00FA2B5E">
      <w:pPr>
        <w:pStyle w:val="Ruller4"/>
        <w:rPr>
          <w:rtl/>
        </w:rPr>
      </w:pPr>
      <w:r>
        <w:rPr>
          <w:rFonts w:hint="cs"/>
          <w:rtl/>
        </w:rPr>
        <w:t xml:space="preserve">אני סבור, כי הפסיקה המאוחרת בעניין ע"א 5025/03 </w:t>
      </w:r>
      <w:r w:rsidRPr="00665793">
        <w:rPr>
          <w:rFonts w:ascii="Century" w:hAnsi="Century" w:cs="Miriam" w:hint="cs"/>
          <w:b/>
          <w:spacing w:val="0"/>
          <w:sz w:val="22"/>
          <w:szCs w:val="24"/>
          <w:rtl/>
        </w:rPr>
        <w:t>מנהל מיסוי מקרקעין אזור תל אביב נ'</w:t>
      </w:r>
      <w:r>
        <w:rPr>
          <w:rFonts w:hint="cs"/>
          <w:rtl/>
        </w:rPr>
        <w:t xml:space="preserve"> </w:t>
      </w:r>
      <w:r w:rsidRPr="009C5B5E">
        <w:rPr>
          <w:rFonts w:ascii="Century" w:hAnsi="Century" w:cs="Miriam" w:hint="cs"/>
          <w:b/>
          <w:spacing w:val="0"/>
          <w:sz w:val="22"/>
          <w:szCs w:val="24"/>
          <w:rtl/>
        </w:rPr>
        <w:t>אורלי</w:t>
      </w:r>
      <w:r>
        <w:rPr>
          <w:rFonts w:ascii="Century" w:hAnsi="Century" w:cs="Miriam" w:hint="cs"/>
          <w:b/>
          <w:spacing w:val="0"/>
          <w:sz w:val="22"/>
          <w:szCs w:val="24"/>
          <w:rtl/>
        </w:rPr>
        <w:t xml:space="preserve"> חברה </w:t>
      </w:r>
      <w:proofErr w:type="spellStart"/>
      <w:r>
        <w:rPr>
          <w:rFonts w:ascii="Century" w:hAnsi="Century" w:cs="Miriam" w:hint="cs"/>
          <w:b/>
          <w:spacing w:val="0"/>
          <w:sz w:val="22"/>
          <w:szCs w:val="24"/>
          <w:rtl/>
        </w:rPr>
        <w:t>לבנין</w:t>
      </w:r>
      <w:proofErr w:type="spellEnd"/>
      <w:r>
        <w:rPr>
          <w:rFonts w:ascii="Century" w:hAnsi="Century" w:cs="Miriam" w:hint="cs"/>
          <w:b/>
          <w:spacing w:val="0"/>
          <w:sz w:val="22"/>
          <w:szCs w:val="24"/>
          <w:rtl/>
        </w:rPr>
        <w:t xml:space="preserve"> ופיתוח בע"מ</w:t>
      </w:r>
      <w:r>
        <w:rPr>
          <w:rFonts w:hint="cs"/>
          <w:rtl/>
        </w:rPr>
        <w:t xml:space="preserve"> (16.8.2006) (להלן: </w:t>
      </w:r>
      <w:r w:rsidRPr="00D83969">
        <w:rPr>
          <w:rFonts w:ascii="Century" w:hAnsi="Century" w:cs="Miriam" w:hint="cs"/>
          <w:b/>
          <w:spacing w:val="0"/>
          <w:sz w:val="22"/>
          <w:szCs w:val="24"/>
          <w:rtl/>
        </w:rPr>
        <w:t>עניין אורלי</w:t>
      </w:r>
      <w:r>
        <w:rPr>
          <w:rFonts w:hint="cs"/>
          <w:rtl/>
        </w:rPr>
        <w:t xml:space="preserve">), ע"א 3534/07 </w:t>
      </w:r>
      <w:r w:rsidRPr="009C5B5E">
        <w:rPr>
          <w:rFonts w:ascii="Century" w:hAnsi="Century" w:cs="Miriam" w:hint="cs"/>
          <w:b/>
          <w:spacing w:val="0"/>
          <w:sz w:val="22"/>
          <w:szCs w:val="24"/>
          <w:rtl/>
        </w:rPr>
        <w:t>פרידמן</w:t>
      </w:r>
      <w:r>
        <w:rPr>
          <w:rFonts w:ascii="Century" w:hAnsi="Century" w:cs="Miriam" w:hint="cs"/>
          <w:b/>
          <w:spacing w:val="0"/>
          <w:sz w:val="22"/>
          <w:szCs w:val="24"/>
          <w:rtl/>
        </w:rPr>
        <w:t xml:space="preserve"> </w:t>
      </w:r>
      <w:proofErr w:type="spellStart"/>
      <w:r>
        <w:rPr>
          <w:rFonts w:ascii="Century" w:hAnsi="Century" w:cs="Miriam" w:hint="cs"/>
          <w:b/>
          <w:spacing w:val="0"/>
          <w:sz w:val="22"/>
          <w:szCs w:val="24"/>
          <w:rtl/>
        </w:rPr>
        <w:t>חכשורי</w:t>
      </w:r>
      <w:proofErr w:type="spellEnd"/>
      <w:r>
        <w:rPr>
          <w:rFonts w:ascii="Century" w:hAnsi="Century" w:cs="Miriam" w:hint="cs"/>
          <w:b/>
          <w:spacing w:val="0"/>
          <w:sz w:val="22"/>
          <w:szCs w:val="24"/>
          <w:rtl/>
        </w:rPr>
        <w:t xml:space="preserve"> חברה להנדסה ולבניה בע"מ נ' מנהל מיסוי מקרקעין אזור תל אביב</w:t>
      </w:r>
      <w:r>
        <w:rPr>
          <w:rFonts w:hint="cs"/>
          <w:rtl/>
        </w:rPr>
        <w:t xml:space="preserve"> (26.1.2010) (להלן: </w:t>
      </w:r>
      <w:r w:rsidRPr="00665793">
        <w:rPr>
          <w:rFonts w:ascii="Century" w:hAnsi="Century" w:cs="Miriam" w:hint="cs"/>
          <w:b/>
          <w:spacing w:val="0"/>
          <w:sz w:val="22"/>
          <w:szCs w:val="24"/>
          <w:rtl/>
        </w:rPr>
        <w:t>עניין פרידמן</w:t>
      </w:r>
      <w:r>
        <w:rPr>
          <w:rFonts w:hint="cs"/>
          <w:rtl/>
        </w:rPr>
        <w:t xml:space="preserve">), וע"א 914/14 </w:t>
      </w:r>
      <w:proofErr w:type="spellStart"/>
      <w:r>
        <w:rPr>
          <w:rFonts w:ascii="Century" w:hAnsi="Century" w:cs="Miriam" w:hint="cs"/>
          <w:b/>
          <w:spacing w:val="0"/>
          <w:sz w:val="22"/>
          <w:szCs w:val="24"/>
          <w:rtl/>
        </w:rPr>
        <w:t>מיד</w:t>
      </w:r>
      <w:r w:rsidRPr="009C5B5E">
        <w:rPr>
          <w:rFonts w:ascii="Century" w:hAnsi="Century" w:cs="Miriam" w:hint="cs"/>
          <w:b/>
          <w:spacing w:val="0"/>
          <w:sz w:val="22"/>
          <w:szCs w:val="24"/>
          <w:rtl/>
        </w:rPr>
        <w:t>טאון</w:t>
      </w:r>
      <w:proofErr w:type="spellEnd"/>
      <w:r>
        <w:rPr>
          <w:rFonts w:ascii="Century" w:hAnsi="Century" w:cs="Miriam" w:hint="cs"/>
          <w:b/>
          <w:spacing w:val="0"/>
          <w:sz w:val="22"/>
          <w:szCs w:val="24"/>
          <w:rtl/>
        </w:rPr>
        <w:t xml:space="preserve"> בע"מ נ' מנהל מיסוי מקרקעין אזור תל-אביב</w:t>
      </w:r>
      <w:r>
        <w:rPr>
          <w:rFonts w:hint="cs"/>
          <w:rtl/>
        </w:rPr>
        <w:t xml:space="preserve"> (31.5.2015) (להלן: </w:t>
      </w:r>
      <w:r w:rsidRPr="00D877B7">
        <w:rPr>
          <w:rFonts w:ascii="Century" w:hAnsi="Century" w:cs="Miriam" w:hint="cs"/>
          <w:b/>
          <w:spacing w:val="0"/>
          <w:sz w:val="22"/>
          <w:szCs w:val="24"/>
          <w:rtl/>
        </w:rPr>
        <w:t xml:space="preserve">עניין </w:t>
      </w:r>
      <w:proofErr w:type="spellStart"/>
      <w:r w:rsidRPr="00D877B7">
        <w:rPr>
          <w:rFonts w:ascii="Century" w:hAnsi="Century" w:cs="Miriam" w:hint="cs"/>
          <w:b/>
          <w:spacing w:val="0"/>
          <w:sz w:val="22"/>
          <w:szCs w:val="24"/>
          <w:rtl/>
        </w:rPr>
        <w:t>מידטאון</w:t>
      </w:r>
      <w:proofErr w:type="spellEnd"/>
      <w:r>
        <w:rPr>
          <w:rFonts w:hint="cs"/>
          <w:rtl/>
        </w:rPr>
        <w:t xml:space="preserve">) הביאה לשינוי בהלכה שנקבעה בעניין ע"א 2960/95 </w:t>
      </w:r>
      <w:r w:rsidRPr="00A814A0">
        <w:rPr>
          <w:rFonts w:ascii="Century" w:hAnsi="Century" w:cs="Miriam" w:hint="cs"/>
          <w:b/>
          <w:spacing w:val="0"/>
          <w:sz w:val="22"/>
          <w:szCs w:val="24"/>
          <w:rtl/>
        </w:rPr>
        <w:t>מנהל מס שבח מקרקעין נ' שרביט ייזום פרויקטים ובניה (1991)</w:t>
      </w:r>
      <w:r>
        <w:rPr>
          <w:rFonts w:hint="cs"/>
          <w:rtl/>
        </w:rPr>
        <w:t xml:space="preserve"> (11.2.1998) (להלן: </w:t>
      </w:r>
      <w:r w:rsidRPr="006B5612">
        <w:rPr>
          <w:rFonts w:ascii="Century" w:hAnsi="Century" w:cs="Miriam" w:hint="cs"/>
          <w:b/>
          <w:spacing w:val="0"/>
          <w:sz w:val="22"/>
          <w:szCs w:val="24"/>
          <w:rtl/>
        </w:rPr>
        <w:t>עניין שרביט</w:t>
      </w:r>
      <w:r>
        <w:rPr>
          <w:rFonts w:hint="cs"/>
          <w:rtl/>
        </w:rPr>
        <w:t>). תמים דעים אני עם דבריו של השופט (</w:t>
      </w:r>
      <w:proofErr w:type="spellStart"/>
      <w:r>
        <w:rPr>
          <w:rFonts w:hint="cs"/>
          <w:rtl/>
        </w:rPr>
        <w:t>בדימ</w:t>
      </w:r>
      <w:proofErr w:type="spellEnd"/>
      <w:r>
        <w:rPr>
          <w:rFonts w:hint="cs"/>
          <w:rtl/>
        </w:rPr>
        <w:t xml:space="preserve">') </w:t>
      </w:r>
      <w:r w:rsidRPr="009C5B5E">
        <w:rPr>
          <w:rFonts w:ascii="Century" w:hAnsi="Century" w:cs="Miriam" w:hint="cs"/>
          <w:b/>
          <w:spacing w:val="0"/>
          <w:sz w:val="22"/>
          <w:szCs w:val="24"/>
          <w:rtl/>
        </w:rPr>
        <w:t xml:space="preserve">י' </w:t>
      </w:r>
      <w:proofErr w:type="spellStart"/>
      <w:r w:rsidRPr="009C5B5E">
        <w:rPr>
          <w:rFonts w:ascii="Century" w:hAnsi="Century" w:cs="Miriam" w:hint="cs"/>
          <w:b/>
          <w:spacing w:val="0"/>
          <w:sz w:val="22"/>
          <w:szCs w:val="24"/>
          <w:rtl/>
        </w:rPr>
        <w:t>דנציגר</w:t>
      </w:r>
      <w:proofErr w:type="spellEnd"/>
      <w:r>
        <w:rPr>
          <w:rFonts w:hint="cs"/>
          <w:rtl/>
        </w:rPr>
        <w:t xml:space="preserve"> כי לצורך הכרעה בשאלה אם שווי </w:t>
      </w:r>
      <w:r w:rsidRPr="008F1103">
        <w:rPr>
          <w:rFonts w:hint="cs"/>
          <w:rtl/>
        </w:rPr>
        <w:t xml:space="preserve">המכירה של זכות במקרקעין כולל גם "הוצאות פיתוח", אין להסתפק בסיווג התשלום </w:t>
      </w:r>
      <w:proofErr w:type="spellStart"/>
      <w:r w:rsidRPr="008F1103">
        <w:rPr>
          <w:rFonts w:hint="cs"/>
          <w:rtl/>
        </w:rPr>
        <w:t>וכו</w:t>
      </w:r>
      <w:proofErr w:type="spellEnd"/>
      <w:r w:rsidRPr="008F1103">
        <w:rPr>
          <w:rtl/>
        </w:rPr>
        <w:t>'</w:t>
      </w:r>
      <w:r w:rsidRPr="008F1103">
        <w:rPr>
          <w:rFonts w:hint="cs"/>
          <w:rtl/>
        </w:rPr>
        <w:t xml:space="preserve">. יש לבחון את מהותה הכלכלית של העסקה, כך שאם תשלום הוצאות הפיתוח הוא חלק בלתי נפרד מן ההתקשרות בין הצדדים, או אז אותו תשלום </w:t>
      </w:r>
      <w:proofErr w:type="spellStart"/>
      <w:r w:rsidRPr="008F1103">
        <w:rPr>
          <w:rFonts w:hint="cs"/>
          <w:rtl/>
        </w:rPr>
        <w:t>יכלל</w:t>
      </w:r>
      <w:proofErr w:type="spellEnd"/>
      <w:r w:rsidRPr="008F1103">
        <w:rPr>
          <w:rFonts w:hint="cs"/>
          <w:rtl/>
        </w:rPr>
        <w:t xml:space="preserve"> בשווי המכירה של הזכות במקרקעין.</w:t>
      </w:r>
    </w:p>
    <w:p w:rsidR="00FA2B5E" w:rsidRDefault="00FA2B5E" w:rsidP="00FA2B5E">
      <w:pPr>
        <w:pStyle w:val="Ruller4"/>
        <w:numPr>
          <w:ilvl w:val="0"/>
          <w:numId w:val="0"/>
        </w:numPr>
        <w:rPr>
          <w:rtl/>
        </w:rPr>
      </w:pPr>
    </w:p>
    <w:p w:rsidR="00FA2B5E" w:rsidRDefault="00FA2B5E" w:rsidP="00FA2B5E">
      <w:pPr>
        <w:pStyle w:val="Ruller5"/>
        <w:rPr>
          <w:rtl/>
        </w:rPr>
      </w:pPr>
      <w:r>
        <w:rPr>
          <w:rFonts w:hint="cs"/>
          <w:rtl/>
        </w:rPr>
        <w:lastRenderedPageBreak/>
        <w:t xml:space="preserve">"מן המקובץ עולה כי הפסיקה החדשה התרחקה באופן הדרגתי מן </w:t>
      </w:r>
      <w:proofErr w:type="spellStart"/>
      <w:r>
        <w:rPr>
          <w:rFonts w:hint="cs"/>
          <w:rtl/>
        </w:rPr>
        <w:t>הרציונאלים</w:t>
      </w:r>
      <w:proofErr w:type="spellEnd"/>
      <w:r>
        <w:rPr>
          <w:rFonts w:hint="cs"/>
          <w:rtl/>
        </w:rPr>
        <w:t xml:space="preserve"> שעמדו בבסיסה של הפסיקה שקדמה לה. </w:t>
      </w:r>
      <w:r w:rsidRPr="003933F8">
        <w:rPr>
          <w:rFonts w:ascii="Century" w:hAnsi="Century" w:cs="Miriam" w:hint="cs"/>
          <w:b/>
          <w:spacing w:val="0"/>
          <w:szCs w:val="24"/>
          <w:rtl/>
        </w:rPr>
        <w:t>הפסיקה החדשה איננה עוסקת בשאלת הסיווג של ההוצאות, שכן סיווג של הוצאות כ"הוצאות פיתוח" לא יוביל למסקנה האוטומטית כי הוצאות אלה לא יכללו בסך שווי המכירה</w:t>
      </w:r>
      <w:r>
        <w:rPr>
          <w:rFonts w:hint="cs"/>
          <w:rtl/>
        </w:rPr>
        <w:t xml:space="preserve"> [דגשים שלי, ג'.ק.]. במקום זאת, מתמקדת הפסיקה בשאלה האם מבחינת מהותה הכלכלית של העסקה העלויות הנוספות מהוות התקשרות נפרדת, או שמא מדובר </w:t>
      </w:r>
      <w:r w:rsidRPr="00A60740">
        <w:rPr>
          <w:rFonts w:ascii="Century" w:hAnsi="Century" w:cs="Miriam" w:hint="cs"/>
          <w:b/>
          <w:spacing w:val="0"/>
          <w:szCs w:val="24"/>
          <w:rtl/>
        </w:rPr>
        <w:t>בחלק אינטגראלי משוויה של הזכות במקרקעין</w:t>
      </w:r>
      <w:r>
        <w:rPr>
          <w:rFonts w:hint="cs"/>
          <w:rtl/>
        </w:rPr>
        <w:t xml:space="preserve"> [דגשים שלי, ג'.ק.]. ודוק – כפי שניתן ללמוד מעניין </w:t>
      </w:r>
      <w:r>
        <w:rPr>
          <w:rFonts w:ascii="Century" w:hAnsi="Century" w:cs="Miriam" w:hint="cs"/>
          <w:b/>
          <w:spacing w:val="0"/>
          <w:szCs w:val="24"/>
          <w:rtl/>
        </w:rPr>
        <w:t>אורלי</w:t>
      </w:r>
      <w:r>
        <w:rPr>
          <w:rFonts w:hint="cs"/>
          <w:rtl/>
        </w:rPr>
        <w:t xml:space="preserve"> ומעניין </w:t>
      </w:r>
      <w:r>
        <w:rPr>
          <w:rFonts w:ascii="Century" w:hAnsi="Century" w:cs="Miriam" w:hint="cs"/>
          <w:b/>
          <w:spacing w:val="0"/>
          <w:szCs w:val="24"/>
          <w:rtl/>
        </w:rPr>
        <w:t>פרידמן</w:t>
      </w:r>
      <w:r>
        <w:rPr>
          <w:rFonts w:hint="cs"/>
          <w:rtl/>
        </w:rPr>
        <w:t xml:space="preserve"> </w:t>
      </w:r>
      <w:proofErr w:type="spellStart"/>
      <w:r>
        <w:rPr>
          <w:rFonts w:ascii="Century" w:hAnsi="Century" w:cs="Miriam" w:hint="cs"/>
          <w:b/>
          <w:spacing w:val="0"/>
          <w:szCs w:val="24"/>
          <w:rtl/>
        </w:rPr>
        <w:t>חכשורי</w:t>
      </w:r>
      <w:proofErr w:type="spellEnd"/>
      <w:r>
        <w:rPr>
          <w:rFonts w:hint="cs"/>
          <w:rtl/>
        </w:rPr>
        <w:t xml:space="preserve">, הזכות במקרקעין מושא עסקה פלונית איננה מוגבלת בהקשר הזה </w:t>
      </w:r>
      <w:r w:rsidRPr="003933F8">
        <w:rPr>
          <w:rFonts w:ascii="Century" w:hAnsi="Century" w:cs="Miriam" w:hint="cs"/>
          <w:b/>
          <w:spacing w:val="0"/>
          <w:szCs w:val="24"/>
          <w:rtl/>
        </w:rPr>
        <w:t>לעצם הבעלות בקרקע כפי שהיא</w:t>
      </w:r>
      <w:r>
        <w:rPr>
          <w:rFonts w:hint="cs"/>
          <w:rtl/>
        </w:rPr>
        <w:t xml:space="preserve"> [הדגשות שלי, ג'.ק.]. לעתים, כמו בעניין </w:t>
      </w:r>
      <w:r>
        <w:rPr>
          <w:rFonts w:ascii="Century" w:hAnsi="Century" w:cs="Miriam" w:hint="cs"/>
          <w:b/>
          <w:spacing w:val="0"/>
          <w:szCs w:val="24"/>
          <w:rtl/>
        </w:rPr>
        <w:t>אורלי</w:t>
      </w:r>
      <w:r>
        <w:rPr>
          <w:rFonts w:hint="cs"/>
          <w:rtl/>
        </w:rPr>
        <w:t xml:space="preserve">, הרוכש מעוניין לרכוש קרקע הכוללת היתר בנייה, וכדי לזכות במבוקשו עליו לשלם הן עבור הקרקע והן עבור ההיתר. פעמים אחרות, כמו בעניין </w:t>
      </w:r>
      <w:r>
        <w:rPr>
          <w:rFonts w:ascii="Century" w:hAnsi="Century" w:cs="Miriam" w:hint="cs"/>
          <w:b/>
          <w:spacing w:val="0"/>
          <w:szCs w:val="24"/>
          <w:rtl/>
        </w:rPr>
        <w:t xml:space="preserve">פרידמן </w:t>
      </w:r>
      <w:proofErr w:type="spellStart"/>
      <w:r>
        <w:rPr>
          <w:rFonts w:ascii="Century" w:hAnsi="Century" w:cs="Miriam" w:hint="cs"/>
          <w:b/>
          <w:spacing w:val="0"/>
          <w:szCs w:val="24"/>
          <w:rtl/>
        </w:rPr>
        <w:t>חכשורי</w:t>
      </w:r>
      <w:proofErr w:type="spellEnd"/>
      <w:r>
        <w:rPr>
          <w:rFonts w:hint="cs"/>
          <w:rtl/>
        </w:rPr>
        <w:t xml:space="preserve">, הרוכש מעוניין לרכוש קרקע כשהיא פנויה מדיירים על מנת להוציא לפועל פרויקט של פינוי-בינוי, וכדי לזכות במבוקשו </w:t>
      </w:r>
      <w:r w:rsidRPr="00BD2E75">
        <w:rPr>
          <w:rFonts w:ascii="Century" w:hAnsi="Century" w:hint="cs"/>
          <w:rtl/>
        </w:rPr>
        <w:t xml:space="preserve">עליו לשלם הן עבור הקרקע והן עבור פינוי הדיירים. בשני המקרים, העובדה שמדובר בשתי התחייבות נפרדות אינה שוללת את המסקנה כי שתיהן מהוות חלק מעסקת רכישה כוללת אחת. למותר לציין כי אין מדובר בהבחנה פשוטה כלל ועיקר, אלא בשאלה הנגזרת מנסיבותיו של המקרה הקונקרטי </w:t>
      </w:r>
      <w:r>
        <w:rPr>
          <w:rFonts w:ascii="Century" w:hAnsi="Century" w:hint="cs"/>
          <w:rtl/>
        </w:rPr>
        <w:t>[...]</w:t>
      </w:r>
      <w:r w:rsidRPr="00BD2E75">
        <w:rPr>
          <w:rFonts w:ascii="Century" w:hAnsi="Century" w:hint="cs"/>
          <w:rtl/>
        </w:rPr>
        <w:t xml:space="preserve"> במידה ונמצא כי מבחינה מהותית אכן מדובר בעסקה</w:t>
      </w:r>
      <w:r w:rsidRPr="00BD2E75">
        <w:rPr>
          <w:rFonts w:hint="cs"/>
          <w:rtl/>
        </w:rPr>
        <w:t xml:space="preserve"> </w:t>
      </w:r>
      <w:r>
        <w:rPr>
          <w:rFonts w:hint="cs"/>
          <w:rtl/>
        </w:rPr>
        <w:t xml:space="preserve">כוללת אחת, או אז עלינו להפעיל את "עקרון צירוף על התמורות" כדי להגיע לשווי רכישת הזכות במקרקעין כהגדרתה בחוק" (עניין </w:t>
      </w:r>
      <w:proofErr w:type="spellStart"/>
      <w:r w:rsidRPr="00807B19">
        <w:rPr>
          <w:rFonts w:ascii="Century" w:hAnsi="Century" w:cs="Miriam" w:hint="cs"/>
          <w:b/>
          <w:spacing w:val="0"/>
          <w:szCs w:val="24"/>
          <w:rtl/>
        </w:rPr>
        <w:t>מידטאון</w:t>
      </w:r>
      <w:proofErr w:type="spellEnd"/>
      <w:r>
        <w:rPr>
          <w:rFonts w:hint="cs"/>
          <w:rtl/>
        </w:rPr>
        <w:t xml:space="preserve">, פסקה 23 לפסק דינו של השופט </w:t>
      </w:r>
      <w:r w:rsidRPr="00807B19">
        <w:rPr>
          <w:rFonts w:ascii="Century" w:hAnsi="Century" w:cs="Miriam" w:hint="cs"/>
          <w:b/>
          <w:spacing w:val="0"/>
          <w:szCs w:val="24"/>
          <w:rtl/>
        </w:rPr>
        <w:t xml:space="preserve">י' </w:t>
      </w:r>
      <w:proofErr w:type="spellStart"/>
      <w:r w:rsidRPr="00807B19">
        <w:rPr>
          <w:rFonts w:ascii="Century" w:hAnsi="Century" w:cs="Miriam" w:hint="cs"/>
          <w:b/>
          <w:spacing w:val="0"/>
          <w:szCs w:val="24"/>
          <w:rtl/>
        </w:rPr>
        <w:t>דנציגר</w:t>
      </w:r>
      <w:proofErr w:type="spellEnd"/>
      <w:r>
        <w:rPr>
          <w:rFonts w:hint="cs"/>
          <w:rtl/>
        </w:rPr>
        <w:t>).</w:t>
      </w:r>
    </w:p>
    <w:p w:rsidR="00FA2B5E" w:rsidRDefault="00FA2B5E" w:rsidP="00FA2B5E">
      <w:pPr>
        <w:pStyle w:val="Ruller4"/>
        <w:numPr>
          <w:ilvl w:val="0"/>
          <w:numId w:val="0"/>
        </w:numPr>
        <w:rPr>
          <w:rtl/>
        </w:rPr>
      </w:pPr>
    </w:p>
    <w:p w:rsidR="00FA2B5E" w:rsidRDefault="00FA2B5E" w:rsidP="00FA2B5E">
      <w:pPr>
        <w:pStyle w:val="Ruller4"/>
        <w:rPr>
          <w:rtl/>
        </w:rPr>
      </w:pPr>
      <w:r>
        <w:rPr>
          <w:rFonts w:hint="cs"/>
          <w:rtl/>
        </w:rPr>
        <w:t xml:space="preserve">עיקרון כללי בדין האזרחי קובע כי יש לסווג את החוזה שערכו הצדדים על פי מהותו ולא על פי צורתו או הכינוי שנתנו לו הצדדים (ראו למשל: איל זמיר </w:t>
      </w:r>
      <w:r w:rsidRPr="00E028E6">
        <w:rPr>
          <w:rFonts w:ascii="Century" w:hAnsi="Century" w:cs="Miriam" w:hint="cs"/>
          <w:b/>
          <w:spacing w:val="0"/>
          <w:sz w:val="22"/>
          <w:szCs w:val="24"/>
          <w:rtl/>
        </w:rPr>
        <w:t>חוק חוזה הקבלנות, תשל"ד-1974 פירוש לחוקי החוזים</w:t>
      </w:r>
      <w:r w:rsidRPr="00E028E6">
        <w:rPr>
          <w:rFonts w:hint="cs"/>
          <w:rtl/>
        </w:rPr>
        <w:t xml:space="preserve"> </w:t>
      </w:r>
      <w:r>
        <w:rPr>
          <w:rFonts w:hint="cs"/>
          <w:rtl/>
        </w:rPr>
        <w:t xml:space="preserve">123-122 (1994); ע"א 7281/15 </w:t>
      </w:r>
      <w:proofErr w:type="spellStart"/>
      <w:r w:rsidRPr="00296B36">
        <w:rPr>
          <w:rFonts w:ascii="Century" w:hAnsi="Century" w:cs="Miriam" w:hint="cs"/>
          <w:b/>
          <w:spacing w:val="0"/>
          <w:sz w:val="22"/>
          <w:szCs w:val="24"/>
          <w:rtl/>
        </w:rPr>
        <w:t>קופ</w:t>
      </w:r>
      <w:r>
        <w:rPr>
          <w:rFonts w:ascii="Century" w:hAnsi="Century" w:cs="Miriam" w:hint="cs"/>
          <w:b/>
          <w:spacing w:val="0"/>
          <w:sz w:val="22"/>
          <w:szCs w:val="24"/>
          <w:rtl/>
        </w:rPr>
        <w:t>אס</w:t>
      </w:r>
      <w:proofErr w:type="spellEnd"/>
      <w:r>
        <w:rPr>
          <w:rFonts w:ascii="Century" w:hAnsi="Century" w:cs="Miriam" w:hint="cs"/>
          <w:b/>
          <w:spacing w:val="0"/>
          <w:sz w:val="22"/>
          <w:szCs w:val="24"/>
          <w:rtl/>
        </w:rPr>
        <w:t xml:space="preserve"> </w:t>
      </w:r>
      <w:proofErr w:type="spellStart"/>
      <w:r>
        <w:rPr>
          <w:rFonts w:ascii="Century" w:hAnsi="Century" w:cs="Miriam" w:hint="cs"/>
          <w:b/>
          <w:spacing w:val="0"/>
          <w:sz w:val="22"/>
          <w:szCs w:val="24"/>
          <w:rtl/>
        </w:rPr>
        <w:t>פי</w:t>
      </w:r>
      <w:r w:rsidRPr="00296B36">
        <w:rPr>
          <w:rFonts w:ascii="Century" w:hAnsi="Century" w:cs="Miriam" w:hint="cs"/>
          <w:b/>
          <w:spacing w:val="0"/>
          <w:sz w:val="22"/>
          <w:szCs w:val="24"/>
          <w:rtl/>
        </w:rPr>
        <w:t>ננס</w:t>
      </w:r>
      <w:proofErr w:type="spellEnd"/>
      <w:r w:rsidRPr="00296B36">
        <w:rPr>
          <w:rFonts w:ascii="Century" w:hAnsi="Century" w:cs="Miriam" w:hint="cs"/>
          <w:b/>
          <w:spacing w:val="0"/>
          <w:sz w:val="22"/>
          <w:szCs w:val="24"/>
          <w:rtl/>
        </w:rPr>
        <w:t xml:space="preserve"> ישראל (</w:t>
      </w:r>
      <w:r>
        <w:rPr>
          <w:rFonts w:ascii="Century" w:hAnsi="Century" w:cs="Miriam" w:hint="cs"/>
          <w:b/>
          <w:spacing w:val="0"/>
          <w:sz w:val="22"/>
          <w:szCs w:val="24"/>
          <w:rtl/>
        </w:rPr>
        <w:t>ישראל</w:t>
      </w:r>
      <w:r w:rsidRPr="00296B36">
        <w:rPr>
          <w:rFonts w:ascii="Century" w:hAnsi="Century" w:cs="Miriam" w:hint="cs"/>
          <w:b/>
          <w:spacing w:val="0"/>
          <w:sz w:val="22"/>
          <w:szCs w:val="24"/>
          <w:rtl/>
        </w:rPr>
        <w:t>)</w:t>
      </w:r>
      <w:r>
        <w:rPr>
          <w:rFonts w:ascii="Century" w:hAnsi="Century" w:cs="Miriam" w:hint="cs"/>
          <w:b/>
          <w:spacing w:val="0"/>
          <w:sz w:val="22"/>
          <w:szCs w:val="24"/>
          <w:rtl/>
        </w:rPr>
        <w:t xml:space="preserve"> בע"מ</w:t>
      </w:r>
      <w:r w:rsidRPr="00296B36">
        <w:rPr>
          <w:rFonts w:ascii="Century" w:hAnsi="Century" w:cs="Miriam" w:hint="cs"/>
          <w:b/>
          <w:spacing w:val="0"/>
          <w:sz w:val="22"/>
          <w:szCs w:val="24"/>
          <w:rtl/>
        </w:rPr>
        <w:t xml:space="preserve"> נ' </w:t>
      </w:r>
      <w:proofErr w:type="spellStart"/>
      <w:r w:rsidRPr="00296B36">
        <w:rPr>
          <w:rFonts w:ascii="Century" w:hAnsi="Century" w:cs="Miriam" w:hint="cs"/>
          <w:b/>
          <w:spacing w:val="0"/>
          <w:sz w:val="22"/>
          <w:szCs w:val="24"/>
          <w:rtl/>
        </w:rPr>
        <w:t>אגר</w:t>
      </w:r>
      <w:r>
        <w:rPr>
          <w:rFonts w:ascii="Century" w:hAnsi="Century" w:cs="Miriam" w:hint="cs"/>
          <w:b/>
          <w:spacing w:val="0"/>
          <w:sz w:val="22"/>
          <w:szCs w:val="24"/>
          <w:rtl/>
        </w:rPr>
        <w:t>ק</w:t>
      </w:r>
      <w:r w:rsidRPr="00296B36">
        <w:rPr>
          <w:rFonts w:ascii="Century" w:hAnsi="Century" w:cs="Miriam" w:hint="cs"/>
          <w:b/>
          <w:spacing w:val="0"/>
          <w:sz w:val="22"/>
          <w:szCs w:val="24"/>
          <w:rtl/>
        </w:rPr>
        <w:t>סקו</w:t>
      </w:r>
      <w:proofErr w:type="spellEnd"/>
      <w:r w:rsidRPr="00296B36">
        <w:rPr>
          <w:rFonts w:ascii="Century" w:hAnsi="Century" w:cs="Miriam" w:hint="cs"/>
          <w:b/>
          <w:spacing w:val="0"/>
          <w:sz w:val="22"/>
          <w:szCs w:val="24"/>
          <w:rtl/>
        </w:rPr>
        <w:t xml:space="preserve"> חברה ל</w:t>
      </w:r>
      <w:r>
        <w:rPr>
          <w:rFonts w:ascii="Century" w:hAnsi="Century" w:cs="Miriam" w:hint="cs"/>
          <w:b/>
          <w:spacing w:val="0"/>
          <w:sz w:val="22"/>
          <w:szCs w:val="24"/>
          <w:rtl/>
        </w:rPr>
        <w:t>י</w:t>
      </w:r>
      <w:r w:rsidRPr="00296B36">
        <w:rPr>
          <w:rFonts w:ascii="Century" w:hAnsi="Century" w:cs="Miriam" w:hint="cs"/>
          <w:b/>
          <w:spacing w:val="0"/>
          <w:sz w:val="22"/>
          <w:szCs w:val="24"/>
          <w:rtl/>
        </w:rPr>
        <w:t>יצוא חקלאי</w:t>
      </w:r>
      <w:r>
        <w:rPr>
          <w:rFonts w:ascii="Century" w:hAnsi="Century" w:cs="Miriam" w:hint="cs"/>
          <w:b/>
          <w:spacing w:val="0"/>
          <w:sz w:val="22"/>
          <w:szCs w:val="24"/>
          <w:rtl/>
        </w:rPr>
        <w:t xml:space="preserve"> בע"מ</w:t>
      </w:r>
      <w:r>
        <w:rPr>
          <w:rFonts w:hint="cs"/>
          <w:rtl/>
        </w:rPr>
        <w:t xml:space="preserve">, פסקה 29 לפסק דינו של השופט </w:t>
      </w:r>
      <w:r w:rsidRPr="00296B36">
        <w:rPr>
          <w:rFonts w:ascii="Century" w:hAnsi="Century" w:cs="Miriam" w:hint="cs"/>
          <w:b/>
          <w:spacing w:val="0"/>
          <w:sz w:val="22"/>
          <w:szCs w:val="24"/>
          <w:rtl/>
        </w:rPr>
        <w:t xml:space="preserve">י' </w:t>
      </w:r>
      <w:proofErr w:type="spellStart"/>
      <w:r w:rsidRPr="00296B36">
        <w:rPr>
          <w:rFonts w:ascii="Century" w:hAnsi="Century" w:cs="Miriam" w:hint="cs"/>
          <w:b/>
          <w:spacing w:val="0"/>
          <w:sz w:val="22"/>
          <w:szCs w:val="24"/>
          <w:rtl/>
        </w:rPr>
        <w:t>דנציגר</w:t>
      </w:r>
      <w:proofErr w:type="spellEnd"/>
      <w:r w:rsidRPr="00296B36">
        <w:rPr>
          <w:rFonts w:hint="cs"/>
          <w:rtl/>
        </w:rPr>
        <w:t xml:space="preserve"> </w:t>
      </w:r>
      <w:r>
        <w:rPr>
          <w:rFonts w:hint="cs"/>
          <w:rtl/>
        </w:rPr>
        <w:t xml:space="preserve">ואסמכתאות שם (25.5.2018)). עיקרון זה חל גם בדיני המס. דרך מרכזית לסיווג עסקה הוא לבחון אותה על פי מהותה הכלכלית </w:t>
      </w:r>
      <w:proofErr w:type="spellStart"/>
      <w:r>
        <w:rPr>
          <w:rFonts w:hint="cs"/>
          <w:rtl/>
        </w:rPr>
        <w:t>האמיתית</w:t>
      </w:r>
      <w:proofErr w:type="spellEnd"/>
      <w:r>
        <w:rPr>
          <w:rFonts w:hint="cs"/>
          <w:rtl/>
        </w:rPr>
        <w:t xml:space="preserve"> (ראו: דוד </w:t>
      </w:r>
      <w:proofErr w:type="spellStart"/>
      <w:r>
        <w:rPr>
          <w:rFonts w:hint="cs"/>
          <w:rtl/>
        </w:rPr>
        <w:t>גליקסברג</w:t>
      </w:r>
      <w:proofErr w:type="spellEnd"/>
      <w:r>
        <w:rPr>
          <w:rFonts w:hint="cs"/>
          <w:rtl/>
        </w:rPr>
        <w:t xml:space="preserve"> </w:t>
      </w:r>
      <w:r w:rsidRPr="003933F8">
        <w:rPr>
          <w:rFonts w:ascii="Century" w:hAnsi="Century" w:cs="Miriam" w:hint="cs"/>
          <w:b/>
          <w:spacing w:val="0"/>
          <w:sz w:val="22"/>
          <w:szCs w:val="24"/>
          <w:rtl/>
        </w:rPr>
        <w:t>גבולות תכנון המס</w:t>
      </w:r>
      <w:r w:rsidRPr="00296B36">
        <w:rPr>
          <w:rFonts w:hint="cs"/>
          <w:rtl/>
        </w:rPr>
        <w:t xml:space="preserve"> </w:t>
      </w:r>
      <w:r>
        <w:rPr>
          <w:rFonts w:hint="cs"/>
          <w:rtl/>
        </w:rPr>
        <w:t xml:space="preserve">17-12, 155-145 (1990); ע"א 6722/99 </w:t>
      </w:r>
      <w:r w:rsidRPr="003933F8">
        <w:rPr>
          <w:rFonts w:ascii="Century" w:hAnsi="Century" w:cs="Miriam" w:hint="cs"/>
          <w:b/>
          <w:spacing w:val="0"/>
          <w:szCs w:val="24"/>
          <w:rtl/>
        </w:rPr>
        <w:t xml:space="preserve">מנהל מס </w:t>
      </w:r>
      <w:r>
        <w:rPr>
          <w:rFonts w:ascii="Century" w:hAnsi="Century" w:cs="Miriam" w:hint="cs"/>
          <w:b/>
          <w:spacing w:val="0"/>
          <w:sz w:val="22"/>
          <w:szCs w:val="24"/>
          <w:rtl/>
        </w:rPr>
        <w:t>ערך מוסף תל-</w:t>
      </w:r>
      <w:r w:rsidRPr="003933F8">
        <w:rPr>
          <w:rFonts w:ascii="Century" w:hAnsi="Century" w:cs="Miriam" w:hint="cs"/>
          <w:b/>
          <w:spacing w:val="0"/>
          <w:sz w:val="22"/>
          <w:szCs w:val="24"/>
          <w:rtl/>
        </w:rPr>
        <w:t>אביב נ' משכנות כלל מגדל</w:t>
      </w:r>
      <w:r>
        <w:rPr>
          <w:rFonts w:ascii="Century" w:hAnsi="Century" w:cs="Miriam" w:hint="cs"/>
          <w:b/>
          <w:spacing w:val="0"/>
          <w:sz w:val="22"/>
          <w:szCs w:val="24"/>
          <w:rtl/>
        </w:rPr>
        <w:t>י</w:t>
      </w:r>
      <w:r w:rsidRPr="003933F8">
        <w:rPr>
          <w:rFonts w:ascii="Century" w:hAnsi="Century" w:cs="Miriam" w:hint="cs"/>
          <w:b/>
          <w:spacing w:val="0"/>
          <w:sz w:val="22"/>
          <w:szCs w:val="24"/>
          <w:rtl/>
        </w:rPr>
        <w:t xml:space="preserve"> הים התיכון בע"מ</w:t>
      </w:r>
      <w:r>
        <w:rPr>
          <w:rFonts w:hint="cs"/>
          <w:rtl/>
        </w:rPr>
        <w:t xml:space="preserve">, פ"ד נח(3) 341, 347 (2004); ע"א 1839/19 </w:t>
      </w:r>
      <w:r w:rsidRPr="002A1F5C">
        <w:rPr>
          <w:rFonts w:ascii="Century" w:hAnsi="Century" w:cs="Miriam" w:hint="cs"/>
          <w:b/>
          <w:spacing w:val="0"/>
          <w:sz w:val="22"/>
          <w:szCs w:val="24"/>
          <w:rtl/>
        </w:rPr>
        <w:t xml:space="preserve">פקיד שומה כפר סבא נ' </w:t>
      </w:r>
      <w:proofErr w:type="spellStart"/>
      <w:r w:rsidRPr="002A1F5C">
        <w:rPr>
          <w:rFonts w:ascii="Century" w:hAnsi="Century" w:cs="Miriam" w:hint="cs"/>
          <w:b/>
          <w:spacing w:val="0"/>
          <w:sz w:val="22"/>
          <w:szCs w:val="24"/>
          <w:rtl/>
        </w:rPr>
        <w:t>ריזמן</w:t>
      </w:r>
      <w:proofErr w:type="spellEnd"/>
      <w:r>
        <w:rPr>
          <w:rFonts w:hint="cs"/>
          <w:rtl/>
        </w:rPr>
        <w:t xml:space="preserve">, פסקה 84 לפסק דינו של השופט </w:t>
      </w:r>
      <w:r w:rsidRPr="002A1F5C">
        <w:rPr>
          <w:rFonts w:ascii="Century" w:hAnsi="Century" w:cs="Miriam" w:hint="cs"/>
          <w:b/>
          <w:spacing w:val="0"/>
          <w:sz w:val="22"/>
          <w:szCs w:val="24"/>
          <w:rtl/>
        </w:rPr>
        <w:t>א' שטיין</w:t>
      </w:r>
      <w:r w:rsidRPr="002A1F5C">
        <w:rPr>
          <w:rFonts w:hint="cs"/>
          <w:rtl/>
        </w:rPr>
        <w:t xml:space="preserve"> </w:t>
      </w:r>
      <w:r>
        <w:rPr>
          <w:rFonts w:hint="cs"/>
          <w:rtl/>
        </w:rPr>
        <w:t xml:space="preserve">(14.6.2021)). </w:t>
      </w:r>
    </w:p>
    <w:p w:rsidR="00FA2B5E" w:rsidRDefault="00FA2B5E" w:rsidP="00FA2B5E">
      <w:pPr>
        <w:pStyle w:val="Ruller4"/>
        <w:numPr>
          <w:ilvl w:val="0"/>
          <w:numId w:val="0"/>
        </w:numPr>
        <w:rPr>
          <w:rtl/>
        </w:rPr>
      </w:pPr>
    </w:p>
    <w:p w:rsidR="00FA2B5E" w:rsidRDefault="00FA2B5E" w:rsidP="00FA2B5E">
      <w:pPr>
        <w:pStyle w:val="Ruller4"/>
        <w:rPr>
          <w:rtl/>
        </w:rPr>
      </w:pPr>
      <w:r>
        <w:rPr>
          <w:rFonts w:hint="cs"/>
          <w:rtl/>
        </w:rPr>
        <w:t xml:space="preserve">לפיכך, האופן שבו הכתירו הצדדים את העסקה אינו סוף פסוק, ואין זה משנה כיצד הגדירו אותה. עמד על כך השופט </w:t>
      </w:r>
      <w:r w:rsidRPr="00296B36">
        <w:rPr>
          <w:rFonts w:ascii="Century" w:hAnsi="Century" w:cs="Miriam" w:hint="cs"/>
          <w:b/>
          <w:spacing w:val="0"/>
          <w:sz w:val="22"/>
          <w:szCs w:val="24"/>
          <w:rtl/>
        </w:rPr>
        <w:t xml:space="preserve">א' ריבלין </w:t>
      </w:r>
      <w:r>
        <w:rPr>
          <w:rFonts w:hint="cs"/>
          <w:rtl/>
        </w:rPr>
        <w:t>(כתוארו אז) בהקשר אחר בכל הנוגע לעסקת קומבינציה:</w:t>
      </w:r>
    </w:p>
    <w:p w:rsidR="00FA2B5E" w:rsidRDefault="00FA2B5E" w:rsidP="00FA2B5E">
      <w:pPr>
        <w:pStyle w:val="Ruller4"/>
        <w:numPr>
          <w:ilvl w:val="0"/>
          <w:numId w:val="0"/>
        </w:numPr>
        <w:rPr>
          <w:rtl/>
        </w:rPr>
      </w:pPr>
    </w:p>
    <w:p w:rsidR="00FA2B5E" w:rsidRDefault="00FA2B5E" w:rsidP="00FA2B5E">
      <w:pPr>
        <w:pStyle w:val="Ruller5"/>
        <w:rPr>
          <w:rtl/>
        </w:rPr>
      </w:pPr>
      <w:r>
        <w:rPr>
          <w:rFonts w:hint="cs"/>
          <w:rtl/>
        </w:rPr>
        <w:t>"</w:t>
      </w:r>
      <w:r w:rsidRPr="007A3755">
        <w:rPr>
          <w:rFonts w:hint="cs"/>
          <w:rtl/>
        </w:rPr>
        <w:t xml:space="preserve">כלל הוא, בחקיקה פיסקאלית, כי יש להתמקד במהותה ובתוצאתה הכלכלית של </w:t>
      </w:r>
      <w:proofErr w:type="spellStart"/>
      <w:r w:rsidRPr="007A3755">
        <w:rPr>
          <w:rFonts w:hint="cs"/>
          <w:rtl/>
        </w:rPr>
        <w:t>העיסקה</w:t>
      </w:r>
      <w:proofErr w:type="spellEnd"/>
      <w:r w:rsidRPr="007A3755">
        <w:rPr>
          <w:rFonts w:hint="cs"/>
          <w:rtl/>
        </w:rPr>
        <w:t xml:space="preserve">. אכן, הלכה פסוקה היא כי לצורכי הטלת מס מהווה האופן שבו הציגו הצדדים את </w:t>
      </w:r>
      <w:proofErr w:type="spellStart"/>
      <w:r w:rsidRPr="007A3755">
        <w:rPr>
          <w:rFonts w:hint="cs"/>
          <w:rtl/>
        </w:rPr>
        <w:t>העיסקה</w:t>
      </w:r>
      <w:proofErr w:type="spellEnd"/>
      <w:r w:rsidRPr="007A3755">
        <w:rPr>
          <w:rFonts w:hint="cs"/>
          <w:rtl/>
        </w:rPr>
        <w:t xml:space="preserve"> ראיה לכאורית על טיבה, עם זאת לא יפנה בית-המשפט לאותו לבוש שהעניקו הצדדים </w:t>
      </w:r>
      <w:proofErr w:type="spellStart"/>
      <w:r w:rsidRPr="007A3755">
        <w:rPr>
          <w:rFonts w:hint="cs"/>
          <w:rtl/>
        </w:rPr>
        <w:t>לעיסקה</w:t>
      </w:r>
      <w:proofErr w:type="spellEnd"/>
      <w:r w:rsidRPr="007A3755">
        <w:rPr>
          <w:rFonts w:hint="cs"/>
          <w:rtl/>
        </w:rPr>
        <w:t xml:space="preserve"> מקום שבו תוכנה הכלכלי הוא אחר (ראו דבריו של השופט </w:t>
      </w:r>
      <w:r w:rsidRPr="007A3755">
        <w:rPr>
          <w:rFonts w:ascii="Century" w:hAnsi="Century" w:cs="Miriam" w:hint="cs"/>
          <w:b/>
          <w:spacing w:val="0"/>
          <w:szCs w:val="24"/>
          <w:rtl/>
        </w:rPr>
        <w:t>ש' אשר</w:t>
      </w:r>
      <w:r w:rsidRPr="007A3755">
        <w:rPr>
          <w:rFonts w:hint="cs"/>
          <w:rtl/>
        </w:rPr>
        <w:t xml:space="preserve"> ב</w:t>
      </w:r>
      <w:hyperlink r:id="rId8" w:history="1">
        <w:r w:rsidRPr="007A3755">
          <w:rPr>
            <w:rStyle w:val="Hyperlink"/>
            <w:rFonts w:ascii="Century" w:hAnsi="Century"/>
            <w:color w:val="auto"/>
            <w:u w:val="none"/>
            <w:rtl/>
          </w:rPr>
          <w:t>ע"א 214/78</w:t>
        </w:r>
      </w:hyperlink>
      <w:r w:rsidRPr="007A3755">
        <w:rPr>
          <w:rFonts w:hint="cs"/>
          <w:rtl/>
        </w:rPr>
        <w:t xml:space="preserve"> </w:t>
      </w:r>
      <w:r w:rsidRPr="007A3755">
        <w:rPr>
          <w:rFonts w:ascii="Century" w:hAnsi="Century" w:cs="Miriam" w:hint="cs"/>
          <w:b/>
          <w:spacing w:val="0"/>
          <w:szCs w:val="24"/>
          <w:rtl/>
        </w:rPr>
        <w:t xml:space="preserve">כנעני נ' מנהל מס שבח מקרקעין חיפה </w:t>
      </w:r>
      <w:r w:rsidRPr="007A3755">
        <w:rPr>
          <w:rFonts w:hint="cs"/>
          <w:rtl/>
        </w:rPr>
        <w:t xml:space="preserve">[6], בעמ' 564, שכבר אז עמד על המלאכותיות שבשוני בין שני סוגי </w:t>
      </w:r>
      <w:proofErr w:type="spellStart"/>
      <w:r w:rsidRPr="007A3755">
        <w:rPr>
          <w:rFonts w:hint="cs"/>
          <w:rtl/>
        </w:rPr>
        <w:t>העיסקאות</w:t>
      </w:r>
      <w:proofErr w:type="spellEnd"/>
      <w:r w:rsidRPr="007A3755">
        <w:rPr>
          <w:rFonts w:hint="cs"/>
          <w:rtl/>
        </w:rPr>
        <w:t>) [...]</w:t>
      </w:r>
      <w:r>
        <w:rPr>
          <w:rFonts w:hint="cs"/>
          <w:rtl/>
        </w:rPr>
        <w:t xml:space="preserve"> </w:t>
      </w:r>
      <w:r w:rsidRPr="007A3755">
        <w:rPr>
          <w:rFonts w:ascii="Century" w:hAnsi="Century" w:hint="cs"/>
          <w:rtl/>
        </w:rPr>
        <w:t>ברגיל, אין לקבל תוצאת מס שאינה אחידה ו</w:t>
      </w:r>
      <w:r w:rsidRPr="007A3755">
        <w:rPr>
          <w:rFonts w:ascii="Century" w:hAnsi="Century"/>
          <w:rtl/>
        </w:rPr>
        <w:t xml:space="preserve">הפעלה בלתי שוויונית של </w:t>
      </w:r>
      <w:r w:rsidRPr="007A3755">
        <w:rPr>
          <w:rFonts w:ascii="Century" w:hAnsi="Century" w:hint="cs"/>
          <w:rtl/>
        </w:rPr>
        <w:t xml:space="preserve">הוראות </w:t>
      </w:r>
      <w:hyperlink r:id="rId9" w:history="1">
        <w:r w:rsidRPr="007A3755">
          <w:rPr>
            <w:rStyle w:val="Hyperlink"/>
            <w:rFonts w:ascii="Century" w:hAnsi="Century"/>
            <w:color w:val="auto"/>
            <w:u w:val="none"/>
            <w:rtl/>
          </w:rPr>
          <w:t>חוק מיסוי מקרקעין</w:t>
        </w:r>
      </w:hyperlink>
      <w:r w:rsidRPr="007A3755">
        <w:rPr>
          <w:rFonts w:ascii="Century" w:hAnsi="Century"/>
          <w:rtl/>
        </w:rPr>
        <w:t xml:space="preserve"> באופן ש</w:t>
      </w:r>
      <w:r w:rsidRPr="007A3755">
        <w:rPr>
          <w:rFonts w:ascii="Century" w:hAnsi="Century" w:hint="cs"/>
          <w:rtl/>
        </w:rPr>
        <w:t>יושתו</w:t>
      </w:r>
      <w:r w:rsidRPr="007A3755">
        <w:rPr>
          <w:rFonts w:ascii="Century" w:hAnsi="Century"/>
          <w:rtl/>
        </w:rPr>
        <w:t xml:space="preserve"> </w:t>
      </w:r>
      <w:r w:rsidRPr="007A3755">
        <w:rPr>
          <w:rFonts w:ascii="Century" w:hAnsi="Century" w:hint="cs"/>
          <w:rtl/>
        </w:rPr>
        <w:t>חיובי מס שונים על נישומים</w:t>
      </w:r>
      <w:r w:rsidRPr="007A3755">
        <w:rPr>
          <w:rFonts w:ascii="Century" w:hAnsi="Century"/>
          <w:rtl/>
        </w:rPr>
        <w:t xml:space="preserve"> העוש</w:t>
      </w:r>
      <w:r w:rsidRPr="007A3755">
        <w:rPr>
          <w:rFonts w:ascii="Century" w:hAnsi="Century" w:hint="cs"/>
          <w:rtl/>
        </w:rPr>
        <w:t>ים</w:t>
      </w:r>
      <w:r w:rsidRPr="007A3755">
        <w:rPr>
          <w:rFonts w:ascii="Century" w:hAnsi="Century"/>
          <w:rtl/>
        </w:rPr>
        <w:t xml:space="preserve"> </w:t>
      </w:r>
      <w:proofErr w:type="spellStart"/>
      <w:r w:rsidRPr="007A3755">
        <w:rPr>
          <w:rFonts w:ascii="Century" w:hAnsi="Century" w:hint="cs"/>
          <w:rtl/>
        </w:rPr>
        <w:t>עיסקאות</w:t>
      </w:r>
      <w:proofErr w:type="spellEnd"/>
      <w:r w:rsidRPr="007A3755">
        <w:rPr>
          <w:rFonts w:ascii="Century" w:hAnsi="Century" w:hint="cs"/>
          <w:rtl/>
        </w:rPr>
        <w:t xml:space="preserve"> שתוצאתן זהה</w:t>
      </w:r>
      <w:r w:rsidRPr="007A3755">
        <w:rPr>
          <w:rFonts w:ascii="Century" w:hAnsi="Century"/>
          <w:rtl/>
        </w:rPr>
        <w:t xml:space="preserve">, </w:t>
      </w:r>
      <w:r w:rsidRPr="007A3755">
        <w:rPr>
          <w:rFonts w:ascii="Century" w:hAnsi="Century" w:hint="cs"/>
          <w:rtl/>
        </w:rPr>
        <w:t>וזאת אך</w:t>
      </w:r>
      <w:r w:rsidRPr="007A3755">
        <w:rPr>
          <w:rFonts w:ascii="Century" w:hAnsi="Century"/>
          <w:rtl/>
        </w:rPr>
        <w:t xml:space="preserve"> מן הטעם </w:t>
      </w:r>
      <w:r w:rsidRPr="007A3755">
        <w:rPr>
          <w:rFonts w:ascii="Century" w:hAnsi="Century" w:hint="cs"/>
          <w:rtl/>
        </w:rPr>
        <w:t xml:space="preserve">שהצדדים בחרו להציג את </w:t>
      </w:r>
      <w:proofErr w:type="spellStart"/>
      <w:r w:rsidRPr="007A3755">
        <w:rPr>
          <w:rFonts w:ascii="Century" w:hAnsi="Century" w:hint="cs"/>
          <w:rtl/>
        </w:rPr>
        <w:t>העיסקה</w:t>
      </w:r>
      <w:proofErr w:type="spellEnd"/>
      <w:r w:rsidRPr="007A3755">
        <w:rPr>
          <w:rFonts w:ascii="Century" w:hAnsi="Century" w:hint="cs"/>
          <w:rtl/>
        </w:rPr>
        <w:t xml:space="preserve"> בלבוש שונה. שוני כזה בתוצאות המס אינו ראוי ואין לקבלו</w:t>
      </w:r>
      <w:r>
        <w:rPr>
          <w:rFonts w:ascii="Century" w:hAnsi="Century" w:hint="cs"/>
          <w:rtl/>
        </w:rPr>
        <w:t xml:space="preserve"> [...]"</w:t>
      </w:r>
      <w:r>
        <w:rPr>
          <w:rFonts w:hint="cs"/>
          <w:rtl/>
        </w:rPr>
        <w:t xml:space="preserve"> (ע"א 3815/99 </w:t>
      </w:r>
      <w:r w:rsidRPr="006E4C0F">
        <w:rPr>
          <w:rFonts w:ascii="Century" w:hAnsi="Century" w:cs="Miriam" w:hint="cs"/>
          <w:b/>
          <w:spacing w:val="0"/>
          <w:szCs w:val="24"/>
          <w:rtl/>
        </w:rPr>
        <w:t>טובי נ' מנהל מס שבח מקרקעין</w:t>
      </w:r>
      <w:r>
        <w:rPr>
          <w:rFonts w:hint="cs"/>
          <w:rtl/>
        </w:rPr>
        <w:t xml:space="preserve">, פ"ד </w:t>
      </w:r>
      <w:proofErr w:type="spellStart"/>
      <w:r>
        <w:rPr>
          <w:rFonts w:hint="cs"/>
          <w:rtl/>
        </w:rPr>
        <w:t>נז</w:t>
      </w:r>
      <w:proofErr w:type="spellEnd"/>
      <w:r>
        <w:rPr>
          <w:rFonts w:hint="cs"/>
          <w:rtl/>
        </w:rPr>
        <w:t xml:space="preserve">(6) 108, 126 (2003)). </w:t>
      </w:r>
    </w:p>
    <w:p w:rsidR="00FA2B5E" w:rsidRDefault="00FA2B5E" w:rsidP="00FA2B5E">
      <w:pPr>
        <w:pStyle w:val="Ruller4"/>
        <w:numPr>
          <w:ilvl w:val="0"/>
          <w:numId w:val="0"/>
        </w:numPr>
        <w:rPr>
          <w:rtl/>
        </w:rPr>
      </w:pPr>
    </w:p>
    <w:p w:rsidR="00FA2B5E" w:rsidRDefault="00FA2B5E" w:rsidP="00FA2B5E">
      <w:pPr>
        <w:pStyle w:val="Ruller4"/>
        <w:rPr>
          <w:rtl/>
        </w:rPr>
      </w:pPr>
      <w:r>
        <w:rPr>
          <w:rFonts w:hint="cs"/>
          <w:rtl/>
        </w:rPr>
        <w:t xml:space="preserve">בבחינת מהותן הכלכלית של העסקאות שלפנינו, יוצא כי קיימת התניה בין ההתחייבויות השונות, קרי מכירת הזכות במקרקעין כרוכה ומותנית בהתחייבותו של הקונה לשלם גם בעבור הוצאות פיתוח. </w:t>
      </w:r>
    </w:p>
    <w:p w:rsidR="00FA2B5E" w:rsidRPr="003933F8" w:rsidRDefault="00FA2B5E" w:rsidP="00FA2B5E">
      <w:pPr>
        <w:pStyle w:val="Ruller41"/>
        <w:rPr>
          <w:rtl/>
        </w:rPr>
      </w:pPr>
    </w:p>
    <w:p w:rsidR="00FA2B5E" w:rsidRDefault="00FA2B5E" w:rsidP="00FA2B5E">
      <w:pPr>
        <w:pStyle w:val="Ruller4"/>
      </w:pPr>
      <w:r w:rsidRPr="00806F91">
        <w:rPr>
          <w:rFonts w:hint="cs"/>
          <w:rtl/>
        </w:rPr>
        <w:t xml:space="preserve">בעניין </w:t>
      </w:r>
      <w:r w:rsidRPr="00806F91">
        <w:rPr>
          <w:rFonts w:ascii="Century" w:hAnsi="Century" w:cs="Miriam" w:hint="cs"/>
          <w:b/>
          <w:spacing w:val="0"/>
          <w:sz w:val="22"/>
          <w:szCs w:val="24"/>
          <w:rtl/>
        </w:rPr>
        <w:t>פרידמן</w:t>
      </w:r>
      <w:r w:rsidRPr="00806F91">
        <w:rPr>
          <w:rFonts w:hint="cs"/>
          <w:rtl/>
        </w:rPr>
        <w:t>, הדגיש</w:t>
      </w:r>
      <w:r>
        <w:rPr>
          <w:rFonts w:hint="cs"/>
          <w:rtl/>
        </w:rPr>
        <w:t xml:space="preserve"> בית המשפט את השאלה האם ניתן להפריד בין מכלול ההתחייבויות שלקחו עליהם הצדדים והאם ההסכם בין הצדדים כרך למעשה הסכמה לביצוע כלל ההתחייבויות </w:t>
      </w:r>
      <w:r>
        <w:rPr>
          <w:rtl/>
        </w:rPr>
        <w:t>–</w:t>
      </w:r>
      <w:r>
        <w:rPr>
          <w:rFonts w:hint="cs"/>
          <w:rtl/>
        </w:rPr>
        <w:t xml:space="preserve"> כולל התחייבויות נלוות (באותו עניין נדונה התחייבות לפנות את דיירים במסגרת עסקת פינוי בינוי).</w:t>
      </w:r>
    </w:p>
    <w:p w:rsidR="00FA2B5E" w:rsidRDefault="00FA2B5E" w:rsidP="00FA2B5E">
      <w:pPr>
        <w:pStyle w:val="Ruller4"/>
        <w:numPr>
          <w:ilvl w:val="0"/>
          <w:numId w:val="0"/>
        </w:numPr>
        <w:rPr>
          <w:rtl/>
        </w:rPr>
      </w:pPr>
    </w:p>
    <w:p w:rsidR="00FA2B5E" w:rsidRDefault="00FA2B5E" w:rsidP="00FA2B5E">
      <w:pPr>
        <w:pStyle w:val="Ruller5"/>
        <w:rPr>
          <w:rtl/>
        </w:rPr>
      </w:pPr>
      <w:r>
        <w:rPr>
          <w:rFonts w:hint="cs"/>
          <w:rtl/>
        </w:rPr>
        <w:t xml:space="preserve">"בבואנו לקבוע את "שווי המכירה" על-בסיס התמורה החוזית שעליה הסכימו הצדדים, יש להביא בחשבון את </w:t>
      </w:r>
      <w:r w:rsidRPr="00083C09">
        <w:rPr>
          <w:rFonts w:ascii="Century" w:hAnsi="Century" w:cs="Miriam" w:hint="cs"/>
          <w:b/>
          <w:spacing w:val="0"/>
          <w:szCs w:val="24"/>
          <w:rtl/>
        </w:rPr>
        <w:t>כלל התמורות הישירות והעקיפות</w:t>
      </w:r>
      <w:r w:rsidRPr="00083C09">
        <w:rPr>
          <w:rFonts w:hint="cs"/>
          <w:rtl/>
        </w:rPr>
        <w:t xml:space="preserve"> </w:t>
      </w:r>
      <w:r>
        <w:rPr>
          <w:rFonts w:hint="cs"/>
          <w:rtl/>
        </w:rPr>
        <w:t xml:space="preserve"> [דגשים שלי, ג'.ק.] שהתחייב רוכש הזכות במקרקעין להעביר למוכר הזכות, או למי מטעמו, במסגרת העסקה שנכרתה ביניהם, כפועל יוצא מ"עקרון צירוף כל התמורות" עליו עמדנו [...] התחייבות המערערות להביא לפינוים של התושבים המתגוררים במקרקעין </w:t>
      </w:r>
      <w:r w:rsidRPr="00083C09">
        <w:rPr>
          <w:rFonts w:ascii="Century" w:hAnsi="Century" w:cs="Miriam" w:hint="cs"/>
          <w:b/>
          <w:spacing w:val="0"/>
          <w:szCs w:val="24"/>
          <w:rtl/>
        </w:rPr>
        <w:t xml:space="preserve">אינה ניתנת להפרדה </w:t>
      </w:r>
      <w:r>
        <w:rPr>
          <w:rFonts w:hint="cs"/>
          <w:rtl/>
        </w:rPr>
        <w:t xml:space="preserve">[דגשים שלי, ג'.ק.] מהתחייבות </w:t>
      </w:r>
      <w:proofErr w:type="spellStart"/>
      <w:r>
        <w:rPr>
          <w:rFonts w:hint="cs"/>
          <w:rtl/>
        </w:rPr>
        <w:t>המינהל</w:t>
      </w:r>
      <w:proofErr w:type="spellEnd"/>
      <w:r>
        <w:rPr>
          <w:rFonts w:hint="cs"/>
          <w:rtl/>
        </w:rPr>
        <w:t xml:space="preserve"> להעביר למערערות את זכויות החכירה במקרקעין" (עניין </w:t>
      </w:r>
      <w:r w:rsidRPr="00D220D7">
        <w:rPr>
          <w:rFonts w:ascii="Century" w:hAnsi="Century" w:cs="Miriam" w:hint="cs"/>
          <w:b/>
          <w:spacing w:val="0"/>
          <w:szCs w:val="24"/>
          <w:rtl/>
        </w:rPr>
        <w:t>פרידמן</w:t>
      </w:r>
      <w:r>
        <w:rPr>
          <w:rFonts w:hint="cs"/>
          <w:rtl/>
        </w:rPr>
        <w:t xml:space="preserve">, פסקה 12 לפסק דינו של השופט </w:t>
      </w:r>
      <w:r w:rsidRPr="00D220D7">
        <w:rPr>
          <w:rFonts w:ascii="Century" w:hAnsi="Century" w:cs="Miriam" w:hint="cs"/>
          <w:b/>
          <w:spacing w:val="0"/>
          <w:szCs w:val="24"/>
          <w:rtl/>
        </w:rPr>
        <w:t xml:space="preserve">י' </w:t>
      </w:r>
      <w:proofErr w:type="spellStart"/>
      <w:r w:rsidRPr="00D220D7">
        <w:rPr>
          <w:rFonts w:ascii="Century" w:hAnsi="Century" w:cs="Miriam" w:hint="cs"/>
          <w:b/>
          <w:spacing w:val="0"/>
          <w:szCs w:val="24"/>
          <w:rtl/>
        </w:rPr>
        <w:t>דנציגר</w:t>
      </w:r>
      <w:proofErr w:type="spellEnd"/>
      <w:r>
        <w:rPr>
          <w:rFonts w:hint="cs"/>
          <w:rtl/>
        </w:rPr>
        <w:t>).</w:t>
      </w:r>
    </w:p>
    <w:p w:rsidR="00FA2B5E" w:rsidRPr="00D220D7" w:rsidRDefault="00FA2B5E" w:rsidP="00FA2B5E">
      <w:pPr>
        <w:pStyle w:val="Ruller41"/>
      </w:pPr>
    </w:p>
    <w:p w:rsidR="00FA2B5E" w:rsidRDefault="00FA2B5E" w:rsidP="00FA2B5E">
      <w:pPr>
        <w:pStyle w:val="Ruller4"/>
        <w:rPr>
          <w:rtl/>
        </w:rPr>
      </w:pPr>
      <w:r>
        <w:rPr>
          <w:rFonts w:hint="cs"/>
          <w:rtl/>
        </w:rPr>
        <w:t xml:space="preserve">בענייננו, התחייבו המשיבות, מחד גיסא, לשלם בעבור עצם הבעלות בקרקע, ומאידך גיסא, לשלם תשלום נוסף (הוצאות פיתוח), בהקשר ובזיקה לקרקע הנמכרת לשם מימוש הזכויות בה. בהיעדר אפשרות להפריד בין ההתחייבויות, בהינתן ההתחייבות </w:t>
      </w:r>
      <w:r>
        <w:rPr>
          <w:rFonts w:hint="cs"/>
          <w:rtl/>
        </w:rPr>
        <w:lastRenderedPageBreak/>
        <w:t>לתשלום הוצאות הפיתוח חלק מהותי ובלתי נפרד מההסכם למכירת המקרקעין, ובהינתן מהותן הכלכלית של העסקאות, הרי כי מדובר בסכומים ששולמו עבור רכישת "הזכות במקרקעין".</w:t>
      </w:r>
    </w:p>
    <w:p w:rsidR="00FA2B5E" w:rsidRDefault="00FA2B5E" w:rsidP="00FA2B5E">
      <w:pPr>
        <w:pStyle w:val="Ruller4"/>
        <w:numPr>
          <w:ilvl w:val="0"/>
          <w:numId w:val="0"/>
        </w:numPr>
      </w:pPr>
    </w:p>
    <w:p w:rsidR="00FA2B5E" w:rsidRDefault="00FA2B5E" w:rsidP="00FA2B5E">
      <w:pPr>
        <w:pStyle w:val="Ruller4"/>
        <w:rPr>
          <w:rtl/>
        </w:rPr>
      </w:pPr>
      <w:r>
        <w:rPr>
          <w:rFonts w:hint="cs"/>
          <w:rtl/>
        </w:rPr>
        <w:t>לאור עמדתם של חבריי ומשנותרתי בדעת מיעוט, לא ראיתי מקום להידרש לטענת ההסתמכות.</w:t>
      </w:r>
    </w:p>
    <w:p w:rsidR="00FA2B5E" w:rsidRDefault="00FA2B5E" w:rsidP="00FA2B5E">
      <w:pPr>
        <w:pStyle w:val="Ruller41"/>
        <w:rPr>
          <w:rtl/>
        </w:rPr>
      </w:pPr>
    </w:p>
    <w:p w:rsidR="00FA2B5E" w:rsidRDefault="00FA2B5E" w:rsidP="00FA2B5E">
      <w:pPr>
        <w:pStyle w:val="Ruller41"/>
        <w:rPr>
          <w:rtl/>
        </w:rPr>
      </w:pPr>
      <w:r>
        <w:rPr>
          <w:rtl/>
        </w:rPr>
        <w:tab/>
      </w:r>
      <w:r>
        <w:rPr>
          <w:rtl/>
        </w:rPr>
        <w:tab/>
      </w:r>
    </w:p>
    <w:p w:rsidR="00FA2B5E" w:rsidRDefault="00FA2B5E" w:rsidP="00FA2B5E">
      <w:pPr>
        <w:pStyle w:val="Ruller41"/>
        <w:rPr>
          <w:rtl/>
        </w:rPr>
      </w:pPr>
      <w:r>
        <w:rPr>
          <w:rtl/>
        </w:rPr>
        <w:tab/>
      </w:r>
      <w:r>
        <w:rPr>
          <w:rtl/>
        </w:rPr>
        <w:tab/>
      </w:r>
      <w:r>
        <w:rPr>
          <w:rtl/>
        </w:rPr>
        <w:tab/>
      </w:r>
      <w:r>
        <w:rPr>
          <w:rtl/>
        </w:rPr>
        <w:tab/>
      </w:r>
      <w:r>
        <w:rPr>
          <w:rtl/>
        </w:rPr>
        <w:tab/>
      </w:r>
      <w:r>
        <w:rPr>
          <w:rtl/>
        </w:rPr>
        <w:tab/>
      </w:r>
      <w:r>
        <w:rPr>
          <w:rtl/>
        </w:rPr>
        <w:tab/>
      </w:r>
      <w:r>
        <w:rPr>
          <w:rtl/>
        </w:rPr>
        <w:tab/>
      </w:r>
      <w:r>
        <w:rPr>
          <w:rtl/>
        </w:rPr>
        <w:tab/>
      </w:r>
      <w:r>
        <w:rPr>
          <w:rtl/>
        </w:rPr>
        <w:tab/>
      </w:r>
      <w:r>
        <w:rPr>
          <w:rFonts w:hint="cs"/>
          <w:rtl/>
        </w:rPr>
        <w:t xml:space="preserve">ש ו פ ט </w:t>
      </w:r>
    </w:p>
    <w:p w:rsidR="00EC0E24" w:rsidRDefault="00EC0E24" w:rsidP="00FA2B5E">
      <w:pPr>
        <w:pStyle w:val="Ruller41"/>
        <w:rPr>
          <w:rtl/>
        </w:rPr>
      </w:pPr>
    </w:p>
    <w:p w:rsidR="00EC0E24" w:rsidRDefault="00EC0E24" w:rsidP="00FA2B5E">
      <w:pPr>
        <w:pStyle w:val="Ruller41"/>
        <w:rPr>
          <w:rtl/>
        </w:rPr>
      </w:pPr>
    </w:p>
    <w:p w:rsidR="00EC0E24" w:rsidRDefault="00EC0E24" w:rsidP="00FF60B5">
      <w:pPr>
        <w:pStyle w:val="Ruller41"/>
        <w:rPr>
          <w:rtl/>
        </w:rPr>
      </w:pPr>
      <w:r>
        <w:rPr>
          <w:rtl/>
        </w:rPr>
        <w:tab/>
      </w:r>
      <w:r>
        <w:rPr>
          <w:rFonts w:hint="cs"/>
          <w:rtl/>
        </w:rPr>
        <w:t xml:space="preserve">הוחלט </w:t>
      </w:r>
      <w:r w:rsidR="00FD6DA1">
        <w:rPr>
          <w:rFonts w:hint="cs"/>
          <w:rtl/>
        </w:rPr>
        <w:t>ב</w:t>
      </w:r>
      <w:r w:rsidR="001A5D5D">
        <w:rPr>
          <w:rFonts w:hint="cs"/>
          <w:rtl/>
        </w:rPr>
        <w:t>ר</w:t>
      </w:r>
      <w:r w:rsidR="00FD6DA1">
        <w:rPr>
          <w:rFonts w:hint="cs"/>
          <w:rtl/>
        </w:rPr>
        <w:t xml:space="preserve">וב </w:t>
      </w:r>
      <w:r w:rsidR="001A5D5D">
        <w:rPr>
          <w:rFonts w:hint="cs"/>
          <w:rtl/>
        </w:rPr>
        <w:t xml:space="preserve">דעות </w:t>
      </w:r>
      <w:r>
        <w:rPr>
          <w:rFonts w:hint="cs"/>
          <w:rtl/>
        </w:rPr>
        <w:t xml:space="preserve">כאמור בפסק דינה של השופטת </w:t>
      </w:r>
      <w:r w:rsidRPr="00EC0E24">
        <w:rPr>
          <w:rFonts w:ascii="Century" w:hAnsi="Century" w:cs="Miriam" w:hint="cs"/>
          <w:b/>
          <w:spacing w:val="0"/>
          <w:szCs w:val="24"/>
          <w:rtl/>
        </w:rPr>
        <w:t>וילנר</w:t>
      </w:r>
      <w:r w:rsidR="00F31FB7">
        <w:rPr>
          <w:rFonts w:ascii="Century" w:hAnsi="Century" w:cs="Miriam" w:hint="cs"/>
          <w:b/>
          <w:spacing w:val="0"/>
          <w:szCs w:val="24"/>
          <w:rtl/>
        </w:rPr>
        <w:t xml:space="preserve"> </w:t>
      </w:r>
      <w:r w:rsidR="00F31FB7">
        <w:rPr>
          <w:rFonts w:ascii="Century" w:hAnsi="Century" w:hint="cs"/>
          <w:rtl/>
        </w:rPr>
        <w:t xml:space="preserve">כנגד דעתו החולקת של השופט </w:t>
      </w:r>
      <w:r w:rsidR="00F31FB7" w:rsidRPr="00F31FB7">
        <w:rPr>
          <w:rFonts w:ascii="Century" w:hAnsi="Century" w:cs="Miriam" w:hint="cs"/>
          <w:b/>
          <w:spacing w:val="0"/>
          <w:szCs w:val="24"/>
          <w:rtl/>
        </w:rPr>
        <w:t>קרא</w:t>
      </w:r>
      <w:r>
        <w:rPr>
          <w:rFonts w:hint="cs"/>
          <w:rtl/>
        </w:rPr>
        <w:t>.</w:t>
      </w:r>
    </w:p>
    <w:p w:rsidR="0098289D" w:rsidRDefault="0098289D" w:rsidP="00EC0E24">
      <w:pPr>
        <w:pStyle w:val="Ruller41"/>
        <w:rPr>
          <w:rtl/>
        </w:rPr>
      </w:pPr>
    </w:p>
    <w:p w:rsidR="0098289D" w:rsidRDefault="0098289D" w:rsidP="00EC0E24">
      <w:pPr>
        <w:pStyle w:val="Ruller41"/>
        <w:rPr>
          <w:rtl/>
        </w:rPr>
      </w:pPr>
      <w:r>
        <w:rPr>
          <w:rtl/>
        </w:rPr>
        <w:tab/>
        <w:t xml:space="preserve">ניתן היום, </w:t>
      </w:r>
      <w:r>
        <w:rPr>
          <w:rFonts w:hint="eastAsia"/>
          <w:rtl/>
        </w:rPr>
        <w:t>‏י</w:t>
      </w:r>
      <w:r>
        <w:rPr>
          <w:rtl/>
        </w:rPr>
        <w:t xml:space="preserve">"ט באדר ב </w:t>
      </w:r>
      <w:proofErr w:type="spellStart"/>
      <w:r>
        <w:rPr>
          <w:rtl/>
        </w:rPr>
        <w:t>התשפ"ב</w:t>
      </w:r>
      <w:proofErr w:type="spellEnd"/>
      <w:r>
        <w:rPr>
          <w:rtl/>
        </w:rPr>
        <w:t xml:space="preserve"> (</w:t>
      </w:r>
      <w:r>
        <w:rPr>
          <w:rFonts w:hint="eastAsia"/>
          <w:rtl/>
        </w:rPr>
        <w:t>‏</w:t>
      </w:r>
      <w:r>
        <w:rPr>
          <w:rtl/>
        </w:rPr>
        <w:t>22.3.2022).</w:t>
      </w:r>
    </w:p>
    <w:p w:rsidR="0011752C" w:rsidRDefault="0011752C" w:rsidP="00EC0E24">
      <w:pPr>
        <w:pStyle w:val="Ruller41"/>
        <w:rPr>
          <w:rtl/>
        </w:rPr>
      </w:pPr>
    </w:p>
    <w:p w:rsidR="0098289D" w:rsidRDefault="0098289D" w:rsidP="00EC0E24">
      <w:pPr>
        <w:pStyle w:val="Ruller41"/>
        <w:rPr>
          <w:rtl/>
        </w:rPr>
      </w:pPr>
    </w:p>
    <w:p w:rsidR="0011752C" w:rsidRDefault="0011752C" w:rsidP="00EC0E24">
      <w:pPr>
        <w:pStyle w:val="Ruller41"/>
        <w:rPr>
          <w:rtl/>
        </w:rPr>
      </w:pPr>
    </w:p>
    <w:p w:rsidR="0011752C" w:rsidRDefault="0011752C" w:rsidP="00EC0E24">
      <w:pPr>
        <w:pStyle w:val="Ruller41"/>
        <w:rPr>
          <w:rtl/>
        </w:rPr>
      </w:pPr>
    </w:p>
    <w:p w:rsidR="0011752C" w:rsidRDefault="0011752C" w:rsidP="00EC0E24">
      <w:pPr>
        <w:pStyle w:val="Ruller41"/>
        <w:rPr>
          <w:rtl/>
        </w:rPr>
      </w:pPr>
    </w:p>
    <w:p w:rsidR="0011752C" w:rsidRDefault="0011752C" w:rsidP="0011752C">
      <w:pPr>
        <w:pStyle w:val="Ruller41"/>
        <w:jc w:val="center"/>
        <w:rPr>
          <w:rtl/>
        </w:rPr>
      </w:pPr>
      <w:r>
        <w:rPr>
          <w:rFonts w:hint="cs"/>
          <w:rtl/>
        </w:rPr>
        <w:t xml:space="preserve">ש ו פ ט </w:t>
      </w:r>
      <w:r>
        <w:rPr>
          <w:rFonts w:hint="cs"/>
          <w:rtl/>
        </w:rPr>
        <w:tab/>
      </w:r>
      <w:r>
        <w:rPr>
          <w:rtl/>
        </w:rPr>
        <w:tab/>
      </w:r>
      <w:r>
        <w:rPr>
          <w:rFonts w:hint="cs"/>
          <w:rtl/>
        </w:rPr>
        <w:tab/>
      </w:r>
      <w:r>
        <w:rPr>
          <w:rFonts w:hint="cs"/>
          <w:rtl/>
        </w:rPr>
        <w:tab/>
        <w:t xml:space="preserve">ש ו פ ט </w:t>
      </w:r>
      <w:r>
        <w:rPr>
          <w:rFonts w:hint="cs"/>
          <w:rtl/>
        </w:rPr>
        <w:tab/>
      </w:r>
      <w:r>
        <w:rPr>
          <w:rtl/>
        </w:rPr>
        <w:tab/>
      </w:r>
      <w:r>
        <w:rPr>
          <w:rtl/>
        </w:rPr>
        <w:tab/>
      </w:r>
      <w:r>
        <w:rPr>
          <w:rFonts w:hint="cs"/>
          <w:rtl/>
        </w:rPr>
        <w:tab/>
        <w:t>ש ו פ ט ת</w:t>
      </w:r>
    </w:p>
    <w:p w:rsidR="00EC0E24" w:rsidRDefault="00EC0E24" w:rsidP="00EC0E24">
      <w:pPr>
        <w:pStyle w:val="Ruller41"/>
        <w:rPr>
          <w:rtl/>
        </w:rPr>
      </w:pPr>
    </w:p>
    <w:p w:rsidR="00EC0E24" w:rsidRPr="00FA2B5E" w:rsidRDefault="00EC0E24" w:rsidP="00EC0E24">
      <w:pPr>
        <w:pStyle w:val="Ruller41"/>
        <w:rPr>
          <w:rtl/>
        </w:rPr>
      </w:pPr>
    </w:p>
    <w:p w:rsidR="00FA2B5E" w:rsidRDefault="00FA2B5E" w:rsidP="00A14F89">
      <w:pPr>
        <w:pStyle w:val="Ruller41"/>
        <w:rPr>
          <w:rFonts w:ascii="Century" w:hAnsi="Century"/>
          <w:rtl/>
        </w:rPr>
      </w:pPr>
    </w:p>
    <w:p w:rsidR="00FA2B5E" w:rsidRDefault="00FA2B5E" w:rsidP="00A14F89">
      <w:pPr>
        <w:pStyle w:val="Ruller41"/>
        <w:rPr>
          <w:rFonts w:ascii="Century" w:hAnsi="Century"/>
          <w:rtl/>
        </w:rPr>
      </w:pPr>
      <w:r>
        <w:rPr>
          <w:rFonts w:ascii="Century" w:hAnsi="Century"/>
          <w:rtl/>
        </w:rPr>
        <w:tab/>
      </w:r>
      <w:r>
        <w:rPr>
          <w:rFonts w:ascii="Century" w:hAnsi="Century" w:hint="cs"/>
          <w:rtl/>
        </w:rPr>
        <w:t xml:space="preserve"> </w:t>
      </w:r>
    </w:p>
    <w:p w:rsidR="00F47A64" w:rsidRPr="00503A3E" w:rsidRDefault="00F47A64">
      <w:pPr>
        <w:pStyle w:val="BODYVERDICT"/>
        <w:rPr>
          <w:rFonts w:cs="Miriam"/>
          <w:sz w:val="24"/>
          <w:szCs w:val="24"/>
          <w:u w:val="single"/>
          <w:rtl/>
        </w:rPr>
      </w:pPr>
    </w:p>
    <w:p w:rsidR="000B1478" w:rsidRDefault="000B1478" w:rsidP="00A51FAE">
      <w:pPr>
        <w:pStyle w:val="Ruller41"/>
        <w:rPr>
          <w:rtl/>
        </w:rPr>
      </w:pPr>
      <w:bookmarkStart w:id="5" w:name="Start_Write"/>
      <w:bookmarkEnd w:id="5"/>
    </w:p>
    <w:p w:rsidR="00016EF1" w:rsidRDefault="00016EF1" w:rsidP="00A51FAE">
      <w:pPr>
        <w:pStyle w:val="Ruller41"/>
        <w:rPr>
          <w:rtl/>
        </w:rPr>
      </w:pPr>
    </w:p>
    <w:p w:rsidR="00044953" w:rsidRDefault="00044953" w:rsidP="00A51FAE">
      <w:pPr>
        <w:pStyle w:val="Ruller41"/>
        <w:rPr>
          <w:rtl/>
        </w:rPr>
      </w:pPr>
    </w:p>
    <w:p w:rsidR="00916FF8" w:rsidRDefault="00916FF8">
      <w:pPr>
        <w:rPr>
          <w:szCs w:val="16"/>
          <w:rtl/>
        </w:rPr>
      </w:pPr>
      <w:r>
        <w:rPr>
          <w:szCs w:val="16"/>
          <w:rtl/>
        </w:rPr>
        <w:t>_________________</w:t>
      </w:r>
      <w:r w:rsidR="00A12E0F">
        <w:rPr>
          <w:rFonts w:hint="cs"/>
          <w:szCs w:val="16"/>
          <w:rtl/>
        </w:rPr>
        <w:t>________</w:t>
      </w:r>
    </w:p>
    <w:p w:rsidR="00916FF8" w:rsidRDefault="00591983" w:rsidP="00B009CC">
      <w:pPr>
        <w:pStyle w:val="Ruller38"/>
        <w:rPr>
          <w:rtl/>
        </w:rPr>
      </w:pPr>
      <w:r>
        <w:rPr>
          <w:sz w:val="16"/>
        </w:rPr>
        <w:t xml:space="preserve"> </w:t>
      </w:r>
      <w:r w:rsidR="00A12E0F">
        <w:rPr>
          <w:sz w:val="16"/>
        </w:rPr>
        <w:t xml:space="preserve">  </w:t>
      </w:r>
      <w:r w:rsidR="00FE09AC">
        <w:rPr>
          <w:sz w:val="16"/>
        </w:rPr>
        <w:t xml:space="preserve">19064040_R10.docx   </w:t>
      </w:r>
      <w:r w:rsidR="00FE09AC">
        <w:rPr>
          <w:sz w:val="16"/>
          <w:rtl/>
        </w:rPr>
        <w:t>מה</w:t>
      </w:r>
    </w:p>
    <w:p w:rsidR="00591983" w:rsidRPr="00FC0252" w:rsidRDefault="00591983" w:rsidP="00FC0252">
      <w:pPr>
        <w:pStyle w:val="Ruller38"/>
        <w:rPr>
          <w:rtl/>
        </w:rPr>
      </w:pPr>
      <w:r>
        <w:rPr>
          <w:rtl/>
        </w:rPr>
        <w:t>מרכז מידע, טל'</w:t>
      </w:r>
      <w:r>
        <w:rPr>
          <w:rFonts w:hint="cs"/>
          <w:rtl/>
        </w:rPr>
        <w:t xml:space="preserve"> </w:t>
      </w:r>
      <w:r w:rsidR="00B63343">
        <w:rPr>
          <w:rFonts w:hint="cs"/>
          <w:rtl/>
        </w:rPr>
        <w:t>077</w:t>
      </w:r>
      <w:r>
        <w:rPr>
          <w:rFonts w:hint="cs"/>
          <w:rtl/>
        </w:rPr>
        <w:t>-</w:t>
      </w:r>
      <w:r w:rsidR="00B63343">
        <w:rPr>
          <w:rFonts w:hint="cs"/>
          <w:rtl/>
        </w:rPr>
        <w:t>270</w:t>
      </w:r>
      <w:r w:rsidR="00E21CA9">
        <w:rPr>
          <w:rFonts w:hint="cs"/>
          <w:rtl/>
        </w:rPr>
        <w:t>3</w:t>
      </w:r>
      <w:r w:rsidR="009B38DA">
        <w:rPr>
          <w:rFonts w:hint="cs"/>
          <w:rtl/>
        </w:rPr>
        <w:t>333</w:t>
      </w:r>
      <w:r w:rsidR="00866D0F">
        <w:rPr>
          <w:rFonts w:hint="cs"/>
          <w:rtl/>
        </w:rPr>
        <w:t>, 3852*</w:t>
      </w:r>
      <w:r>
        <w:rPr>
          <w:rFonts w:hint="cs"/>
          <w:rtl/>
        </w:rPr>
        <w:t xml:space="preserve"> ; אתר אינטרנט,  </w:t>
      </w:r>
      <w:hyperlink r:id="rId10" w:history="1">
        <w:r w:rsidR="00FC0252" w:rsidRPr="00BB4C68">
          <w:rPr>
            <w:rStyle w:val="Hyperlink"/>
            <w:sz w:val="16"/>
          </w:rPr>
          <w:t>https://supreme.court.gov.il</w:t>
        </w:r>
      </w:hyperlink>
    </w:p>
    <w:p w:rsidR="003F1F97" w:rsidRDefault="003F1F97" w:rsidP="00591983">
      <w:pPr>
        <w:pStyle w:val="Ruller38"/>
        <w:rPr>
          <w:rtl/>
        </w:rPr>
      </w:pPr>
    </w:p>
    <w:sectPr w:rsidR="003F1F97" w:rsidSect="00591983">
      <w:headerReference w:type="even" r:id="rId11"/>
      <w:headerReference w:type="default" r:id="rId12"/>
      <w:footerReference w:type="even" r:id="rId13"/>
      <w:footerReference w:type="default" r:id="rId14"/>
      <w:headerReference w:type="first" r:id="rId15"/>
      <w:footerReference w:type="first" r:id="rId16"/>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512" w:rsidRDefault="007F7512">
      <w:r>
        <w:separator/>
      </w:r>
    </w:p>
  </w:endnote>
  <w:endnote w:type="continuationSeparator" w:id="0">
    <w:p w:rsidR="007F7512" w:rsidRDefault="007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Arial TUR">
    <w:charset w:val="00"/>
    <w:family w:val="swiss"/>
    <w:pitch w:val="variable"/>
    <w:sig w:usb0="E0002EFF" w:usb1="C000785B"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riam">
    <w:panose1 w:val="020B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3"/>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BC0E82">
      <w:rPr>
        <w:rStyle w:val="a5"/>
        <w:noProof/>
        <w:rtl/>
      </w:rPr>
      <w:t>1</w:t>
    </w:r>
    <w:r>
      <w:rPr>
        <w:rStyle w:val="a5"/>
        <w:rtl/>
      </w:rPr>
      <w:fldChar w:fldCharType="end"/>
    </w:r>
  </w:p>
  <w:p w:rsidR="00377102" w:rsidRDefault="00377102">
    <w:pPr>
      <w:pStyle w:val="a3"/>
      <w:rPr>
        <w:rtl/>
      </w:rPr>
    </w:pPr>
  </w:p>
  <w:p w:rsidR="00377102" w:rsidRDefault="003771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9AC" w:rsidRDefault="00FE09AC">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B4D" w:rsidRPr="00F959DB" w:rsidRDefault="00045B4D" w:rsidP="00914156">
    <w:pPr>
      <w:pStyle w:val="a3"/>
      <w:bidi w:val="0"/>
      <w:jc w:val="right"/>
      <w:rPr>
        <w:sz w:val="16"/>
        <w:szCs w:val="16"/>
      </w:rPr>
    </w:pPr>
    <w:bookmarkStart w:id="6" w:name="footer_line"/>
    <w:bookmarkEnd w:id="6"/>
  </w:p>
  <w:p w:rsidR="00045B4D" w:rsidRDefault="00045B4D">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512" w:rsidRDefault="007F7512">
      <w:r>
        <w:separator/>
      </w:r>
    </w:p>
  </w:footnote>
  <w:footnote w:type="continuationSeparator" w:id="0">
    <w:p w:rsidR="007F7512" w:rsidRDefault="007F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6"/>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BC0E82">
      <w:rPr>
        <w:rStyle w:val="a5"/>
        <w:noProof/>
        <w:rtl/>
      </w:rPr>
      <w:t>1</w:t>
    </w:r>
    <w:r>
      <w:rPr>
        <w:rStyle w:val="a5"/>
        <w:rtl/>
      </w:rPr>
      <w:fldChar w:fldCharType="end"/>
    </w:r>
  </w:p>
  <w:p w:rsidR="00377102" w:rsidRDefault="00377102">
    <w:pPr>
      <w:pStyle w:val="a6"/>
      <w:rPr>
        <w:rtl/>
      </w:rPr>
    </w:pPr>
  </w:p>
  <w:p w:rsidR="00377102" w:rsidRDefault="003771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6"/>
      <w:framePr w:wrap="around" w:vAnchor="text" w:hAnchor="margin" w:xAlign="center" w:y="1"/>
      <w:rPr>
        <w:rStyle w:val="a5"/>
        <w:rtl/>
      </w:rPr>
    </w:pPr>
    <w:r>
      <w:rPr>
        <w:rStyle w:val="a5"/>
        <w:rtl/>
      </w:rPr>
      <w:fldChar w:fldCharType="begin"/>
    </w:r>
    <w:r>
      <w:rPr>
        <w:rStyle w:val="a5"/>
      </w:rPr>
      <w:instrText xml:space="preserve">PAGE  </w:instrText>
    </w:r>
    <w:r>
      <w:rPr>
        <w:rStyle w:val="a5"/>
        <w:rtl/>
      </w:rPr>
      <w:fldChar w:fldCharType="separate"/>
    </w:r>
    <w:r w:rsidR="00A868A7">
      <w:rPr>
        <w:rStyle w:val="a5"/>
        <w:noProof/>
        <w:rtl/>
      </w:rPr>
      <w:t>26</w:t>
    </w:r>
    <w:r>
      <w:rPr>
        <w:rStyle w:val="a5"/>
        <w:rtl/>
      </w:rPr>
      <w:fldChar w:fldCharType="end"/>
    </w:r>
  </w:p>
  <w:p w:rsidR="00377102" w:rsidRDefault="00377102">
    <w:pPr>
      <w:pStyle w:val="a6"/>
      <w:rPr>
        <w:rtl/>
      </w:rPr>
    </w:pPr>
  </w:p>
  <w:p w:rsidR="00377102" w:rsidRDefault="003771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363" w:type="dxa"/>
      <w:tblLook w:val="0000" w:firstRow="0" w:lastRow="0" w:firstColumn="0" w:lastColumn="0" w:noHBand="0" w:noVBand="0"/>
    </w:tblPr>
    <w:tblGrid>
      <w:gridCol w:w="8363"/>
    </w:tblGrid>
    <w:tr w:rsidR="00045B4D" w:rsidTr="00EC23AC">
      <w:trPr>
        <w:trHeight w:val="342"/>
      </w:trPr>
      <w:tc>
        <w:tcPr>
          <w:tcW w:w="9828" w:type="dxa"/>
        </w:tcPr>
        <w:p w:rsidR="00377102" w:rsidRPr="002F7BB6" w:rsidRDefault="00EE3810" w:rsidP="00045B4D">
          <w:pPr>
            <w:pStyle w:val="Casenameintextbody"/>
            <w:jc w:val="center"/>
            <w:rPr>
              <w:u w:val="none"/>
              <w:rtl/>
            </w:rPr>
          </w:pPr>
          <w:r w:rsidRPr="002F7BB6">
            <w:rPr>
              <w:noProof/>
              <w:sz w:val="16"/>
              <w:szCs w:val="18"/>
              <w:u w:val="none"/>
              <w:rtl/>
            </w:rPr>
            <w:drawing>
              <wp:inline distT="0" distB="0" distL="0" distR="0">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rsidR="00045B4D" w:rsidRDefault="00045B4D" w:rsidP="00045B4D">
    <w:pPr>
      <w:pStyle w:val="a6"/>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B2C4B5E4"/>
    <w:lvl w:ilvl="0" w:tplc="513CF710">
      <w:start w:val="1"/>
      <w:numFmt w:val="decimal"/>
      <w:pStyle w:val="Ruller4"/>
      <w:lvlText w:val="%1."/>
      <w:lvlJc w:val="left"/>
      <w:pPr>
        <w:tabs>
          <w:tab w:val="num" w:pos="907"/>
        </w:tabs>
        <w:ind w:left="0" w:firstLine="0"/>
      </w:pPr>
      <w:rPr>
        <w:rFonts w:hint="default"/>
      </w:rPr>
    </w:lvl>
    <w:lvl w:ilvl="1" w:tplc="A676685C" w:tentative="1">
      <w:start w:val="1"/>
      <w:numFmt w:val="lowerLetter"/>
      <w:lvlText w:val="%2."/>
      <w:lvlJc w:val="left"/>
      <w:pPr>
        <w:tabs>
          <w:tab w:val="num" w:pos="1440"/>
        </w:tabs>
        <w:ind w:left="1440" w:hanging="360"/>
      </w:pPr>
    </w:lvl>
    <w:lvl w:ilvl="2" w:tplc="2D625B0C" w:tentative="1">
      <w:start w:val="1"/>
      <w:numFmt w:val="lowerRoman"/>
      <w:lvlText w:val="%3."/>
      <w:lvlJc w:val="right"/>
      <w:pPr>
        <w:tabs>
          <w:tab w:val="num" w:pos="2160"/>
        </w:tabs>
        <w:ind w:left="2160" w:hanging="180"/>
      </w:pPr>
    </w:lvl>
    <w:lvl w:ilvl="3" w:tplc="3D7071A0" w:tentative="1">
      <w:start w:val="1"/>
      <w:numFmt w:val="decimal"/>
      <w:lvlText w:val="%4."/>
      <w:lvlJc w:val="left"/>
      <w:pPr>
        <w:tabs>
          <w:tab w:val="num" w:pos="2880"/>
        </w:tabs>
        <w:ind w:left="2880" w:hanging="360"/>
      </w:pPr>
    </w:lvl>
    <w:lvl w:ilvl="4" w:tplc="99388890" w:tentative="1">
      <w:start w:val="1"/>
      <w:numFmt w:val="lowerLetter"/>
      <w:lvlText w:val="%5."/>
      <w:lvlJc w:val="left"/>
      <w:pPr>
        <w:tabs>
          <w:tab w:val="num" w:pos="3600"/>
        </w:tabs>
        <w:ind w:left="3600" w:hanging="360"/>
      </w:pPr>
    </w:lvl>
    <w:lvl w:ilvl="5" w:tplc="6360CFDC" w:tentative="1">
      <w:start w:val="1"/>
      <w:numFmt w:val="lowerRoman"/>
      <w:lvlText w:val="%6."/>
      <w:lvlJc w:val="right"/>
      <w:pPr>
        <w:tabs>
          <w:tab w:val="num" w:pos="4320"/>
        </w:tabs>
        <w:ind w:left="4320" w:hanging="180"/>
      </w:pPr>
    </w:lvl>
    <w:lvl w:ilvl="6" w:tplc="E65ABF5C" w:tentative="1">
      <w:start w:val="1"/>
      <w:numFmt w:val="decimal"/>
      <w:lvlText w:val="%7."/>
      <w:lvlJc w:val="left"/>
      <w:pPr>
        <w:tabs>
          <w:tab w:val="num" w:pos="5040"/>
        </w:tabs>
        <w:ind w:left="5040" w:hanging="360"/>
      </w:pPr>
    </w:lvl>
    <w:lvl w:ilvl="7" w:tplc="B36EFF8E" w:tentative="1">
      <w:start w:val="1"/>
      <w:numFmt w:val="lowerLetter"/>
      <w:lvlText w:val="%8."/>
      <w:lvlJc w:val="left"/>
      <w:pPr>
        <w:tabs>
          <w:tab w:val="num" w:pos="5760"/>
        </w:tabs>
        <w:ind w:left="5760" w:hanging="360"/>
      </w:pPr>
    </w:lvl>
    <w:lvl w:ilvl="8" w:tplc="89C00B2A" w:tentative="1">
      <w:start w:val="1"/>
      <w:numFmt w:val="lowerRoman"/>
      <w:lvlText w:val="%9."/>
      <w:lvlJc w:val="right"/>
      <w:pPr>
        <w:tabs>
          <w:tab w:val="num" w:pos="6480"/>
        </w:tabs>
        <w:ind w:left="6480" w:hanging="180"/>
      </w:pPr>
    </w:lvl>
  </w:abstractNum>
  <w:abstractNum w:abstractNumId="11" w15:restartNumberingAfterBreak="0">
    <w:nsid w:val="24784D9B"/>
    <w:multiLevelType w:val="hybridMultilevel"/>
    <w:tmpl w:val="7430F82A"/>
    <w:lvl w:ilvl="0" w:tplc="EFA8C48E">
      <w:start w:val="2"/>
      <w:numFmt w:val="decimal"/>
      <w:lvlText w:val="%1."/>
      <w:lvlJc w:val="left"/>
      <w:pPr>
        <w:tabs>
          <w:tab w:val="num" w:pos="720"/>
        </w:tabs>
        <w:ind w:left="720" w:hanging="720"/>
      </w:pPr>
      <w:rPr>
        <w:rFonts w:hint="default"/>
      </w:rPr>
    </w:lvl>
    <w:lvl w:ilvl="1" w:tplc="35845276" w:tentative="1">
      <w:start w:val="1"/>
      <w:numFmt w:val="lowerLetter"/>
      <w:lvlText w:val="%2."/>
      <w:lvlJc w:val="left"/>
      <w:pPr>
        <w:tabs>
          <w:tab w:val="num" w:pos="1080"/>
        </w:tabs>
        <w:ind w:left="1080" w:hanging="360"/>
      </w:pPr>
    </w:lvl>
    <w:lvl w:ilvl="2" w:tplc="E71001EE" w:tentative="1">
      <w:start w:val="1"/>
      <w:numFmt w:val="lowerRoman"/>
      <w:lvlText w:val="%3."/>
      <w:lvlJc w:val="right"/>
      <w:pPr>
        <w:tabs>
          <w:tab w:val="num" w:pos="1800"/>
        </w:tabs>
        <w:ind w:left="1800" w:hanging="180"/>
      </w:pPr>
    </w:lvl>
    <w:lvl w:ilvl="3" w:tplc="86608676" w:tentative="1">
      <w:start w:val="1"/>
      <w:numFmt w:val="decimal"/>
      <w:lvlText w:val="%4."/>
      <w:lvlJc w:val="left"/>
      <w:pPr>
        <w:tabs>
          <w:tab w:val="num" w:pos="2520"/>
        </w:tabs>
        <w:ind w:left="2520" w:hanging="360"/>
      </w:pPr>
    </w:lvl>
    <w:lvl w:ilvl="4" w:tplc="FF006BF6" w:tentative="1">
      <w:start w:val="1"/>
      <w:numFmt w:val="lowerLetter"/>
      <w:lvlText w:val="%5."/>
      <w:lvlJc w:val="left"/>
      <w:pPr>
        <w:tabs>
          <w:tab w:val="num" w:pos="3240"/>
        </w:tabs>
        <w:ind w:left="3240" w:hanging="360"/>
      </w:pPr>
    </w:lvl>
    <w:lvl w:ilvl="5" w:tplc="5BA2EAE0" w:tentative="1">
      <w:start w:val="1"/>
      <w:numFmt w:val="lowerRoman"/>
      <w:lvlText w:val="%6."/>
      <w:lvlJc w:val="right"/>
      <w:pPr>
        <w:tabs>
          <w:tab w:val="num" w:pos="3960"/>
        </w:tabs>
        <w:ind w:left="3960" w:hanging="180"/>
      </w:pPr>
    </w:lvl>
    <w:lvl w:ilvl="6" w:tplc="4492E7F4" w:tentative="1">
      <w:start w:val="1"/>
      <w:numFmt w:val="decimal"/>
      <w:lvlText w:val="%7."/>
      <w:lvlJc w:val="left"/>
      <w:pPr>
        <w:tabs>
          <w:tab w:val="num" w:pos="4680"/>
        </w:tabs>
        <w:ind w:left="4680" w:hanging="360"/>
      </w:pPr>
    </w:lvl>
    <w:lvl w:ilvl="7" w:tplc="32D6841A" w:tentative="1">
      <w:start w:val="1"/>
      <w:numFmt w:val="lowerLetter"/>
      <w:lvlText w:val="%8."/>
      <w:lvlJc w:val="left"/>
      <w:pPr>
        <w:tabs>
          <w:tab w:val="num" w:pos="5400"/>
        </w:tabs>
        <w:ind w:left="5400" w:hanging="360"/>
      </w:pPr>
    </w:lvl>
    <w:lvl w:ilvl="8" w:tplc="812AA3DA" w:tentative="1">
      <w:start w:val="1"/>
      <w:numFmt w:val="lowerRoman"/>
      <w:lvlText w:val="%9."/>
      <w:lvlJc w:val="right"/>
      <w:pPr>
        <w:tabs>
          <w:tab w:val="num" w:pos="6120"/>
        </w:tabs>
        <w:ind w:left="6120" w:hanging="180"/>
      </w:pPr>
    </w:lvl>
  </w:abstractNum>
  <w:abstractNum w:abstractNumId="12" w15:restartNumberingAfterBreak="0">
    <w:nsid w:val="4FE70B62"/>
    <w:multiLevelType w:val="hybridMultilevel"/>
    <w:tmpl w:val="ADA8711E"/>
    <w:lvl w:ilvl="0" w:tplc="8A0EC740">
      <w:start w:val="1"/>
      <w:numFmt w:val="hebrew1"/>
      <w:pStyle w:val="Ruller40"/>
      <w:lvlText w:val="%1."/>
      <w:lvlJc w:val="left"/>
      <w:pPr>
        <w:tabs>
          <w:tab w:val="num" w:pos="907"/>
        </w:tabs>
        <w:ind w:left="0" w:firstLine="0"/>
      </w:pPr>
      <w:rPr>
        <w:rFonts w:hint="default"/>
      </w:rPr>
    </w:lvl>
    <w:lvl w:ilvl="1" w:tplc="5900F236" w:tentative="1">
      <w:start w:val="1"/>
      <w:numFmt w:val="lowerLetter"/>
      <w:lvlText w:val="%2."/>
      <w:lvlJc w:val="left"/>
      <w:pPr>
        <w:tabs>
          <w:tab w:val="num" w:pos="1440"/>
        </w:tabs>
        <w:ind w:left="1440" w:hanging="360"/>
      </w:pPr>
    </w:lvl>
    <w:lvl w:ilvl="2" w:tplc="88D0F7DE" w:tentative="1">
      <w:start w:val="1"/>
      <w:numFmt w:val="lowerRoman"/>
      <w:lvlText w:val="%3."/>
      <w:lvlJc w:val="right"/>
      <w:pPr>
        <w:tabs>
          <w:tab w:val="num" w:pos="2160"/>
        </w:tabs>
        <w:ind w:left="2160" w:hanging="180"/>
      </w:pPr>
    </w:lvl>
    <w:lvl w:ilvl="3" w:tplc="C506EEC0" w:tentative="1">
      <w:start w:val="1"/>
      <w:numFmt w:val="decimal"/>
      <w:lvlText w:val="%4."/>
      <w:lvlJc w:val="left"/>
      <w:pPr>
        <w:tabs>
          <w:tab w:val="num" w:pos="2880"/>
        </w:tabs>
        <w:ind w:left="2880" w:hanging="360"/>
      </w:pPr>
    </w:lvl>
    <w:lvl w:ilvl="4" w:tplc="F724B7E2" w:tentative="1">
      <w:start w:val="1"/>
      <w:numFmt w:val="lowerLetter"/>
      <w:lvlText w:val="%5."/>
      <w:lvlJc w:val="left"/>
      <w:pPr>
        <w:tabs>
          <w:tab w:val="num" w:pos="3600"/>
        </w:tabs>
        <w:ind w:left="3600" w:hanging="360"/>
      </w:pPr>
    </w:lvl>
    <w:lvl w:ilvl="5" w:tplc="F59265D8" w:tentative="1">
      <w:start w:val="1"/>
      <w:numFmt w:val="lowerRoman"/>
      <w:lvlText w:val="%6."/>
      <w:lvlJc w:val="right"/>
      <w:pPr>
        <w:tabs>
          <w:tab w:val="num" w:pos="4320"/>
        </w:tabs>
        <w:ind w:left="4320" w:hanging="180"/>
      </w:pPr>
    </w:lvl>
    <w:lvl w:ilvl="6" w:tplc="774C177C" w:tentative="1">
      <w:start w:val="1"/>
      <w:numFmt w:val="decimal"/>
      <w:lvlText w:val="%7."/>
      <w:lvlJc w:val="left"/>
      <w:pPr>
        <w:tabs>
          <w:tab w:val="num" w:pos="5040"/>
        </w:tabs>
        <w:ind w:left="5040" w:hanging="360"/>
      </w:pPr>
    </w:lvl>
    <w:lvl w:ilvl="7" w:tplc="31B2F480" w:tentative="1">
      <w:start w:val="1"/>
      <w:numFmt w:val="lowerLetter"/>
      <w:lvlText w:val="%8."/>
      <w:lvlJc w:val="left"/>
      <w:pPr>
        <w:tabs>
          <w:tab w:val="num" w:pos="5760"/>
        </w:tabs>
        <w:ind w:left="5760" w:hanging="360"/>
      </w:pPr>
    </w:lvl>
    <w:lvl w:ilvl="8" w:tplc="92589CC0"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16EF1"/>
    <w:rsid w:val="00032036"/>
    <w:rsid w:val="00036227"/>
    <w:rsid w:val="00044953"/>
    <w:rsid w:val="00045B4D"/>
    <w:rsid w:val="000725F5"/>
    <w:rsid w:val="00072AD2"/>
    <w:rsid w:val="000B1478"/>
    <w:rsid w:val="000C4690"/>
    <w:rsid w:val="000D081B"/>
    <w:rsid w:val="000D25C4"/>
    <w:rsid w:val="0011752C"/>
    <w:rsid w:val="00134A67"/>
    <w:rsid w:val="001A0164"/>
    <w:rsid w:val="001A5D5D"/>
    <w:rsid w:val="00200D6B"/>
    <w:rsid w:val="00265F6E"/>
    <w:rsid w:val="002876BF"/>
    <w:rsid w:val="002A4A7A"/>
    <w:rsid w:val="002A4BF3"/>
    <w:rsid w:val="002F7BB6"/>
    <w:rsid w:val="003448B2"/>
    <w:rsid w:val="00361DB2"/>
    <w:rsid w:val="0037622E"/>
    <w:rsid w:val="00377102"/>
    <w:rsid w:val="0039709B"/>
    <w:rsid w:val="003D72DA"/>
    <w:rsid w:val="003F1F97"/>
    <w:rsid w:val="0041048F"/>
    <w:rsid w:val="00437D59"/>
    <w:rsid w:val="004610A4"/>
    <w:rsid w:val="004B29FF"/>
    <w:rsid w:val="004C4958"/>
    <w:rsid w:val="004C7868"/>
    <w:rsid w:val="00503A3E"/>
    <w:rsid w:val="00524531"/>
    <w:rsid w:val="00527F02"/>
    <w:rsid w:val="005803E2"/>
    <w:rsid w:val="0058440A"/>
    <w:rsid w:val="00591983"/>
    <w:rsid w:val="00624A42"/>
    <w:rsid w:val="0065522F"/>
    <w:rsid w:val="006A30F7"/>
    <w:rsid w:val="006C42AD"/>
    <w:rsid w:val="00725345"/>
    <w:rsid w:val="00741CC0"/>
    <w:rsid w:val="007B512F"/>
    <w:rsid w:val="007F7512"/>
    <w:rsid w:val="00810894"/>
    <w:rsid w:val="008143AB"/>
    <w:rsid w:val="0083345F"/>
    <w:rsid w:val="00836667"/>
    <w:rsid w:val="00866D0F"/>
    <w:rsid w:val="008C2F11"/>
    <w:rsid w:val="008D78B9"/>
    <w:rsid w:val="008E3F85"/>
    <w:rsid w:val="009051E8"/>
    <w:rsid w:val="00914156"/>
    <w:rsid w:val="00916FF8"/>
    <w:rsid w:val="00922093"/>
    <w:rsid w:val="00930C85"/>
    <w:rsid w:val="0098289D"/>
    <w:rsid w:val="009B38DA"/>
    <w:rsid w:val="009F2F53"/>
    <w:rsid w:val="009F4187"/>
    <w:rsid w:val="00A12E0F"/>
    <w:rsid w:val="00A14F89"/>
    <w:rsid w:val="00A5027A"/>
    <w:rsid w:val="00A51FAE"/>
    <w:rsid w:val="00A80845"/>
    <w:rsid w:val="00A868A7"/>
    <w:rsid w:val="00AB69F7"/>
    <w:rsid w:val="00AD097B"/>
    <w:rsid w:val="00AD64B9"/>
    <w:rsid w:val="00AE022B"/>
    <w:rsid w:val="00B009CC"/>
    <w:rsid w:val="00B0782A"/>
    <w:rsid w:val="00B62B8C"/>
    <w:rsid w:val="00B63343"/>
    <w:rsid w:val="00B87FF7"/>
    <w:rsid w:val="00BA0B08"/>
    <w:rsid w:val="00BC0E82"/>
    <w:rsid w:val="00BD40F9"/>
    <w:rsid w:val="00BD6220"/>
    <w:rsid w:val="00BF4DB7"/>
    <w:rsid w:val="00C41C86"/>
    <w:rsid w:val="00C63A6C"/>
    <w:rsid w:val="00CA13AF"/>
    <w:rsid w:val="00CA1444"/>
    <w:rsid w:val="00CB1590"/>
    <w:rsid w:val="00CB7600"/>
    <w:rsid w:val="00CC0E9D"/>
    <w:rsid w:val="00CC3639"/>
    <w:rsid w:val="00D00B1D"/>
    <w:rsid w:val="00D00CB7"/>
    <w:rsid w:val="00D25F16"/>
    <w:rsid w:val="00E21CA9"/>
    <w:rsid w:val="00E31063"/>
    <w:rsid w:val="00E36FE9"/>
    <w:rsid w:val="00E73E98"/>
    <w:rsid w:val="00E75223"/>
    <w:rsid w:val="00E90D72"/>
    <w:rsid w:val="00EA0BE1"/>
    <w:rsid w:val="00EC0E24"/>
    <w:rsid w:val="00EC23AC"/>
    <w:rsid w:val="00EC2992"/>
    <w:rsid w:val="00ED46A4"/>
    <w:rsid w:val="00ED6FD9"/>
    <w:rsid w:val="00EE3810"/>
    <w:rsid w:val="00F31FB7"/>
    <w:rsid w:val="00F47A64"/>
    <w:rsid w:val="00F63C3B"/>
    <w:rsid w:val="00F700C6"/>
    <w:rsid w:val="00F959DB"/>
    <w:rsid w:val="00FA2B5E"/>
    <w:rsid w:val="00FC0252"/>
    <w:rsid w:val="00FD6DA1"/>
    <w:rsid w:val="00FE09AC"/>
    <w:rsid w:val="00FF60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ACD1F"/>
  <w15:chartTrackingRefBased/>
  <w15:docId w15:val="{9933B0D8-ADE6-4BE6-B267-07F5CA4E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1">
    <w:name w:val="Ruller4"/>
    <w:basedOn w:val="a"/>
    <w:link w:val="Ruller42"/>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1"/>
    <w:next w:val="Ruller41"/>
    <w:rPr>
      <w:rFonts w:cs="David"/>
      <w:b/>
      <w:bCs/>
      <w:u w:val="single"/>
    </w:rPr>
  </w:style>
  <w:style w:type="character" w:customStyle="1" w:styleId="Hand">
    <w:name w:val="Hand"/>
    <w:rPr>
      <w:rFonts w:cs="Guttman Yad"/>
    </w:rPr>
  </w:style>
  <w:style w:type="paragraph" w:styleId="a3">
    <w:name w:val="footer"/>
    <w:basedOn w:val="a"/>
    <w:link w:val="a4"/>
    <w:pPr>
      <w:tabs>
        <w:tab w:val="center" w:pos="4153"/>
        <w:tab w:val="right" w:pos="8306"/>
      </w:tabs>
    </w:pPr>
  </w:style>
  <w:style w:type="character" w:styleId="a5">
    <w:name w:val="page number"/>
    <w:basedOn w:val="a0"/>
  </w:style>
  <w:style w:type="paragraph" w:styleId="a6">
    <w:name w:val="header"/>
    <w:basedOn w:val="a"/>
    <w:link w:val="a7"/>
    <w:pPr>
      <w:tabs>
        <w:tab w:val="center" w:pos="4153"/>
        <w:tab w:val="right" w:pos="8306"/>
      </w:tabs>
    </w:pPr>
  </w:style>
  <w:style w:type="paragraph" w:customStyle="1" w:styleId="2">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rsid w:val="003F1F97"/>
    <w:rPr>
      <w:color w:val="0000FF"/>
      <w:u w:val="single"/>
    </w:rPr>
  </w:style>
  <w:style w:type="table" w:styleId="a8">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9">
    <w:name w:val="annotation reference"/>
    <w:basedOn w:val="a0"/>
    <w:rsid w:val="00D00B1D"/>
    <w:rPr>
      <w:sz w:val="16"/>
      <w:szCs w:val="16"/>
    </w:rPr>
  </w:style>
  <w:style w:type="paragraph" w:styleId="aa">
    <w:name w:val="annotation text"/>
    <w:basedOn w:val="a"/>
    <w:link w:val="ab"/>
    <w:rsid w:val="00D00B1D"/>
    <w:rPr>
      <w:szCs w:val="20"/>
    </w:rPr>
  </w:style>
  <w:style w:type="character" w:customStyle="1" w:styleId="ab">
    <w:name w:val="טקסט הערה תו"/>
    <w:basedOn w:val="a0"/>
    <w:link w:val="aa"/>
    <w:rsid w:val="00D00B1D"/>
    <w:rPr>
      <w:rFonts w:cs="David"/>
    </w:rPr>
  </w:style>
  <w:style w:type="paragraph" w:styleId="ac">
    <w:name w:val="annotation subject"/>
    <w:basedOn w:val="aa"/>
    <w:next w:val="aa"/>
    <w:link w:val="ad"/>
    <w:rsid w:val="00D00B1D"/>
    <w:rPr>
      <w:b/>
      <w:bCs/>
    </w:rPr>
  </w:style>
  <w:style w:type="character" w:customStyle="1" w:styleId="ad">
    <w:name w:val="נושא הערה תו"/>
    <w:basedOn w:val="ab"/>
    <w:link w:val="ac"/>
    <w:rsid w:val="00D00B1D"/>
    <w:rPr>
      <w:rFonts w:cs="David"/>
      <w:b/>
      <w:bCs/>
    </w:rPr>
  </w:style>
  <w:style w:type="paragraph" w:styleId="ae">
    <w:name w:val="Balloon Text"/>
    <w:basedOn w:val="a"/>
    <w:link w:val="af"/>
    <w:rsid w:val="00D00B1D"/>
    <w:rPr>
      <w:rFonts w:ascii="Tahoma" w:hAnsi="Tahoma" w:cs="Tahoma"/>
      <w:sz w:val="18"/>
      <w:szCs w:val="18"/>
    </w:rPr>
  </w:style>
  <w:style w:type="character" w:customStyle="1" w:styleId="af">
    <w:name w:val="טקסט בלונים תו"/>
    <w:basedOn w:val="a0"/>
    <w:link w:val="ae"/>
    <w:rsid w:val="00D00B1D"/>
    <w:rPr>
      <w:rFonts w:ascii="Tahoma" w:hAnsi="Tahoma" w:cs="Tahoma"/>
      <w:sz w:val="18"/>
      <w:szCs w:val="18"/>
    </w:rPr>
  </w:style>
  <w:style w:type="paragraph" w:customStyle="1" w:styleId="Ruller4">
    <w:name w:val="Ruller 4 ממוספר"/>
    <w:basedOn w:val="Ruller41"/>
    <w:next w:val="Ruller41"/>
    <w:rsid w:val="00F47A64"/>
    <w:pPr>
      <w:numPr>
        <w:numId w:val="11"/>
      </w:numPr>
    </w:pPr>
    <w:rPr>
      <w:rFonts w:ascii="Garamond" w:hAnsi="Garamond"/>
      <w:sz w:val="24"/>
    </w:rPr>
  </w:style>
  <w:style w:type="paragraph" w:customStyle="1" w:styleId="Ruller40">
    <w:name w:val="Ruller4 אלפביתי"/>
    <w:basedOn w:val="Ruller41"/>
    <w:next w:val="Ruller41"/>
    <w:rsid w:val="00F47A64"/>
    <w:pPr>
      <w:numPr>
        <w:numId w:val="12"/>
      </w:numPr>
    </w:pPr>
  </w:style>
  <w:style w:type="paragraph" w:customStyle="1" w:styleId="p00">
    <w:name w:val="p00"/>
    <w:basedOn w:val="a"/>
    <w:rsid w:val="00F47A64"/>
    <w:pPr>
      <w:overflowPunct/>
      <w:autoSpaceDE/>
      <w:autoSpaceDN/>
      <w:bidi w:val="0"/>
      <w:adjustRightInd/>
      <w:spacing w:before="100" w:beforeAutospacing="1" w:after="100" w:afterAutospacing="1"/>
      <w:textAlignment w:val="auto"/>
    </w:pPr>
    <w:rPr>
      <w:rFonts w:cs="Times New Roman"/>
      <w:sz w:val="24"/>
    </w:rPr>
  </w:style>
  <w:style w:type="character" w:customStyle="1" w:styleId="big-number">
    <w:name w:val="big-number"/>
    <w:basedOn w:val="a0"/>
    <w:rsid w:val="00F47A64"/>
  </w:style>
  <w:style w:type="character" w:customStyle="1" w:styleId="default">
    <w:name w:val="default"/>
    <w:basedOn w:val="a0"/>
    <w:rsid w:val="00F47A64"/>
  </w:style>
  <w:style w:type="paragraph" w:customStyle="1" w:styleId="4">
    <w:name w:val="סרגל4"/>
    <w:basedOn w:val="a"/>
    <w:rsid w:val="00F47A64"/>
    <w:pPr>
      <w:tabs>
        <w:tab w:val="left" w:pos="800"/>
      </w:tabs>
      <w:spacing w:line="480" w:lineRule="auto"/>
      <w:jc w:val="both"/>
    </w:pPr>
    <w:rPr>
      <w:rFonts w:ascii="Arial" w:hAnsi="Arial" w:cs="DavidFix"/>
      <w:sz w:val="22"/>
      <w:szCs w:val="20"/>
      <w:lang w:eastAsia="he-IL"/>
    </w:rPr>
  </w:style>
  <w:style w:type="paragraph" w:customStyle="1" w:styleId="ruller43">
    <w:name w:val="ruller4"/>
    <w:basedOn w:val="a"/>
    <w:rsid w:val="00F47A64"/>
    <w:pPr>
      <w:adjustRightInd/>
      <w:spacing w:line="360" w:lineRule="auto"/>
      <w:jc w:val="both"/>
      <w:textAlignment w:val="auto"/>
    </w:pPr>
    <w:rPr>
      <w:rFonts w:ascii="Arial TUR" w:hAnsi="Arial TUR" w:cs="Arial TUR"/>
      <w:spacing w:val="10"/>
      <w:sz w:val="22"/>
      <w:szCs w:val="22"/>
      <w:lang w:eastAsia="he-IL"/>
    </w:rPr>
  </w:style>
  <w:style w:type="paragraph" w:customStyle="1" w:styleId="p22">
    <w:name w:val="p22"/>
    <w:basedOn w:val="a"/>
    <w:rsid w:val="00F47A64"/>
    <w:pPr>
      <w:overflowPunct/>
      <w:autoSpaceDE/>
      <w:autoSpaceDN/>
      <w:bidi w:val="0"/>
      <w:adjustRightInd/>
      <w:spacing w:before="100" w:beforeAutospacing="1" w:after="100" w:afterAutospacing="1"/>
      <w:textAlignment w:val="auto"/>
    </w:pPr>
    <w:rPr>
      <w:rFonts w:cs="Times New Roman"/>
      <w:sz w:val="24"/>
    </w:rPr>
  </w:style>
  <w:style w:type="character" w:customStyle="1" w:styleId="Ruller42">
    <w:name w:val="Ruller4 תו"/>
    <w:basedOn w:val="a0"/>
    <w:link w:val="Ruller41"/>
    <w:rsid w:val="00F47A64"/>
    <w:rPr>
      <w:rFonts w:ascii="Arial TUR" w:hAnsi="Arial TUR" w:cs="FrankRuehl"/>
      <w:spacing w:val="10"/>
      <w:sz w:val="22"/>
      <w:szCs w:val="28"/>
    </w:rPr>
  </w:style>
  <w:style w:type="paragraph" w:styleId="af0">
    <w:name w:val="Revision"/>
    <w:hidden/>
    <w:uiPriority w:val="99"/>
    <w:semiHidden/>
    <w:rsid w:val="00F47A64"/>
    <w:rPr>
      <w:rFonts w:ascii="Century" w:hAnsi="Century" w:cs="FrankRuehl"/>
      <w:spacing w:val="10"/>
      <w:szCs w:val="28"/>
    </w:rPr>
  </w:style>
  <w:style w:type="character" w:customStyle="1" w:styleId="a4">
    <w:name w:val="כותרת תחתונה תו"/>
    <w:basedOn w:val="a0"/>
    <w:link w:val="a3"/>
    <w:rsid w:val="00A14F89"/>
    <w:rPr>
      <w:rFonts w:cs="David"/>
      <w:szCs w:val="24"/>
    </w:rPr>
  </w:style>
  <w:style w:type="character" w:customStyle="1" w:styleId="a7">
    <w:name w:val="כותרת עליונה תו"/>
    <w:basedOn w:val="a0"/>
    <w:link w:val="a6"/>
    <w:rsid w:val="00A14F89"/>
    <w:rPr>
      <w:rFonts w:cs="Dav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nevo.co.il/case/1791480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upreme.court.gov.il/" TargetMode="External"/><Relationship Id="rId4" Type="http://schemas.openxmlformats.org/officeDocument/2006/relationships/settings" Target="settings.xml"/><Relationship Id="rId9" Type="http://schemas.openxmlformats.org/officeDocument/2006/relationships/hyperlink" Target="http://www.nevo.co.il/law/72866"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8230</Words>
  <Characters>40179</Characters>
  <Application>Microsoft Office Word</Application>
  <DocSecurity>0</DocSecurity>
  <Lines>334</Lines>
  <Paragraphs>96</Paragraphs>
  <ScaleCrop>false</ScaleCrop>
  <HeadingPairs>
    <vt:vector size="2" baseType="variant">
      <vt:variant>
        <vt:lpstr>שם</vt:lpstr>
      </vt:variant>
      <vt:variant>
        <vt:i4>1</vt:i4>
      </vt:variant>
    </vt:vector>
  </HeadingPairs>
  <TitlesOfParts>
    <vt:vector size="1" baseType="lpstr">
      <vt:lpstr>החלטה בתיק ע"א  6404/19</vt:lpstr>
    </vt:vector>
  </TitlesOfParts>
  <Company/>
  <LinksUpToDate>false</LinksUpToDate>
  <CharactersWithSpaces>48313</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2022-03-23T05:31:21Z</cp:lastPrinted>
  <dcterms:created xsi:type="dcterms:W3CDTF">2022-03-23T05:31:21Z</dcterms:created>
  <dcterms:modified xsi:type="dcterms:W3CDTF">2022-03-23T05:31:21Z</dcterms:modified>
</cp:coreProperties>
</file>