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B49A8" w14:textId="77777777" w:rsidR="000035F9" w:rsidRDefault="000035F9" w:rsidP="00593A8B">
      <w:pPr>
        <w:jc w:val="right"/>
        <w:rPr>
          <w:rFonts w:cs="Miriam"/>
          <w:b/>
          <w:bCs/>
          <w:sz w:val="16"/>
          <w:szCs w:val="16"/>
          <w:u w:val="single"/>
          <w:rtl/>
        </w:rPr>
      </w:pPr>
    </w:p>
    <w:tbl>
      <w:tblPr>
        <w:bidiVisual/>
        <w:tblW w:w="8363" w:type="dxa"/>
        <w:tblInd w:w="9" w:type="dxa"/>
        <w:tblLook w:val="04A0" w:firstRow="1" w:lastRow="0" w:firstColumn="1" w:lastColumn="0" w:noHBand="0" w:noVBand="1"/>
      </w:tblPr>
      <w:tblGrid>
        <w:gridCol w:w="8363"/>
      </w:tblGrid>
      <w:tr w:rsidR="00593A8B" w14:paraId="5AF1A87B" w14:textId="77777777" w:rsidTr="00593A8B">
        <w:tc>
          <w:tcPr>
            <w:tcW w:w="7848" w:type="dxa"/>
            <w:hideMark/>
          </w:tcPr>
          <w:p w14:paraId="7EBAAFA7" w14:textId="77777777" w:rsidR="00593A8B" w:rsidRDefault="00593A8B">
            <w:pPr>
              <w:pStyle w:val="FileNumber0"/>
              <w:rPr>
                <w:sz w:val="28"/>
                <w:u w:val="single"/>
              </w:rPr>
            </w:pPr>
            <w:r>
              <w:rPr>
                <w:rFonts w:hint="cs"/>
                <w:u w:val="single"/>
                <w:rtl/>
              </w:rPr>
              <w:t>בבית המשפט העליון בשבתו כבית משפט לערעורים אזרחיים</w:t>
            </w:r>
          </w:p>
        </w:tc>
      </w:tr>
    </w:tbl>
    <w:p w14:paraId="03D9589E" w14:textId="77777777" w:rsidR="00593A8B" w:rsidRDefault="00593A8B" w:rsidP="00593A8B">
      <w:pPr>
        <w:jc w:val="right"/>
        <w:rPr>
          <w:rFonts w:cs="Miriam"/>
          <w:b/>
          <w:bCs/>
          <w:u w:val="single"/>
          <w:rtl/>
        </w:rPr>
      </w:pPr>
    </w:p>
    <w:tbl>
      <w:tblPr>
        <w:bidiVisual/>
        <w:tblW w:w="8363" w:type="dxa"/>
        <w:tblLook w:val="04A0" w:firstRow="1" w:lastRow="0" w:firstColumn="1" w:lastColumn="0" w:noHBand="0" w:noVBand="1"/>
      </w:tblPr>
      <w:tblGrid>
        <w:gridCol w:w="8363"/>
      </w:tblGrid>
      <w:tr w:rsidR="00593A8B" w14:paraId="03966048" w14:textId="77777777" w:rsidTr="00593A8B">
        <w:trPr>
          <w:trHeight w:val="342"/>
        </w:trPr>
        <w:tc>
          <w:tcPr>
            <w:tcW w:w="9828" w:type="dxa"/>
            <w:hideMark/>
          </w:tcPr>
          <w:p w14:paraId="44296862" w14:textId="050990F8" w:rsidR="00593A8B" w:rsidRDefault="00201B64">
            <w:pPr>
              <w:pStyle w:val="FileNumber"/>
              <w:rPr>
                <w:sz w:val="28"/>
                <w:szCs w:val="28"/>
              </w:rPr>
            </w:pPr>
            <w:bookmarkStart w:id="0" w:name="casename_body"/>
            <w:r>
              <w:rPr>
                <w:rFonts w:hint="cs"/>
                <w:sz w:val="28"/>
                <w:szCs w:val="28"/>
                <w:rtl/>
              </w:rPr>
              <w:t>ע"א</w:t>
            </w:r>
            <w:r w:rsidR="00593A8B">
              <w:rPr>
                <w:rFonts w:hint="cs"/>
                <w:sz w:val="28"/>
                <w:szCs w:val="28"/>
                <w:rtl/>
              </w:rPr>
              <w:t xml:space="preserve"> 6672/19</w:t>
            </w:r>
          </w:p>
        </w:tc>
      </w:tr>
      <w:bookmarkEnd w:id="0"/>
    </w:tbl>
    <w:p w14:paraId="3AF8541E" w14:textId="77777777" w:rsidR="00593A8B" w:rsidRDefault="00593A8B" w:rsidP="00593A8B">
      <w:pPr>
        <w:jc w:val="right"/>
        <w:rPr>
          <w:rFonts w:cs="Miriam"/>
          <w:b/>
          <w:bCs/>
          <w:u w:val="single"/>
        </w:rPr>
      </w:pPr>
    </w:p>
    <w:tbl>
      <w:tblPr>
        <w:bidiVisual/>
        <w:tblW w:w="8369" w:type="dxa"/>
        <w:tblInd w:w="131" w:type="dxa"/>
        <w:tblLayout w:type="fixed"/>
        <w:tblLook w:val="04A0" w:firstRow="1" w:lastRow="0" w:firstColumn="1" w:lastColumn="0" w:noHBand="0" w:noVBand="1"/>
      </w:tblPr>
      <w:tblGrid>
        <w:gridCol w:w="3130"/>
        <w:gridCol w:w="5239"/>
      </w:tblGrid>
      <w:tr w:rsidR="00593A8B" w14:paraId="27D7D604" w14:textId="77777777" w:rsidTr="000035F9">
        <w:trPr>
          <w:trHeight w:val="287"/>
        </w:trPr>
        <w:tc>
          <w:tcPr>
            <w:tcW w:w="3130" w:type="dxa"/>
            <w:hideMark/>
          </w:tcPr>
          <w:p w14:paraId="63BFD1F2" w14:textId="77777777" w:rsidR="00593A8B" w:rsidRDefault="00593A8B">
            <w:pPr>
              <w:pStyle w:val="BodyRuller"/>
              <w:rPr>
                <w:rFonts w:cs="Miriam"/>
                <w:b/>
                <w:bCs/>
                <w:u w:val="single"/>
              </w:rPr>
            </w:pPr>
            <w:r>
              <w:rPr>
                <w:rFonts w:hint="cs"/>
                <w:rtl/>
              </w:rPr>
              <w:t>לפני:</w:t>
            </w:r>
            <w:r>
              <w:rPr>
                <w:rFonts w:hint="cs"/>
                <w:rtl/>
              </w:rPr>
              <w:tab/>
            </w:r>
          </w:p>
        </w:tc>
        <w:tc>
          <w:tcPr>
            <w:tcW w:w="5239" w:type="dxa"/>
            <w:hideMark/>
          </w:tcPr>
          <w:p w14:paraId="50E622F4" w14:textId="77777777" w:rsidR="00593A8B" w:rsidRDefault="00593A8B">
            <w:pPr>
              <w:pStyle w:val="BodyRuller"/>
            </w:pPr>
            <w:r>
              <w:rPr>
                <w:rFonts w:hint="cs"/>
                <w:rtl/>
              </w:rPr>
              <w:t>כבוד הנשיאה א' חיות</w:t>
            </w:r>
          </w:p>
        </w:tc>
      </w:tr>
      <w:tr w:rsidR="00593A8B" w14:paraId="68067973" w14:textId="77777777" w:rsidTr="000035F9">
        <w:trPr>
          <w:trHeight w:val="287"/>
        </w:trPr>
        <w:tc>
          <w:tcPr>
            <w:tcW w:w="3130" w:type="dxa"/>
          </w:tcPr>
          <w:p w14:paraId="1E3A1618" w14:textId="77777777" w:rsidR="00593A8B" w:rsidRDefault="00593A8B">
            <w:pPr>
              <w:pStyle w:val="BodyRuller"/>
            </w:pPr>
          </w:p>
        </w:tc>
        <w:tc>
          <w:tcPr>
            <w:tcW w:w="5239" w:type="dxa"/>
            <w:hideMark/>
          </w:tcPr>
          <w:p w14:paraId="356E6ADD" w14:textId="77777777" w:rsidR="00593A8B" w:rsidRDefault="00593A8B">
            <w:pPr>
              <w:pStyle w:val="BodyRuller"/>
              <w:rPr>
                <w:rtl/>
              </w:rPr>
            </w:pPr>
            <w:r>
              <w:rPr>
                <w:rFonts w:hint="cs"/>
                <w:rtl/>
              </w:rPr>
              <w:t>כבוד השופט נ' סולברג</w:t>
            </w:r>
          </w:p>
        </w:tc>
      </w:tr>
      <w:tr w:rsidR="00593A8B" w14:paraId="7867CC66" w14:textId="77777777" w:rsidTr="000035F9">
        <w:trPr>
          <w:trHeight w:val="287"/>
        </w:trPr>
        <w:tc>
          <w:tcPr>
            <w:tcW w:w="3130" w:type="dxa"/>
          </w:tcPr>
          <w:p w14:paraId="5B6E1076" w14:textId="77777777" w:rsidR="00593A8B" w:rsidRDefault="00593A8B">
            <w:pPr>
              <w:pStyle w:val="BodyRuller"/>
              <w:rPr>
                <w:rtl/>
              </w:rPr>
            </w:pPr>
          </w:p>
        </w:tc>
        <w:tc>
          <w:tcPr>
            <w:tcW w:w="5239" w:type="dxa"/>
            <w:hideMark/>
          </w:tcPr>
          <w:p w14:paraId="287A56FC" w14:textId="77777777" w:rsidR="00593A8B" w:rsidRDefault="00593A8B">
            <w:pPr>
              <w:pStyle w:val="BodyRuller"/>
              <w:rPr>
                <w:rtl/>
              </w:rPr>
            </w:pPr>
            <w:r>
              <w:rPr>
                <w:rFonts w:hint="cs"/>
                <w:rtl/>
              </w:rPr>
              <w:t>כבוד השופט ג' קרא</w:t>
            </w:r>
          </w:p>
        </w:tc>
      </w:tr>
    </w:tbl>
    <w:p w14:paraId="41195081" w14:textId="77777777" w:rsidR="00593A8B" w:rsidRDefault="00593A8B" w:rsidP="00593A8B">
      <w:pPr>
        <w:pStyle w:val="Ruller3"/>
        <w:rPr>
          <w:rFonts w:cs="Miriam"/>
          <w:b/>
          <w:bCs/>
          <w:u w:val="single"/>
          <w:rtl/>
        </w:rPr>
      </w:pPr>
    </w:p>
    <w:tbl>
      <w:tblPr>
        <w:bidiVisual/>
        <w:tblW w:w="8369" w:type="dxa"/>
        <w:tblInd w:w="131" w:type="dxa"/>
        <w:tblLayout w:type="fixed"/>
        <w:tblLook w:val="04A0" w:firstRow="1" w:lastRow="0" w:firstColumn="1" w:lastColumn="0" w:noHBand="0" w:noVBand="1"/>
      </w:tblPr>
      <w:tblGrid>
        <w:gridCol w:w="3130"/>
        <w:gridCol w:w="5239"/>
      </w:tblGrid>
      <w:tr w:rsidR="00593A8B" w14:paraId="4B27D182" w14:textId="77777777" w:rsidTr="000035F9">
        <w:trPr>
          <w:trHeight w:val="287"/>
        </w:trPr>
        <w:tc>
          <w:tcPr>
            <w:tcW w:w="3130" w:type="dxa"/>
            <w:hideMark/>
          </w:tcPr>
          <w:p w14:paraId="03322AA0" w14:textId="77777777" w:rsidR="00593A8B" w:rsidRDefault="00593A8B">
            <w:pPr>
              <w:pStyle w:val="BodyRuller"/>
              <w:rPr>
                <w:rFonts w:ascii="David" w:hAnsi="David"/>
                <w:rtl/>
              </w:rPr>
            </w:pPr>
            <w:r>
              <w:rPr>
                <w:rFonts w:ascii="David" w:hAnsi="David" w:hint="cs"/>
                <w:rtl/>
              </w:rPr>
              <w:t>המערערים:</w:t>
            </w:r>
          </w:p>
        </w:tc>
        <w:tc>
          <w:tcPr>
            <w:tcW w:w="5239" w:type="dxa"/>
            <w:hideMark/>
          </w:tcPr>
          <w:p w14:paraId="3699F3B9" w14:textId="77777777" w:rsidR="00593A8B" w:rsidRDefault="00593A8B">
            <w:pPr>
              <w:pStyle w:val="BodyRuller"/>
            </w:pPr>
            <w:r>
              <w:rPr>
                <w:rFonts w:hint="cs"/>
                <w:rtl/>
              </w:rPr>
              <w:t xml:space="preserve">1. יוסף </w:t>
            </w:r>
            <w:proofErr w:type="spellStart"/>
            <w:r>
              <w:rPr>
                <w:rFonts w:hint="cs"/>
                <w:rtl/>
              </w:rPr>
              <w:t>יקותיאלי</w:t>
            </w:r>
            <w:proofErr w:type="spellEnd"/>
          </w:p>
        </w:tc>
      </w:tr>
      <w:tr w:rsidR="00593A8B" w14:paraId="7EA72326" w14:textId="77777777" w:rsidTr="000035F9">
        <w:trPr>
          <w:trHeight w:val="287"/>
        </w:trPr>
        <w:tc>
          <w:tcPr>
            <w:tcW w:w="3130" w:type="dxa"/>
          </w:tcPr>
          <w:p w14:paraId="519D35C7" w14:textId="77777777" w:rsidR="00593A8B" w:rsidRDefault="00593A8B">
            <w:pPr>
              <w:pStyle w:val="BodyRuller"/>
              <w:rPr>
                <w:rFonts w:ascii="David" w:hAnsi="David"/>
              </w:rPr>
            </w:pPr>
          </w:p>
        </w:tc>
        <w:tc>
          <w:tcPr>
            <w:tcW w:w="5239" w:type="dxa"/>
            <w:hideMark/>
          </w:tcPr>
          <w:p w14:paraId="1724ED0F" w14:textId="77777777" w:rsidR="00593A8B" w:rsidRDefault="00593A8B">
            <w:pPr>
              <w:pStyle w:val="BodyRuller"/>
              <w:rPr>
                <w:rtl/>
              </w:rPr>
            </w:pPr>
            <w:r>
              <w:rPr>
                <w:rFonts w:hint="cs"/>
                <w:rtl/>
              </w:rPr>
              <w:t>2. אלומת שושנה בע"מ</w:t>
            </w:r>
          </w:p>
        </w:tc>
      </w:tr>
    </w:tbl>
    <w:p w14:paraId="6CFC6CAD" w14:textId="77777777" w:rsidR="00593A8B" w:rsidRDefault="00593A8B" w:rsidP="000035F9">
      <w:pPr>
        <w:pStyle w:val="Ruller3"/>
        <w:rPr>
          <w:rtl/>
        </w:rPr>
      </w:pPr>
    </w:p>
    <w:tbl>
      <w:tblPr>
        <w:bidiVisual/>
        <w:tblW w:w="8363" w:type="dxa"/>
        <w:tblLook w:val="04A0" w:firstRow="1" w:lastRow="0" w:firstColumn="1" w:lastColumn="0" w:noHBand="0" w:noVBand="1"/>
      </w:tblPr>
      <w:tblGrid>
        <w:gridCol w:w="3222"/>
        <w:gridCol w:w="5141"/>
      </w:tblGrid>
      <w:tr w:rsidR="00593A8B" w14:paraId="6F691271" w14:textId="77777777" w:rsidTr="00593A8B">
        <w:tc>
          <w:tcPr>
            <w:tcW w:w="3284" w:type="dxa"/>
          </w:tcPr>
          <w:p w14:paraId="2AE21D10" w14:textId="77777777" w:rsidR="00593A8B" w:rsidRDefault="00593A8B">
            <w:pPr>
              <w:pStyle w:val="BodyRuller"/>
            </w:pPr>
          </w:p>
        </w:tc>
        <w:tc>
          <w:tcPr>
            <w:tcW w:w="5238" w:type="dxa"/>
            <w:hideMark/>
          </w:tcPr>
          <w:p w14:paraId="3F81BE29" w14:textId="77777777" w:rsidR="00593A8B" w:rsidRDefault="00593A8B">
            <w:pPr>
              <w:pStyle w:val="BodyRuller"/>
            </w:pPr>
            <w:r>
              <w:rPr>
                <w:rFonts w:hint="cs"/>
                <w:rtl/>
              </w:rPr>
              <w:t>נ</w:t>
            </w:r>
            <w:r>
              <w:t xml:space="preserve">  </w:t>
            </w:r>
            <w:r>
              <w:rPr>
                <w:rFonts w:hint="cs"/>
                <w:rtl/>
              </w:rPr>
              <w:t>ג</w:t>
            </w:r>
            <w:r>
              <w:t xml:space="preserve">  </w:t>
            </w:r>
            <w:r>
              <w:rPr>
                <w:rFonts w:hint="cs"/>
                <w:rtl/>
              </w:rPr>
              <w:t>ד</w:t>
            </w:r>
          </w:p>
        </w:tc>
      </w:tr>
    </w:tbl>
    <w:p w14:paraId="2CF57A4E" w14:textId="77777777" w:rsidR="00593A8B" w:rsidRDefault="00593A8B" w:rsidP="000035F9">
      <w:pPr>
        <w:pStyle w:val="Ruller3"/>
      </w:pPr>
    </w:p>
    <w:tbl>
      <w:tblPr>
        <w:bidiVisual/>
        <w:tblW w:w="8369" w:type="dxa"/>
        <w:tblInd w:w="131" w:type="dxa"/>
        <w:tblLayout w:type="fixed"/>
        <w:tblLook w:val="04A0" w:firstRow="1" w:lastRow="0" w:firstColumn="1" w:lastColumn="0" w:noHBand="0" w:noVBand="1"/>
      </w:tblPr>
      <w:tblGrid>
        <w:gridCol w:w="3130"/>
        <w:gridCol w:w="5239"/>
      </w:tblGrid>
      <w:tr w:rsidR="00593A8B" w14:paraId="16B92E9A" w14:textId="77777777" w:rsidTr="000035F9">
        <w:trPr>
          <w:trHeight w:val="287"/>
        </w:trPr>
        <w:tc>
          <w:tcPr>
            <w:tcW w:w="3130" w:type="dxa"/>
            <w:hideMark/>
          </w:tcPr>
          <w:p w14:paraId="6061C28C" w14:textId="77777777" w:rsidR="00593A8B" w:rsidRDefault="00593A8B">
            <w:pPr>
              <w:pStyle w:val="BodyRuller"/>
              <w:rPr>
                <w:rFonts w:ascii="David" w:hAnsi="David"/>
                <w:rtl/>
              </w:rPr>
            </w:pPr>
            <w:r>
              <w:rPr>
                <w:rFonts w:ascii="David" w:hAnsi="David" w:hint="cs"/>
                <w:rtl/>
              </w:rPr>
              <w:t>המשיב:</w:t>
            </w:r>
          </w:p>
        </w:tc>
        <w:tc>
          <w:tcPr>
            <w:tcW w:w="5239" w:type="dxa"/>
            <w:hideMark/>
          </w:tcPr>
          <w:p w14:paraId="21716840" w14:textId="77777777" w:rsidR="00593A8B" w:rsidRDefault="00593A8B">
            <w:pPr>
              <w:pStyle w:val="BodyRuller"/>
            </w:pPr>
            <w:r>
              <w:rPr>
                <w:rFonts w:hint="cs"/>
                <w:rtl/>
              </w:rPr>
              <w:t>מנהל מיסוי מקרקעין חיפה</w:t>
            </w:r>
          </w:p>
        </w:tc>
      </w:tr>
    </w:tbl>
    <w:p w14:paraId="593D8B22" w14:textId="77777777" w:rsidR="00593A8B" w:rsidRDefault="00593A8B" w:rsidP="00593A8B">
      <w:pPr>
        <w:pStyle w:val="Ruller3"/>
      </w:pPr>
    </w:p>
    <w:tbl>
      <w:tblPr>
        <w:bidiVisual/>
        <w:tblW w:w="0" w:type="auto"/>
        <w:tblInd w:w="3069" w:type="dxa"/>
        <w:tblLook w:val="04A0" w:firstRow="1" w:lastRow="0" w:firstColumn="1" w:lastColumn="0" w:noHBand="0" w:noVBand="1"/>
      </w:tblPr>
      <w:tblGrid>
        <w:gridCol w:w="5243"/>
      </w:tblGrid>
      <w:tr w:rsidR="00593A8B" w14:paraId="509E74A9" w14:textId="77777777" w:rsidTr="000035F9">
        <w:tc>
          <w:tcPr>
            <w:tcW w:w="5243" w:type="dxa"/>
            <w:hideMark/>
          </w:tcPr>
          <w:p w14:paraId="290F723E" w14:textId="68D28A0B" w:rsidR="00593A8B" w:rsidRDefault="00593A8B">
            <w:pPr>
              <w:pStyle w:val="BodyRuller"/>
              <w:jc w:val="both"/>
              <w:rPr>
                <w:sz w:val="24"/>
                <w:szCs w:val="24"/>
              </w:rPr>
            </w:pPr>
            <w:r>
              <w:rPr>
                <w:rFonts w:hint="cs"/>
                <w:sz w:val="24"/>
                <w:szCs w:val="24"/>
                <w:rtl/>
              </w:rPr>
              <w:t xml:space="preserve">ערעור על פסק הדין של ועדת </w:t>
            </w:r>
            <w:r w:rsidR="005A7097">
              <w:rPr>
                <w:rFonts w:hint="cs"/>
                <w:sz w:val="24"/>
                <w:szCs w:val="24"/>
                <w:rtl/>
              </w:rPr>
              <w:t>ה</w:t>
            </w:r>
            <w:r>
              <w:rPr>
                <w:rFonts w:hint="cs"/>
                <w:sz w:val="24"/>
                <w:szCs w:val="24"/>
                <w:rtl/>
              </w:rPr>
              <w:t>ערר בבית המשפט המחוזי בחיפה מיום 4</w:t>
            </w:r>
            <w:r w:rsidR="005A7097">
              <w:rPr>
                <w:rFonts w:hint="cs"/>
                <w:sz w:val="24"/>
                <w:szCs w:val="24"/>
                <w:rtl/>
              </w:rPr>
              <w:t xml:space="preserve">.8.2019 </w:t>
            </w:r>
            <w:proofErr w:type="spellStart"/>
            <w:r w:rsidR="005A7097">
              <w:rPr>
                <w:rFonts w:hint="cs"/>
                <w:sz w:val="24"/>
                <w:szCs w:val="24"/>
                <w:rtl/>
              </w:rPr>
              <w:t>בו"ע</w:t>
            </w:r>
            <w:proofErr w:type="spellEnd"/>
            <w:r w:rsidR="005A7097">
              <w:rPr>
                <w:rFonts w:hint="cs"/>
                <w:sz w:val="24"/>
                <w:szCs w:val="24"/>
                <w:rtl/>
              </w:rPr>
              <w:t xml:space="preserve"> 860-09-17 שניתן על</w:t>
            </w:r>
            <w:r>
              <w:rPr>
                <w:rFonts w:hint="cs"/>
                <w:sz w:val="24"/>
                <w:szCs w:val="24"/>
                <w:rtl/>
              </w:rPr>
              <w:t xml:space="preserve">-ידי כבוד השופט ר' </w:t>
            </w:r>
            <w:proofErr w:type="spellStart"/>
            <w:r>
              <w:rPr>
                <w:rFonts w:hint="cs"/>
                <w:sz w:val="24"/>
                <w:szCs w:val="24"/>
                <w:rtl/>
              </w:rPr>
              <w:t>סוקול</w:t>
            </w:r>
            <w:proofErr w:type="spellEnd"/>
            <w:r>
              <w:rPr>
                <w:rFonts w:hint="cs"/>
                <w:sz w:val="24"/>
                <w:szCs w:val="24"/>
                <w:rtl/>
              </w:rPr>
              <w:t xml:space="preserve"> וחברי הוועדה ח' שטרן ונ' מולכו </w:t>
            </w:r>
          </w:p>
        </w:tc>
      </w:tr>
    </w:tbl>
    <w:p w14:paraId="69EE63D0" w14:textId="77777777" w:rsidR="00593A8B" w:rsidRDefault="00593A8B" w:rsidP="00593A8B">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34"/>
        <w:gridCol w:w="2710"/>
      </w:tblGrid>
      <w:tr w:rsidR="00593A8B" w14:paraId="4FE74810" w14:textId="77777777" w:rsidTr="000035F9">
        <w:tc>
          <w:tcPr>
            <w:tcW w:w="3119" w:type="dxa"/>
            <w:tcBorders>
              <w:top w:val="nil"/>
              <w:left w:val="nil"/>
              <w:bottom w:val="nil"/>
              <w:right w:val="nil"/>
            </w:tcBorders>
            <w:hideMark/>
          </w:tcPr>
          <w:p w14:paraId="79781C65" w14:textId="77777777" w:rsidR="00593A8B" w:rsidRDefault="00593A8B">
            <w:pPr>
              <w:pStyle w:val="BodyRuller"/>
              <w:rPr>
                <w:sz w:val="24"/>
                <w:szCs w:val="24"/>
                <w:rtl/>
              </w:rPr>
            </w:pPr>
            <w:r>
              <w:rPr>
                <w:rFonts w:hint="cs"/>
                <w:sz w:val="24"/>
                <w:szCs w:val="24"/>
                <w:rtl/>
              </w:rPr>
              <w:t>תאריך הישיבה:</w:t>
            </w:r>
          </w:p>
        </w:tc>
        <w:tc>
          <w:tcPr>
            <w:tcW w:w="2534" w:type="dxa"/>
            <w:tcBorders>
              <w:top w:val="nil"/>
              <w:left w:val="nil"/>
              <w:bottom w:val="nil"/>
              <w:right w:val="nil"/>
            </w:tcBorders>
            <w:hideMark/>
          </w:tcPr>
          <w:p w14:paraId="0FE635DF" w14:textId="77777777" w:rsidR="00593A8B" w:rsidRDefault="00593A8B">
            <w:pPr>
              <w:pStyle w:val="BodyRuller"/>
            </w:pPr>
            <w:r>
              <w:rPr>
                <w:rFonts w:hint="cs"/>
                <w:sz w:val="24"/>
                <w:szCs w:val="24"/>
                <w:rtl/>
              </w:rPr>
              <w:t xml:space="preserve">י"ג בטבת </w:t>
            </w:r>
            <w:proofErr w:type="spellStart"/>
            <w:r>
              <w:rPr>
                <w:rFonts w:hint="cs"/>
                <w:sz w:val="24"/>
                <w:szCs w:val="24"/>
                <w:rtl/>
              </w:rPr>
              <w:t>התשפ"א</w:t>
            </w:r>
            <w:proofErr w:type="spellEnd"/>
          </w:p>
        </w:tc>
        <w:tc>
          <w:tcPr>
            <w:tcW w:w="2710" w:type="dxa"/>
            <w:tcBorders>
              <w:top w:val="nil"/>
              <w:left w:val="nil"/>
              <w:bottom w:val="nil"/>
              <w:right w:val="nil"/>
            </w:tcBorders>
            <w:hideMark/>
          </w:tcPr>
          <w:p w14:paraId="0DAD6423" w14:textId="77777777" w:rsidR="00593A8B" w:rsidRDefault="00593A8B">
            <w:pPr>
              <w:pStyle w:val="BodyRuller"/>
              <w:rPr>
                <w:sz w:val="24"/>
                <w:szCs w:val="24"/>
                <w:rtl/>
              </w:rPr>
            </w:pPr>
            <w:r>
              <w:rPr>
                <w:rFonts w:hint="cs"/>
                <w:rtl/>
              </w:rPr>
              <w:t>(28.12.2020)</w:t>
            </w:r>
          </w:p>
        </w:tc>
      </w:tr>
    </w:tbl>
    <w:p w14:paraId="76C4743D" w14:textId="77777777" w:rsidR="00593A8B" w:rsidRDefault="00593A8B" w:rsidP="00593A8B">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44"/>
      </w:tblGrid>
      <w:tr w:rsidR="00593A8B" w14:paraId="05BD1BAC" w14:textId="77777777" w:rsidTr="000035F9">
        <w:tc>
          <w:tcPr>
            <w:tcW w:w="3119" w:type="dxa"/>
            <w:tcBorders>
              <w:top w:val="nil"/>
              <w:left w:val="nil"/>
              <w:bottom w:val="nil"/>
              <w:right w:val="nil"/>
            </w:tcBorders>
            <w:hideMark/>
          </w:tcPr>
          <w:p w14:paraId="69AC2D9C" w14:textId="77777777" w:rsidR="00593A8B" w:rsidRDefault="00593A8B">
            <w:pPr>
              <w:pStyle w:val="BodyRuller"/>
              <w:rPr>
                <w:rtl/>
              </w:rPr>
            </w:pPr>
            <w:r>
              <w:rPr>
                <w:rFonts w:hint="cs"/>
                <w:rtl/>
              </w:rPr>
              <w:t>בשם המערערים:</w:t>
            </w:r>
          </w:p>
        </w:tc>
        <w:tc>
          <w:tcPr>
            <w:tcW w:w="5244" w:type="dxa"/>
            <w:tcBorders>
              <w:top w:val="nil"/>
              <w:left w:val="nil"/>
              <w:bottom w:val="nil"/>
              <w:right w:val="nil"/>
            </w:tcBorders>
            <w:hideMark/>
          </w:tcPr>
          <w:p w14:paraId="0D5EB7C8" w14:textId="77777777" w:rsidR="00593A8B" w:rsidRDefault="00593A8B">
            <w:pPr>
              <w:pStyle w:val="BodyRuller"/>
            </w:pPr>
            <w:r>
              <w:rPr>
                <w:rFonts w:hint="cs"/>
                <w:rtl/>
              </w:rPr>
              <w:t xml:space="preserve">עו"ד ליאור עמר </w:t>
            </w:r>
          </w:p>
        </w:tc>
      </w:tr>
    </w:tbl>
    <w:p w14:paraId="42DB48CF" w14:textId="77777777" w:rsidR="00593A8B" w:rsidRDefault="00593A8B" w:rsidP="000035F9">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44"/>
      </w:tblGrid>
      <w:tr w:rsidR="00593A8B" w14:paraId="199F3814" w14:textId="77777777" w:rsidTr="000035F9">
        <w:tc>
          <w:tcPr>
            <w:tcW w:w="3119" w:type="dxa"/>
            <w:tcBorders>
              <w:top w:val="nil"/>
              <w:left w:val="nil"/>
              <w:bottom w:val="nil"/>
              <w:right w:val="nil"/>
            </w:tcBorders>
            <w:hideMark/>
          </w:tcPr>
          <w:p w14:paraId="7185174C" w14:textId="77777777" w:rsidR="00593A8B" w:rsidRDefault="00593A8B">
            <w:pPr>
              <w:pStyle w:val="BodyRuller"/>
            </w:pPr>
            <w:r>
              <w:rPr>
                <w:rFonts w:hint="cs"/>
                <w:rtl/>
              </w:rPr>
              <w:t>בשם המשיב:</w:t>
            </w:r>
          </w:p>
        </w:tc>
        <w:tc>
          <w:tcPr>
            <w:tcW w:w="5244" w:type="dxa"/>
            <w:tcBorders>
              <w:top w:val="nil"/>
              <w:left w:val="nil"/>
              <w:bottom w:val="nil"/>
              <w:right w:val="nil"/>
            </w:tcBorders>
            <w:hideMark/>
          </w:tcPr>
          <w:p w14:paraId="19DBA03E" w14:textId="77777777" w:rsidR="00593A8B" w:rsidRDefault="00593A8B">
            <w:pPr>
              <w:pStyle w:val="BodyRuller"/>
            </w:pPr>
            <w:r>
              <w:rPr>
                <w:rFonts w:hint="cs"/>
                <w:rtl/>
              </w:rPr>
              <w:t xml:space="preserve">עו"ד חן </w:t>
            </w:r>
            <w:proofErr w:type="spellStart"/>
            <w:r>
              <w:rPr>
                <w:rFonts w:hint="cs"/>
                <w:rtl/>
              </w:rPr>
              <w:t>אבידוב</w:t>
            </w:r>
            <w:proofErr w:type="spellEnd"/>
          </w:p>
        </w:tc>
      </w:tr>
    </w:tbl>
    <w:p w14:paraId="0C370AAC" w14:textId="77777777" w:rsidR="00593A8B" w:rsidRDefault="00593A8B" w:rsidP="00593A8B">
      <w:pPr>
        <w:tabs>
          <w:tab w:val="left" w:pos="2552"/>
        </w:tabs>
        <w:spacing w:line="480" w:lineRule="auto"/>
      </w:pPr>
    </w:p>
    <w:tbl>
      <w:tblPr>
        <w:bidiVisual/>
        <w:tblW w:w="8363" w:type="dxa"/>
        <w:tblLook w:val="04A0" w:firstRow="1" w:lastRow="0" w:firstColumn="1" w:lastColumn="0" w:noHBand="0" w:noVBand="1"/>
      </w:tblPr>
      <w:tblGrid>
        <w:gridCol w:w="8363"/>
      </w:tblGrid>
      <w:tr w:rsidR="00593A8B" w14:paraId="5B75D829" w14:textId="77777777" w:rsidTr="00593A8B">
        <w:tc>
          <w:tcPr>
            <w:tcW w:w="9837" w:type="dxa"/>
            <w:hideMark/>
          </w:tcPr>
          <w:p w14:paraId="36A10CD3" w14:textId="77777777" w:rsidR="00593A8B" w:rsidRDefault="00593A8B">
            <w:pPr>
              <w:pStyle w:val="DocumentHead"/>
            </w:pPr>
            <w:bookmarkStart w:id="1" w:name="BeginProtocol"/>
            <w:bookmarkStart w:id="2" w:name="secretary"/>
            <w:bookmarkEnd w:id="1"/>
            <w:bookmarkEnd w:id="2"/>
            <w:r>
              <w:rPr>
                <w:rFonts w:hint="cs"/>
                <w:rtl/>
              </w:rPr>
              <w:t>פסק-דין</w:t>
            </w:r>
          </w:p>
        </w:tc>
      </w:tr>
    </w:tbl>
    <w:p w14:paraId="52F2911C" w14:textId="77777777" w:rsidR="00593A8B" w:rsidRDefault="00593A8B" w:rsidP="00593A8B">
      <w:pPr>
        <w:pStyle w:val="BODYVERDICT"/>
      </w:pPr>
    </w:p>
    <w:p w14:paraId="3EB5AE72" w14:textId="77777777" w:rsidR="00593A8B" w:rsidRDefault="00593A8B" w:rsidP="00593A8B">
      <w:pPr>
        <w:pStyle w:val="BODYVERDICT"/>
        <w:rPr>
          <w:rFonts w:cs="Miriam"/>
          <w:sz w:val="24"/>
          <w:szCs w:val="24"/>
          <w:u w:val="single"/>
        </w:rPr>
      </w:pPr>
      <w:bookmarkStart w:id="3" w:name="Writer_Name"/>
      <w:bookmarkEnd w:id="3"/>
      <w:r>
        <w:rPr>
          <w:rFonts w:cs="Miriam"/>
          <w:sz w:val="24"/>
          <w:szCs w:val="24"/>
          <w:u w:val="single"/>
          <w:rtl/>
        </w:rPr>
        <w:t>השופט נ' סולברג</w:t>
      </w:r>
      <w:r>
        <w:rPr>
          <w:rFonts w:cs="Miriam"/>
          <w:sz w:val="24"/>
          <w:szCs w:val="24"/>
          <w:rtl/>
        </w:rPr>
        <w:t>:</w:t>
      </w:r>
    </w:p>
    <w:p w14:paraId="5AF22BFF" w14:textId="77777777" w:rsidR="00593A8B" w:rsidRDefault="00593A8B" w:rsidP="00593A8B">
      <w:pPr>
        <w:pStyle w:val="Ruller41"/>
        <w:rPr>
          <w:rtl/>
        </w:rPr>
      </w:pPr>
      <w:bookmarkStart w:id="4" w:name="Start_Write"/>
      <w:bookmarkEnd w:id="4"/>
    </w:p>
    <w:p w14:paraId="178EB4A6" w14:textId="77777777" w:rsidR="00593A8B" w:rsidRDefault="00593A8B" w:rsidP="00593A8B">
      <w:pPr>
        <w:pStyle w:val="Ruller4"/>
        <w:numPr>
          <w:ilvl w:val="0"/>
          <w:numId w:val="0"/>
        </w:numPr>
        <w:rPr>
          <w:rFonts w:ascii="Century" w:hAnsi="Century" w:cs="Miriam"/>
          <w:b/>
          <w:spacing w:val="0"/>
          <w:sz w:val="22"/>
          <w:szCs w:val="24"/>
          <w:rtl/>
        </w:rPr>
      </w:pPr>
      <w:r>
        <w:rPr>
          <w:rtl/>
        </w:rPr>
        <w:tab/>
      </w:r>
      <w:r>
        <w:rPr>
          <w:rFonts w:ascii="Century" w:hAnsi="Century" w:cs="Miriam"/>
          <w:b/>
          <w:spacing w:val="0"/>
          <w:sz w:val="22"/>
          <w:szCs w:val="24"/>
          <w:rtl/>
        </w:rPr>
        <w:t>"קולמוסים רבים נשתברו בניסיון לעמוד על מהותה של עסקת קומבינציה מסוג 'מכר חלקי'"</w:t>
      </w:r>
      <w:r>
        <w:rPr>
          <w:rtl/>
        </w:rPr>
        <w:t xml:space="preserve"> (דברי השופטת (כתוארה אז) </w:t>
      </w:r>
      <w:r>
        <w:rPr>
          <w:rFonts w:ascii="Century" w:hAnsi="Century" w:cs="Miriam"/>
          <w:b/>
          <w:spacing w:val="0"/>
          <w:sz w:val="22"/>
          <w:szCs w:val="24"/>
          <w:rtl/>
        </w:rPr>
        <w:t>מ' נאור</w:t>
      </w:r>
      <w:r>
        <w:rPr>
          <w:rtl/>
        </w:rPr>
        <w:t xml:space="preserve"> בדנ"א 6811/04 </w:t>
      </w:r>
      <w:r>
        <w:rPr>
          <w:rFonts w:ascii="Century" w:hAnsi="Century" w:cs="Miriam"/>
          <w:b/>
          <w:spacing w:val="0"/>
          <w:sz w:val="22"/>
          <w:szCs w:val="24"/>
          <w:rtl/>
        </w:rPr>
        <w:t xml:space="preserve">מנהל מס שבח מקרקעין </w:t>
      </w:r>
      <w:r>
        <w:rPr>
          <w:rFonts w:ascii="Century" w:hAnsi="Century"/>
          <w:sz w:val="22"/>
          <w:rtl/>
        </w:rPr>
        <w:t>–</w:t>
      </w:r>
      <w:r>
        <w:rPr>
          <w:rFonts w:ascii="Century" w:hAnsi="Century" w:cs="Miriam"/>
          <w:b/>
          <w:spacing w:val="0"/>
          <w:sz w:val="22"/>
          <w:szCs w:val="24"/>
          <w:rtl/>
        </w:rPr>
        <w:t xml:space="preserve"> חיפה נ' שדמי</w:t>
      </w:r>
      <w:r>
        <w:rPr>
          <w:rtl/>
        </w:rPr>
        <w:t xml:space="preserve">, פ"ד </w:t>
      </w:r>
      <w:proofErr w:type="spellStart"/>
      <w:r>
        <w:rPr>
          <w:rtl/>
        </w:rPr>
        <w:t>סג</w:t>
      </w:r>
      <w:proofErr w:type="spellEnd"/>
      <w:r>
        <w:rPr>
          <w:rtl/>
        </w:rPr>
        <w:t xml:space="preserve">(1) 778, 808 (2009) (להלן: </w:t>
      </w:r>
      <w:r w:rsidRPr="00AB3182">
        <w:rPr>
          <w:rFonts w:ascii="Century" w:hAnsi="Century"/>
          <w:sz w:val="22"/>
          <w:rtl/>
        </w:rPr>
        <w:t>עניין</w:t>
      </w:r>
      <w:r>
        <w:rPr>
          <w:rFonts w:ascii="Century" w:hAnsi="Century" w:cs="Miriam"/>
          <w:b/>
          <w:spacing w:val="0"/>
          <w:sz w:val="22"/>
          <w:szCs w:val="24"/>
          <w:rtl/>
        </w:rPr>
        <w:t xml:space="preserve"> שדמי</w:t>
      </w:r>
      <w:r>
        <w:rPr>
          <w:rtl/>
        </w:rPr>
        <w:t xml:space="preserve">)); הנה, עוד ניסיון אחד. </w:t>
      </w:r>
    </w:p>
    <w:p w14:paraId="58B50411" w14:textId="77777777" w:rsidR="00593A8B" w:rsidRDefault="00593A8B" w:rsidP="000035F9">
      <w:pPr>
        <w:pStyle w:val="Ruller4"/>
        <w:numPr>
          <w:ilvl w:val="0"/>
          <w:numId w:val="0"/>
        </w:numPr>
        <w:spacing w:line="240" w:lineRule="auto"/>
      </w:pPr>
    </w:p>
    <w:p w14:paraId="3369F01F" w14:textId="77777777" w:rsidR="00593A8B" w:rsidRDefault="00593A8B" w:rsidP="00593A8B">
      <w:pPr>
        <w:pStyle w:val="Ruller4"/>
        <w:numPr>
          <w:ilvl w:val="0"/>
          <w:numId w:val="18"/>
        </w:numPr>
        <w:tabs>
          <w:tab w:val="num" w:pos="907"/>
        </w:tabs>
        <w:ind w:left="0"/>
        <w:textAlignment w:val="auto"/>
      </w:pPr>
      <w:r>
        <w:rPr>
          <w:rtl/>
        </w:rPr>
        <w:t xml:space="preserve">ערעור על פסק הדין של ועדת הערר לפי חוק מיסוי מקרקעין (שבח ורכישה), התשכ"ג-1963, שליד בית המשפט המחוזי בחיפה (להלן בהתאמה: </w:t>
      </w:r>
      <w:r>
        <w:rPr>
          <w:rFonts w:ascii="Century" w:hAnsi="Century" w:cs="Miriam"/>
          <w:b/>
          <w:spacing w:val="0"/>
          <w:sz w:val="22"/>
          <w:szCs w:val="24"/>
          <w:rtl/>
        </w:rPr>
        <w:t xml:space="preserve">הוועדה </w:t>
      </w:r>
      <w:r>
        <w:rPr>
          <w:rtl/>
        </w:rPr>
        <w:t>ו-</w:t>
      </w:r>
      <w:r>
        <w:rPr>
          <w:rFonts w:ascii="Century" w:hAnsi="Century" w:cs="Miriam"/>
          <w:b/>
          <w:spacing w:val="0"/>
          <w:sz w:val="22"/>
          <w:szCs w:val="24"/>
          <w:rtl/>
        </w:rPr>
        <w:t>החוק</w:t>
      </w:r>
      <w:r>
        <w:rPr>
          <w:rtl/>
        </w:rPr>
        <w:t xml:space="preserve">), מיום 4.9.2019, </w:t>
      </w:r>
      <w:proofErr w:type="spellStart"/>
      <w:r>
        <w:rPr>
          <w:rtl/>
        </w:rPr>
        <w:t>בו"ע</w:t>
      </w:r>
      <w:proofErr w:type="spellEnd"/>
      <w:r>
        <w:rPr>
          <w:rtl/>
        </w:rPr>
        <w:t xml:space="preserve"> 860-09-17 (השופט </w:t>
      </w:r>
      <w:r>
        <w:rPr>
          <w:rFonts w:ascii="Century" w:hAnsi="Century" w:cs="Miriam"/>
          <w:b/>
          <w:spacing w:val="0"/>
          <w:sz w:val="22"/>
          <w:szCs w:val="24"/>
          <w:rtl/>
        </w:rPr>
        <w:t xml:space="preserve">ר' </w:t>
      </w:r>
      <w:proofErr w:type="spellStart"/>
      <w:r>
        <w:rPr>
          <w:rFonts w:ascii="Century" w:hAnsi="Century" w:cs="Miriam"/>
          <w:b/>
          <w:spacing w:val="0"/>
          <w:sz w:val="22"/>
          <w:szCs w:val="24"/>
          <w:rtl/>
        </w:rPr>
        <w:t>סוקול</w:t>
      </w:r>
      <w:proofErr w:type="spellEnd"/>
      <w:r>
        <w:rPr>
          <w:rtl/>
        </w:rPr>
        <w:t xml:space="preserve">, וחברי הוועדה </w:t>
      </w:r>
      <w:r>
        <w:rPr>
          <w:rFonts w:ascii="Century" w:hAnsi="Century" w:cs="Miriam"/>
          <w:b/>
          <w:spacing w:val="0"/>
          <w:sz w:val="22"/>
          <w:szCs w:val="24"/>
          <w:rtl/>
        </w:rPr>
        <w:t>ח' שטרן</w:t>
      </w:r>
      <w:r>
        <w:rPr>
          <w:rtl/>
        </w:rPr>
        <w:t xml:space="preserve"> ו-</w:t>
      </w:r>
      <w:r>
        <w:rPr>
          <w:rFonts w:ascii="Century" w:hAnsi="Century" w:cs="Miriam"/>
          <w:b/>
          <w:spacing w:val="0"/>
          <w:sz w:val="22"/>
          <w:szCs w:val="24"/>
          <w:rtl/>
        </w:rPr>
        <w:t>נ' מולכו</w:t>
      </w:r>
      <w:r>
        <w:rPr>
          <w:rtl/>
        </w:rPr>
        <w:t>), שבגדרו נדחה בעיקרו ערר שהגישו המערערים, על החלטת המשיב לדחות את השגתם על שיעור חיובם במס שבח ומס רכישה.</w:t>
      </w:r>
    </w:p>
    <w:p w14:paraId="022D96FA" w14:textId="77777777" w:rsidR="00593A8B" w:rsidRDefault="00593A8B" w:rsidP="00593A8B">
      <w:pPr>
        <w:pStyle w:val="Ruller41"/>
        <w:spacing w:line="240" w:lineRule="auto"/>
        <w:rPr>
          <w:rtl/>
        </w:rPr>
      </w:pPr>
    </w:p>
    <w:p w14:paraId="2A05B3C3" w14:textId="77777777" w:rsidR="00593A8B" w:rsidRDefault="00593A8B" w:rsidP="00593A8B">
      <w:pPr>
        <w:pStyle w:val="Ruller4"/>
        <w:numPr>
          <w:ilvl w:val="0"/>
          <w:numId w:val="18"/>
        </w:numPr>
        <w:tabs>
          <w:tab w:val="num" w:pos="907"/>
        </w:tabs>
        <w:ind w:left="0"/>
        <w:textAlignment w:val="auto"/>
        <w:rPr>
          <w:rtl/>
        </w:rPr>
      </w:pPr>
      <w:r>
        <w:rPr>
          <w:rtl/>
        </w:rPr>
        <w:t xml:space="preserve">בעקבות הערות שהערנו בדיון שהתקיים לפנינו, ובשים לב להוראות סעיף 90 לחוק, הודיעונו המערערים כי הם זונחים את טענותיהם במישור העובדתי, בנוגע לאופן שבו הוערך שווי עלויות הבניה בעסקה שבנדון </w:t>
      </w:r>
      <w:proofErr w:type="spellStart"/>
      <w:r>
        <w:rPr>
          <w:rtl/>
        </w:rPr>
        <w:t>דידן</w:t>
      </w:r>
      <w:proofErr w:type="spellEnd"/>
      <w:r>
        <w:rPr>
          <w:rtl/>
        </w:rPr>
        <w:t xml:space="preserve">. נותרנו אפוא עם השאלה העקרונית הבאה: </w:t>
      </w:r>
      <w:r>
        <w:rPr>
          <w:rFonts w:ascii="Century" w:hAnsi="Century"/>
          <w:sz w:val="22"/>
          <w:rtl/>
        </w:rPr>
        <w:t xml:space="preserve">האם, לצורך חישוב שווי המכירה בעסקת קומבינציה על דרך של מכר חלקי, לצרכי מיסוי מקרקעין, </w:t>
      </w:r>
      <w:r>
        <w:rPr>
          <w:rtl/>
        </w:rPr>
        <w:t xml:space="preserve">יש לכלול אך את </w:t>
      </w:r>
      <w:r>
        <w:rPr>
          <w:rFonts w:ascii="Century" w:hAnsi="Century"/>
          <w:b/>
          <w:spacing w:val="0"/>
          <w:sz w:val="22"/>
          <w:rtl/>
        </w:rPr>
        <w:t xml:space="preserve">הרווח </w:t>
      </w:r>
      <w:r>
        <w:rPr>
          <w:rtl/>
        </w:rPr>
        <w:t>שיפיק הרוכש משירותים שיספק ב'כובעו' כקבלן הביצוע של המיזם, או שמא יש להביא בחשבון גם את הרווח שהוא מצפה להפיק ב'כובעו' כיזם?</w:t>
      </w:r>
    </w:p>
    <w:p w14:paraId="37CE097F" w14:textId="77777777" w:rsidR="00593A8B" w:rsidRDefault="00593A8B" w:rsidP="00593A8B">
      <w:pPr>
        <w:pStyle w:val="Ruller41"/>
        <w:rPr>
          <w:rtl/>
        </w:rPr>
      </w:pPr>
    </w:p>
    <w:p w14:paraId="764F2CD1"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רקע והליכים קודמים</w:t>
      </w:r>
    </w:p>
    <w:p w14:paraId="56774C67" w14:textId="77777777" w:rsidR="00593A8B" w:rsidRDefault="00593A8B" w:rsidP="00593A8B">
      <w:pPr>
        <w:pStyle w:val="Ruller4"/>
        <w:numPr>
          <w:ilvl w:val="0"/>
          <w:numId w:val="18"/>
        </w:numPr>
        <w:tabs>
          <w:tab w:val="num" w:pos="907"/>
        </w:tabs>
        <w:ind w:left="0"/>
        <w:textAlignment w:val="auto"/>
      </w:pPr>
      <w:r>
        <w:rPr>
          <w:rtl/>
        </w:rPr>
        <w:t xml:space="preserve">המערער, יוסף </w:t>
      </w:r>
      <w:proofErr w:type="spellStart"/>
      <w:r>
        <w:rPr>
          <w:rtl/>
        </w:rPr>
        <w:t>יקותיאלי</w:t>
      </w:r>
      <w:proofErr w:type="spellEnd"/>
      <w:r>
        <w:rPr>
          <w:rtl/>
        </w:rPr>
        <w:t xml:space="preserve">, והמערערת, אלומת שושנה בע"מ (להלן: </w:t>
      </w:r>
      <w:r>
        <w:rPr>
          <w:rFonts w:ascii="Century" w:hAnsi="Century" w:cs="Miriam"/>
          <w:b/>
          <w:spacing w:val="0"/>
          <w:sz w:val="22"/>
          <w:szCs w:val="24"/>
          <w:rtl/>
        </w:rPr>
        <w:t>החברה</w:t>
      </w:r>
      <w:r>
        <w:rPr>
          <w:rtl/>
        </w:rPr>
        <w:t xml:space="preserve">), נקשרו בעסקת קומבינציה על דרך של מכר חלקי, בשילוב תמ"א 38. בין הצדדים סוכם כדלקמן: </w:t>
      </w:r>
      <w:proofErr w:type="spellStart"/>
      <w:r>
        <w:rPr>
          <w:rtl/>
        </w:rPr>
        <w:t>יקותיאלי</w:t>
      </w:r>
      <w:proofErr w:type="spellEnd"/>
      <w:r>
        <w:rPr>
          <w:rtl/>
        </w:rPr>
        <w:t xml:space="preserve"> ימכור לחברה 55% מזכויותיו במקרקעין, הידועים כגוש 10807, חלקה 31, ברחוב שושנת הכרמל 8 בחיפה (להלן: </w:t>
      </w:r>
      <w:r>
        <w:rPr>
          <w:rFonts w:ascii="Century" w:hAnsi="Century" w:cs="Miriam"/>
          <w:b/>
          <w:spacing w:val="0"/>
          <w:sz w:val="22"/>
          <w:szCs w:val="24"/>
          <w:rtl/>
        </w:rPr>
        <w:t>המקרקעין</w:t>
      </w:r>
      <w:r>
        <w:rPr>
          <w:rtl/>
        </w:rPr>
        <w:t xml:space="preserve">); בתמורה, תקים החברה במקרקעין בניין בן 12 דירות, בשטח כולל של 1,213 מ"ר, שמתוכו יקבל </w:t>
      </w:r>
      <w:proofErr w:type="spellStart"/>
      <w:r>
        <w:rPr>
          <w:rtl/>
        </w:rPr>
        <w:t>יקותיאלי</w:t>
      </w:r>
      <w:proofErr w:type="spellEnd"/>
      <w:r>
        <w:rPr>
          <w:rtl/>
        </w:rPr>
        <w:t xml:space="preserve"> 4 דירות, בשטח כולל של 520 מ"ר, בעוד 8 הדירות הנותרות, בשטח כולל של 693 מ"ר, יהיו בידי החברה (להלן: </w:t>
      </w:r>
      <w:r>
        <w:rPr>
          <w:rFonts w:ascii="Century" w:hAnsi="Century" w:cs="Miriam"/>
          <w:b/>
          <w:spacing w:val="0"/>
          <w:sz w:val="22"/>
          <w:szCs w:val="24"/>
          <w:rtl/>
        </w:rPr>
        <w:t>העסקה</w:t>
      </w:r>
      <w:r>
        <w:rPr>
          <w:rtl/>
        </w:rPr>
        <w:t>).</w:t>
      </w:r>
    </w:p>
    <w:p w14:paraId="39BAFCA3" w14:textId="77777777" w:rsidR="00593A8B" w:rsidRDefault="00593A8B" w:rsidP="000035F9">
      <w:pPr>
        <w:pStyle w:val="Ruller4"/>
        <w:numPr>
          <w:ilvl w:val="0"/>
          <w:numId w:val="0"/>
        </w:numPr>
        <w:spacing w:line="240" w:lineRule="auto"/>
        <w:rPr>
          <w:rtl/>
        </w:rPr>
      </w:pPr>
    </w:p>
    <w:p w14:paraId="557ABE4C" w14:textId="77777777" w:rsidR="00593A8B" w:rsidRDefault="00593A8B" w:rsidP="00593A8B">
      <w:pPr>
        <w:pStyle w:val="Ruller4"/>
        <w:numPr>
          <w:ilvl w:val="0"/>
          <w:numId w:val="18"/>
        </w:numPr>
        <w:tabs>
          <w:tab w:val="num" w:pos="907"/>
        </w:tabs>
        <w:ind w:left="0"/>
        <w:textAlignment w:val="auto"/>
      </w:pPr>
      <w:proofErr w:type="spellStart"/>
      <w:r>
        <w:rPr>
          <w:rtl/>
        </w:rPr>
        <w:t>יקותיאלי</w:t>
      </w:r>
      <w:proofErr w:type="spellEnd"/>
      <w:r>
        <w:rPr>
          <w:rtl/>
        </w:rPr>
        <w:t xml:space="preserve"> והחברה הצהירו לפני רשויות המס על ביצוע העסקה ועל שוויה, לצרכי מס שבח ורכישה. המשיב, מנהל מיסוי מקרקעין חיפה, דחה את הערכתם, ותחתיה העמיד את שווי העסקה על סכום גבוה בהרבה.</w:t>
      </w:r>
      <w:r>
        <w:rPr>
          <w:rFonts w:hint="cs"/>
        </w:rPr>
        <w:t xml:space="preserve"> </w:t>
      </w:r>
      <w:r>
        <w:rPr>
          <w:rtl/>
        </w:rPr>
        <w:t>השגות שהגישו המערערים – לא הועילו; באין מוצא – הוגש ערר לוועדה, שבגדרו נטען כי יש להעדיף את הערכת השווי המוצהרת.</w:t>
      </w:r>
    </w:p>
    <w:p w14:paraId="60E35594" w14:textId="77777777" w:rsidR="00593A8B" w:rsidRDefault="00593A8B" w:rsidP="000035F9">
      <w:pPr>
        <w:pStyle w:val="Ruller4"/>
        <w:numPr>
          <w:ilvl w:val="0"/>
          <w:numId w:val="0"/>
        </w:numPr>
        <w:spacing w:line="240" w:lineRule="auto"/>
      </w:pPr>
    </w:p>
    <w:p w14:paraId="0C570528" w14:textId="77777777" w:rsidR="00593A8B" w:rsidRDefault="00593A8B" w:rsidP="00593A8B">
      <w:pPr>
        <w:pStyle w:val="Ruller4"/>
        <w:numPr>
          <w:ilvl w:val="0"/>
          <w:numId w:val="18"/>
        </w:numPr>
        <w:tabs>
          <w:tab w:val="num" w:pos="907"/>
        </w:tabs>
        <w:ind w:left="0"/>
        <w:textAlignment w:val="auto"/>
      </w:pPr>
      <w:r>
        <w:rPr>
          <w:rtl/>
        </w:rPr>
        <w:t xml:space="preserve">לתמיכה בטענותיהם, הגישו המערערים חוות-דעת שמאית, שאותה ערך השמאי יצחק סיון, ובאמצעותה ביקשו לבסס את הערכתם לגבי שווי העסקה, בהסתמך על השוואה בין הפרויקט דנן, לבין פרויקט אחר שביצעה החברה (להלן: </w:t>
      </w:r>
      <w:proofErr w:type="spellStart"/>
      <w:r>
        <w:rPr>
          <w:rFonts w:ascii="Century" w:hAnsi="Century" w:cs="Miriam"/>
          <w:b/>
          <w:spacing w:val="0"/>
          <w:sz w:val="22"/>
          <w:szCs w:val="24"/>
          <w:rtl/>
        </w:rPr>
        <w:t>חוו"ד</w:t>
      </w:r>
      <w:proofErr w:type="spellEnd"/>
      <w:r>
        <w:rPr>
          <w:rFonts w:ascii="Century" w:hAnsi="Century" w:cs="Miriam"/>
          <w:b/>
          <w:spacing w:val="0"/>
          <w:sz w:val="22"/>
          <w:szCs w:val="24"/>
          <w:rtl/>
        </w:rPr>
        <w:t xml:space="preserve"> סיון</w:t>
      </w:r>
      <w:r>
        <w:rPr>
          <w:rtl/>
        </w:rPr>
        <w:t>). במסגרת חוות-הדעת, העיר השמאי סיון את ההערה הבאה:</w:t>
      </w:r>
    </w:p>
    <w:p w14:paraId="016D82B6" w14:textId="77777777" w:rsidR="00593A8B" w:rsidRDefault="00593A8B" w:rsidP="000035F9">
      <w:pPr>
        <w:pStyle w:val="Ruller41"/>
        <w:spacing w:line="240" w:lineRule="auto"/>
        <w:rPr>
          <w:rtl/>
        </w:rPr>
      </w:pPr>
    </w:p>
    <w:p w14:paraId="613C35EA" w14:textId="77777777" w:rsidR="00593A8B" w:rsidRDefault="00593A8B" w:rsidP="00593A8B">
      <w:pPr>
        <w:pStyle w:val="Ruller5"/>
        <w:spacing w:line="360" w:lineRule="auto"/>
        <w:rPr>
          <w:rFonts w:ascii="Century" w:hAnsi="Century" w:cs="Miriam"/>
          <w:b/>
          <w:spacing w:val="0"/>
          <w:szCs w:val="24"/>
        </w:rPr>
      </w:pPr>
      <w:r>
        <w:rPr>
          <w:rFonts w:ascii="Century" w:hAnsi="Century" w:cs="Miriam"/>
          <w:b/>
          <w:spacing w:val="0"/>
          <w:szCs w:val="24"/>
          <w:rtl/>
        </w:rPr>
        <w:t xml:space="preserve">"לאחרונה התברר כי בשומות </w:t>
      </w:r>
      <w:proofErr w:type="spellStart"/>
      <w:r>
        <w:rPr>
          <w:rFonts w:ascii="Century" w:hAnsi="Century" w:cs="Miriam"/>
          <w:b/>
          <w:spacing w:val="0"/>
          <w:szCs w:val="24"/>
          <w:rtl/>
        </w:rPr>
        <w:t>מסויימות</w:t>
      </w:r>
      <w:proofErr w:type="spellEnd"/>
      <w:r>
        <w:rPr>
          <w:rFonts w:ascii="Century" w:hAnsi="Century" w:cs="Miriam"/>
          <w:b/>
          <w:spacing w:val="0"/>
          <w:szCs w:val="24"/>
          <w:rtl/>
        </w:rPr>
        <w:t xml:space="preserve"> נשמעו טענות מצד מפקחי המס כי יש לצרף לשווי שרותי הבניה שמקבל המוכר גם את מרכיב הרווח היזמי. לעניין זה יש להשיב:</w:t>
      </w:r>
    </w:p>
    <w:p w14:paraId="5DED3BE2" w14:textId="77777777" w:rsidR="00593A8B" w:rsidRDefault="00593A8B" w:rsidP="00593A8B">
      <w:pPr>
        <w:pStyle w:val="Ruller5"/>
        <w:spacing w:line="360" w:lineRule="auto"/>
        <w:rPr>
          <w:rFonts w:ascii="Century" w:hAnsi="Century" w:cs="Miriam"/>
          <w:b/>
          <w:spacing w:val="0"/>
          <w:szCs w:val="24"/>
          <w:rtl/>
        </w:rPr>
      </w:pPr>
      <w:r>
        <w:rPr>
          <w:rFonts w:ascii="Century" w:hAnsi="Century" w:cs="Miriam"/>
          <w:b/>
          <w:spacing w:val="0"/>
          <w:szCs w:val="24"/>
          <w:rtl/>
        </w:rPr>
        <w:t xml:space="preserve">הרווח היזמי צומח ליזם במהלך ביצוע </w:t>
      </w:r>
      <w:proofErr w:type="spellStart"/>
      <w:r>
        <w:rPr>
          <w:rFonts w:ascii="Century" w:hAnsi="Century" w:cs="Miriam"/>
          <w:b/>
          <w:spacing w:val="0"/>
          <w:szCs w:val="24"/>
          <w:rtl/>
        </w:rPr>
        <w:t>הפרוייקט</w:t>
      </w:r>
      <w:proofErr w:type="spellEnd"/>
      <w:r>
        <w:rPr>
          <w:rFonts w:ascii="Century" w:hAnsi="Century" w:cs="Miriam"/>
          <w:b/>
          <w:spacing w:val="0"/>
          <w:szCs w:val="24"/>
          <w:rtl/>
        </w:rPr>
        <w:t xml:space="preserve">, ככל שהוא מתקדם בביצועו. </w:t>
      </w:r>
      <w:r>
        <w:rPr>
          <w:rFonts w:ascii="Century" w:hAnsi="Century" w:cs="Miriam"/>
          <w:b/>
          <w:spacing w:val="0"/>
          <w:szCs w:val="24"/>
          <w:u w:val="single"/>
          <w:rtl/>
        </w:rPr>
        <w:t>ביום חתימת ההסכם</w:t>
      </w:r>
      <w:r>
        <w:rPr>
          <w:rFonts w:ascii="Century" w:hAnsi="Century" w:cs="Miriam"/>
          <w:b/>
          <w:spacing w:val="0"/>
          <w:szCs w:val="24"/>
          <w:rtl/>
        </w:rPr>
        <w:t xml:space="preserve"> בין הצדדים </w:t>
      </w:r>
      <w:r>
        <w:rPr>
          <w:rFonts w:ascii="Century" w:hAnsi="Century"/>
          <w:rtl/>
        </w:rPr>
        <w:t>–</w:t>
      </w:r>
      <w:r>
        <w:rPr>
          <w:rFonts w:ascii="Century" w:hAnsi="Century" w:cs="Miriam"/>
          <w:b/>
          <w:spacing w:val="0"/>
          <w:szCs w:val="24"/>
          <w:rtl/>
        </w:rPr>
        <w:t xml:space="preserve"> </w:t>
      </w:r>
      <w:r>
        <w:rPr>
          <w:rFonts w:ascii="Century" w:hAnsi="Century" w:cs="Miriam"/>
          <w:b/>
          <w:spacing w:val="0"/>
          <w:szCs w:val="24"/>
          <w:u w:val="single"/>
          <w:rtl/>
        </w:rPr>
        <w:t>טרם צמח כל רווח יזמי</w:t>
      </w:r>
      <w:r>
        <w:rPr>
          <w:rFonts w:ascii="Century" w:hAnsi="Century" w:cs="Miriam"/>
          <w:b/>
          <w:spacing w:val="0"/>
          <w:szCs w:val="24"/>
          <w:rtl/>
        </w:rPr>
        <w:t xml:space="preserve">. כמובן שכאשר יקבל המוכר את הדירות הגמורות בעוד מספר שנים, שוויין אף הוא כולל רווח יזמי. </w:t>
      </w:r>
      <w:r>
        <w:rPr>
          <w:rFonts w:ascii="Century" w:hAnsi="Century" w:cs="Miriam"/>
          <w:b/>
          <w:spacing w:val="0"/>
          <w:szCs w:val="24"/>
          <w:rtl/>
        </w:rPr>
        <w:lastRenderedPageBreak/>
        <w:t xml:space="preserve">אבל בעת החתימה טרם בא לאוויר העולם כל רווח יזמי. בבוא העת כאשר ימכור את הדירה העתידית </w:t>
      </w:r>
      <w:r>
        <w:rPr>
          <w:rFonts w:ascii="Century" w:hAnsi="Century"/>
          <w:rtl/>
        </w:rPr>
        <w:t>–</w:t>
      </w:r>
      <w:r>
        <w:rPr>
          <w:rFonts w:ascii="Century" w:hAnsi="Century" w:cs="Miriam"/>
          <w:b/>
          <w:spacing w:val="0"/>
          <w:szCs w:val="24"/>
          <w:rtl/>
        </w:rPr>
        <w:t xml:space="preserve"> הוא ישלם מס שבח גם בגין רווח זה" </w:t>
      </w:r>
      <w:r>
        <w:rPr>
          <w:rFonts w:ascii="Century" w:hAnsi="Century"/>
          <w:rtl/>
        </w:rPr>
        <w:t>(ההדגשות במקור – נ' ס').</w:t>
      </w:r>
    </w:p>
    <w:p w14:paraId="711F254A" w14:textId="77777777" w:rsidR="00593A8B" w:rsidRDefault="00593A8B" w:rsidP="000035F9">
      <w:pPr>
        <w:pStyle w:val="Ruller4"/>
        <w:numPr>
          <w:ilvl w:val="0"/>
          <w:numId w:val="0"/>
        </w:numPr>
        <w:spacing w:line="240" w:lineRule="auto"/>
      </w:pPr>
    </w:p>
    <w:p w14:paraId="52E68011" w14:textId="77777777" w:rsidR="00593A8B" w:rsidRDefault="00593A8B" w:rsidP="00593A8B">
      <w:pPr>
        <w:pStyle w:val="Ruller4"/>
        <w:numPr>
          <w:ilvl w:val="0"/>
          <w:numId w:val="18"/>
        </w:numPr>
        <w:tabs>
          <w:tab w:val="num" w:pos="907"/>
        </w:tabs>
        <w:ind w:left="0"/>
        <w:textAlignment w:val="auto"/>
      </w:pPr>
      <w:r>
        <w:rPr>
          <w:rtl/>
        </w:rPr>
        <w:t xml:space="preserve">המשיב הגיש חוות-דעת נגדית מטעמו, שאותה ערך רו"ח אילן </w:t>
      </w:r>
      <w:proofErr w:type="spellStart"/>
      <w:r>
        <w:rPr>
          <w:rtl/>
        </w:rPr>
        <w:t>בוחניק</w:t>
      </w:r>
      <w:proofErr w:type="spellEnd"/>
      <w:r>
        <w:rPr>
          <w:rtl/>
        </w:rPr>
        <w:t xml:space="preserve"> </w:t>
      </w:r>
      <w:proofErr w:type="spellStart"/>
      <w:r>
        <w:rPr>
          <w:rtl/>
        </w:rPr>
        <w:t>גלבורד</w:t>
      </w:r>
      <w:proofErr w:type="spellEnd"/>
      <w:r>
        <w:rPr>
          <w:rtl/>
        </w:rPr>
        <w:t xml:space="preserve"> (להלן: </w:t>
      </w:r>
      <w:proofErr w:type="spellStart"/>
      <w:r>
        <w:rPr>
          <w:rFonts w:ascii="Century" w:hAnsi="Century" w:cs="Miriam"/>
          <w:b/>
          <w:spacing w:val="0"/>
          <w:sz w:val="22"/>
          <w:szCs w:val="24"/>
          <w:rtl/>
        </w:rPr>
        <w:t>חוו"ד</w:t>
      </w:r>
      <w:proofErr w:type="spellEnd"/>
      <w:r>
        <w:rPr>
          <w:rFonts w:ascii="Century" w:hAnsi="Century" w:cs="Miriam"/>
          <w:b/>
          <w:spacing w:val="0"/>
          <w:sz w:val="22"/>
          <w:szCs w:val="24"/>
          <w:rtl/>
        </w:rPr>
        <w:t xml:space="preserve"> </w:t>
      </w:r>
      <w:proofErr w:type="spellStart"/>
      <w:r>
        <w:rPr>
          <w:rFonts w:ascii="Century" w:hAnsi="Century" w:cs="Miriam"/>
          <w:b/>
          <w:spacing w:val="0"/>
          <w:sz w:val="22"/>
          <w:szCs w:val="24"/>
          <w:rtl/>
        </w:rPr>
        <w:t>בוחניק</w:t>
      </w:r>
      <w:proofErr w:type="spellEnd"/>
      <w:r>
        <w:rPr>
          <w:rtl/>
        </w:rPr>
        <w:t xml:space="preserve">), ובמסגרתה הוצגו ארבע חלופות שונות לחישוב שווי העסקה. החלופות לא נבדלו זו מזו באופן משמעותי במישור התוצאה, כך שבסופו של דבר הוערך שווי העסקה בסך של 5,500,000 ₪. בהתייחס להערתו דלעיל של השמאי סיון, הדגיש </w:t>
      </w:r>
      <w:proofErr w:type="spellStart"/>
      <w:r>
        <w:rPr>
          <w:rtl/>
        </w:rPr>
        <w:t>בוחניק</w:t>
      </w:r>
      <w:proofErr w:type="spellEnd"/>
      <w:r>
        <w:rPr>
          <w:rtl/>
        </w:rPr>
        <w:t xml:space="preserve"> את הדברים הבאים:</w:t>
      </w:r>
    </w:p>
    <w:p w14:paraId="6FCBF380" w14:textId="77777777" w:rsidR="00593A8B" w:rsidRDefault="00593A8B" w:rsidP="000035F9">
      <w:pPr>
        <w:pStyle w:val="Ruller41"/>
        <w:spacing w:line="240" w:lineRule="auto"/>
        <w:rPr>
          <w:rtl/>
        </w:rPr>
      </w:pPr>
    </w:p>
    <w:p w14:paraId="7E4961D8" w14:textId="77777777" w:rsidR="00593A8B" w:rsidRDefault="00593A8B" w:rsidP="00593A8B">
      <w:pPr>
        <w:pStyle w:val="Ruller5"/>
        <w:spacing w:line="360" w:lineRule="auto"/>
        <w:rPr>
          <w:rFonts w:ascii="Century" w:hAnsi="Century" w:cs="Miriam"/>
          <w:b/>
          <w:spacing w:val="0"/>
          <w:szCs w:val="24"/>
        </w:rPr>
      </w:pPr>
      <w:r>
        <w:rPr>
          <w:rFonts w:ascii="Century" w:hAnsi="Century" w:cs="Miriam"/>
          <w:b/>
          <w:spacing w:val="0"/>
          <w:szCs w:val="24"/>
          <w:rtl/>
        </w:rPr>
        <w:t xml:space="preserve">"התחשיבים שערכתי [...], המעריכים את עלות הבניה ליזם, כוללים את </w:t>
      </w:r>
      <w:r>
        <w:rPr>
          <w:rFonts w:ascii="Century" w:hAnsi="Century" w:cs="Miriam"/>
          <w:b/>
          <w:spacing w:val="0"/>
          <w:szCs w:val="24"/>
          <w:u w:val="single"/>
          <w:rtl/>
        </w:rPr>
        <w:t>הרווח היזמי אותו אמור לגבות היזם מהבעלים עבור עבודתו</w:t>
      </w:r>
      <w:r>
        <w:rPr>
          <w:rFonts w:ascii="Century" w:hAnsi="Century" w:cs="Miriam"/>
          <w:b/>
          <w:spacing w:val="0"/>
          <w:szCs w:val="24"/>
          <w:rtl/>
        </w:rPr>
        <w:t>. יש לשים לב שהוספתי את הרווח היזמי רק לשירותי הבנייה ולא לקרקע [...]. שיעור הרווח היזמי במשק נע סביב ה-15% מעלויות הבניה. ולכן, לתחשיבים יש להוסיף את הרווח היזמי לתמורה אותה מקבל הבעלים"</w:t>
      </w:r>
      <w:r>
        <w:rPr>
          <w:rFonts w:ascii="Garamond" w:hAnsi="Garamond"/>
          <w:sz w:val="24"/>
          <w:rtl/>
        </w:rPr>
        <w:t xml:space="preserve"> </w:t>
      </w:r>
      <w:r>
        <w:rPr>
          <w:rFonts w:ascii="Century" w:hAnsi="Century"/>
          <w:rtl/>
        </w:rPr>
        <w:t>(ההדגשה אינה במקור – נ' ס').</w:t>
      </w:r>
    </w:p>
    <w:p w14:paraId="603B8E7B" w14:textId="77777777" w:rsidR="00593A8B" w:rsidRDefault="00593A8B" w:rsidP="00593A8B">
      <w:pPr>
        <w:pStyle w:val="Ruller4"/>
        <w:numPr>
          <w:ilvl w:val="0"/>
          <w:numId w:val="0"/>
        </w:numPr>
        <w:rPr>
          <w:rtl/>
        </w:rPr>
      </w:pPr>
    </w:p>
    <w:p w14:paraId="67D5FDFE" w14:textId="12289819" w:rsidR="00593A8B" w:rsidRDefault="00593A8B" w:rsidP="00593A8B">
      <w:pPr>
        <w:pStyle w:val="Ruller4"/>
        <w:numPr>
          <w:ilvl w:val="0"/>
          <w:numId w:val="18"/>
        </w:numPr>
        <w:tabs>
          <w:tab w:val="num" w:pos="907"/>
        </w:tabs>
        <w:ind w:left="0"/>
        <w:textAlignment w:val="auto"/>
      </w:pPr>
      <w:r>
        <w:rPr>
          <w:rtl/>
        </w:rPr>
        <w:t xml:space="preserve"> חוות-הדעת השמאיות – נבחנו, טענות הצדדים – נשקלו; לבסוף הגיעה הוועדה לכלל מסקנה כי יש להעדיף את </w:t>
      </w:r>
      <w:proofErr w:type="spellStart"/>
      <w:r>
        <w:rPr>
          <w:rtl/>
        </w:rPr>
        <w:t>חוו"ד</w:t>
      </w:r>
      <w:proofErr w:type="spellEnd"/>
      <w:r>
        <w:rPr>
          <w:rtl/>
        </w:rPr>
        <w:t xml:space="preserve"> </w:t>
      </w:r>
      <w:proofErr w:type="spellStart"/>
      <w:r>
        <w:rPr>
          <w:rtl/>
        </w:rPr>
        <w:t>בוחניק</w:t>
      </w:r>
      <w:proofErr w:type="spellEnd"/>
      <w:r>
        <w:rPr>
          <w:rtl/>
        </w:rPr>
        <w:t xml:space="preserve">, לרבות קביעתו בדבר חישוב תוספת של 15% בגין 'רווח יזמי'. הוועדה עמדה על כך שהערכת שווי המכירה לפי שווי שירותי הבניה שצפויים להינתן </w:t>
      </w:r>
      <w:r>
        <w:rPr>
          <w:rFonts w:ascii="Century" w:hAnsi="Century" w:cs="Miriam"/>
          <w:b/>
          <w:spacing w:val="0"/>
          <w:sz w:val="22"/>
          <w:szCs w:val="24"/>
          <w:rtl/>
        </w:rPr>
        <w:t>"מעוררת קשיים לא מבוטלים"</w:t>
      </w:r>
      <w:r>
        <w:rPr>
          <w:rtl/>
        </w:rPr>
        <w:t xml:space="preserve">, וכי ישנן גישות שונות בנוגע לרכיבים שצריכים להילקח בחשבון במסגרת החישוב. בכלל זה הובהר, כי בעוד שאין מחלוקת על כך שיש להביא בחשבון תוספת בגין </w:t>
      </w:r>
      <w:r>
        <w:rPr>
          <w:rFonts w:ascii="Century" w:hAnsi="Century" w:cs="Miriam"/>
          <w:b/>
          <w:spacing w:val="0"/>
          <w:sz w:val="22"/>
          <w:szCs w:val="24"/>
          <w:rtl/>
        </w:rPr>
        <w:t>"רווח קבלני מקובל"</w:t>
      </w:r>
      <w:r>
        <w:rPr>
          <w:rtl/>
        </w:rPr>
        <w:t xml:space="preserve">, הרי </w:t>
      </w:r>
      <w:proofErr w:type="spellStart"/>
      <w:r>
        <w:rPr>
          <w:rtl/>
        </w:rPr>
        <w:t>שבאשר</w:t>
      </w:r>
      <w:proofErr w:type="spellEnd"/>
      <w:r>
        <w:rPr>
          <w:rtl/>
        </w:rPr>
        <w:t xml:space="preserve"> לרכיב של </w:t>
      </w:r>
      <w:r>
        <w:rPr>
          <w:rFonts w:ascii="Century" w:hAnsi="Century" w:cs="Miriam"/>
          <w:b/>
          <w:spacing w:val="0"/>
          <w:sz w:val="22"/>
          <w:szCs w:val="24"/>
          <w:rtl/>
        </w:rPr>
        <w:t>"רווח יזמי"</w:t>
      </w:r>
      <w:r>
        <w:rPr>
          <w:rtl/>
        </w:rPr>
        <w:t xml:space="preserve"> – הדעות חלוקות. עם זאת, אף בהינתן שהדבר שנוי במחלוקת, קבעה הוועדה כי אכן היה מקום לחשב גם את הרווח היזמי של החברה. שכן, </w:t>
      </w:r>
      <w:r>
        <w:rPr>
          <w:rFonts w:ascii="Century" w:hAnsi="Century" w:cs="Miriam"/>
          <w:b/>
          <w:spacing w:val="0"/>
          <w:sz w:val="22"/>
          <w:szCs w:val="24"/>
          <w:rtl/>
        </w:rPr>
        <w:t xml:space="preserve">"אלמלא עסקת הקומבינציה היה עליו </w:t>
      </w:r>
      <w:r>
        <w:rPr>
          <w:rFonts w:ascii="Century" w:hAnsi="Century"/>
          <w:sz w:val="22"/>
          <w:rtl/>
        </w:rPr>
        <w:t>(</w:t>
      </w:r>
      <w:proofErr w:type="spellStart"/>
      <w:r>
        <w:rPr>
          <w:rFonts w:ascii="Century" w:hAnsi="Century"/>
          <w:sz w:val="22"/>
          <w:rtl/>
        </w:rPr>
        <w:t>יקותיאלי</w:t>
      </w:r>
      <w:proofErr w:type="spellEnd"/>
      <w:r>
        <w:rPr>
          <w:rFonts w:ascii="Century" w:hAnsi="Century"/>
          <w:sz w:val="22"/>
          <w:rtl/>
        </w:rPr>
        <w:t xml:space="preserve"> – נ' ס')</w:t>
      </w:r>
      <w:r>
        <w:rPr>
          <w:rFonts w:ascii="Century" w:hAnsi="Century" w:cs="Miriam"/>
          <w:b/>
          <w:spacing w:val="0"/>
          <w:sz w:val="22"/>
          <w:szCs w:val="24"/>
          <w:rtl/>
        </w:rPr>
        <w:t xml:space="preserve"> לרכוש שירותי בנייה מקבלן אחר שהיה נהנה גם מהרווח הצפוי, בשל ביצוע עבודות הבנייה, </w:t>
      </w:r>
      <w:r>
        <w:rPr>
          <w:rFonts w:ascii="Century" w:hAnsi="Century" w:cs="Miriam"/>
          <w:b/>
          <w:spacing w:val="0"/>
          <w:sz w:val="22"/>
          <w:szCs w:val="24"/>
          <w:u w:val="single"/>
          <w:rtl/>
        </w:rPr>
        <w:t>לרבות מהרווח היזמי של הפרויקט כולו</w:t>
      </w:r>
      <w:r>
        <w:rPr>
          <w:rFonts w:ascii="Century" w:hAnsi="Century" w:cs="Miriam"/>
          <w:b/>
          <w:spacing w:val="0"/>
          <w:sz w:val="22"/>
          <w:szCs w:val="24"/>
          <w:rtl/>
        </w:rPr>
        <w:t>, או לחלופין להוציא את כל ההוצאות ולהשקיע בעצמו את הזמן והמשאבים הנדרשים מיזם של פרויקט בנייה כפי שבונה חברת הבנייה"</w:t>
      </w:r>
      <w:r>
        <w:rPr>
          <w:rtl/>
        </w:rPr>
        <w:t xml:space="preserve"> </w:t>
      </w:r>
      <w:r>
        <w:rPr>
          <w:rFonts w:ascii="Century" w:hAnsi="Century"/>
          <w:rtl/>
        </w:rPr>
        <w:t>(ההדגשה אינה במקור – נ' ס')</w:t>
      </w:r>
      <w:r>
        <w:rPr>
          <w:rtl/>
        </w:rPr>
        <w:t xml:space="preserve">. אשר על כן, קבעה הוועדה כי שווי המכירה, לצרכי מס שבח ורכישה, עומד על סך של 5,500,000 ₪, כאמור </w:t>
      </w:r>
      <w:proofErr w:type="spellStart"/>
      <w:r>
        <w:rPr>
          <w:rtl/>
        </w:rPr>
        <w:t>בחוו"ד</w:t>
      </w:r>
      <w:proofErr w:type="spellEnd"/>
      <w:r>
        <w:rPr>
          <w:rtl/>
        </w:rPr>
        <w:t xml:space="preserve"> </w:t>
      </w:r>
      <w:proofErr w:type="spellStart"/>
      <w:r>
        <w:rPr>
          <w:rtl/>
        </w:rPr>
        <w:t>בוחניק</w:t>
      </w:r>
      <w:proofErr w:type="spellEnd"/>
      <w:r>
        <w:rPr>
          <w:rtl/>
        </w:rPr>
        <w:t>.</w:t>
      </w:r>
    </w:p>
    <w:p w14:paraId="177DD60A" w14:textId="77777777" w:rsidR="00593A8B" w:rsidRDefault="00593A8B" w:rsidP="000035F9">
      <w:pPr>
        <w:pStyle w:val="Ruller4"/>
        <w:numPr>
          <w:ilvl w:val="0"/>
          <w:numId w:val="0"/>
        </w:numPr>
        <w:spacing w:line="240" w:lineRule="auto"/>
        <w:rPr>
          <w:rtl/>
        </w:rPr>
      </w:pPr>
    </w:p>
    <w:p w14:paraId="5188EC2A" w14:textId="77777777" w:rsidR="00593A8B" w:rsidRDefault="00593A8B" w:rsidP="000035F9">
      <w:pPr>
        <w:pStyle w:val="Ruller4"/>
        <w:numPr>
          <w:ilvl w:val="0"/>
          <w:numId w:val="0"/>
        </w:numPr>
        <w:rPr>
          <w:rFonts w:ascii="Century" w:hAnsi="Century" w:cs="Miriam"/>
          <w:b/>
          <w:spacing w:val="0"/>
          <w:sz w:val="22"/>
          <w:szCs w:val="24"/>
          <w:rtl/>
        </w:rPr>
      </w:pPr>
      <w:r>
        <w:rPr>
          <w:rFonts w:ascii="Century" w:hAnsi="Century" w:cs="Miriam"/>
          <w:b/>
          <w:spacing w:val="0"/>
          <w:sz w:val="22"/>
          <w:szCs w:val="24"/>
          <w:rtl/>
        </w:rPr>
        <w:t>טענות הצדדים</w:t>
      </w:r>
    </w:p>
    <w:p w14:paraId="0CD8D962" w14:textId="3A5FB93F" w:rsidR="00593A8B" w:rsidRDefault="00593A8B" w:rsidP="00593A8B">
      <w:pPr>
        <w:pStyle w:val="Ruller4"/>
        <w:numPr>
          <w:ilvl w:val="0"/>
          <w:numId w:val="18"/>
        </w:numPr>
        <w:tabs>
          <w:tab w:val="num" w:pos="907"/>
        </w:tabs>
        <w:ind w:left="0"/>
        <w:textAlignment w:val="auto"/>
        <w:rPr>
          <w:rtl/>
        </w:rPr>
      </w:pPr>
      <w:r>
        <w:rPr>
          <w:rtl/>
        </w:rPr>
        <w:tab/>
        <w:t xml:space="preserve">מכאן הערעור שלפנינו. המערערים סבורים, שאין לכלול רכיב של 'רווח יזמי' בהערכת שווי המכירה. לתמיכה בטענתם, הם מפנים להוראת ביצוע מס שבח 23/98 </w:t>
      </w:r>
      <w:r>
        <w:rPr>
          <w:rtl/>
        </w:rPr>
        <w:lastRenderedPageBreak/>
        <w:t xml:space="preserve">"שווי מכירה </w:t>
      </w:r>
      <w:proofErr w:type="spellStart"/>
      <w:r>
        <w:rPr>
          <w:rtl/>
        </w:rPr>
        <w:t>בעיסקת</w:t>
      </w:r>
      <w:proofErr w:type="spellEnd"/>
      <w:r>
        <w:rPr>
          <w:rtl/>
        </w:rPr>
        <w:t xml:space="preserve"> אחוזים" </w:t>
      </w:r>
      <w:r>
        <w:rPr>
          <w:rFonts w:ascii="Century" w:hAnsi="Century" w:cs="Miriam"/>
          <w:b/>
          <w:spacing w:val="0"/>
          <w:sz w:val="22"/>
          <w:szCs w:val="24"/>
          <w:rtl/>
        </w:rPr>
        <w:t>מיסים</w:t>
      </w:r>
      <w:r>
        <w:rPr>
          <w:rtl/>
        </w:rPr>
        <w:t xml:space="preserve"> </w:t>
      </w:r>
      <w:proofErr w:type="spellStart"/>
      <w:r>
        <w:rPr>
          <w:rtl/>
        </w:rPr>
        <w:t>יב</w:t>
      </w:r>
      <w:proofErr w:type="spellEnd"/>
      <w:r>
        <w:rPr>
          <w:rtl/>
        </w:rPr>
        <w:t xml:space="preserve">(6) ג-83 (1.11.1998) (להלן: </w:t>
      </w:r>
      <w:r>
        <w:rPr>
          <w:rFonts w:ascii="Century" w:hAnsi="Century" w:cs="Miriam"/>
          <w:b/>
          <w:spacing w:val="0"/>
          <w:sz w:val="22"/>
          <w:szCs w:val="24"/>
          <w:rtl/>
        </w:rPr>
        <w:t>הוראת ביצוע 23/98</w:t>
      </w:r>
      <w:r>
        <w:rPr>
          <w:rtl/>
        </w:rPr>
        <w:t xml:space="preserve">), אשר מטרתה </w:t>
      </w:r>
      <w:r>
        <w:rPr>
          <w:rFonts w:ascii="Century" w:hAnsi="Century" w:cs="Miriam"/>
          <w:b/>
          <w:spacing w:val="0"/>
          <w:sz w:val="22"/>
          <w:szCs w:val="24"/>
          <w:rtl/>
        </w:rPr>
        <w:t xml:space="preserve">"להנחות ולקבוע כללים באשר לקביעת השווי </w:t>
      </w:r>
      <w:proofErr w:type="spellStart"/>
      <w:r>
        <w:rPr>
          <w:rFonts w:ascii="Century" w:hAnsi="Century" w:cs="Miriam"/>
          <w:b/>
          <w:spacing w:val="0"/>
          <w:sz w:val="22"/>
          <w:szCs w:val="24"/>
          <w:rtl/>
        </w:rPr>
        <w:t>בעיסקת</w:t>
      </w:r>
      <w:proofErr w:type="spellEnd"/>
      <w:r>
        <w:rPr>
          <w:rFonts w:ascii="Century" w:hAnsi="Century" w:cs="Miriam"/>
          <w:b/>
          <w:spacing w:val="0"/>
          <w:sz w:val="22"/>
          <w:szCs w:val="24"/>
          <w:rtl/>
        </w:rPr>
        <w:t xml:space="preserve"> אחוזים (קומבינציה)"</w:t>
      </w:r>
      <w:r>
        <w:rPr>
          <w:rtl/>
        </w:rPr>
        <w:t xml:space="preserve">. על-פי הוראה זו, יש להוסיף על ערך עלויות הבניה רכיב של </w:t>
      </w:r>
      <w:r>
        <w:rPr>
          <w:rFonts w:ascii="Century" w:hAnsi="Century" w:cs="Miriam"/>
          <w:b/>
          <w:spacing w:val="0"/>
          <w:sz w:val="22"/>
          <w:szCs w:val="24"/>
          <w:rtl/>
        </w:rPr>
        <w:t>"רווח קבלני סביר"</w:t>
      </w:r>
      <w:r>
        <w:rPr>
          <w:rtl/>
        </w:rPr>
        <w:t xml:space="preserve"> בלבד. לדידם, 'יזם', בהקשר המסחרי, הוא מי שפועל לקידום העסק, תוך שהוא נוטל על עצמו את הסיכון הכלכלי הכרוך בכך. לעומת זאת, 'קבלן' הוא מי שנשכר לשם ביצוע עבודות בניה גרידא, לאחר שאושרו התכניות וניתנו האישורים הדרושים לשם כך. האחרון לא נוטל סיכון, ואינו מצפה לגרוף רווח מהצלחת הפרויקט. על יסוד הבחנה זו, טוענים המערערים, כי אין מקום להטיל מס בגין רכיב הרווח שעתיד המיזם להניב ממכירת הדירות החדשות שיבּנו. במעמד חתימת הסכם הקומבינציה, כך נטען, רווח זה עדיין לא בא לעולם; איננו ודאי, ולא ניתן לדעת אם בוא יבוא. רכיב זה יש למסות אפוא בהמשך, </w:t>
      </w:r>
      <w:proofErr w:type="spellStart"/>
      <w:r>
        <w:rPr>
          <w:rtl/>
        </w:rPr>
        <w:t>לכשתמכרנה</w:t>
      </w:r>
      <w:proofErr w:type="spellEnd"/>
      <w:r>
        <w:rPr>
          <w:rtl/>
        </w:rPr>
        <w:t xml:space="preserve"> הדירות לצדדים שלישיים.</w:t>
      </w:r>
    </w:p>
    <w:p w14:paraId="76183B12" w14:textId="77777777" w:rsidR="00593A8B" w:rsidRDefault="00593A8B" w:rsidP="000035F9">
      <w:pPr>
        <w:pStyle w:val="Ruller41"/>
        <w:rPr>
          <w:rtl/>
        </w:rPr>
      </w:pPr>
    </w:p>
    <w:p w14:paraId="1A9F23C4" w14:textId="77777777" w:rsidR="00593A8B" w:rsidRDefault="00593A8B" w:rsidP="00593A8B">
      <w:pPr>
        <w:pStyle w:val="Ruller4"/>
        <w:numPr>
          <w:ilvl w:val="0"/>
          <w:numId w:val="18"/>
        </w:numPr>
        <w:tabs>
          <w:tab w:val="num" w:pos="907"/>
        </w:tabs>
        <w:ind w:left="0"/>
        <w:textAlignment w:val="auto"/>
        <w:rPr>
          <w:rtl/>
        </w:rPr>
      </w:pPr>
      <w:r>
        <w:rPr>
          <w:rtl/>
        </w:rPr>
        <w:t xml:space="preserve">המשיב מבקש לדחות את טענות המערערים. לשיטתו, לפי הוראת ביצוע 23/98, שעליה נסמכים המערערים, אותו </w:t>
      </w:r>
      <w:r>
        <w:rPr>
          <w:rFonts w:ascii="Century" w:hAnsi="Century" w:cs="Miriam"/>
          <w:b/>
          <w:spacing w:val="0"/>
          <w:sz w:val="22"/>
          <w:szCs w:val="24"/>
          <w:rtl/>
        </w:rPr>
        <w:t>"רווח קבלני סביר"</w:t>
      </w:r>
      <w:r>
        <w:rPr>
          <w:rtl/>
        </w:rPr>
        <w:t xml:space="preserve"> נע בין 15% ל-20%. על כן, בהינתן שממילא שיעור 'הרווח היזמי' </w:t>
      </w:r>
      <w:proofErr w:type="spellStart"/>
      <w:r>
        <w:rPr>
          <w:rtl/>
        </w:rPr>
        <w:t>בחוו"ד</w:t>
      </w:r>
      <w:proofErr w:type="spellEnd"/>
      <w:r>
        <w:rPr>
          <w:rtl/>
        </w:rPr>
        <w:t xml:space="preserve"> </w:t>
      </w:r>
      <w:proofErr w:type="spellStart"/>
      <w:r>
        <w:rPr>
          <w:rtl/>
        </w:rPr>
        <w:t>בוחניק</w:t>
      </w:r>
      <w:proofErr w:type="spellEnd"/>
      <w:r>
        <w:rPr>
          <w:rtl/>
        </w:rPr>
        <w:t xml:space="preserve"> הוערך ב-15%, ובהינתן ששתיים מחלופות החישוב </w:t>
      </w:r>
      <w:proofErr w:type="spellStart"/>
      <w:r>
        <w:rPr>
          <w:rtl/>
        </w:rPr>
        <w:t>בחוו"ד</w:t>
      </w:r>
      <w:proofErr w:type="spellEnd"/>
      <w:r>
        <w:rPr>
          <w:rtl/>
        </w:rPr>
        <w:t xml:space="preserve"> </w:t>
      </w:r>
      <w:proofErr w:type="spellStart"/>
      <w:r>
        <w:rPr>
          <w:rtl/>
        </w:rPr>
        <w:t>בוחניק</w:t>
      </w:r>
      <w:proofErr w:type="spellEnd"/>
      <w:r>
        <w:rPr>
          <w:rtl/>
        </w:rPr>
        <w:t xml:space="preserve"> כלל לא נסמכו על רכיב של רווח יזמי – הלכה למעשה, הערעור על הכללת 'רווח יזמי' בהערכת שווי העסקה, הריהו תיאורטי לחלוטין.</w:t>
      </w:r>
    </w:p>
    <w:p w14:paraId="662BE45A" w14:textId="77777777" w:rsidR="00593A8B" w:rsidRDefault="00593A8B" w:rsidP="000035F9">
      <w:pPr>
        <w:pStyle w:val="Ruller4"/>
        <w:numPr>
          <w:ilvl w:val="0"/>
          <w:numId w:val="0"/>
        </w:numPr>
        <w:spacing w:line="240" w:lineRule="auto"/>
      </w:pPr>
    </w:p>
    <w:p w14:paraId="3CE43BD8" w14:textId="77777777" w:rsidR="00593A8B" w:rsidRDefault="00593A8B" w:rsidP="00593A8B">
      <w:pPr>
        <w:pStyle w:val="Ruller4"/>
        <w:numPr>
          <w:ilvl w:val="0"/>
          <w:numId w:val="0"/>
        </w:numPr>
      </w:pPr>
      <w:r>
        <w:rPr>
          <w:rtl/>
        </w:rPr>
        <w:tab/>
        <w:t xml:space="preserve">לגופו של עניין, באשר </w:t>
      </w:r>
      <w:proofErr w:type="spellStart"/>
      <w:r>
        <w:rPr>
          <w:rtl/>
        </w:rPr>
        <w:t>להאחזות</w:t>
      </w:r>
      <w:proofErr w:type="spellEnd"/>
      <w:r>
        <w:rPr>
          <w:rtl/>
        </w:rPr>
        <w:t xml:space="preserve"> המערערים בלשון הוראת ביצוע 23/98, טוען המשיב, כי השימוש במינוח 'רווח קבלני' נובע מטעמים היסטוריים, הקשורים בתקופה שבה התפרסמה ההוראה. הוסבר, כי על-פי הפרקטיקה שנהגה בעת ההיא</w:t>
      </w:r>
      <w:r>
        <w:rPr>
          <w:rFonts w:hint="cs"/>
        </w:rPr>
        <w:t xml:space="preserve"> </w:t>
      </w:r>
      <w:r>
        <w:rPr>
          <w:rtl/>
        </w:rPr>
        <w:t xml:space="preserve">– שלהי שנות ה-90 – קבלן הביצוע סיפק גם את שירותי הייזום. לעומת זאת, כיום נוהגים בעלי הקרקעות להתקשר בעסקאות קומבינציה עם יזמים, ואֵלו, בתורם נקשרים בחוזה עם קבלני-משנה לביצוע עבודות הבינוי בפרויקט. ברם, שינוי זה בפרקטיקה הנוהגת אינו משנה מאומה במישור המהותי, שכן ברי כי 'המחיר' שמבקש היזם מבעל הקרקע כולל הן את 'הרווח הקבלני' הצפוי של קבלן המשנה, הן את 'הרווח היזמי' של היזם-עצמו. תימוכין לטענתו-זו, מוצא המשיב גם בהלכה הפסוקה </w:t>
      </w:r>
      <w:proofErr w:type="spellStart"/>
      <w:r>
        <w:rPr>
          <w:rtl/>
        </w:rPr>
        <w:t>שנשתרשה</w:t>
      </w:r>
      <w:proofErr w:type="spellEnd"/>
      <w:r>
        <w:rPr>
          <w:rtl/>
        </w:rPr>
        <w:t xml:space="preserve"> לאחר פסק הדין בע"א 487/77 </w:t>
      </w:r>
      <w:r>
        <w:rPr>
          <w:rFonts w:ascii="Century" w:hAnsi="Century" w:cs="Miriam"/>
          <w:b/>
          <w:spacing w:val="0"/>
          <w:sz w:val="22"/>
          <w:szCs w:val="24"/>
          <w:rtl/>
        </w:rPr>
        <w:t>מנהל מס שבח מקרקעין, נתניה נ' אחים ברקאי בנין בע"מ</w:t>
      </w:r>
      <w:r>
        <w:rPr>
          <w:rtl/>
        </w:rPr>
        <w:t xml:space="preserve">, פ"ד לב(2) 121 (1978) (להלן: </w:t>
      </w:r>
      <w:r w:rsidRPr="00AB3182">
        <w:rPr>
          <w:rFonts w:ascii="Century" w:hAnsi="Century"/>
          <w:sz w:val="22"/>
          <w:rtl/>
        </w:rPr>
        <w:t>עניין</w:t>
      </w:r>
      <w:r>
        <w:rPr>
          <w:rFonts w:ascii="Century" w:hAnsi="Century" w:cs="Miriam"/>
          <w:b/>
          <w:spacing w:val="0"/>
          <w:sz w:val="22"/>
          <w:szCs w:val="24"/>
          <w:rtl/>
        </w:rPr>
        <w:t xml:space="preserve"> ברקאי</w:t>
      </w:r>
      <w:r>
        <w:rPr>
          <w:rtl/>
        </w:rPr>
        <w:t xml:space="preserve">), כאשר לדבריו </w:t>
      </w:r>
      <w:r>
        <w:rPr>
          <w:rFonts w:ascii="Century" w:hAnsi="Century" w:cs="Miriam"/>
          <w:b/>
          <w:spacing w:val="0"/>
          <w:sz w:val="22"/>
          <w:szCs w:val="24"/>
          <w:rtl/>
        </w:rPr>
        <w:t xml:space="preserve">"גם במקרים שבהם התייחסה הפסיקה להכללתו של רווח קבלני, מהנמקתהּ עולה כי כוונתהּ הייתה לרווח הטמון במכירתה של יחידה בנויה גמורה בשוק </w:t>
      </w:r>
      <w:r>
        <w:rPr>
          <w:rFonts w:ascii="Century" w:hAnsi="Century"/>
          <w:sz w:val="22"/>
          <w:rtl/>
        </w:rPr>
        <w:t>–</w:t>
      </w:r>
      <w:r>
        <w:rPr>
          <w:rFonts w:ascii="Century" w:hAnsi="Century" w:cs="Miriam"/>
          <w:b/>
          <w:spacing w:val="0"/>
          <w:sz w:val="22"/>
          <w:szCs w:val="24"/>
          <w:rtl/>
        </w:rPr>
        <w:t xml:space="preserve"> הכולל מיניה וביה רווח יזמי"</w:t>
      </w:r>
      <w:r>
        <w:rPr>
          <w:rtl/>
        </w:rPr>
        <w:t xml:space="preserve">. ממילא, תוספת משמעותית של אחוז רווח בגין </w:t>
      </w:r>
      <w:r>
        <w:rPr>
          <w:rFonts w:ascii="Century" w:hAnsi="Century" w:cs="Miriam"/>
          <w:b/>
          <w:spacing w:val="0"/>
          <w:sz w:val="22"/>
          <w:szCs w:val="24"/>
          <w:rtl/>
        </w:rPr>
        <w:t>"רווח קבלני"</w:t>
      </w:r>
      <w:r>
        <w:rPr>
          <w:rtl/>
        </w:rPr>
        <w:t xml:space="preserve">, כאמור בהוראת ביצוע 23/98 – ידועה ומוכרת, וברי שאיננה משקפת את הרווח המקובל בקרב קבלני ביצוע. עוד נטען, כי אך מתבקש הוא שספק שירותי הבניה יצפה לגרוף רווח </w:t>
      </w:r>
      <w:r>
        <w:rPr>
          <w:rFonts w:ascii="Century" w:hAnsi="Century" w:cs="Miriam"/>
          <w:b/>
          <w:spacing w:val="0"/>
          <w:sz w:val="22"/>
          <w:szCs w:val="24"/>
          <w:rtl/>
        </w:rPr>
        <w:t xml:space="preserve">"בגין שירותי הייזום" </w:t>
      </w:r>
      <w:r>
        <w:rPr>
          <w:rFonts w:ascii="Century" w:hAnsi="Century"/>
          <w:sz w:val="22"/>
          <w:rtl/>
        </w:rPr>
        <w:t>שהוא מספק לבעל הקרקע</w:t>
      </w:r>
      <w:r>
        <w:rPr>
          <w:rtl/>
        </w:rPr>
        <w:t xml:space="preserve">; דוגמת טיפול בפיתוח </w:t>
      </w:r>
      <w:r>
        <w:rPr>
          <w:rtl/>
        </w:rPr>
        <w:lastRenderedPageBreak/>
        <w:t xml:space="preserve">המגרש, בתכנון המיזם, בקבלת היתרי בניה, וכיוצא בדברים הללו. בעניין הזה הודגש, כי תוספת הרווח היזמי אינה מוטלת </w:t>
      </w:r>
      <w:r>
        <w:rPr>
          <w:rFonts w:ascii="Century" w:hAnsi="Century" w:cs="Miriam"/>
          <w:b/>
          <w:spacing w:val="0"/>
          <w:sz w:val="22"/>
          <w:szCs w:val="24"/>
          <w:rtl/>
        </w:rPr>
        <w:t>"על מרכיב הקרקע"</w:t>
      </w:r>
      <w:r>
        <w:rPr>
          <w:rtl/>
        </w:rPr>
        <w:t xml:space="preserve">, באשר </w:t>
      </w:r>
      <w:r>
        <w:rPr>
          <w:rFonts w:ascii="Century" w:hAnsi="Century" w:cs="Miriam"/>
          <w:b/>
          <w:spacing w:val="0"/>
          <w:sz w:val="22"/>
          <w:szCs w:val="24"/>
          <w:rtl/>
        </w:rPr>
        <w:t>"שירותי הבנייה ניתנים על קרקע של בעל הקרקע, כך שהוא אינו מקבל מהיזם שירותי ייזום בגין מרכיב זה"</w:t>
      </w:r>
      <w:r>
        <w:rPr>
          <w:rtl/>
        </w:rPr>
        <w:t>.</w:t>
      </w:r>
    </w:p>
    <w:p w14:paraId="1AD89D92" w14:textId="77777777" w:rsidR="00593A8B" w:rsidRDefault="00593A8B" w:rsidP="000035F9">
      <w:pPr>
        <w:pStyle w:val="Ruller41"/>
        <w:spacing w:line="240" w:lineRule="auto"/>
        <w:rPr>
          <w:rtl/>
        </w:rPr>
      </w:pPr>
    </w:p>
    <w:p w14:paraId="0321A430" w14:textId="77777777" w:rsidR="00593A8B" w:rsidRDefault="00593A8B" w:rsidP="00593A8B">
      <w:pPr>
        <w:pStyle w:val="Ruller41"/>
        <w:rPr>
          <w:rtl/>
        </w:rPr>
      </w:pPr>
      <w:r>
        <w:rPr>
          <w:rtl/>
        </w:rPr>
        <w:tab/>
        <w:t>על רקע הדברים הללו, גורס המשיב, כי בהינתן שהרווח של היזם מתומחר עוד בעת חתימת עסקת החליפין בין הצדדים, הרי שיש להביאו בחשבון כבר במועד הטלת מס המקרקעין בגין עסקת הקומבינציה, מבלי להמתין לשלב מכירת הדירות, לאחר שתושלם בנייתן. כך או כך, מטעים המשיב, בבוא רשויות המס להטיל מס על מכר הדירות לצדדים שלישיים, ממילא יוכלו בעל הקרקע והיזם לנכות רכיב זה; כך שכפל מס – אין כאן.</w:t>
      </w:r>
    </w:p>
    <w:p w14:paraId="3CA4771E" w14:textId="77777777" w:rsidR="00593A8B" w:rsidRDefault="00593A8B" w:rsidP="00593A8B">
      <w:pPr>
        <w:pStyle w:val="Ruller41"/>
        <w:spacing w:line="240" w:lineRule="auto"/>
        <w:rPr>
          <w:rtl/>
        </w:rPr>
      </w:pPr>
    </w:p>
    <w:p w14:paraId="0C7A7DCA" w14:textId="77777777" w:rsidR="00593A8B" w:rsidRDefault="00593A8B" w:rsidP="00593A8B">
      <w:pPr>
        <w:pStyle w:val="Ruller4"/>
        <w:numPr>
          <w:ilvl w:val="0"/>
          <w:numId w:val="18"/>
        </w:numPr>
        <w:tabs>
          <w:tab w:val="num" w:pos="907"/>
        </w:tabs>
        <w:ind w:left="0"/>
        <w:textAlignment w:val="auto"/>
        <w:rPr>
          <w:rtl/>
        </w:rPr>
      </w:pPr>
      <w:r>
        <w:rPr>
          <w:rtl/>
        </w:rPr>
        <w:t xml:space="preserve">ביום 28.12.2020 קיימנו דיון. במהלכו חזרו הצדדים על טענותיהם – </w:t>
      </w:r>
      <w:r>
        <w:rPr>
          <w:rFonts w:ascii="FrankRuehl"/>
          <w:color w:val="000000"/>
          <w:sz w:val="28"/>
          <w:rtl/>
        </w:rPr>
        <w:t>אלו בכה ואלו בכה</w:t>
      </w:r>
      <w:r>
        <w:rPr>
          <w:rtl/>
        </w:rPr>
        <w:t>. בכלל זה, טען ב"כ המערערים כי אין חולק שיש לכלול את רכיב הרווח הקבלני בעת חישוב שווי עסקת הקומבינציה, אך בצד זאת הדגיש כי הרווח שגורפים לכיסם קבלני-ביצוע עומד על אחוזים בודדים. ב"כ המשיב הסכים כי לרוב מסתכם הרווח של קבלני-הביצוע בשיעור של 2%-3% בלבד, אך עמד על טענתו כי במסגרת חישוב שווי העסקה יש לכלול גם את הרווח היזמי, שעומד על שיעור גבוה בהרבה מזה של קבלן הביצוע.</w:t>
      </w:r>
    </w:p>
    <w:p w14:paraId="5238683A" w14:textId="77777777" w:rsidR="00593A8B" w:rsidRDefault="00593A8B" w:rsidP="00593A8B">
      <w:pPr>
        <w:pStyle w:val="Ruller41"/>
        <w:rPr>
          <w:rtl/>
        </w:rPr>
      </w:pPr>
    </w:p>
    <w:p w14:paraId="59035B9A"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דיון והכרעה</w:t>
      </w:r>
    </w:p>
    <w:p w14:paraId="70DDF750" w14:textId="77777777" w:rsidR="00593A8B" w:rsidRDefault="00593A8B" w:rsidP="00593A8B">
      <w:pPr>
        <w:pStyle w:val="Ruller4"/>
        <w:numPr>
          <w:ilvl w:val="0"/>
          <w:numId w:val="18"/>
        </w:numPr>
        <w:tabs>
          <w:tab w:val="num" w:pos="907"/>
        </w:tabs>
        <w:ind w:left="0"/>
        <w:textAlignment w:val="auto"/>
        <w:rPr>
          <w:rtl/>
        </w:rPr>
      </w:pPr>
      <w:r>
        <w:rPr>
          <w:rtl/>
        </w:rPr>
        <w:t xml:space="preserve">בטרם נכּנֵס בעובי הקורה של השאלה המשפטית שלפנינו, יש לדחות את טענת המשיב כי בערעור תיאורטי עסקינן. ראשית, בניגוד לנטען על-ידו, עיון </w:t>
      </w:r>
      <w:proofErr w:type="spellStart"/>
      <w:r>
        <w:rPr>
          <w:rtl/>
        </w:rPr>
        <w:t>בחוו"ד</w:t>
      </w:r>
      <w:proofErr w:type="spellEnd"/>
      <w:r>
        <w:rPr>
          <w:rtl/>
        </w:rPr>
        <w:t xml:space="preserve"> </w:t>
      </w:r>
      <w:proofErr w:type="spellStart"/>
      <w:r>
        <w:rPr>
          <w:rtl/>
        </w:rPr>
        <w:t>בוחניק</w:t>
      </w:r>
      <w:proofErr w:type="spellEnd"/>
      <w:r>
        <w:rPr>
          <w:rtl/>
        </w:rPr>
        <w:t xml:space="preserve"> מעלה כי בשלוש – ולא בשתיים – מתוך ארבע חלופות החישוב, נכללה תוספת של 15% בגין רווח יזמי. החלופה הרביעית נסמכה על חוות-דעת של שמאי מכריע, שניתנה בעניין אחר, ואיננו יודעים אם נכלל בה רווח יזמי, אם לאו. יוצא, אם כן, שתוספת הרווח היזמי היא מאבני היסוד </w:t>
      </w:r>
      <w:proofErr w:type="spellStart"/>
      <w:r>
        <w:rPr>
          <w:rtl/>
        </w:rPr>
        <w:t>שבחוו"ד</w:t>
      </w:r>
      <w:proofErr w:type="spellEnd"/>
      <w:r>
        <w:rPr>
          <w:rtl/>
        </w:rPr>
        <w:t xml:space="preserve"> </w:t>
      </w:r>
      <w:proofErr w:type="spellStart"/>
      <w:r>
        <w:rPr>
          <w:rtl/>
        </w:rPr>
        <w:t>בוחניק</w:t>
      </w:r>
      <w:proofErr w:type="spellEnd"/>
      <w:r>
        <w:rPr>
          <w:rtl/>
        </w:rPr>
        <w:t xml:space="preserve">. ככל שימצֵא כי תוספת זו איננה כדין, הרי שחוות-דעתו לא </w:t>
      </w:r>
      <w:proofErr w:type="spellStart"/>
      <w:r>
        <w:rPr>
          <w:rtl/>
        </w:rPr>
        <w:t>תסכון</w:t>
      </w:r>
      <w:proofErr w:type="spellEnd"/>
      <w:r>
        <w:rPr>
          <w:rtl/>
        </w:rPr>
        <w:t>; למצער לא בנוסחהּ והנמקתה הנוכחיים.</w:t>
      </w:r>
    </w:p>
    <w:p w14:paraId="0E65A623" w14:textId="77777777" w:rsidR="00593A8B" w:rsidRDefault="00593A8B" w:rsidP="000035F9">
      <w:pPr>
        <w:pStyle w:val="Ruller4"/>
        <w:numPr>
          <w:ilvl w:val="0"/>
          <w:numId w:val="0"/>
        </w:numPr>
        <w:spacing w:line="240" w:lineRule="auto"/>
      </w:pPr>
    </w:p>
    <w:p w14:paraId="6CA339BF" w14:textId="77777777" w:rsidR="00593A8B" w:rsidRDefault="00593A8B" w:rsidP="00593A8B">
      <w:pPr>
        <w:pStyle w:val="Ruller4"/>
        <w:numPr>
          <w:ilvl w:val="0"/>
          <w:numId w:val="0"/>
        </w:numPr>
        <w:rPr>
          <w:rtl/>
        </w:rPr>
      </w:pPr>
      <w:r>
        <w:rPr>
          <w:rtl/>
        </w:rPr>
        <w:tab/>
        <w:t>שנית, הואיל ובדיון לפנינו שררה תמימות-דעים לגבי שיעור הרווח של קבלני הביצוע, והצדדים שניהם הסכימו כי שיעורו המקובל עומד על אחוזים בודדים, הרי שלא ניתן להסביר תוספת בשיעור של 15%, אלא אם כן זו מבוססת על קביעה עקרונית, שלפיה יש לכלול גם את מרכיב 'הרווח היזמי' בהערכת שווי העסקה. הערכה שמאית לצרכי מס צריכה שתהא לה אחיזה בדין, וכך גם לגבי הכללים המנחים אותה.</w:t>
      </w:r>
    </w:p>
    <w:p w14:paraId="4CEB3498" w14:textId="77777777" w:rsidR="00593A8B" w:rsidRDefault="00593A8B" w:rsidP="00593A8B">
      <w:pPr>
        <w:pStyle w:val="Ruller41"/>
        <w:spacing w:line="240" w:lineRule="auto"/>
        <w:rPr>
          <w:rtl/>
        </w:rPr>
      </w:pPr>
    </w:p>
    <w:p w14:paraId="764D8DBF" w14:textId="77777777" w:rsidR="00593A8B" w:rsidRDefault="00593A8B" w:rsidP="00593A8B">
      <w:pPr>
        <w:pStyle w:val="Ruller41"/>
        <w:rPr>
          <w:rtl/>
        </w:rPr>
      </w:pPr>
      <w:r>
        <w:rPr>
          <w:rtl/>
        </w:rPr>
        <w:lastRenderedPageBreak/>
        <w:tab/>
        <w:t xml:space="preserve">שלישית, וכאן מקדימים אנו מעט את המאוחר, נראה שיש ממש בטענת ב"כ המערערים, על חוסר ודאות בנוגע לאופן חישובו, טיבו ושיעורו, של רכיב 'הרווח היזמי'; הא ראיה הדברים שנכתבו בעניין זה בפסק-הדין מושא הערעור, כמו גם בפסקי דין אחרים שיצאו תחת ידי הוועדה (ראו למשל: </w:t>
      </w:r>
      <w:proofErr w:type="spellStart"/>
      <w:r>
        <w:rPr>
          <w:rtl/>
        </w:rPr>
        <w:t>ו"ע</w:t>
      </w:r>
      <w:proofErr w:type="spellEnd"/>
      <w:r>
        <w:rPr>
          <w:rtl/>
        </w:rPr>
        <w:t xml:space="preserve"> (</w:t>
      </w:r>
      <w:proofErr w:type="spellStart"/>
      <w:r>
        <w:rPr>
          <w:rtl/>
        </w:rPr>
        <w:t>מינהליים</w:t>
      </w:r>
      <w:proofErr w:type="spellEnd"/>
      <w:r>
        <w:rPr>
          <w:rtl/>
        </w:rPr>
        <w:t xml:space="preserve"> חי') 24859-01-16 </w:t>
      </w:r>
      <w:r>
        <w:rPr>
          <w:rFonts w:ascii="Century" w:hAnsi="Century" w:cs="Miriam"/>
          <w:b/>
          <w:spacing w:val="0"/>
          <w:szCs w:val="24"/>
          <w:rtl/>
        </w:rPr>
        <w:t>שוורץ נ' מיסוי מקרקעין חיפה</w:t>
      </w:r>
      <w:r>
        <w:rPr>
          <w:rtl/>
        </w:rPr>
        <w:t xml:space="preserve">, פסקה 20 (30.11.2017); </w:t>
      </w:r>
      <w:proofErr w:type="spellStart"/>
      <w:r>
        <w:rPr>
          <w:rtl/>
        </w:rPr>
        <w:t>ו"ע</w:t>
      </w:r>
      <w:proofErr w:type="spellEnd"/>
      <w:r>
        <w:rPr>
          <w:rtl/>
        </w:rPr>
        <w:t xml:space="preserve"> (</w:t>
      </w:r>
      <w:proofErr w:type="spellStart"/>
      <w:r>
        <w:rPr>
          <w:rtl/>
        </w:rPr>
        <w:t>מינהליים</w:t>
      </w:r>
      <w:proofErr w:type="spellEnd"/>
      <w:r>
        <w:rPr>
          <w:rtl/>
        </w:rPr>
        <w:t xml:space="preserve"> חי') 38114-03-15 </w:t>
      </w:r>
      <w:proofErr w:type="spellStart"/>
      <w:r>
        <w:rPr>
          <w:rFonts w:ascii="Century" w:hAnsi="Century" w:cs="Miriam"/>
          <w:b/>
          <w:spacing w:val="0"/>
          <w:szCs w:val="24"/>
          <w:rtl/>
        </w:rPr>
        <w:t>חנין</w:t>
      </w:r>
      <w:proofErr w:type="spellEnd"/>
      <w:r>
        <w:rPr>
          <w:rFonts w:ascii="Century" w:hAnsi="Century" w:cs="Miriam"/>
          <w:b/>
          <w:spacing w:val="0"/>
          <w:szCs w:val="24"/>
          <w:rtl/>
        </w:rPr>
        <w:t xml:space="preserve"> נ' מנהל מיסוי מקרקעין חיפה</w:t>
      </w:r>
      <w:r>
        <w:rPr>
          <w:rtl/>
        </w:rPr>
        <w:t>, פסקאות 28-27 (4.5.2017)).</w:t>
      </w:r>
    </w:p>
    <w:p w14:paraId="1843D31F" w14:textId="77777777" w:rsidR="00593A8B" w:rsidRDefault="00593A8B" w:rsidP="000035F9">
      <w:pPr>
        <w:pStyle w:val="Ruller41"/>
        <w:spacing w:line="240" w:lineRule="auto"/>
        <w:rPr>
          <w:rtl/>
        </w:rPr>
      </w:pPr>
    </w:p>
    <w:p w14:paraId="7D07141D" w14:textId="77777777" w:rsidR="00593A8B" w:rsidRDefault="00593A8B" w:rsidP="00593A8B">
      <w:pPr>
        <w:pStyle w:val="Ruller4"/>
        <w:numPr>
          <w:ilvl w:val="0"/>
          <w:numId w:val="18"/>
        </w:numPr>
        <w:tabs>
          <w:tab w:val="num" w:pos="907"/>
        </w:tabs>
        <w:ind w:left="0"/>
        <w:textAlignment w:val="auto"/>
        <w:rPr>
          <w:rtl/>
        </w:rPr>
      </w:pPr>
      <w:r>
        <w:rPr>
          <w:rtl/>
        </w:rPr>
        <w:t xml:space="preserve">הנה כי כן, לפנינו </w:t>
      </w:r>
      <w:r>
        <w:rPr>
          <w:rFonts w:ascii="Century" w:hAnsi="Century" w:cs="Miriam"/>
          <w:b/>
          <w:spacing w:val="0"/>
          <w:sz w:val="22"/>
          <w:szCs w:val="24"/>
          <w:rtl/>
        </w:rPr>
        <w:t>שאלה משפטית</w:t>
      </w:r>
      <w:r>
        <w:rPr>
          <w:rtl/>
        </w:rPr>
        <w:t xml:space="preserve">, הנוגעת לכללי השמאות לחישוב המס בעסקאות קומבינציה (סעיף 90 לחוק; </w:t>
      </w:r>
      <w:r>
        <w:rPr>
          <w:rFonts w:ascii="Century" w:hAnsi="Century"/>
          <w:rtl/>
        </w:rPr>
        <w:t xml:space="preserve">ע"א 5738/17 </w:t>
      </w:r>
      <w:proofErr w:type="spellStart"/>
      <w:r>
        <w:rPr>
          <w:rFonts w:ascii="Century" w:hAnsi="Century" w:cs="Miriam"/>
          <w:b/>
          <w:spacing w:val="0"/>
          <w:sz w:val="22"/>
          <w:szCs w:val="24"/>
          <w:rtl/>
        </w:rPr>
        <w:t>חנין</w:t>
      </w:r>
      <w:proofErr w:type="spellEnd"/>
      <w:r>
        <w:rPr>
          <w:rFonts w:ascii="Century" w:hAnsi="Century" w:cs="Miriam"/>
          <w:b/>
          <w:spacing w:val="0"/>
          <w:sz w:val="22"/>
          <w:szCs w:val="24"/>
          <w:rtl/>
        </w:rPr>
        <w:t xml:space="preserve"> נ' מנהל מיסוי מקרקעין חיפה</w:t>
      </w:r>
      <w:r>
        <w:rPr>
          <w:rFonts w:ascii="Century" w:hAnsi="Century"/>
          <w:rtl/>
        </w:rPr>
        <w:t>, פסקה 2 (6.12.2020)</w:t>
      </w:r>
      <w:r>
        <w:rPr>
          <w:rtl/>
        </w:rPr>
        <w:t xml:space="preserve"> (להלן: עניין </w:t>
      </w:r>
      <w:proofErr w:type="spellStart"/>
      <w:r>
        <w:rPr>
          <w:rFonts w:ascii="Century" w:hAnsi="Century" w:cs="Miriam"/>
          <w:b/>
          <w:spacing w:val="0"/>
          <w:sz w:val="22"/>
          <w:szCs w:val="24"/>
          <w:rtl/>
        </w:rPr>
        <w:t>חנין</w:t>
      </w:r>
      <w:proofErr w:type="spellEnd"/>
      <w:r>
        <w:rPr>
          <w:rtl/>
        </w:rPr>
        <w:t xml:space="preserve">); ע"א 5245/04 </w:t>
      </w:r>
      <w:r>
        <w:rPr>
          <w:rFonts w:ascii="Century" w:hAnsi="Century" w:cs="Miriam"/>
          <w:b/>
          <w:spacing w:val="0"/>
          <w:sz w:val="22"/>
          <w:szCs w:val="24"/>
          <w:rtl/>
        </w:rPr>
        <w:t xml:space="preserve">מנהל מס שבח מקרקעין באר שבע נ' </w:t>
      </w:r>
      <w:proofErr w:type="spellStart"/>
      <w:r>
        <w:rPr>
          <w:rFonts w:ascii="Century" w:hAnsi="Century" w:cs="Miriam"/>
          <w:b/>
          <w:spacing w:val="0"/>
          <w:sz w:val="22"/>
          <w:szCs w:val="24"/>
          <w:rtl/>
        </w:rPr>
        <w:t>א.ר</w:t>
      </w:r>
      <w:proofErr w:type="spellEnd"/>
      <w:r>
        <w:rPr>
          <w:rFonts w:ascii="Century" w:hAnsi="Century" w:cs="Miriam"/>
          <w:b/>
          <w:spacing w:val="0"/>
          <w:sz w:val="22"/>
          <w:szCs w:val="24"/>
          <w:rtl/>
        </w:rPr>
        <w:t>. אלירם בע"מ</w:t>
      </w:r>
      <w:r>
        <w:rPr>
          <w:rtl/>
        </w:rPr>
        <w:t xml:space="preserve">, פסקה 8 (24.10.2006) (להלן: </w:t>
      </w:r>
      <w:r w:rsidRPr="00AB3182">
        <w:rPr>
          <w:rFonts w:ascii="Century" w:hAnsi="Century"/>
          <w:sz w:val="22"/>
          <w:rtl/>
        </w:rPr>
        <w:t>עניין</w:t>
      </w:r>
      <w:r>
        <w:rPr>
          <w:rFonts w:ascii="Century" w:hAnsi="Century" w:cs="Miriam"/>
          <w:b/>
          <w:spacing w:val="0"/>
          <w:sz w:val="22"/>
          <w:szCs w:val="24"/>
          <w:rtl/>
        </w:rPr>
        <w:t xml:space="preserve"> אלירם</w:t>
      </w:r>
      <w:r>
        <w:rPr>
          <w:rtl/>
        </w:rPr>
        <w:t>)). מיניה וביה, הכרעה בה עשויה להשליך גם על האומדן השמאי בענייננו, כך שאיננה תיאורטית.</w:t>
      </w:r>
    </w:p>
    <w:p w14:paraId="139BA429" w14:textId="77777777" w:rsidR="00593A8B" w:rsidRDefault="00593A8B" w:rsidP="000035F9">
      <w:pPr>
        <w:pStyle w:val="Ruller4"/>
        <w:numPr>
          <w:ilvl w:val="0"/>
          <w:numId w:val="0"/>
        </w:numPr>
        <w:spacing w:line="240" w:lineRule="auto"/>
      </w:pPr>
    </w:p>
    <w:p w14:paraId="54F563AD" w14:textId="77777777" w:rsidR="00593A8B" w:rsidRDefault="00593A8B" w:rsidP="00593A8B">
      <w:pPr>
        <w:pStyle w:val="Ruller4"/>
        <w:numPr>
          <w:ilvl w:val="0"/>
          <w:numId w:val="18"/>
        </w:numPr>
        <w:tabs>
          <w:tab w:val="num" w:pos="907"/>
        </w:tabs>
        <w:ind w:left="0"/>
        <w:textAlignment w:val="auto"/>
      </w:pPr>
      <w:r>
        <w:rPr>
          <w:rtl/>
        </w:rPr>
        <w:t xml:space="preserve">עתה פתוחה לפנינו הדרך להכרעה במחלוקת שבין הצדדים. כפי שניווכח לקמן, המפתח לפתרון הסוגיה המונחת לפנינו, טמון בהבנת עסקת החליפין בין הצדדים </w:t>
      </w:r>
      <w:proofErr w:type="spellStart"/>
      <w:r>
        <w:rPr>
          <w:rtl/>
        </w:rPr>
        <w:t>לאשורה</w:t>
      </w:r>
      <w:proofErr w:type="spellEnd"/>
      <w:r>
        <w:rPr>
          <w:rtl/>
        </w:rPr>
        <w:t>, כפי שהיא נעשית ברגיל בעסקאות קומבינציה המבוצעת על דרך של מכר חלקי. דרך הילוכנו תהא אפוא זו: תחילה נזכיר מושכלות יסוד במיסוי מקרקעין של עסקאות קומבינציה בכלל, ועסקאות קומבינציה בדרך של מכר חלקי בפרט; לאחר מכן נחדד ונבהיר מהו אותו 'רווח יזמי' שבו אנו מדברים; ולבסוף נידרֵש לשאלה האם יש לכללו במסגרת חישוב שווי העסקה בין הצדדים. נדון בדברים כסדרם.</w:t>
      </w:r>
    </w:p>
    <w:p w14:paraId="64FDD92F" w14:textId="77777777" w:rsidR="00593A8B" w:rsidRDefault="00593A8B" w:rsidP="00593A8B">
      <w:pPr>
        <w:pStyle w:val="Ruller41"/>
        <w:rPr>
          <w:rtl/>
        </w:rPr>
      </w:pPr>
    </w:p>
    <w:p w14:paraId="7981CB25"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 xml:space="preserve">עסקאות קומבינציה </w:t>
      </w:r>
      <w:r w:rsidRPr="00AB3182">
        <w:rPr>
          <w:rFonts w:ascii="Century" w:hAnsi="Century"/>
          <w:rtl/>
        </w:rPr>
        <w:t>–</w:t>
      </w:r>
      <w:r>
        <w:rPr>
          <w:rFonts w:ascii="Century" w:hAnsi="Century" w:cs="Miriam"/>
          <w:b/>
          <w:spacing w:val="0"/>
          <w:szCs w:val="24"/>
          <w:rtl/>
        </w:rPr>
        <w:t xml:space="preserve"> מכר מלא ומכר חלקי</w:t>
      </w:r>
    </w:p>
    <w:p w14:paraId="035B39F0" w14:textId="77777777" w:rsidR="00593A8B" w:rsidRDefault="00593A8B" w:rsidP="00593A8B">
      <w:pPr>
        <w:pStyle w:val="Ruller4"/>
        <w:numPr>
          <w:ilvl w:val="0"/>
          <w:numId w:val="18"/>
        </w:numPr>
        <w:tabs>
          <w:tab w:val="num" w:pos="907"/>
        </w:tabs>
        <w:ind w:left="0"/>
        <w:textAlignment w:val="auto"/>
        <w:rPr>
          <w:rtl/>
        </w:rPr>
      </w:pPr>
      <w:r>
        <w:rPr>
          <w:rtl/>
        </w:rPr>
        <w:t xml:space="preserve">'עסקת קומבינציה' היא עסקה שבמסגרתה מוכר בעל הקרקע חלק מזכויותיו הקנייניות במקרקעין לקבלן, ובתמורה לכך מקבל – על-פי רוב – דירה או מספר דירות, בבניין שאותו מתעתד הקבלן להקים על-גבי המקרקעין (ע"א 1827/15 </w:t>
      </w:r>
      <w:proofErr w:type="spellStart"/>
      <w:r>
        <w:rPr>
          <w:rFonts w:ascii="Century" w:hAnsi="Century" w:cs="Miriam"/>
          <w:b/>
          <w:spacing w:val="0"/>
          <w:sz w:val="22"/>
          <w:szCs w:val="24"/>
          <w:rtl/>
        </w:rPr>
        <w:t>זיונץ</w:t>
      </w:r>
      <w:proofErr w:type="spellEnd"/>
      <w:r>
        <w:rPr>
          <w:rFonts w:ascii="Century" w:hAnsi="Century" w:cs="Miriam"/>
          <w:b/>
          <w:spacing w:val="0"/>
          <w:sz w:val="22"/>
          <w:szCs w:val="24"/>
          <w:rtl/>
        </w:rPr>
        <w:t xml:space="preserve"> נ' מנהל מיסוי מקרקעין מרכז</w:t>
      </w:r>
      <w:r>
        <w:rPr>
          <w:rtl/>
        </w:rPr>
        <w:t xml:space="preserve">, פסקה 4 (31.1.2017) (להלן: עניין </w:t>
      </w:r>
      <w:proofErr w:type="spellStart"/>
      <w:r>
        <w:rPr>
          <w:rFonts w:ascii="Century" w:hAnsi="Century" w:cs="Miriam"/>
          <w:b/>
          <w:spacing w:val="0"/>
          <w:sz w:val="22"/>
          <w:szCs w:val="24"/>
          <w:rtl/>
        </w:rPr>
        <w:t>זיונץ</w:t>
      </w:r>
      <w:proofErr w:type="spellEnd"/>
      <w:r>
        <w:rPr>
          <w:rtl/>
        </w:rPr>
        <w:t>)). עסקינן אפוא במכר של זכויות במקרקעין, אשר חייב במס שבח ורכישה (סעיפים 1, 6(א) ו-9(א) לחוק), הגם שנעשה באמצעות חליפין של נכסים ושירותים; לא בכסף עובר לסוחר.</w:t>
      </w:r>
    </w:p>
    <w:p w14:paraId="5DCA6A74" w14:textId="77777777" w:rsidR="00593A8B" w:rsidRDefault="00593A8B" w:rsidP="00593A8B">
      <w:pPr>
        <w:pStyle w:val="Ruller4"/>
        <w:numPr>
          <w:ilvl w:val="0"/>
          <w:numId w:val="0"/>
        </w:numPr>
        <w:spacing w:line="240" w:lineRule="auto"/>
        <w:rPr>
          <w:rtl/>
        </w:rPr>
      </w:pPr>
    </w:p>
    <w:p w14:paraId="3962BBCF" w14:textId="77777777" w:rsidR="00593A8B" w:rsidRDefault="00593A8B" w:rsidP="00593A8B">
      <w:pPr>
        <w:pStyle w:val="Ruller4"/>
        <w:numPr>
          <w:ilvl w:val="0"/>
          <w:numId w:val="18"/>
        </w:numPr>
        <w:tabs>
          <w:tab w:val="num" w:pos="907"/>
        </w:tabs>
        <w:ind w:left="0"/>
        <w:textAlignment w:val="auto"/>
      </w:pPr>
      <w:r>
        <w:rPr>
          <w:rtl/>
        </w:rPr>
        <w:t xml:space="preserve">עסקת קומבינציה עשויה ללבוש צורות שונות. תצורתה הפשוטה ביותר נעשית בדרך של </w:t>
      </w:r>
      <w:r>
        <w:rPr>
          <w:rFonts w:ascii="Century" w:hAnsi="Century" w:cs="Miriam"/>
          <w:b/>
          <w:spacing w:val="0"/>
          <w:sz w:val="22"/>
          <w:szCs w:val="24"/>
          <w:rtl/>
        </w:rPr>
        <w:t>'מכר מלא'</w:t>
      </w:r>
      <w:r>
        <w:rPr>
          <w:rtl/>
        </w:rPr>
        <w:t xml:space="preserve">: בעל המקרקעין מוכר לקבלן את </w:t>
      </w:r>
      <w:r>
        <w:rPr>
          <w:rFonts w:ascii="Century" w:hAnsi="Century" w:cs="Miriam"/>
          <w:b/>
          <w:spacing w:val="0"/>
          <w:sz w:val="22"/>
          <w:szCs w:val="24"/>
          <w:rtl/>
        </w:rPr>
        <w:t xml:space="preserve">מלוא הזכויות </w:t>
      </w:r>
      <w:r>
        <w:rPr>
          <w:rtl/>
        </w:rPr>
        <w:t xml:space="preserve">במקרקעיו; הקבלן מוציא אל הפועל את המיזם, ומקים את בניין הדירות; לאחר שנרשם הבניין כבית משותף, מוסר הקבלן לבעל המקרקעין דירות, שלהן צמוד חלק יחסי מהרכוש המשותף. ברם, ענייננו כאן איננו במודל זה, כי אם במודל מורכב יותר, של עסקת קומבינציה על דרך של </w:t>
      </w:r>
      <w:r>
        <w:rPr>
          <w:rFonts w:ascii="Century" w:hAnsi="Century" w:cs="Miriam"/>
          <w:b/>
          <w:spacing w:val="0"/>
          <w:sz w:val="22"/>
          <w:szCs w:val="24"/>
          <w:rtl/>
        </w:rPr>
        <w:t>'מכר חלקי'</w:t>
      </w:r>
      <w:r>
        <w:rPr>
          <w:rtl/>
        </w:rPr>
        <w:t xml:space="preserve">: כאמור, במודל ה'פשוט', בסוף מעשה מוצא עצמו בעל המקרקעין </w:t>
      </w:r>
      <w:r>
        <w:rPr>
          <w:rtl/>
        </w:rPr>
        <w:lastRenderedPageBreak/>
        <w:t xml:space="preserve">ודירות בידיו, המהוות, יחד עם חלק המקרקעין הצמוד אליהן, אחוז מסוים מסך הזכויות במקרקעין. בשלב מסוים, הבינו אפוא בעלי קרקעות, קבלנים ויזמים, כי אין צורך בשתי פעימות לביצוע העסקה. חלף זאת, ניתן לקבוע מראש, במסגרת החוזה, כי בעל המקרקעין ימכור רק חלק מזכויותיו, כאשר חלקן האחר, שיוותר בידיו, יהא שווה לשטחן היחסי של הדירות שבסופו של דבר יבנו ויוותרו בבעלותו (ע"א 3815/99 </w:t>
      </w:r>
      <w:r>
        <w:rPr>
          <w:rFonts w:ascii="Century" w:hAnsi="Century" w:cs="Miriam"/>
          <w:b/>
          <w:spacing w:val="0"/>
          <w:sz w:val="22"/>
          <w:szCs w:val="24"/>
          <w:rtl/>
        </w:rPr>
        <w:t>טובי נ' מנהל מס שבח מקרקעין</w:t>
      </w:r>
      <w:r>
        <w:rPr>
          <w:rtl/>
        </w:rPr>
        <w:t xml:space="preserve">, פ"ד </w:t>
      </w:r>
      <w:proofErr w:type="spellStart"/>
      <w:r>
        <w:rPr>
          <w:rtl/>
        </w:rPr>
        <w:t>נז</w:t>
      </w:r>
      <w:proofErr w:type="spellEnd"/>
      <w:r>
        <w:rPr>
          <w:rtl/>
        </w:rPr>
        <w:t xml:space="preserve">(6) 108, 116-115 (2003) (להלן: </w:t>
      </w:r>
      <w:r w:rsidRPr="00AB3182">
        <w:rPr>
          <w:rFonts w:ascii="Century" w:hAnsi="Century"/>
          <w:sz w:val="22"/>
          <w:rtl/>
        </w:rPr>
        <w:t>עניין</w:t>
      </w:r>
      <w:r>
        <w:rPr>
          <w:rFonts w:ascii="Century" w:hAnsi="Century" w:cs="Miriam"/>
          <w:b/>
          <w:spacing w:val="0"/>
          <w:sz w:val="22"/>
          <w:szCs w:val="24"/>
          <w:rtl/>
        </w:rPr>
        <w:t xml:space="preserve"> טובי</w:t>
      </w:r>
      <w:r>
        <w:rPr>
          <w:rtl/>
        </w:rPr>
        <w:t xml:space="preserve">); עניין </w:t>
      </w:r>
      <w:proofErr w:type="spellStart"/>
      <w:r>
        <w:rPr>
          <w:rFonts w:ascii="Century" w:hAnsi="Century" w:cs="Miriam"/>
          <w:b/>
          <w:spacing w:val="0"/>
          <w:sz w:val="22"/>
          <w:szCs w:val="24"/>
          <w:rtl/>
        </w:rPr>
        <w:t>זיונץ</w:t>
      </w:r>
      <w:proofErr w:type="spellEnd"/>
      <w:r>
        <w:rPr>
          <w:rtl/>
        </w:rPr>
        <w:t>, פסקה 4; יצחק הדרי "</w:t>
      </w:r>
      <w:proofErr w:type="spellStart"/>
      <w:r>
        <w:rPr>
          <w:rtl/>
        </w:rPr>
        <w:t>נפקויות</w:t>
      </w:r>
      <w:proofErr w:type="spellEnd"/>
      <w:r>
        <w:rPr>
          <w:rtl/>
        </w:rPr>
        <w:t xml:space="preserve"> המס של עסקת קומבינציה של מכר חלקי" </w:t>
      </w:r>
      <w:r>
        <w:rPr>
          <w:rFonts w:ascii="Century" w:hAnsi="Century" w:cs="Miriam"/>
          <w:b/>
          <w:spacing w:val="0"/>
          <w:sz w:val="22"/>
          <w:szCs w:val="24"/>
          <w:rtl/>
        </w:rPr>
        <w:t>המשפט</w:t>
      </w:r>
      <w:r>
        <w:rPr>
          <w:rtl/>
        </w:rPr>
        <w:t xml:space="preserve"> </w:t>
      </w:r>
      <w:proofErr w:type="spellStart"/>
      <w:r>
        <w:rPr>
          <w:rtl/>
        </w:rPr>
        <w:t>יב</w:t>
      </w:r>
      <w:proofErr w:type="spellEnd"/>
      <w:r>
        <w:rPr>
          <w:rtl/>
        </w:rPr>
        <w:t xml:space="preserve"> 193,   195-194 (2007)‏).</w:t>
      </w:r>
    </w:p>
    <w:p w14:paraId="1BCBBB9C" w14:textId="77777777" w:rsidR="00593A8B" w:rsidRDefault="00593A8B" w:rsidP="000035F9">
      <w:pPr>
        <w:pStyle w:val="Ruller41"/>
        <w:spacing w:line="240" w:lineRule="auto"/>
        <w:rPr>
          <w:rtl/>
        </w:rPr>
      </w:pPr>
    </w:p>
    <w:p w14:paraId="71E9071E" w14:textId="77777777" w:rsidR="00593A8B" w:rsidRDefault="00593A8B" w:rsidP="00593A8B">
      <w:pPr>
        <w:pStyle w:val="Ruller4"/>
        <w:numPr>
          <w:ilvl w:val="0"/>
          <w:numId w:val="18"/>
        </w:numPr>
        <w:tabs>
          <w:tab w:val="num" w:pos="907"/>
        </w:tabs>
        <w:ind w:left="0"/>
        <w:textAlignment w:val="auto"/>
        <w:rPr>
          <w:rtl/>
        </w:rPr>
      </w:pPr>
      <w:r>
        <w:rPr>
          <w:rtl/>
        </w:rPr>
        <w:t xml:space="preserve">כפי שניתן להיווכח, בשני סוגי העסקאות, התחנה הראשונה והתחנה הסופית – זהות המה. בתחנה הראשונה, בידי בעל מקרקעין קרקע בוסרית, לא מפותחת. בתחנה הסופית – קם וניצב לו על-גבי הקרקע בניין דירות; חלקו בבעלות בעל המקרקעין, חלקו האחר בבעלות הקבלן (עניין </w:t>
      </w:r>
      <w:r>
        <w:rPr>
          <w:rFonts w:ascii="Century" w:hAnsi="Century" w:cs="Miriam"/>
          <w:b/>
          <w:spacing w:val="0"/>
          <w:sz w:val="22"/>
          <w:szCs w:val="24"/>
          <w:rtl/>
        </w:rPr>
        <w:t>טובי</w:t>
      </w:r>
      <w:r>
        <w:rPr>
          <w:rFonts w:ascii="Century" w:hAnsi="Century"/>
          <w:sz w:val="22"/>
          <w:rtl/>
        </w:rPr>
        <w:t>, בעמוד</w:t>
      </w:r>
      <w:r>
        <w:rPr>
          <w:rFonts w:ascii="Century" w:hAnsi="Century" w:cs="Miriam"/>
          <w:b/>
          <w:spacing w:val="0"/>
          <w:sz w:val="22"/>
          <w:szCs w:val="24"/>
          <w:rtl/>
        </w:rPr>
        <w:t xml:space="preserve"> </w:t>
      </w:r>
      <w:r>
        <w:rPr>
          <w:rtl/>
        </w:rPr>
        <w:t xml:space="preserve">126). דא עקא, העסקאות נבדלות זו מזו במישור המס המוטל בגינן. טעם הדבר נעוץ בכך שהחליפין בין הצדדים נתפס באופן שונה: בעוד שבעסקה של מכר מלא מקבל בעל המקרקעין, עבור הזכויות שמכר, </w:t>
      </w:r>
      <w:r>
        <w:rPr>
          <w:rFonts w:ascii="Century" w:hAnsi="Century" w:cs="Miriam"/>
          <w:b/>
          <w:spacing w:val="0"/>
          <w:sz w:val="22"/>
          <w:szCs w:val="24"/>
          <w:rtl/>
        </w:rPr>
        <w:t>דירות בנויות</w:t>
      </w:r>
      <w:r>
        <w:rPr>
          <w:rFonts w:ascii="Century" w:hAnsi="Century"/>
          <w:sz w:val="22"/>
          <w:rtl/>
        </w:rPr>
        <w:t>,</w:t>
      </w:r>
      <w:r>
        <w:rPr>
          <w:rtl/>
        </w:rPr>
        <w:t xml:space="preserve"> </w:t>
      </w:r>
      <w:r>
        <w:rPr>
          <w:rFonts w:ascii="Century" w:hAnsi="Century" w:cs="Miriam"/>
          <w:b/>
          <w:spacing w:val="0"/>
          <w:sz w:val="22"/>
          <w:szCs w:val="24"/>
          <w:rtl/>
        </w:rPr>
        <w:t>יחד עם קרקע הצמודה אליהן</w:t>
      </w:r>
      <w:r>
        <w:rPr>
          <w:rtl/>
        </w:rPr>
        <w:t xml:space="preserve">, הרי שבעסקה של מכר חלקי מקבל בעל המקרקעין </w:t>
      </w:r>
      <w:r>
        <w:rPr>
          <w:rFonts w:ascii="Century" w:hAnsi="Century" w:cs="Miriam"/>
          <w:b/>
          <w:spacing w:val="0"/>
          <w:sz w:val="22"/>
          <w:szCs w:val="24"/>
          <w:rtl/>
        </w:rPr>
        <w:t>שירותי בניה</w:t>
      </w:r>
      <w:r>
        <w:rPr>
          <w:rtl/>
        </w:rPr>
        <w:t xml:space="preserve">, </w:t>
      </w:r>
      <w:r>
        <w:rPr>
          <w:rFonts w:ascii="Century" w:hAnsi="Century" w:cs="Miriam"/>
          <w:b/>
          <w:spacing w:val="0"/>
          <w:sz w:val="22"/>
          <w:szCs w:val="24"/>
          <w:rtl/>
        </w:rPr>
        <w:t>לפיתוח חלקו בקרקע</w:t>
      </w:r>
      <w:r>
        <w:rPr>
          <w:rtl/>
        </w:rPr>
        <w:t xml:space="preserve">, אשר היה בידיו לפני העסקה, ומוסיף לעמוד בידיו, הן במהלך הבניה, הן לאחר השלמתה (עניין </w:t>
      </w:r>
      <w:r>
        <w:rPr>
          <w:rFonts w:ascii="Century" w:hAnsi="Century" w:cs="Miriam"/>
          <w:b/>
          <w:spacing w:val="0"/>
          <w:sz w:val="22"/>
          <w:szCs w:val="24"/>
          <w:rtl/>
        </w:rPr>
        <w:t>ברקאי</w:t>
      </w:r>
      <w:r>
        <w:rPr>
          <w:rtl/>
        </w:rPr>
        <w:t xml:space="preserve">; ע"א 595/82 </w:t>
      </w:r>
      <w:r>
        <w:rPr>
          <w:rFonts w:ascii="Century" w:hAnsi="Century" w:cs="Miriam"/>
          <w:b/>
          <w:spacing w:val="0"/>
          <w:sz w:val="22"/>
          <w:szCs w:val="24"/>
          <w:rtl/>
        </w:rPr>
        <w:t xml:space="preserve">מנהל מס שבח מקרקעין נ' </w:t>
      </w:r>
      <w:proofErr w:type="spellStart"/>
      <w:r>
        <w:rPr>
          <w:rFonts w:ascii="Century" w:hAnsi="Century" w:cs="Miriam"/>
          <w:b/>
          <w:spacing w:val="0"/>
          <w:sz w:val="22"/>
          <w:szCs w:val="24"/>
          <w:rtl/>
        </w:rPr>
        <w:t>יוניזדה</w:t>
      </w:r>
      <w:proofErr w:type="spellEnd"/>
      <w:r>
        <w:rPr>
          <w:rtl/>
        </w:rPr>
        <w:t xml:space="preserve">, פסקה 4 (5.9.1985) (להלן: </w:t>
      </w:r>
      <w:r w:rsidRPr="00AB3182">
        <w:rPr>
          <w:rFonts w:ascii="Century" w:hAnsi="Century"/>
          <w:sz w:val="22"/>
          <w:rtl/>
        </w:rPr>
        <w:t>עניין</w:t>
      </w:r>
      <w:r>
        <w:rPr>
          <w:rFonts w:ascii="Century" w:hAnsi="Century" w:cs="Miriam"/>
          <w:b/>
          <w:spacing w:val="0"/>
          <w:sz w:val="22"/>
          <w:szCs w:val="24"/>
          <w:rtl/>
        </w:rPr>
        <w:t xml:space="preserve"> </w:t>
      </w:r>
      <w:proofErr w:type="spellStart"/>
      <w:r>
        <w:rPr>
          <w:rFonts w:ascii="Century" w:hAnsi="Century" w:cs="Miriam"/>
          <w:b/>
          <w:spacing w:val="0"/>
          <w:sz w:val="22"/>
          <w:szCs w:val="24"/>
          <w:rtl/>
        </w:rPr>
        <w:t>יוניזדה</w:t>
      </w:r>
      <w:proofErr w:type="spellEnd"/>
      <w:r>
        <w:rPr>
          <w:rtl/>
        </w:rPr>
        <w:t xml:space="preserve">); עניין </w:t>
      </w:r>
      <w:r>
        <w:rPr>
          <w:rFonts w:ascii="Century" w:hAnsi="Century" w:cs="Miriam"/>
          <w:b/>
          <w:spacing w:val="0"/>
          <w:sz w:val="22"/>
          <w:szCs w:val="24"/>
          <w:rtl/>
        </w:rPr>
        <w:t>טובי</w:t>
      </w:r>
      <w:r>
        <w:rPr>
          <w:rtl/>
        </w:rPr>
        <w:t xml:space="preserve">, בעמוד 125; עניין </w:t>
      </w:r>
      <w:r>
        <w:rPr>
          <w:rFonts w:ascii="Century" w:hAnsi="Century" w:cs="Miriam"/>
          <w:b/>
          <w:spacing w:val="0"/>
          <w:sz w:val="22"/>
          <w:szCs w:val="24"/>
          <w:rtl/>
        </w:rPr>
        <w:t>שדמי</w:t>
      </w:r>
      <w:r>
        <w:rPr>
          <w:rtl/>
        </w:rPr>
        <w:t>, בעמודים 790-789).</w:t>
      </w:r>
    </w:p>
    <w:p w14:paraId="13C2F3A0" w14:textId="77777777" w:rsidR="00593A8B" w:rsidRDefault="00593A8B" w:rsidP="000035F9">
      <w:pPr>
        <w:pStyle w:val="Ruller41"/>
        <w:spacing w:line="240" w:lineRule="auto"/>
        <w:rPr>
          <w:rtl/>
        </w:rPr>
      </w:pPr>
    </w:p>
    <w:p w14:paraId="3908FFFE" w14:textId="77777777" w:rsidR="00593A8B" w:rsidRDefault="00593A8B" w:rsidP="00593A8B">
      <w:pPr>
        <w:pStyle w:val="Ruller4"/>
        <w:numPr>
          <w:ilvl w:val="0"/>
          <w:numId w:val="18"/>
        </w:numPr>
        <w:tabs>
          <w:tab w:val="num" w:pos="907"/>
        </w:tabs>
        <w:ind w:left="0"/>
        <w:textAlignment w:val="auto"/>
        <w:rPr>
          <w:rtl/>
        </w:rPr>
      </w:pPr>
      <w:r>
        <w:rPr>
          <w:rtl/>
        </w:rPr>
        <w:t xml:space="preserve">ודוק: ניתן לתהות, כיצד זה שיש הבדל בנטל המס בין העסקאות. סוף-סוף, מקבל בעל המקרקעין דירות בעד חלק מזכויותיו במקרקעין; העסקה אותה עסקה. לא ניתן לשלול לחלוטין את הטענה כי עסקה של מכר חלקי נועדה לסבך את הדברים, וכל מטרתה הפחתת נטל המס באופן מלאכותי. במצב דברים זה, ישאל השואל האם לא מוטב שדינה יהא כדין עסקת מכר מלא, בהעדר שוני ממשי המבחין ביניהן, אם בפן המהותי, אם בפן הכלכלי (ע"א 214/78 </w:t>
      </w:r>
      <w:r>
        <w:rPr>
          <w:rFonts w:ascii="Century" w:hAnsi="Century" w:cs="Miriam"/>
          <w:b/>
          <w:spacing w:val="0"/>
          <w:sz w:val="22"/>
          <w:szCs w:val="24"/>
          <w:rtl/>
        </w:rPr>
        <w:t>כנעני נ' מנהל מס שבח מקרקעין חיפה</w:t>
      </w:r>
      <w:r>
        <w:rPr>
          <w:rtl/>
        </w:rPr>
        <w:t xml:space="preserve">, פ"ד לג(1) 561, 119 (1979) (להלן: </w:t>
      </w:r>
      <w:r w:rsidRPr="00AB3182">
        <w:rPr>
          <w:rFonts w:ascii="Century" w:hAnsi="Century"/>
          <w:sz w:val="22"/>
          <w:rtl/>
        </w:rPr>
        <w:t>עניין</w:t>
      </w:r>
      <w:r>
        <w:rPr>
          <w:rFonts w:ascii="Century" w:hAnsi="Century" w:cs="Miriam"/>
          <w:b/>
          <w:spacing w:val="0"/>
          <w:sz w:val="22"/>
          <w:szCs w:val="24"/>
          <w:rtl/>
        </w:rPr>
        <w:t xml:space="preserve"> כנעני</w:t>
      </w:r>
      <w:r>
        <w:rPr>
          <w:rtl/>
        </w:rPr>
        <w:t xml:space="preserve">); עניין </w:t>
      </w:r>
      <w:r>
        <w:rPr>
          <w:rFonts w:ascii="Century" w:hAnsi="Century" w:cs="Miriam"/>
          <w:b/>
          <w:spacing w:val="0"/>
          <w:sz w:val="22"/>
          <w:szCs w:val="24"/>
          <w:rtl/>
        </w:rPr>
        <w:t>טובי</w:t>
      </w:r>
      <w:r>
        <w:rPr>
          <w:rtl/>
        </w:rPr>
        <w:t xml:space="preserve">, בעמודים 127-126, 130-129; עניין </w:t>
      </w:r>
      <w:r>
        <w:rPr>
          <w:rFonts w:ascii="Century" w:hAnsi="Century" w:cs="Miriam"/>
          <w:b/>
          <w:spacing w:val="0"/>
          <w:sz w:val="22"/>
          <w:szCs w:val="24"/>
          <w:rtl/>
        </w:rPr>
        <w:t>שדמי</w:t>
      </w:r>
      <w:r>
        <w:rPr>
          <w:rtl/>
        </w:rPr>
        <w:t xml:space="preserve">, בעמודים 809-808; עניין </w:t>
      </w:r>
      <w:proofErr w:type="spellStart"/>
      <w:r>
        <w:rPr>
          <w:rFonts w:ascii="Century" w:hAnsi="Century" w:cs="Miriam"/>
          <w:b/>
          <w:spacing w:val="0"/>
          <w:sz w:val="22"/>
          <w:szCs w:val="24"/>
          <w:rtl/>
        </w:rPr>
        <w:t>יוניזדה</w:t>
      </w:r>
      <w:proofErr w:type="spellEnd"/>
      <w:r>
        <w:rPr>
          <w:rtl/>
        </w:rPr>
        <w:t xml:space="preserve">; ע"א 6722/99 </w:t>
      </w:r>
      <w:r>
        <w:rPr>
          <w:rFonts w:ascii="Century" w:hAnsi="Century" w:cs="Miriam"/>
          <w:b/>
          <w:spacing w:val="0"/>
          <w:sz w:val="22"/>
          <w:szCs w:val="24"/>
          <w:rtl/>
        </w:rPr>
        <w:t>מנהל מס ערך מוסף תל-אביב נ' משכנות כלל מגדלי הים התיכון בע"מ</w:t>
      </w:r>
      <w:r>
        <w:rPr>
          <w:rtl/>
        </w:rPr>
        <w:t xml:space="preserve">, פ"ד נח(3) 341, 347 (2004)). דא עקא, עמדה זו, על אף שהגיונה בצדה, נדחתה לפני למעלה מארבעה עשורים בעניין </w:t>
      </w:r>
      <w:r>
        <w:rPr>
          <w:rFonts w:ascii="Century" w:hAnsi="Century" w:cs="Miriam"/>
          <w:b/>
          <w:spacing w:val="0"/>
          <w:sz w:val="22"/>
          <w:szCs w:val="24"/>
          <w:rtl/>
        </w:rPr>
        <w:t>ברקאי</w:t>
      </w:r>
      <w:r>
        <w:rPr>
          <w:rtl/>
        </w:rPr>
        <w:t>, ומאז חזרה ונשנתה ההלכה, שלפיה אין מקום למסות בעל מקרקעין בגין זכויות בקרקע שלא היה בדעתו למכור – והלכה למעשה גם לא מכר:</w:t>
      </w:r>
    </w:p>
    <w:p w14:paraId="295175F6" w14:textId="77777777" w:rsidR="00593A8B" w:rsidRDefault="00593A8B" w:rsidP="000035F9">
      <w:pPr>
        <w:pStyle w:val="Ruller41"/>
        <w:spacing w:line="240" w:lineRule="auto"/>
        <w:rPr>
          <w:rtl/>
        </w:rPr>
      </w:pPr>
    </w:p>
    <w:p w14:paraId="35272B2B" w14:textId="77777777" w:rsidR="00593A8B" w:rsidRDefault="00593A8B" w:rsidP="00593A8B">
      <w:pPr>
        <w:pStyle w:val="Ruller5"/>
        <w:spacing w:line="360" w:lineRule="auto"/>
        <w:rPr>
          <w:rtl/>
        </w:rPr>
      </w:pPr>
      <w:r>
        <w:rPr>
          <w:rFonts w:ascii="Century" w:hAnsi="Century" w:cs="Miriam"/>
          <w:b/>
          <w:spacing w:val="0"/>
          <w:szCs w:val="24"/>
          <w:rtl/>
        </w:rPr>
        <w:lastRenderedPageBreak/>
        <w:t xml:space="preserve">"אילו אמרנו שהמוכר העביר את השליש </w:t>
      </w:r>
      <w:r>
        <w:rPr>
          <w:rFonts w:ascii="Century" w:hAnsi="Century"/>
          <w:rtl/>
        </w:rPr>
        <w:t xml:space="preserve">(מהמקרקעין – נ' ס') </w:t>
      </w:r>
      <w:r>
        <w:rPr>
          <w:rFonts w:ascii="Century" w:hAnsi="Century" w:cs="Miriam"/>
          <w:b/>
          <w:spacing w:val="0"/>
          <w:szCs w:val="24"/>
          <w:rtl/>
        </w:rPr>
        <w:t>על-מנת לקבלו מיד בחזרה בתור שטח צמוד לדירותיו, היינו מייחסים לצדדים כוונה לעשות עסקה חסרת טעם, עסקה שלא עשו ולא התכוונו לעשות. לכך אין הצדקה"</w:t>
      </w:r>
      <w:r>
        <w:rPr>
          <w:rtl/>
        </w:rPr>
        <w:t xml:space="preserve"> (שם, בעמוד 125).</w:t>
      </w:r>
    </w:p>
    <w:p w14:paraId="3AAFF16E" w14:textId="77777777" w:rsidR="00593A8B" w:rsidRDefault="00593A8B" w:rsidP="00593A8B">
      <w:pPr>
        <w:pStyle w:val="Ruller41"/>
        <w:spacing w:line="240" w:lineRule="auto"/>
        <w:rPr>
          <w:rtl/>
        </w:rPr>
      </w:pPr>
    </w:p>
    <w:p w14:paraId="0ACDD684" w14:textId="77777777" w:rsidR="00593A8B" w:rsidRDefault="00593A8B" w:rsidP="00593A8B">
      <w:pPr>
        <w:pStyle w:val="Ruller41"/>
        <w:rPr>
          <w:rtl/>
        </w:rPr>
      </w:pPr>
      <w:r>
        <w:rPr>
          <w:rtl/>
        </w:rPr>
        <w:t>ובהמשך:</w:t>
      </w:r>
    </w:p>
    <w:p w14:paraId="15AB395B" w14:textId="77777777" w:rsidR="00593A8B" w:rsidRDefault="00593A8B" w:rsidP="000035F9">
      <w:pPr>
        <w:pStyle w:val="Ruller41"/>
        <w:spacing w:line="240" w:lineRule="auto"/>
        <w:rPr>
          <w:rtl/>
        </w:rPr>
      </w:pPr>
    </w:p>
    <w:p w14:paraId="64C422C3" w14:textId="77777777" w:rsidR="00593A8B" w:rsidRDefault="00593A8B" w:rsidP="00593A8B">
      <w:pPr>
        <w:pStyle w:val="Ruller5"/>
        <w:spacing w:line="360" w:lineRule="auto"/>
        <w:rPr>
          <w:rtl/>
        </w:rPr>
      </w:pPr>
      <w:r>
        <w:rPr>
          <w:rFonts w:ascii="Century" w:hAnsi="Century" w:cs="Miriam"/>
          <w:b/>
          <w:spacing w:val="0"/>
          <w:szCs w:val="24"/>
          <w:rtl/>
        </w:rPr>
        <w:t xml:space="preserve">"אילו היה בעל מגרש מפצל את מגרשו לשלושה חלקים והיה מעביר לקבלן שניים מהם תמורת התחייבותו של זה להקים בעבורו על החלק השלישי בנין, אי-אפשר היה לראות בעסקה זו העברה (רעיונית) של החלק השלישי לידי הקבלן והחזרתו למוכר. [...] אילו הזמין המוכר אצל הקבלן עבודה קבלנית על מגרשו והיה משלם לו את התמורה לא בכסף אלא על-ידי העברת חלק אחר ממגרשו, לא היה מתחייב במס שבח. נראה לי כי זאת </w:t>
      </w:r>
      <w:proofErr w:type="spellStart"/>
      <w:r>
        <w:rPr>
          <w:rFonts w:ascii="Century" w:hAnsi="Century" w:cs="Miriam"/>
          <w:b/>
          <w:spacing w:val="0"/>
          <w:szCs w:val="24"/>
          <w:rtl/>
        </w:rPr>
        <w:t>היתה</w:t>
      </w:r>
      <w:proofErr w:type="spellEnd"/>
      <w:r>
        <w:rPr>
          <w:rFonts w:ascii="Century" w:hAnsi="Century" w:cs="Miriam"/>
          <w:b/>
          <w:spacing w:val="0"/>
          <w:szCs w:val="24"/>
          <w:rtl/>
        </w:rPr>
        <w:t xml:space="preserve"> העסקה שנעשתה במקרה דנן, פשוטה כמשמעה"</w:t>
      </w:r>
      <w:r>
        <w:rPr>
          <w:rtl/>
        </w:rPr>
        <w:t xml:space="preserve"> (שם).</w:t>
      </w:r>
    </w:p>
    <w:p w14:paraId="53767059" w14:textId="77777777" w:rsidR="00593A8B" w:rsidRDefault="00593A8B" w:rsidP="00593A8B">
      <w:pPr>
        <w:pStyle w:val="Ruller41"/>
        <w:rPr>
          <w:rtl/>
        </w:rPr>
      </w:pPr>
    </w:p>
    <w:p w14:paraId="01C0FA8D" w14:textId="77777777" w:rsidR="00593A8B" w:rsidRDefault="00593A8B" w:rsidP="00593A8B">
      <w:pPr>
        <w:pStyle w:val="Ruller4"/>
        <w:numPr>
          <w:ilvl w:val="0"/>
          <w:numId w:val="18"/>
        </w:numPr>
        <w:tabs>
          <w:tab w:val="num" w:pos="907"/>
        </w:tabs>
        <w:ind w:left="0"/>
        <w:textAlignment w:val="auto"/>
        <w:rPr>
          <w:rtl/>
        </w:rPr>
      </w:pPr>
      <w:r>
        <w:rPr>
          <w:rtl/>
        </w:rPr>
        <w:t xml:space="preserve">במילים אחרות, נפסק כי אל לנו לבחון את עסקת הקומבינציה על דרך של מכר חלקי, כאילו לנגד עינינו עסקה של מכר מלא. מנקודת מבטו של בעל המקרקעין, ניתן גם ניתן, אף צריך, לראותה כעסקה שעשה עם קבלן ביצוע, למכירת אחוז מסוים ממקרקעיו, לשם פיתוח חלקו הנותר במקרקעין. כשם שבעל מקרקעין אינו חייב במס שבח בשל עסקת מזומנים שעשה עם קבלן-ביצוע לפיתוח מקרקעיו, כך אין מקום לחייבו במס שבח מקום שבו שילם עבור שירותי הבניה הללו בעין, באמצעות מכירת חלק מזכויותיו במקרקעין. החליפין בעסקת קומבינציה על דרך של מכר חלקי, אינו נתפס ככזה שבו מקבל בעל המקרקעין דירות מידי הקבלן-היזם, כאותם צדדים שלישיים הרוכשים דירה במיזם לאחר שהוקם; אלא, רואים את בעל המקרקעין כמי ששילם עבור בניית דירה על מקרקעיו-שלו – מעשה שאין מוטל מס שבח בגינו, באשר איננו 'מכירה' של זכות במקרקעין (עניין </w:t>
      </w:r>
      <w:r>
        <w:rPr>
          <w:rFonts w:ascii="Century" w:hAnsi="Century" w:cs="Miriam"/>
          <w:b/>
          <w:spacing w:val="0"/>
          <w:sz w:val="22"/>
          <w:szCs w:val="24"/>
          <w:rtl/>
        </w:rPr>
        <w:t>כנעני</w:t>
      </w:r>
      <w:r>
        <w:rPr>
          <w:rtl/>
        </w:rPr>
        <w:t xml:space="preserve">, בעמוד 119; עניין </w:t>
      </w:r>
      <w:r>
        <w:rPr>
          <w:rFonts w:ascii="Century" w:hAnsi="Century" w:cs="Miriam"/>
          <w:b/>
          <w:spacing w:val="0"/>
          <w:sz w:val="22"/>
          <w:szCs w:val="24"/>
          <w:rtl/>
        </w:rPr>
        <w:t>שדמי</w:t>
      </w:r>
      <w:r>
        <w:rPr>
          <w:rtl/>
        </w:rPr>
        <w:t xml:space="preserve">, בעמודים 790-789, 809;  גיל רובינשטיין "קביעת השווי </w:t>
      </w:r>
      <w:proofErr w:type="spellStart"/>
      <w:r>
        <w:rPr>
          <w:rtl/>
        </w:rPr>
        <w:t>בעיסקת</w:t>
      </w:r>
      <w:proofErr w:type="spellEnd"/>
      <w:r>
        <w:rPr>
          <w:rtl/>
        </w:rPr>
        <w:t xml:space="preserve"> קומבינציה – הפתרון להלכת מעוזי רביבים" </w:t>
      </w:r>
      <w:r>
        <w:rPr>
          <w:rFonts w:ascii="Century" w:hAnsi="Century" w:cs="Miriam"/>
          <w:b/>
          <w:spacing w:val="0"/>
          <w:sz w:val="22"/>
          <w:szCs w:val="24"/>
          <w:rtl/>
        </w:rPr>
        <w:t>מיסים</w:t>
      </w:r>
      <w:r>
        <w:rPr>
          <w:rtl/>
        </w:rPr>
        <w:t xml:space="preserve"> יא(5) א-52 (1997) (להלן: </w:t>
      </w:r>
      <w:r>
        <w:rPr>
          <w:rFonts w:ascii="Century" w:hAnsi="Century" w:cs="Miriam"/>
          <w:b/>
          <w:spacing w:val="0"/>
          <w:sz w:val="22"/>
          <w:szCs w:val="24"/>
          <w:rtl/>
        </w:rPr>
        <w:t>רובינשטיין</w:t>
      </w:r>
      <w:r>
        <w:rPr>
          <w:rtl/>
        </w:rPr>
        <w:t>)).</w:t>
      </w:r>
    </w:p>
    <w:p w14:paraId="63589C22" w14:textId="77777777" w:rsidR="00593A8B" w:rsidRDefault="00593A8B" w:rsidP="00593A8B">
      <w:pPr>
        <w:pStyle w:val="Ruller41"/>
        <w:rPr>
          <w:rtl/>
        </w:rPr>
      </w:pPr>
    </w:p>
    <w:p w14:paraId="596AA4EF"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 xml:space="preserve">מיסוי עסקאות חליפין בכלל </w:t>
      </w:r>
      <w:r>
        <w:rPr>
          <w:rFonts w:ascii="Century" w:hAnsi="Century"/>
          <w:rtl/>
        </w:rPr>
        <w:t>–</w:t>
      </w:r>
      <w:r>
        <w:rPr>
          <w:rFonts w:ascii="Century" w:hAnsi="Century" w:cs="Miriam"/>
          <w:b/>
          <w:spacing w:val="0"/>
          <w:szCs w:val="24"/>
          <w:rtl/>
        </w:rPr>
        <w:t xml:space="preserve"> ועסקאות קומבינציה בפרט</w:t>
      </w:r>
    </w:p>
    <w:p w14:paraId="6B465AD5" w14:textId="77777777" w:rsidR="00593A8B" w:rsidRDefault="00593A8B" w:rsidP="00593A8B">
      <w:pPr>
        <w:pStyle w:val="Ruller4"/>
        <w:numPr>
          <w:ilvl w:val="0"/>
          <w:numId w:val="18"/>
        </w:numPr>
        <w:tabs>
          <w:tab w:val="num" w:pos="907"/>
        </w:tabs>
        <w:ind w:left="0"/>
        <w:textAlignment w:val="auto"/>
      </w:pPr>
      <w:r>
        <w:rPr>
          <w:rtl/>
        </w:rPr>
        <w:t xml:space="preserve">מכירת זכויות במקרקעין חייבת במס שבח מצד המוכר – בעל המקרקעין, ובמס רכישה מצד הקונה – הקבלן-היזם (סעיפים 1, 6(א), 9(א) ו-15(א) לחוק; עניין </w:t>
      </w:r>
      <w:r>
        <w:rPr>
          <w:rFonts w:ascii="Century" w:hAnsi="Century" w:cs="Miriam"/>
          <w:b/>
          <w:spacing w:val="0"/>
          <w:sz w:val="22"/>
          <w:szCs w:val="24"/>
          <w:rtl/>
        </w:rPr>
        <w:t>אלירם</w:t>
      </w:r>
      <w:r>
        <w:rPr>
          <w:rtl/>
        </w:rPr>
        <w:t>, פסקה 9). ככלל, וכך גם בענייננו-אנו, שיעור מס השבח ומס הרכישה נגזר מ</w:t>
      </w:r>
      <w:r>
        <w:rPr>
          <w:rFonts w:ascii="Century" w:hAnsi="Century" w:cs="Miriam"/>
          <w:b/>
          <w:spacing w:val="0"/>
          <w:sz w:val="22"/>
          <w:szCs w:val="24"/>
          <w:rtl/>
        </w:rPr>
        <w:t>שווי</w:t>
      </w:r>
      <w:r>
        <w:rPr>
          <w:rtl/>
        </w:rPr>
        <w:t xml:space="preserve"> הזכויות </w:t>
      </w:r>
      <w:r>
        <w:rPr>
          <w:rtl/>
        </w:rPr>
        <w:lastRenderedPageBreak/>
        <w:t xml:space="preserve">הנמכרות (סעיף 6(ב) לחוק; תקנה 2 לתקנות מיסוי מקרקעין (שבח ורכישה) (מס רכישה), התשל"ה-1974). שווי זה, בתורו, קובע החוק, הוא </w:t>
      </w:r>
      <w:r>
        <w:rPr>
          <w:rFonts w:ascii="Century" w:hAnsi="Century" w:cs="Miriam"/>
          <w:b/>
          <w:spacing w:val="0"/>
          <w:sz w:val="22"/>
          <w:szCs w:val="24"/>
          <w:rtl/>
        </w:rPr>
        <w:t>"הסכום שיש לצפות לו ממכירת אותה זכות על ידי מוכר מרצון לקונה מרצון"</w:t>
      </w:r>
      <w:r>
        <w:rPr>
          <w:rtl/>
        </w:rPr>
        <w:t xml:space="preserve"> (סעיף 1 לחוק), </w:t>
      </w:r>
      <w:r>
        <w:rPr>
          <w:color w:val="000000" w:themeColor="text1"/>
          <w:rtl/>
        </w:rPr>
        <w:t xml:space="preserve">כפי שהיה </w:t>
      </w:r>
      <w:r>
        <w:rPr>
          <w:rFonts w:ascii="Century" w:hAnsi="Century" w:cs="Miriam"/>
          <w:b/>
          <w:spacing w:val="0"/>
          <w:sz w:val="22"/>
          <w:szCs w:val="24"/>
          <w:rtl/>
        </w:rPr>
        <w:t>ביום המכירה</w:t>
      </w:r>
      <w:r>
        <w:rPr>
          <w:rFonts w:ascii="Century" w:hAnsi="Century"/>
          <w:sz w:val="22"/>
          <w:rtl/>
        </w:rPr>
        <w:t>, הוא</w:t>
      </w:r>
      <w:r>
        <w:rPr>
          <w:rFonts w:ascii="Century" w:hAnsi="Century" w:cs="Miriam"/>
          <w:b/>
          <w:spacing w:val="0"/>
          <w:sz w:val="22"/>
          <w:szCs w:val="24"/>
          <w:rtl/>
        </w:rPr>
        <w:t xml:space="preserve"> היום </w:t>
      </w:r>
      <w:r>
        <w:rPr>
          <w:rFonts w:ascii="Century" w:hAnsi="Century" w:cs="Miriam"/>
          <w:b/>
          <w:color w:val="000000" w:themeColor="text1"/>
          <w:spacing w:val="0"/>
          <w:sz w:val="22"/>
          <w:szCs w:val="24"/>
          <w:rtl/>
        </w:rPr>
        <w:t>שבו נעשתה המכירה</w:t>
      </w:r>
      <w:r>
        <w:rPr>
          <w:rtl/>
        </w:rPr>
        <w:t xml:space="preserve"> (</w:t>
      </w:r>
      <w:r>
        <w:rPr>
          <w:color w:val="000000" w:themeColor="text1"/>
          <w:rtl/>
        </w:rPr>
        <w:t>סעיפים 17 ו-19 לחוק</w:t>
      </w:r>
      <w:r>
        <w:rPr>
          <w:rtl/>
        </w:rPr>
        <w:t>; ראו גם: סעיף 19(4) לחוק).</w:t>
      </w:r>
    </w:p>
    <w:p w14:paraId="0517A0CF" w14:textId="77777777" w:rsidR="00593A8B" w:rsidRDefault="00593A8B" w:rsidP="00593A8B">
      <w:pPr>
        <w:pStyle w:val="Ruller4"/>
        <w:numPr>
          <w:ilvl w:val="0"/>
          <w:numId w:val="0"/>
        </w:numPr>
        <w:spacing w:line="240" w:lineRule="auto"/>
      </w:pPr>
    </w:p>
    <w:p w14:paraId="7680C963" w14:textId="77777777" w:rsidR="00593A8B" w:rsidRDefault="00593A8B" w:rsidP="00593A8B">
      <w:pPr>
        <w:pStyle w:val="Ruller4"/>
        <w:numPr>
          <w:ilvl w:val="0"/>
          <w:numId w:val="18"/>
        </w:numPr>
        <w:tabs>
          <w:tab w:val="num" w:pos="907"/>
        </w:tabs>
        <w:ind w:left="0"/>
        <w:textAlignment w:val="auto"/>
        <w:rPr>
          <w:rtl/>
        </w:rPr>
      </w:pPr>
      <w:r>
        <w:rPr>
          <w:rtl/>
        </w:rPr>
        <w:tab/>
        <w:t xml:space="preserve">דהיינו, הכלל הוא שבסיס המס, לעניין מס שבח ורכישה, נקבע לפי </w:t>
      </w:r>
      <w:r>
        <w:rPr>
          <w:rFonts w:ascii="Century" w:hAnsi="Century"/>
          <w:sz w:val="22"/>
          <w:rtl/>
        </w:rPr>
        <w:t>שווי השוק של הזכויות הנמכרות במקרקעין, כפי שעמד ביום חתימת העסקה בין הצדדים</w:t>
      </w:r>
      <w:r>
        <w:rPr>
          <w:rtl/>
        </w:rPr>
        <w:t xml:space="preserve"> (ע"א 7759/07 </w:t>
      </w:r>
      <w:r>
        <w:rPr>
          <w:rFonts w:ascii="Century" w:hAnsi="Century" w:cs="Miriam"/>
          <w:b/>
          <w:spacing w:val="0"/>
          <w:sz w:val="22"/>
          <w:szCs w:val="24"/>
          <w:rtl/>
        </w:rPr>
        <w:t>כספי נ' מנהל מס שבח מקרקעין נתניה</w:t>
      </w:r>
      <w:r>
        <w:rPr>
          <w:rtl/>
        </w:rPr>
        <w:t xml:space="preserve">, פסקה ט"ו (12.4.2010) (להלן: </w:t>
      </w:r>
      <w:r w:rsidRPr="00AB3182">
        <w:rPr>
          <w:rFonts w:ascii="Century" w:hAnsi="Century"/>
          <w:sz w:val="22"/>
          <w:rtl/>
        </w:rPr>
        <w:t>עניין</w:t>
      </w:r>
      <w:r>
        <w:rPr>
          <w:rFonts w:ascii="Century" w:hAnsi="Century" w:cs="Miriam"/>
          <w:b/>
          <w:spacing w:val="0"/>
          <w:sz w:val="22"/>
          <w:szCs w:val="24"/>
          <w:rtl/>
        </w:rPr>
        <w:t xml:space="preserve"> כספי</w:t>
      </w:r>
      <w:r>
        <w:rPr>
          <w:rtl/>
        </w:rPr>
        <w:t xml:space="preserve">)). ככל שאין בין הצדדים לעסקה יחסים מיוחדים, ואם המחיר המוסכם ביניהם נקבע בתום לב, הרי שניתן להסתמך על הצהרתם בנוגע לשווי הזכויות הנמכרות (סעיף 1 לחוק; עניין </w:t>
      </w:r>
      <w:r>
        <w:rPr>
          <w:rFonts w:ascii="Century" w:hAnsi="Century" w:cs="Miriam"/>
          <w:b/>
          <w:spacing w:val="0"/>
          <w:sz w:val="22"/>
          <w:szCs w:val="24"/>
          <w:rtl/>
        </w:rPr>
        <w:t>כספי</w:t>
      </w:r>
      <w:r>
        <w:rPr>
          <w:rtl/>
        </w:rPr>
        <w:t xml:space="preserve">, פסקאות י"ד-ט"ו; ע"א 7699/13 </w:t>
      </w:r>
      <w:r>
        <w:rPr>
          <w:rFonts w:ascii="Century" w:hAnsi="Century" w:cs="Miriam"/>
          <w:b/>
          <w:spacing w:val="0"/>
          <w:sz w:val="22"/>
          <w:szCs w:val="24"/>
          <w:rtl/>
        </w:rPr>
        <w:t>מנהל מיסוי מקרקעין תל אביב נ' פינת פלורנטין בע"מ</w:t>
      </w:r>
      <w:r>
        <w:rPr>
          <w:rtl/>
        </w:rPr>
        <w:t xml:space="preserve">, פסקה 10 (8.12.2015)). בהתקיים תנאים אלה, יאומץ השווי המוסכם והמוצהר, אפילו איננו שווי השוק של הזכויות הנמכרות (ע"א 3632/01 </w:t>
      </w:r>
      <w:proofErr w:type="spellStart"/>
      <w:r>
        <w:rPr>
          <w:rFonts w:ascii="Century" w:hAnsi="Century" w:cs="Miriam"/>
          <w:b/>
          <w:spacing w:val="0"/>
          <w:sz w:val="22"/>
          <w:szCs w:val="24"/>
          <w:rtl/>
        </w:rPr>
        <w:t>חדיג'יה</w:t>
      </w:r>
      <w:proofErr w:type="spellEnd"/>
      <w:r>
        <w:rPr>
          <w:rFonts w:ascii="Century" w:hAnsi="Century" w:cs="Miriam"/>
          <w:b/>
          <w:spacing w:val="0"/>
          <w:sz w:val="22"/>
          <w:szCs w:val="24"/>
          <w:rtl/>
        </w:rPr>
        <w:t xml:space="preserve"> נ' מנהל מיסוי מקרקעין מחוז חיפה</w:t>
      </w:r>
      <w:r>
        <w:rPr>
          <w:rtl/>
        </w:rPr>
        <w:t xml:space="preserve">, פ"ד </w:t>
      </w:r>
      <w:proofErr w:type="spellStart"/>
      <w:r>
        <w:rPr>
          <w:rtl/>
        </w:rPr>
        <w:t>נז</w:t>
      </w:r>
      <w:proofErr w:type="spellEnd"/>
      <w:r>
        <w:rPr>
          <w:rtl/>
        </w:rPr>
        <w:t xml:space="preserve">(2) 806, 815 (2003)). באופן עקרוני, </w:t>
      </w:r>
      <w:r>
        <w:rPr>
          <w:rFonts w:ascii="Century" w:hAnsi="Century" w:cs="Miriam"/>
          <w:b/>
          <w:spacing w:val="0"/>
          <w:sz w:val="22"/>
          <w:szCs w:val="24"/>
          <w:rtl/>
        </w:rPr>
        <w:t>"לא מה שנישום יכול היה לעשות ולא עשה, אלא רק מה שהוא עשה, קובע את מצבו ואת דינו מבחינת המס"</w:t>
      </w:r>
      <w:r>
        <w:rPr>
          <w:rtl/>
        </w:rPr>
        <w:t xml:space="preserve"> (ע"א 521/65 </w:t>
      </w:r>
      <w:proofErr w:type="spellStart"/>
      <w:r>
        <w:rPr>
          <w:rFonts w:ascii="Century" w:hAnsi="Century" w:cs="Miriam"/>
          <w:b/>
          <w:spacing w:val="0"/>
          <w:sz w:val="22"/>
          <w:szCs w:val="24"/>
          <w:rtl/>
        </w:rPr>
        <w:t>ון</w:t>
      </w:r>
      <w:proofErr w:type="spellEnd"/>
      <w:r>
        <w:rPr>
          <w:rFonts w:ascii="Century" w:hAnsi="Century" w:cs="Miriam"/>
          <w:b/>
          <w:spacing w:val="0"/>
          <w:sz w:val="22"/>
          <w:szCs w:val="24"/>
          <w:rtl/>
        </w:rPr>
        <w:t xml:space="preserve"> </w:t>
      </w:r>
      <w:proofErr w:type="spellStart"/>
      <w:r>
        <w:rPr>
          <w:rFonts w:ascii="Century" w:hAnsi="Century" w:cs="Miriam"/>
          <w:b/>
          <w:spacing w:val="0"/>
          <w:sz w:val="22"/>
          <w:szCs w:val="24"/>
          <w:rtl/>
        </w:rPr>
        <w:t>הרטן</w:t>
      </w:r>
      <w:proofErr w:type="spellEnd"/>
      <w:r>
        <w:rPr>
          <w:rFonts w:ascii="Century" w:hAnsi="Century" w:cs="Miriam"/>
          <w:b/>
          <w:spacing w:val="0"/>
          <w:sz w:val="22"/>
          <w:szCs w:val="24"/>
          <w:rtl/>
        </w:rPr>
        <w:t>, מפעלי מתכת בע"מ (בפירוק) נ' פקיד השומה תל-אביב</w:t>
      </w:r>
      <w:r>
        <w:rPr>
          <w:rtl/>
        </w:rPr>
        <w:t xml:space="preserve">, פ"ד כ(3) 625, 626 (1966) (להלן: עניין </w:t>
      </w:r>
      <w:proofErr w:type="spellStart"/>
      <w:r w:rsidRPr="00AB3182">
        <w:rPr>
          <w:rFonts w:ascii="Century" w:hAnsi="Century" w:cs="Miriam"/>
          <w:b/>
          <w:spacing w:val="0"/>
          <w:sz w:val="22"/>
          <w:szCs w:val="24"/>
          <w:rtl/>
        </w:rPr>
        <w:t>ון</w:t>
      </w:r>
      <w:proofErr w:type="spellEnd"/>
      <w:r w:rsidRPr="00AB3182">
        <w:rPr>
          <w:rFonts w:ascii="Century" w:hAnsi="Century" w:cs="Miriam"/>
          <w:b/>
          <w:spacing w:val="0"/>
          <w:sz w:val="22"/>
          <w:szCs w:val="24"/>
          <w:rtl/>
        </w:rPr>
        <w:t xml:space="preserve"> </w:t>
      </w:r>
      <w:proofErr w:type="spellStart"/>
      <w:r w:rsidRPr="00AB3182">
        <w:rPr>
          <w:rFonts w:ascii="Century" w:hAnsi="Century" w:cs="Miriam"/>
          <w:b/>
          <w:spacing w:val="0"/>
          <w:sz w:val="22"/>
          <w:szCs w:val="24"/>
          <w:rtl/>
        </w:rPr>
        <w:t>הרטן</w:t>
      </w:r>
      <w:proofErr w:type="spellEnd"/>
      <w:r>
        <w:rPr>
          <w:rtl/>
        </w:rPr>
        <w:t xml:space="preserve">); ע"א 455/13 </w:t>
      </w:r>
      <w:proofErr w:type="spellStart"/>
      <w:r>
        <w:rPr>
          <w:rFonts w:ascii="Century" w:hAnsi="Century" w:cs="Miriam"/>
          <w:b/>
          <w:spacing w:val="0"/>
          <w:sz w:val="22"/>
          <w:szCs w:val="24"/>
          <w:rtl/>
        </w:rPr>
        <w:t>המבר</w:t>
      </w:r>
      <w:proofErr w:type="spellEnd"/>
      <w:r>
        <w:rPr>
          <w:rFonts w:ascii="Century" w:hAnsi="Century" w:cs="Miriam"/>
          <w:b/>
          <w:spacing w:val="0"/>
          <w:sz w:val="22"/>
          <w:szCs w:val="24"/>
          <w:rtl/>
        </w:rPr>
        <w:t xml:space="preserve"> נ' מנהל מיסוי מקרקעין אזור תל אביב</w:t>
      </w:r>
      <w:r>
        <w:rPr>
          <w:rtl/>
        </w:rPr>
        <w:t xml:space="preserve">, פסקה 12 (3.3.2015)); ועל רשויות המס להניח כי </w:t>
      </w:r>
      <w:r>
        <w:rPr>
          <w:rFonts w:ascii="Century" w:hAnsi="Century" w:cs="Miriam"/>
          <w:b/>
          <w:spacing w:val="0"/>
          <w:sz w:val="22"/>
          <w:szCs w:val="24"/>
          <w:rtl/>
        </w:rPr>
        <w:t xml:space="preserve">"ההסכם בין הצדדים משקף את השווי </w:t>
      </w:r>
      <w:proofErr w:type="spellStart"/>
      <w:r>
        <w:rPr>
          <w:rFonts w:ascii="Century" w:hAnsi="Century" w:cs="Miriam"/>
          <w:b/>
          <w:spacing w:val="0"/>
          <w:sz w:val="22"/>
          <w:szCs w:val="24"/>
          <w:rtl/>
        </w:rPr>
        <w:t>האמיתי</w:t>
      </w:r>
      <w:proofErr w:type="spellEnd"/>
      <w:r>
        <w:rPr>
          <w:rFonts w:ascii="Century" w:hAnsi="Century" w:cs="Miriam"/>
          <w:b/>
          <w:spacing w:val="0"/>
          <w:sz w:val="22"/>
          <w:szCs w:val="24"/>
          <w:rtl/>
        </w:rPr>
        <w:t xml:space="preserve"> </w:t>
      </w:r>
      <w:r>
        <w:rPr>
          <w:rFonts w:ascii="Century" w:hAnsi="Century"/>
          <w:sz w:val="22"/>
          <w:rtl/>
        </w:rPr>
        <w:t>–</w:t>
      </w:r>
      <w:r>
        <w:rPr>
          <w:rFonts w:ascii="Century" w:hAnsi="Century" w:cs="Miriam"/>
          <w:b/>
          <w:spacing w:val="0"/>
          <w:sz w:val="22"/>
          <w:szCs w:val="24"/>
          <w:rtl/>
        </w:rPr>
        <w:t xml:space="preserve"> מבחינתם </w:t>
      </w:r>
      <w:r>
        <w:rPr>
          <w:rFonts w:ascii="Century" w:hAnsi="Century"/>
          <w:sz w:val="22"/>
          <w:rtl/>
        </w:rPr>
        <w:t>–</w:t>
      </w:r>
      <w:r>
        <w:rPr>
          <w:rFonts w:ascii="Century" w:hAnsi="Century" w:cs="Miriam"/>
          <w:b/>
          <w:spacing w:val="0"/>
          <w:sz w:val="22"/>
          <w:szCs w:val="24"/>
          <w:rtl/>
        </w:rPr>
        <w:t xml:space="preserve"> של העסקה ביום ביצועה, ושווי זה הוא שממוסה"</w:t>
      </w:r>
      <w:r>
        <w:rPr>
          <w:rtl/>
        </w:rPr>
        <w:t xml:space="preserve"> (עניין </w:t>
      </w:r>
      <w:r>
        <w:rPr>
          <w:rFonts w:ascii="Century" w:hAnsi="Century" w:cs="Miriam"/>
          <w:b/>
          <w:spacing w:val="0"/>
          <w:sz w:val="22"/>
          <w:szCs w:val="24"/>
          <w:rtl/>
        </w:rPr>
        <w:t>כספי</w:t>
      </w:r>
      <w:r>
        <w:rPr>
          <w:rtl/>
        </w:rPr>
        <w:t>, פסקה ט"ז).</w:t>
      </w:r>
    </w:p>
    <w:p w14:paraId="45BAD0E7" w14:textId="77777777" w:rsidR="00593A8B" w:rsidRDefault="00593A8B" w:rsidP="000035F9">
      <w:pPr>
        <w:pStyle w:val="Ruller4"/>
        <w:numPr>
          <w:ilvl w:val="0"/>
          <w:numId w:val="0"/>
        </w:numPr>
        <w:spacing w:line="240" w:lineRule="auto"/>
      </w:pPr>
    </w:p>
    <w:p w14:paraId="2AED0429" w14:textId="77777777" w:rsidR="00593A8B" w:rsidRDefault="00593A8B" w:rsidP="00593A8B">
      <w:pPr>
        <w:pStyle w:val="Ruller4"/>
        <w:numPr>
          <w:ilvl w:val="0"/>
          <w:numId w:val="18"/>
        </w:numPr>
        <w:tabs>
          <w:tab w:val="num" w:pos="907"/>
        </w:tabs>
        <w:ind w:left="0"/>
        <w:textAlignment w:val="auto"/>
      </w:pPr>
      <w:r>
        <w:rPr>
          <w:rtl/>
        </w:rPr>
        <w:t xml:space="preserve">דא עקא, מעצם טיבן של עסקאות חליפין, לרבות עסקאות קומבינציה, 'המחיר' ששולם עבור הנכס הנמכר נותר עלום, ולצדדים לעסקה עשוי להיות אינטרס להצהיר על שווי מכירה נמוך, לשם הפחתת נטל המס; את מבוקשם – קיבלו, ונטל המס, מבחינתם, כשמו כן הוא – נטל בלבד (עניין </w:t>
      </w:r>
      <w:r>
        <w:rPr>
          <w:rFonts w:ascii="Century" w:hAnsi="Century" w:cs="Miriam"/>
          <w:b/>
          <w:spacing w:val="0"/>
          <w:sz w:val="22"/>
          <w:szCs w:val="24"/>
          <w:rtl/>
        </w:rPr>
        <w:t>אלירם</w:t>
      </w:r>
      <w:r>
        <w:rPr>
          <w:rtl/>
        </w:rPr>
        <w:t xml:space="preserve">, פסקה 9). בהעדר אפשרות להסתמך על הצהרת הצדדים לגבי שווי העסקה, חל אפוא הכלל ולא החריג. הווה אומר, יש לאמוד את שווי העסקה על-פי הערכה אובייקטיבית של שווי השוק של הזכויות שנמכרו, כפי שהיה במעמד חתימת עסקת הקומבינציה (עניין </w:t>
      </w:r>
      <w:proofErr w:type="spellStart"/>
      <w:r>
        <w:rPr>
          <w:rFonts w:ascii="Century" w:hAnsi="Century" w:cs="Miriam"/>
          <w:b/>
          <w:spacing w:val="0"/>
          <w:sz w:val="22"/>
          <w:szCs w:val="24"/>
          <w:rtl/>
        </w:rPr>
        <w:t>חנין</w:t>
      </w:r>
      <w:proofErr w:type="spellEnd"/>
      <w:r>
        <w:rPr>
          <w:rtl/>
        </w:rPr>
        <w:t xml:space="preserve">, פסקה 3; ע"א 390/80 </w:t>
      </w:r>
      <w:r>
        <w:rPr>
          <w:rFonts w:ascii="Century" w:hAnsi="Century" w:cs="Miriam"/>
          <w:b/>
          <w:spacing w:val="0"/>
          <w:sz w:val="22"/>
          <w:szCs w:val="24"/>
          <w:rtl/>
        </w:rPr>
        <w:t>תעש מור מרכז תעשייתי בע"מ נ' מנהל מס שבח מקרקעין, אזור תל-אביב</w:t>
      </w:r>
      <w:r>
        <w:rPr>
          <w:rtl/>
        </w:rPr>
        <w:t xml:space="preserve">, פ"ד </w:t>
      </w:r>
      <w:proofErr w:type="spellStart"/>
      <w:r>
        <w:rPr>
          <w:rtl/>
        </w:rPr>
        <w:t>לז</w:t>
      </w:r>
      <w:proofErr w:type="spellEnd"/>
      <w:r>
        <w:rPr>
          <w:rtl/>
        </w:rPr>
        <w:t>(1) 449, 458 (1983)).</w:t>
      </w:r>
    </w:p>
    <w:p w14:paraId="61C5755B" w14:textId="77777777" w:rsidR="00593A8B" w:rsidRDefault="00593A8B" w:rsidP="000035F9">
      <w:pPr>
        <w:pStyle w:val="Ruller4"/>
        <w:numPr>
          <w:ilvl w:val="0"/>
          <w:numId w:val="0"/>
        </w:numPr>
        <w:spacing w:line="240" w:lineRule="auto"/>
      </w:pPr>
    </w:p>
    <w:p w14:paraId="6F340371" w14:textId="77777777" w:rsidR="00593A8B" w:rsidRDefault="00593A8B" w:rsidP="00593A8B">
      <w:pPr>
        <w:pStyle w:val="Ruller4"/>
        <w:numPr>
          <w:ilvl w:val="0"/>
          <w:numId w:val="18"/>
        </w:numPr>
        <w:tabs>
          <w:tab w:val="num" w:pos="907"/>
        </w:tabs>
        <w:ind w:left="0"/>
        <w:textAlignment w:val="auto"/>
      </w:pPr>
      <w:r>
        <w:rPr>
          <w:rtl/>
        </w:rPr>
        <w:t xml:space="preserve">טיבה של עסקת הקומבינציה כעסקת חליפין, מקים חזקה, כנקודת המוצא למלאכת הערכת שוויה, כי הנכסים והשירותים שהחליפו הצדדים זה בזה – שווים בערכם (יוסף </w:t>
      </w:r>
      <w:proofErr w:type="spellStart"/>
      <w:r>
        <w:rPr>
          <w:rtl/>
        </w:rPr>
        <w:t>אדרעי</w:t>
      </w:r>
      <w:proofErr w:type="spellEnd"/>
      <w:r>
        <w:rPr>
          <w:rtl/>
        </w:rPr>
        <w:t xml:space="preserve"> </w:t>
      </w:r>
      <w:r>
        <w:rPr>
          <w:rFonts w:ascii="Century" w:hAnsi="Century" w:cs="Miriam"/>
          <w:b/>
          <w:spacing w:val="0"/>
          <w:sz w:val="22"/>
          <w:szCs w:val="24"/>
          <w:rtl/>
        </w:rPr>
        <w:t>אירועי מס: עלייתם (ואיבונם?) של דיני מסים בישראל</w:t>
      </w:r>
      <w:r>
        <w:rPr>
          <w:rtl/>
        </w:rPr>
        <w:t xml:space="preserve"> 159 (תשס"ז) (להלן: </w:t>
      </w:r>
      <w:proofErr w:type="spellStart"/>
      <w:r>
        <w:rPr>
          <w:rFonts w:ascii="Century" w:hAnsi="Century" w:cs="Miriam"/>
          <w:b/>
          <w:spacing w:val="0"/>
          <w:sz w:val="22"/>
          <w:szCs w:val="24"/>
          <w:rtl/>
        </w:rPr>
        <w:t>אדרעי</w:t>
      </w:r>
      <w:proofErr w:type="spellEnd"/>
      <w:r>
        <w:rPr>
          <w:rtl/>
        </w:rPr>
        <w:t xml:space="preserve">)). חזקה זו מתחייבת נוכח טיב העסקה, וכמתבקש מעסקה הנעשית בתנאי שוק. </w:t>
      </w:r>
      <w:r>
        <w:rPr>
          <w:rtl/>
        </w:rPr>
        <w:lastRenderedPageBreak/>
        <w:t xml:space="preserve">שכן, </w:t>
      </w:r>
      <w:r>
        <w:rPr>
          <w:rFonts w:ascii="Century" w:hAnsi="Century" w:cs="Miriam"/>
          <w:b/>
          <w:spacing w:val="0"/>
          <w:sz w:val="22"/>
          <w:szCs w:val="24"/>
          <w:rtl/>
        </w:rPr>
        <w:t>"אם כל צד עומד על כך שלא יקבל פחות מאשר שוויו של מה שהוא נותן, התוצאה תהיה שמה שכל צד נותן יהיה שווה ערך למה שהוא מקבל"</w:t>
      </w:r>
      <w:r>
        <w:rPr>
          <w:rtl/>
        </w:rPr>
        <w:t xml:space="preserve"> (דוד </w:t>
      </w:r>
      <w:proofErr w:type="spellStart"/>
      <w:r>
        <w:rPr>
          <w:rtl/>
        </w:rPr>
        <w:t>אלקינס</w:t>
      </w:r>
      <w:proofErr w:type="spellEnd"/>
      <w:r>
        <w:rPr>
          <w:rtl/>
        </w:rPr>
        <w:t xml:space="preserve"> </w:t>
      </w:r>
      <w:r>
        <w:rPr>
          <w:rFonts w:ascii="Century" w:hAnsi="Century" w:cs="Miriam"/>
          <w:b/>
          <w:spacing w:val="0"/>
          <w:sz w:val="22"/>
          <w:szCs w:val="24"/>
          <w:rtl/>
        </w:rPr>
        <w:t>מיסוי עסקאות חליפין</w:t>
      </w:r>
      <w:r>
        <w:rPr>
          <w:rtl/>
        </w:rPr>
        <w:t xml:space="preserve"> 118 (2012) (להלן: </w:t>
      </w:r>
      <w:proofErr w:type="spellStart"/>
      <w:r>
        <w:rPr>
          <w:rFonts w:ascii="Century" w:hAnsi="Century" w:cs="Miriam"/>
          <w:b/>
          <w:spacing w:val="0"/>
          <w:sz w:val="22"/>
          <w:szCs w:val="24"/>
          <w:rtl/>
        </w:rPr>
        <w:t>אלקינס</w:t>
      </w:r>
      <w:proofErr w:type="spellEnd"/>
      <w:r>
        <w:rPr>
          <w:rtl/>
        </w:rPr>
        <w:t>)).</w:t>
      </w:r>
    </w:p>
    <w:p w14:paraId="3974E8A8" w14:textId="77777777" w:rsidR="00593A8B" w:rsidRDefault="00593A8B" w:rsidP="000035F9">
      <w:pPr>
        <w:pStyle w:val="Ruller41"/>
        <w:spacing w:line="240" w:lineRule="auto"/>
        <w:rPr>
          <w:rtl/>
        </w:rPr>
      </w:pPr>
    </w:p>
    <w:p w14:paraId="550E505E" w14:textId="77777777" w:rsidR="00593A8B" w:rsidRDefault="00593A8B" w:rsidP="00593A8B">
      <w:pPr>
        <w:pStyle w:val="Ruller4"/>
        <w:numPr>
          <w:ilvl w:val="0"/>
          <w:numId w:val="18"/>
        </w:numPr>
        <w:tabs>
          <w:tab w:val="num" w:pos="907"/>
        </w:tabs>
        <w:ind w:left="0"/>
        <w:textAlignment w:val="auto"/>
        <w:rPr>
          <w:rtl/>
        </w:rPr>
      </w:pPr>
      <w:r>
        <w:rPr>
          <w:rtl/>
        </w:rPr>
        <w:t xml:space="preserve">מבחינה עקרונית, אם כן, ניתן לאמוד את שווי העסקה הן לפי הממכר – לשום את שווי הזכויות במקרקעין שנמכרו לקבלן; הן לפי התמורה – לשום את מה שסיפק הקבלן לבעל המקרקעין, עבור הזכויות שרכש (ע"א 552/82‏ </w:t>
      </w:r>
      <w:r>
        <w:rPr>
          <w:rFonts w:ascii="Century" w:hAnsi="Century" w:cs="Miriam"/>
          <w:b/>
          <w:spacing w:val="0"/>
          <w:szCs w:val="24"/>
          <w:rtl/>
        </w:rPr>
        <w:t>אופיר</w:t>
      </w:r>
      <w:r>
        <w:rPr>
          <w:rFonts w:ascii="Century" w:hAnsi="Century" w:cs="Miriam"/>
          <w:b/>
          <w:spacing w:val="0"/>
          <w:szCs w:val="24"/>
          <w:cs/>
        </w:rPr>
        <w:t>‎</w:t>
      </w:r>
      <w:r>
        <w:rPr>
          <w:rFonts w:ascii="Century" w:hAnsi="Century" w:cs="Miriam"/>
          <w:b/>
          <w:spacing w:val="0"/>
          <w:szCs w:val="24"/>
        </w:rPr>
        <w:t xml:space="preserve"> </w:t>
      </w:r>
      <w:r>
        <w:rPr>
          <w:rFonts w:ascii="Century" w:hAnsi="Century" w:cs="Miriam"/>
          <w:b/>
          <w:spacing w:val="0"/>
          <w:szCs w:val="24"/>
          <w:cs/>
        </w:rPr>
        <w:t>‎</w:t>
      </w:r>
      <w:r>
        <w:rPr>
          <w:rFonts w:ascii="Century" w:hAnsi="Century" w:cs="Miriam"/>
          <w:b/>
          <w:spacing w:val="0"/>
          <w:szCs w:val="24"/>
          <w:rtl/>
        </w:rPr>
        <w:t>נ' מנהל מס שבח מקרקעין</w:t>
      </w:r>
      <w:r>
        <w:rPr>
          <w:rtl/>
        </w:rPr>
        <w:t xml:space="preserve">, פ"ד </w:t>
      </w:r>
      <w:proofErr w:type="spellStart"/>
      <w:r>
        <w:rPr>
          <w:rtl/>
        </w:rPr>
        <w:t>מב</w:t>
      </w:r>
      <w:proofErr w:type="spellEnd"/>
      <w:r>
        <w:rPr>
          <w:rtl/>
        </w:rPr>
        <w:t>(3) 508, 511 (1988)</w:t>
      </w:r>
      <w:r>
        <w:rPr>
          <w:rFonts w:ascii="Century" w:hAnsi="Century"/>
          <w:rtl/>
        </w:rPr>
        <w:t xml:space="preserve"> (להלן: </w:t>
      </w:r>
      <w:r w:rsidRPr="00AB3182">
        <w:rPr>
          <w:rFonts w:ascii="Century" w:hAnsi="Century"/>
          <w:sz w:val="22"/>
          <w:rtl/>
        </w:rPr>
        <w:t xml:space="preserve">עניין </w:t>
      </w:r>
      <w:r>
        <w:rPr>
          <w:rFonts w:ascii="Century" w:hAnsi="Century" w:cs="Miriam"/>
          <w:b/>
          <w:spacing w:val="0"/>
          <w:sz w:val="22"/>
          <w:szCs w:val="24"/>
          <w:rtl/>
        </w:rPr>
        <w:t>אופיר</w:t>
      </w:r>
      <w:r>
        <w:rPr>
          <w:rFonts w:ascii="Century" w:hAnsi="Century"/>
          <w:rtl/>
        </w:rPr>
        <w:t xml:space="preserve">); עניין </w:t>
      </w:r>
      <w:proofErr w:type="spellStart"/>
      <w:r>
        <w:rPr>
          <w:rFonts w:ascii="Century" w:hAnsi="Century" w:cs="Miriam"/>
          <w:b/>
          <w:spacing w:val="0"/>
          <w:szCs w:val="24"/>
          <w:rtl/>
        </w:rPr>
        <w:t>חנין</w:t>
      </w:r>
      <w:proofErr w:type="spellEnd"/>
      <w:r>
        <w:rPr>
          <w:rFonts w:ascii="Century" w:hAnsi="Century"/>
          <w:rtl/>
        </w:rPr>
        <w:t xml:space="preserve">, פסקה 3; אהרן </w:t>
      </w:r>
      <w:proofErr w:type="spellStart"/>
      <w:r>
        <w:rPr>
          <w:rFonts w:ascii="Century" w:hAnsi="Century"/>
          <w:rtl/>
        </w:rPr>
        <w:t>נמדר</w:t>
      </w:r>
      <w:proofErr w:type="spellEnd"/>
      <w:r>
        <w:rPr>
          <w:rFonts w:ascii="Century" w:hAnsi="Century"/>
          <w:rtl/>
        </w:rPr>
        <w:t xml:space="preserve"> </w:t>
      </w:r>
      <w:r>
        <w:rPr>
          <w:rFonts w:ascii="Century" w:hAnsi="Century" w:cs="Miriam"/>
          <w:b/>
          <w:spacing w:val="0"/>
          <w:szCs w:val="24"/>
          <w:rtl/>
        </w:rPr>
        <w:t>מס שבח מקרקעין</w:t>
      </w:r>
      <w:r>
        <w:rPr>
          <w:rFonts w:ascii="Century" w:hAnsi="Century"/>
          <w:rtl/>
        </w:rPr>
        <w:t xml:space="preserve"> חלק שני – חישוב המס ותשלומו 253 (מהדורה שביעית, 2012) (להלן: </w:t>
      </w:r>
      <w:proofErr w:type="spellStart"/>
      <w:r>
        <w:rPr>
          <w:rFonts w:ascii="Century" w:hAnsi="Century" w:cs="Miriam"/>
          <w:b/>
          <w:spacing w:val="0"/>
          <w:szCs w:val="24"/>
          <w:rtl/>
        </w:rPr>
        <w:t>נמדר</w:t>
      </w:r>
      <w:proofErr w:type="spellEnd"/>
      <w:r>
        <w:rPr>
          <w:rFonts w:ascii="Century" w:hAnsi="Century"/>
          <w:rtl/>
        </w:rPr>
        <w:t>)</w:t>
      </w:r>
      <w:r>
        <w:rPr>
          <w:rtl/>
        </w:rPr>
        <w:t xml:space="preserve">; יצחק הדרי </w:t>
      </w:r>
      <w:r>
        <w:rPr>
          <w:rFonts w:ascii="Century" w:hAnsi="Century" w:cs="Miriam"/>
          <w:b/>
          <w:spacing w:val="0"/>
          <w:szCs w:val="24"/>
          <w:rtl/>
        </w:rPr>
        <w:t>מיסוי מקרקעין</w:t>
      </w:r>
      <w:r>
        <w:rPr>
          <w:rtl/>
        </w:rPr>
        <w:t xml:space="preserve"> כרך ב – חלק ראשון 157-156 (מהדורה שניה, 2003) (להלן: </w:t>
      </w:r>
      <w:r>
        <w:rPr>
          <w:rFonts w:ascii="Century" w:hAnsi="Century" w:cs="Miriam"/>
          <w:b/>
          <w:spacing w:val="0"/>
          <w:szCs w:val="24"/>
          <w:rtl/>
        </w:rPr>
        <w:t>הדרי</w:t>
      </w:r>
      <w:r>
        <w:rPr>
          <w:rFonts w:ascii="Century" w:hAnsi="Century"/>
          <w:sz w:val="22"/>
          <w:rtl/>
        </w:rPr>
        <w:t>)).</w:t>
      </w:r>
      <w:r>
        <w:rPr>
          <w:rtl/>
        </w:rPr>
        <w:t xml:space="preserve"> שתי הדרכים נראות ראויות באותה מידה. עם זאת, מאחר שלשון החוק מגדירה את שווי הזכות במקרקעין לפי </w:t>
      </w:r>
      <w:r>
        <w:rPr>
          <w:rFonts w:ascii="Century" w:hAnsi="Century" w:cs="Miriam"/>
          <w:b/>
          <w:spacing w:val="0"/>
          <w:sz w:val="22"/>
          <w:szCs w:val="24"/>
          <w:rtl/>
        </w:rPr>
        <w:t>"הסכום שיש לצפות לו ממכירתה"</w:t>
      </w:r>
      <w:r>
        <w:rPr>
          <w:rtl/>
        </w:rPr>
        <w:t xml:space="preserve"> (סעיף 1 לחוק), נהוג לילך בדרך </w:t>
      </w:r>
      <w:proofErr w:type="spellStart"/>
      <w:r>
        <w:rPr>
          <w:rtl/>
        </w:rPr>
        <w:t>השניה</w:t>
      </w:r>
      <w:proofErr w:type="spellEnd"/>
      <w:r>
        <w:rPr>
          <w:rtl/>
        </w:rPr>
        <w:t xml:space="preserve">, ולהעריך את שווי המכירה לפי שווי התמורה שקיבל בעל המקרקעין עבור מכר זכויותיו (עניין </w:t>
      </w:r>
      <w:r>
        <w:rPr>
          <w:rFonts w:ascii="Century" w:hAnsi="Century" w:cs="Miriam"/>
          <w:b/>
          <w:spacing w:val="0"/>
          <w:sz w:val="22"/>
          <w:szCs w:val="24"/>
          <w:rtl/>
        </w:rPr>
        <w:t>ברקאי</w:t>
      </w:r>
      <w:r>
        <w:rPr>
          <w:rtl/>
        </w:rPr>
        <w:t xml:space="preserve">, בעמוד 124; עניין </w:t>
      </w:r>
      <w:r>
        <w:rPr>
          <w:rFonts w:ascii="Century" w:hAnsi="Century" w:cs="Miriam"/>
          <w:b/>
          <w:spacing w:val="0"/>
          <w:sz w:val="22"/>
          <w:szCs w:val="24"/>
          <w:rtl/>
        </w:rPr>
        <w:t>כספי</w:t>
      </w:r>
      <w:r>
        <w:rPr>
          <w:rtl/>
        </w:rPr>
        <w:t xml:space="preserve">, בפסקה ט"ו; </w:t>
      </w:r>
      <w:r>
        <w:rPr>
          <w:rFonts w:ascii="Century" w:hAnsi="Century" w:cs="Miriam"/>
          <w:b/>
          <w:spacing w:val="0"/>
          <w:sz w:val="22"/>
          <w:szCs w:val="24"/>
          <w:rtl/>
        </w:rPr>
        <w:t>סרוסי</w:t>
      </w:r>
      <w:r>
        <w:rPr>
          <w:rtl/>
        </w:rPr>
        <w:t xml:space="preserve">, בעמודים 430-429, וכן </w:t>
      </w:r>
      <w:proofErr w:type="spellStart"/>
      <w:r>
        <w:rPr>
          <w:rtl/>
        </w:rPr>
        <w:t>ה"ש</w:t>
      </w:r>
      <w:proofErr w:type="spellEnd"/>
      <w:r>
        <w:rPr>
          <w:rtl/>
        </w:rPr>
        <w:t xml:space="preserve"> 22 שם; </w:t>
      </w:r>
      <w:proofErr w:type="spellStart"/>
      <w:r>
        <w:rPr>
          <w:rFonts w:ascii="Century" w:hAnsi="Century" w:cs="Miriam"/>
          <w:b/>
          <w:spacing w:val="0"/>
          <w:sz w:val="22"/>
          <w:szCs w:val="24"/>
          <w:rtl/>
        </w:rPr>
        <w:t>אדרעי</w:t>
      </w:r>
      <w:proofErr w:type="spellEnd"/>
      <w:r>
        <w:rPr>
          <w:rtl/>
        </w:rPr>
        <w:t xml:space="preserve">, בעמוד 159; להרהורי כפירה במוסכמה זו, ראו: </w:t>
      </w:r>
      <w:proofErr w:type="spellStart"/>
      <w:r>
        <w:rPr>
          <w:rFonts w:ascii="Century" w:hAnsi="Century" w:cs="Miriam"/>
          <w:b/>
          <w:spacing w:val="0"/>
          <w:sz w:val="22"/>
          <w:szCs w:val="24"/>
          <w:rtl/>
        </w:rPr>
        <w:t>נמדר</w:t>
      </w:r>
      <w:proofErr w:type="spellEnd"/>
      <w:r>
        <w:rPr>
          <w:rtl/>
        </w:rPr>
        <w:t>, בעמודים 264, 269-268).</w:t>
      </w:r>
    </w:p>
    <w:p w14:paraId="212E1019" w14:textId="77777777" w:rsidR="00593A8B" w:rsidRDefault="00593A8B" w:rsidP="000035F9">
      <w:pPr>
        <w:pStyle w:val="Ruller41"/>
        <w:spacing w:line="240" w:lineRule="auto"/>
        <w:rPr>
          <w:rtl/>
        </w:rPr>
      </w:pPr>
    </w:p>
    <w:p w14:paraId="7F2C62C6" w14:textId="77777777" w:rsidR="00593A8B" w:rsidRDefault="00593A8B" w:rsidP="00593A8B">
      <w:pPr>
        <w:pStyle w:val="Ruller4"/>
        <w:numPr>
          <w:ilvl w:val="0"/>
          <w:numId w:val="18"/>
        </w:numPr>
        <w:tabs>
          <w:tab w:val="num" w:pos="907"/>
        </w:tabs>
        <w:ind w:left="0"/>
        <w:textAlignment w:val="auto"/>
        <w:rPr>
          <w:rtl/>
        </w:rPr>
      </w:pPr>
      <w:r>
        <w:rPr>
          <w:rtl/>
        </w:rPr>
        <w:t xml:space="preserve">הערכת שווי השוק של התמורה שניתנה עבור מכירת הזכויות במקרקעין, ככלל, </w:t>
      </w:r>
      <w:proofErr w:type="spellStart"/>
      <w:r>
        <w:rPr>
          <w:rtl/>
        </w:rPr>
        <w:t>הריהי</w:t>
      </w:r>
      <w:proofErr w:type="spellEnd"/>
      <w:r>
        <w:rPr>
          <w:rtl/>
        </w:rPr>
        <w:t xml:space="preserve"> עניין שבעובדה, תלוי נסיבות. אולם בצד זאת, גם הערכה שמאית זו – שעל בסיסה יקבע בסופו של דבר גובה המס שיוטל בגין העסקה – צריכה </w:t>
      </w:r>
      <w:proofErr w:type="spellStart"/>
      <w:r>
        <w:rPr>
          <w:rtl/>
        </w:rPr>
        <w:t>להעשות</w:t>
      </w:r>
      <w:proofErr w:type="spellEnd"/>
      <w:r>
        <w:rPr>
          <w:rtl/>
        </w:rPr>
        <w:t xml:space="preserve"> באופן שיטתי, על-פי כללים סדורים, בהתאם לדין. כאן מגיעים אנו לפתחי השאלה שבמוקד ענייננו. אולם בטרם נדרֵש לשאלה זו לגופה, דרוש קמעא חידוד מסוים, בנוגע לטיבו של 'הרווח היזמי' שבו אנחנו מדברים. זאת, שכן מבין השיטין עולה, כי לא דקו הצדדים בהיבטיו השונים של הרווח שאותו מצפה הקבלן-היזם להפיק מהמיזם.</w:t>
      </w:r>
    </w:p>
    <w:p w14:paraId="64D64202" w14:textId="77777777" w:rsidR="00593A8B" w:rsidRDefault="00593A8B" w:rsidP="000035F9">
      <w:pPr>
        <w:pStyle w:val="Ruller41"/>
        <w:spacing w:line="480" w:lineRule="auto"/>
        <w:rPr>
          <w:rtl/>
        </w:rPr>
      </w:pPr>
    </w:p>
    <w:p w14:paraId="0AAF3F24"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טיבו של הרווח היזמי</w:t>
      </w:r>
    </w:p>
    <w:p w14:paraId="0015F796" w14:textId="77777777" w:rsidR="00593A8B" w:rsidRDefault="00593A8B" w:rsidP="00593A8B">
      <w:pPr>
        <w:pStyle w:val="Ruller4"/>
        <w:numPr>
          <w:ilvl w:val="0"/>
          <w:numId w:val="18"/>
        </w:numPr>
        <w:tabs>
          <w:tab w:val="num" w:pos="907"/>
        </w:tabs>
        <w:ind w:left="0"/>
        <w:textAlignment w:val="auto"/>
      </w:pPr>
      <w:r>
        <w:rPr>
          <w:rtl/>
        </w:rPr>
        <w:t xml:space="preserve">בבואנו לתהות על קנקנו של הרווח היזמי, נתחיל בהיבט הראשון והמתבקש, הריהו שכר הטרחה שאותו מצפה היזם לקבל עבור </w:t>
      </w:r>
      <w:r>
        <w:rPr>
          <w:rFonts w:ascii="Century" w:hAnsi="Century" w:cs="Miriam"/>
          <w:b/>
          <w:spacing w:val="0"/>
          <w:sz w:val="22"/>
          <w:szCs w:val="24"/>
          <w:rtl/>
        </w:rPr>
        <w:t>שירותי הייזום</w:t>
      </w:r>
      <w:r>
        <w:rPr>
          <w:rFonts w:ascii="Century" w:hAnsi="Century"/>
          <w:sz w:val="22"/>
          <w:rtl/>
        </w:rPr>
        <w:t xml:space="preserve"> שהוא מספק.</w:t>
      </w:r>
      <w:r>
        <w:rPr>
          <w:rtl/>
        </w:rPr>
        <w:t xml:space="preserve"> ברי כי מלאכת הוצאתו לפועל של מיזם אינה מתמצית בבניית המבנים, בחומר ובלבנים. נדרש תכנון של הפרויקט ברמה האדריכלית וההנדסית; נדרשים הליכים אל מול רגולטורים שונים, דוגמת מוסדות התכנון, רשות מקרקעי ישראל וכיוצא בזה; נדרש מימון לתקופת הבניה; ועוד כהנה וכהנה. כבר לימדונו חז"ל, </w:t>
      </w:r>
      <w:r>
        <w:rPr>
          <w:rFonts w:ascii="Century" w:hAnsi="Century" w:cs="Miriam"/>
          <w:b/>
          <w:spacing w:val="0"/>
          <w:sz w:val="22"/>
          <w:szCs w:val="24"/>
          <w:rtl/>
        </w:rPr>
        <w:t>"מַרְבֶּה נְכָסִים, מַרְבֶּה דְאָגָה"</w:t>
      </w:r>
      <w:r>
        <w:rPr>
          <w:rtl/>
        </w:rPr>
        <w:t xml:space="preserve"> (משנה, אבות ב, ז). הבירוקרטיה וכל הנלווים לה, נחוצים לשם הקמת כלל הדירות במיזם, לרבות הדירות שמקבל בעל המקרקעין בתמורה למכירת זכויותיו. מיזם אינו בא לעולם מתוך </w:t>
      </w:r>
      <w:r>
        <w:rPr>
          <w:rtl/>
        </w:rPr>
        <w:lastRenderedPageBreak/>
        <w:t>עצמו; מאן דהוא – צריך לנהלו ולפעול לקידומו, והדעת נותנת כי הוא גובה שכר טרחה עבור עמלו, ככל ספק שירות במיזם.</w:t>
      </w:r>
    </w:p>
    <w:p w14:paraId="65C7EF1C" w14:textId="77777777" w:rsidR="00593A8B" w:rsidRDefault="00593A8B" w:rsidP="000035F9">
      <w:pPr>
        <w:pStyle w:val="Ruller41"/>
        <w:spacing w:line="240" w:lineRule="auto"/>
        <w:rPr>
          <w:rtl/>
        </w:rPr>
      </w:pPr>
    </w:p>
    <w:p w14:paraId="422CF92A" w14:textId="45771CB9" w:rsidR="00593A8B" w:rsidRDefault="00593A8B" w:rsidP="00593A8B">
      <w:pPr>
        <w:pStyle w:val="Ruller4"/>
        <w:numPr>
          <w:ilvl w:val="0"/>
          <w:numId w:val="18"/>
        </w:numPr>
        <w:tabs>
          <w:tab w:val="num" w:pos="907"/>
        </w:tabs>
        <w:ind w:left="0"/>
        <w:textAlignment w:val="auto"/>
        <w:rPr>
          <w:rtl/>
        </w:rPr>
      </w:pPr>
      <w:r>
        <w:rPr>
          <w:rtl/>
        </w:rPr>
        <w:t>דומה כי עצם הכללתו של רכיב זה בעסקה – 'רווח יזמי בגין שירותי ייזום' – אינו שנוי במחלוקת בין הצדדים. המערערת היא זו שנטלה על עצמה את הטיפול בכל אלה, ואין חולק כי לולא עבודתה-זו, מיזם – לא יקום, ודירות כתמורה – לא תינתנה.</w:t>
      </w:r>
    </w:p>
    <w:p w14:paraId="525F8843" w14:textId="77777777" w:rsidR="00593A8B" w:rsidRDefault="00593A8B" w:rsidP="000035F9">
      <w:pPr>
        <w:pStyle w:val="Ruller4"/>
        <w:numPr>
          <w:ilvl w:val="0"/>
          <w:numId w:val="0"/>
        </w:numPr>
        <w:spacing w:line="240" w:lineRule="auto"/>
      </w:pPr>
      <w:r>
        <w:rPr>
          <w:rtl/>
        </w:rPr>
        <w:t xml:space="preserve"> </w:t>
      </w:r>
    </w:p>
    <w:p w14:paraId="35FB6189" w14:textId="77777777" w:rsidR="00593A8B" w:rsidRDefault="00593A8B" w:rsidP="00593A8B">
      <w:pPr>
        <w:pStyle w:val="Ruller4"/>
        <w:numPr>
          <w:ilvl w:val="0"/>
          <w:numId w:val="18"/>
        </w:numPr>
        <w:tabs>
          <w:tab w:val="num" w:pos="907"/>
        </w:tabs>
        <w:ind w:left="0"/>
        <w:textAlignment w:val="auto"/>
      </w:pPr>
      <w:r>
        <w:rPr>
          <w:rtl/>
        </w:rPr>
        <w:t xml:space="preserve">ענייננו כאן אפוא במובן אחר של רווח שגורף היזם לכיסו – </w:t>
      </w:r>
      <w:r>
        <w:rPr>
          <w:rFonts w:ascii="Century" w:hAnsi="Century" w:cs="Miriam"/>
          <w:b/>
          <w:spacing w:val="0"/>
          <w:sz w:val="22"/>
          <w:szCs w:val="24"/>
          <w:rtl/>
        </w:rPr>
        <w:t>הרווח הנוצר מן הפער שבין עלויות הקמת המיזם, לבין המחיר שבו תימכרנה הדירות לצדדים שלישיים, לאחר שיָקום בניין הדירות ויעמוד על תילו</w:t>
      </w:r>
      <w:r>
        <w:rPr>
          <w:rtl/>
        </w:rPr>
        <w:t xml:space="preserve">. אחרי ככלות </w:t>
      </w:r>
      <w:proofErr w:type="spellStart"/>
      <w:r>
        <w:rPr>
          <w:rtl/>
        </w:rPr>
        <w:t>הכל</w:t>
      </w:r>
      <w:proofErr w:type="spellEnd"/>
      <w:r>
        <w:rPr>
          <w:rtl/>
        </w:rPr>
        <w:t xml:space="preserve">, זהו עיקר הרווח שלו מצפה היזם, וסביר להניח שהוא גם זה שעליו מושתתים עסקיו. גם בעל המקרקעין, ככל שפניו למכירת הדירות שיקבל לידיו במסגרת עסקת הקומבינציה, מקווה גם הוא לרווח מסוג זה. אין מדובר ברווח שנגבה עבור עמל וטרחה כשלעצמם, כי אם </w:t>
      </w:r>
      <w:r>
        <w:rPr>
          <w:rFonts w:ascii="Century" w:hAnsi="Century"/>
          <w:sz w:val="22"/>
          <w:rtl/>
        </w:rPr>
        <w:t>ברווח הקשור בכדאיות המיזם בכללותו</w:t>
      </w:r>
      <w:r>
        <w:rPr>
          <w:rtl/>
        </w:rPr>
        <w:t xml:space="preserve">. הרווח מותנה בכך שהדירות אכן </w:t>
      </w:r>
      <w:proofErr w:type="spellStart"/>
      <w:r>
        <w:rPr>
          <w:rtl/>
        </w:rPr>
        <w:t>תמכרנה</w:t>
      </w:r>
      <w:proofErr w:type="spellEnd"/>
      <w:r>
        <w:rPr>
          <w:rtl/>
        </w:rPr>
        <w:t xml:space="preserve">, ומשתנה בהתאם לתנודות בשוק הדירות, למידת החיסכון בעלויות הבניה, לאיכות הבניה וכיוצא באלה (ראו: משרד המשפטים – אגף שומת מקרקעין </w:t>
      </w:r>
      <w:r>
        <w:rPr>
          <w:rFonts w:ascii="Century" w:hAnsi="Century" w:cs="Miriam"/>
          <w:b/>
          <w:spacing w:val="0"/>
          <w:sz w:val="22"/>
          <w:szCs w:val="24"/>
          <w:rtl/>
        </w:rPr>
        <w:t xml:space="preserve">קווים מנחים </w:t>
      </w:r>
      <w:r w:rsidRPr="00AB3182">
        <w:rPr>
          <w:rFonts w:ascii="Century" w:hAnsi="Century"/>
          <w:sz w:val="22"/>
          <w:rtl/>
        </w:rPr>
        <w:t xml:space="preserve">– </w:t>
      </w:r>
      <w:r>
        <w:rPr>
          <w:rFonts w:ascii="Century" w:hAnsi="Century" w:cs="Miriam"/>
          <w:b/>
          <w:spacing w:val="0"/>
          <w:sz w:val="22"/>
          <w:szCs w:val="24"/>
          <w:rtl/>
        </w:rPr>
        <w:t xml:space="preserve">פרק </w:t>
      </w:r>
      <w:proofErr w:type="spellStart"/>
      <w:r>
        <w:rPr>
          <w:rFonts w:ascii="Century" w:hAnsi="Century" w:cs="Miriam"/>
          <w:b/>
          <w:spacing w:val="0"/>
          <w:sz w:val="22"/>
          <w:szCs w:val="24"/>
          <w:rtl/>
        </w:rPr>
        <w:t>יח</w:t>
      </w:r>
      <w:proofErr w:type="spellEnd"/>
      <w:r>
        <w:rPr>
          <w:rFonts w:ascii="Century" w:hAnsi="Century" w:cs="Miriam"/>
          <w:b/>
          <w:spacing w:val="0"/>
          <w:sz w:val="22"/>
          <w:szCs w:val="24"/>
          <w:rtl/>
        </w:rPr>
        <w:t>': שימוש בגישת העלות ובחירת "הרווח היזמי" (עדכון מספר 1)</w:t>
      </w:r>
      <w:r>
        <w:rPr>
          <w:rtl/>
        </w:rPr>
        <w:t xml:space="preserve"> 13 (ינואר 2020) (להלן: </w:t>
      </w:r>
      <w:r>
        <w:rPr>
          <w:rFonts w:ascii="Century" w:hAnsi="Century" w:cs="Miriam"/>
          <w:b/>
          <w:spacing w:val="0"/>
          <w:sz w:val="22"/>
          <w:szCs w:val="24"/>
          <w:rtl/>
        </w:rPr>
        <w:t>הנחיות אגף שומת מקרקעין</w:t>
      </w:r>
      <w:r>
        <w:rPr>
          <w:rtl/>
        </w:rPr>
        <w:t>)). זהו, אם כן, מובנו של הרווח היזמי העומד במוקד ענייננו.</w:t>
      </w:r>
    </w:p>
    <w:p w14:paraId="07D98D87" w14:textId="77777777" w:rsidR="00593A8B" w:rsidRDefault="00593A8B" w:rsidP="000035F9">
      <w:pPr>
        <w:pStyle w:val="Ruller4"/>
        <w:numPr>
          <w:ilvl w:val="0"/>
          <w:numId w:val="0"/>
        </w:numPr>
        <w:rPr>
          <w:rtl/>
        </w:rPr>
      </w:pPr>
    </w:p>
    <w:p w14:paraId="401735D5"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הכללת הרווח היזמי בחישוב שווי המכירה בעסקאות קומבינציה על דרך של מכר חלקי</w:t>
      </w:r>
    </w:p>
    <w:p w14:paraId="5578F249" w14:textId="77777777" w:rsidR="00593A8B" w:rsidRDefault="00593A8B" w:rsidP="00593A8B">
      <w:pPr>
        <w:pStyle w:val="Ruller4"/>
        <w:numPr>
          <w:ilvl w:val="0"/>
          <w:numId w:val="18"/>
        </w:numPr>
        <w:tabs>
          <w:tab w:val="num" w:pos="907"/>
        </w:tabs>
        <w:ind w:left="0"/>
        <w:textAlignment w:val="auto"/>
        <w:rPr>
          <w:rtl/>
        </w:rPr>
      </w:pPr>
      <w:r>
        <w:rPr>
          <w:rtl/>
        </w:rPr>
        <w:t>משאמרנו את אשר אמרנו, וחידדנו את שצריך היה לחדד,</w:t>
      </w:r>
      <w:r>
        <w:rPr>
          <w:rFonts w:ascii="Century" w:hAnsi="Century"/>
          <w:sz w:val="22"/>
          <w:rtl/>
        </w:rPr>
        <w:t xml:space="preserve"> </w:t>
      </w:r>
      <w:r>
        <w:rPr>
          <w:rtl/>
        </w:rPr>
        <w:t xml:space="preserve">הדרא קושיא </w:t>
      </w:r>
      <w:proofErr w:type="spellStart"/>
      <w:r>
        <w:rPr>
          <w:rtl/>
        </w:rPr>
        <w:t>לדוכתא</w:t>
      </w:r>
      <w:proofErr w:type="spellEnd"/>
      <w:r>
        <w:rPr>
          <w:rtl/>
        </w:rPr>
        <w:t>: האם, במסגרת עסקת קומבינציה המבוצעת על דרך של מכר חלקי, יש להביא בחשבון</w:t>
      </w:r>
      <w:r>
        <w:rPr>
          <w:rFonts w:ascii="Century" w:hAnsi="Century"/>
          <w:sz w:val="22"/>
          <w:rtl/>
        </w:rPr>
        <w:t xml:space="preserve">, </w:t>
      </w:r>
      <w:r>
        <w:rPr>
          <w:rtl/>
        </w:rPr>
        <w:t xml:space="preserve">בעת חישוב שווי התמורה שנותן הקבלן-היזם לבעל המקרקעין, גם את הרווח היזמי שמצפה הקבלן-היזם להפיק מהפרויקט בכללותו (להלן: </w:t>
      </w:r>
      <w:r>
        <w:rPr>
          <w:rFonts w:ascii="Century" w:hAnsi="Century" w:cs="Miriam"/>
          <w:b/>
          <w:spacing w:val="0"/>
          <w:sz w:val="22"/>
          <w:szCs w:val="24"/>
          <w:rtl/>
        </w:rPr>
        <w:t>הרווח היזמי</w:t>
      </w:r>
      <w:r>
        <w:rPr>
          <w:rtl/>
        </w:rPr>
        <w:t>)?</w:t>
      </w:r>
    </w:p>
    <w:p w14:paraId="1BF3C66B" w14:textId="77777777" w:rsidR="00593A8B" w:rsidRDefault="00593A8B" w:rsidP="00593A8B">
      <w:pPr>
        <w:pStyle w:val="Ruller41"/>
        <w:spacing w:line="240" w:lineRule="auto"/>
        <w:rPr>
          <w:rtl/>
        </w:rPr>
      </w:pPr>
    </w:p>
    <w:p w14:paraId="720FBFEC" w14:textId="77777777" w:rsidR="00593A8B" w:rsidRDefault="00593A8B" w:rsidP="00593A8B">
      <w:pPr>
        <w:pStyle w:val="Ruller4"/>
        <w:numPr>
          <w:ilvl w:val="0"/>
          <w:numId w:val="18"/>
        </w:numPr>
        <w:tabs>
          <w:tab w:val="num" w:pos="907"/>
        </w:tabs>
        <w:ind w:left="0"/>
        <w:textAlignment w:val="auto"/>
        <w:rPr>
          <w:rtl/>
        </w:rPr>
      </w:pPr>
      <w:r>
        <w:rPr>
          <w:rtl/>
        </w:rPr>
        <w:t xml:space="preserve">בעניין זה, נקט בית המשפט בעניין </w:t>
      </w:r>
      <w:r>
        <w:rPr>
          <w:rFonts w:ascii="Century" w:hAnsi="Century" w:cs="Miriam"/>
          <w:b/>
          <w:spacing w:val="0"/>
          <w:sz w:val="22"/>
          <w:szCs w:val="24"/>
          <w:rtl/>
        </w:rPr>
        <w:t>ברקאי</w:t>
      </w:r>
      <w:r>
        <w:rPr>
          <w:rtl/>
        </w:rPr>
        <w:t xml:space="preserve"> לשון שניתן להבינה לשני פנים, שממנה ניתן לחלץ שתי גישות שונות. גישה אחת – היא גישת המשיב – תומכת את יתדותיה באמירתו של השופט </w:t>
      </w:r>
      <w:r>
        <w:rPr>
          <w:rFonts w:ascii="Century" w:hAnsi="Century" w:cs="Miriam"/>
          <w:b/>
          <w:spacing w:val="0"/>
          <w:sz w:val="22"/>
          <w:szCs w:val="24"/>
          <w:rtl/>
        </w:rPr>
        <w:t>א' ויתקון</w:t>
      </w:r>
      <w:r>
        <w:rPr>
          <w:rtl/>
        </w:rPr>
        <w:t xml:space="preserve"> כי </w:t>
      </w:r>
      <w:r>
        <w:rPr>
          <w:rFonts w:ascii="Century" w:hAnsi="Century" w:cs="Miriam"/>
          <w:b/>
          <w:spacing w:val="0"/>
          <w:sz w:val="22"/>
          <w:szCs w:val="24"/>
          <w:rtl/>
        </w:rPr>
        <w:t>"הדירות [...] הן התמורה"</w:t>
      </w:r>
      <w:r>
        <w:rPr>
          <w:rtl/>
        </w:rPr>
        <w:t xml:space="preserve">, ומתמורה זו יש להפחית אך את </w:t>
      </w:r>
      <w:r>
        <w:rPr>
          <w:rFonts w:ascii="Century" w:hAnsi="Century" w:cs="Miriam"/>
          <w:b/>
          <w:spacing w:val="0"/>
          <w:sz w:val="22"/>
          <w:szCs w:val="24"/>
          <w:rtl/>
        </w:rPr>
        <w:t>"שוויו של החלק במגרש הצמוד אליהן"</w:t>
      </w:r>
      <w:r>
        <w:rPr>
          <w:rtl/>
        </w:rPr>
        <w:t xml:space="preserve"> (שם, בעמוד 124). פירוש דווקני של הדברים הללו, עשוי להוביל למסקנה כי ניתן לחשב את שווי התמורה על-ידי הערכת שווי הדירות הבנויות בגמר הפרויקט, ולהפחית ממנו את שווי הקרקע הצמודה אליהן. ואכן, תפיסה זו אומצה בעבר על-ידי הוועדה (</w:t>
      </w:r>
      <w:proofErr w:type="spellStart"/>
      <w:r>
        <w:rPr>
          <w:rtl/>
        </w:rPr>
        <w:t>עמ"ש</w:t>
      </w:r>
      <w:proofErr w:type="spellEnd"/>
      <w:r>
        <w:rPr>
          <w:rtl/>
        </w:rPr>
        <w:t xml:space="preserve"> (מחוזי חיפה) 134/87 </w:t>
      </w:r>
      <w:r>
        <w:rPr>
          <w:rFonts w:ascii="Century" w:hAnsi="Century" w:cs="Miriam"/>
          <w:b/>
          <w:spacing w:val="0"/>
          <w:sz w:val="22"/>
          <w:szCs w:val="24"/>
          <w:rtl/>
        </w:rPr>
        <w:t>מעוזי רביבים חברה לפתוח ובנין בע"מ נ' מנהל מס שבח מקרקעין חיפה</w:t>
      </w:r>
      <w:r>
        <w:rPr>
          <w:rtl/>
        </w:rPr>
        <w:t xml:space="preserve">, </w:t>
      </w:r>
      <w:proofErr w:type="spellStart"/>
      <w:r>
        <w:rPr>
          <w:rtl/>
        </w:rPr>
        <w:t>פד"א</w:t>
      </w:r>
      <w:proofErr w:type="spellEnd"/>
      <w:r>
        <w:rPr>
          <w:rtl/>
        </w:rPr>
        <w:t xml:space="preserve"> </w:t>
      </w:r>
      <w:proofErr w:type="spellStart"/>
      <w:r>
        <w:rPr>
          <w:rtl/>
        </w:rPr>
        <w:t>יח</w:t>
      </w:r>
      <w:proofErr w:type="spellEnd"/>
      <w:r>
        <w:rPr>
          <w:rtl/>
        </w:rPr>
        <w:t xml:space="preserve"> 451 (1990) (להלן: </w:t>
      </w:r>
      <w:r w:rsidRPr="00AB3182">
        <w:rPr>
          <w:rFonts w:ascii="Century" w:hAnsi="Century"/>
          <w:sz w:val="22"/>
          <w:rtl/>
        </w:rPr>
        <w:t>עניין</w:t>
      </w:r>
      <w:r>
        <w:rPr>
          <w:rFonts w:ascii="Century" w:hAnsi="Century" w:cs="Miriam"/>
          <w:b/>
          <w:spacing w:val="0"/>
          <w:sz w:val="22"/>
          <w:szCs w:val="24"/>
          <w:rtl/>
        </w:rPr>
        <w:t xml:space="preserve"> מעוזי רביבים</w:t>
      </w:r>
      <w:r>
        <w:rPr>
          <w:rtl/>
        </w:rPr>
        <w:t xml:space="preserve">)), ובהתבסס עליה פורסמה גם הוראת ביצוע של רשויות המס, שלפיה יש להעריך את שווי התמורה בדרך זו (הוראת ביצוע מס שבח 91/1 "שווי מכירה בעסקת </w:t>
      </w:r>
      <w:r>
        <w:rPr>
          <w:rtl/>
        </w:rPr>
        <w:lastRenderedPageBreak/>
        <w:t xml:space="preserve">קומבינציה" </w:t>
      </w:r>
      <w:r>
        <w:rPr>
          <w:rFonts w:ascii="Century" w:hAnsi="Century" w:cs="Miriam"/>
          <w:b/>
          <w:spacing w:val="0"/>
          <w:sz w:val="22"/>
          <w:szCs w:val="24"/>
          <w:rtl/>
        </w:rPr>
        <w:t>מיסים</w:t>
      </w:r>
      <w:r>
        <w:rPr>
          <w:rtl/>
        </w:rPr>
        <w:t xml:space="preserve"> ה(1) ג-107 (9.1.1991) (להלן: </w:t>
      </w:r>
      <w:r>
        <w:rPr>
          <w:rFonts w:ascii="Century" w:hAnsi="Century" w:cs="Miriam"/>
          <w:b/>
          <w:spacing w:val="0"/>
          <w:sz w:val="22"/>
          <w:szCs w:val="24"/>
          <w:rtl/>
        </w:rPr>
        <w:t>הוראת ביצוע 91/1</w:t>
      </w:r>
      <w:r>
        <w:rPr>
          <w:rtl/>
        </w:rPr>
        <w:t>)), היא הוראת ביצוע קודמת להוראת הביצוע 23/98).</w:t>
      </w:r>
    </w:p>
    <w:p w14:paraId="6142C4C2" w14:textId="77777777" w:rsidR="00593A8B" w:rsidRDefault="00593A8B" w:rsidP="000035F9">
      <w:pPr>
        <w:pStyle w:val="Ruller41"/>
        <w:spacing w:line="240" w:lineRule="auto"/>
        <w:rPr>
          <w:rtl/>
        </w:rPr>
      </w:pPr>
    </w:p>
    <w:p w14:paraId="5983226A" w14:textId="77777777" w:rsidR="00593A8B" w:rsidRDefault="00593A8B" w:rsidP="00593A8B">
      <w:pPr>
        <w:pStyle w:val="Ruller4"/>
        <w:numPr>
          <w:ilvl w:val="0"/>
          <w:numId w:val="18"/>
        </w:numPr>
        <w:tabs>
          <w:tab w:val="num" w:pos="907"/>
        </w:tabs>
        <w:ind w:left="0"/>
        <w:textAlignment w:val="auto"/>
      </w:pPr>
      <w:r>
        <w:rPr>
          <w:rtl/>
        </w:rPr>
        <w:t xml:space="preserve">גישה אחרת – שהמערערים מצדדים בה – גורסת כי </w:t>
      </w:r>
      <w:r>
        <w:rPr>
          <w:rFonts w:ascii="Century" w:hAnsi="Century" w:cs="Miriam"/>
          <w:b/>
          <w:spacing w:val="0"/>
          <w:sz w:val="22"/>
          <w:szCs w:val="24"/>
          <w:rtl/>
        </w:rPr>
        <w:t>"בעניין</w:t>
      </w:r>
      <w:r>
        <w:rPr>
          <w:rtl/>
        </w:rPr>
        <w:t xml:space="preserve"> </w:t>
      </w:r>
      <w:r>
        <w:rPr>
          <w:rFonts w:ascii="Century" w:hAnsi="Century" w:cs="Miriam"/>
          <w:b/>
          <w:spacing w:val="0"/>
          <w:sz w:val="22"/>
          <w:szCs w:val="24"/>
          <w:rtl/>
        </w:rPr>
        <w:t>האחים</w:t>
      </w:r>
      <w:r>
        <w:rPr>
          <w:rtl/>
        </w:rPr>
        <w:t xml:space="preserve"> </w:t>
      </w:r>
      <w:r>
        <w:rPr>
          <w:rFonts w:ascii="Century" w:hAnsi="Century" w:cs="Miriam"/>
          <w:b/>
          <w:spacing w:val="0"/>
          <w:sz w:val="22"/>
          <w:szCs w:val="24"/>
          <w:rtl/>
        </w:rPr>
        <w:t>ברקאי</w:t>
      </w:r>
      <w:r>
        <w:rPr>
          <w:rtl/>
        </w:rPr>
        <w:t xml:space="preserve"> </w:t>
      </w:r>
      <w:r>
        <w:rPr>
          <w:rFonts w:ascii="Century" w:hAnsi="Century" w:cs="Miriam"/>
          <w:b/>
          <w:spacing w:val="0"/>
          <w:sz w:val="22"/>
          <w:szCs w:val="24"/>
          <w:rtl/>
        </w:rPr>
        <w:t>קבע בית-המשפט העליון את העיקרון שאין התמורה כוללת את מרכיב הקרקע, אך הוא לא הכריע בשאלה כיצד מודדים (מכמתים) תמורה זו"</w:t>
      </w:r>
      <w:r>
        <w:rPr>
          <w:rtl/>
        </w:rPr>
        <w:t xml:space="preserve"> (</w:t>
      </w:r>
      <w:r>
        <w:rPr>
          <w:rFonts w:ascii="Century" w:hAnsi="Century" w:cs="Miriam"/>
          <w:b/>
          <w:spacing w:val="0"/>
          <w:szCs w:val="24"/>
          <w:rtl/>
        </w:rPr>
        <w:t>הדרי, מיסוי מקרקעין</w:t>
      </w:r>
      <w:r>
        <w:rPr>
          <w:rtl/>
        </w:rPr>
        <w:t>, בעמוד 153). בהמשך, נאחזת גישה זו בהבחנה העקרונית בין עסקת קומבינציה של מכר מלא, לבין עסקה בדרך של מכר חלקי, וגוזרת את המסקנה כי בתמורה לרכישת זכויותיו במקרקעין מספק הקבלן-היזם את השירותים הנדרשים לבניית דירות התמורה, ותו לא. במעמד חתימת העסקה, הוא מועד הטלת המס, לא זו בלבד שלא בא לעולם רווח כלשהו מהמיזם בכללותו, הרי שגם לא קמה לו לקבלן-היזם ציפייה להפיק רווח יזמי מחלק המקרקעין של בעל המקרקעין. מכאן שאין להביאו בחשבון כחלק מהתמורה, וממילא אין לחשבו גם לצרכי מס (</w:t>
      </w:r>
      <w:r>
        <w:rPr>
          <w:rFonts w:ascii="Century" w:hAnsi="Century" w:cs="Miriam"/>
          <w:b/>
          <w:spacing w:val="0"/>
          <w:sz w:val="22"/>
          <w:szCs w:val="24"/>
          <w:rtl/>
        </w:rPr>
        <w:t>הדרי</w:t>
      </w:r>
      <w:r>
        <w:rPr>
          <w:rtl/>
        </w:rPr>
        <w:t xml:space="preserve">, בעמודים 155-154; </w:t>
      </w:r>
      <w:proofErr w:type="spellStart"/>
      <w:r>
        <w:rPr>
          <w:rFonts w:ascii="Century" w:hAnsi="Century" w:cs="Miriam"/>
          <w:b/>
          <w:spacing w:val="0"/>
          <w:sz w:val="22"/>
          <w:szCs w:val="24"/>
          <w:rtl/>
        </w:rPr>
        <w:t>נמדר</w:t>
      </w:r>
      <w:proofErr w:type="spellEnd"/>
      <w:r>
        <w:rPr>
          <w:rtl/>
        </w:rPr>
        <w:t xml:space="preserve">, בעמודים 272-270; </w:t>
      </w:r>
      <w:r>
        <w:rPr>
          <w:rFonts w:ascii="Century" w:hAnsi="Century" w:cs="Miriam"/>
          <w:b/>
          <w:spacing w:val="0"/>
          <w:sz w:val="22"/>
          <w:szCs w:val="24"/>
          <w:rtl/>
        </w:rPr>
        <w:t>סרוסי</w:t>
      </w:r>
      <w:r>
        <w:rPr>
          <w:rtl/>
        </w:rPr>
        <w:t xml:space="preserve">, בעמודים 433-429; </w:t>
      </w:r>
      <w:proofErr w:type="spellStart"/>
      <w:r>
        <w:rPr>
          <w:rFonts w:ascii="Century" w:hAnsi="Century" w:cs="Miriam"/>
          <w:b/>
          <w:spacing w:val="0"/>
          <w:sz w:val="22"/>
          <w:szCs w:val="24"/>
          <w:rtl/>
        </w:rPr>
        <w:t>אלקינס</w:t>
      </w:r>
      <w:proofErr w:type="spellEnd"/>
      <w:r>
        <w:rPr>
          <w:rtl/>
        </w:rPr>
        <w:t xml:space="preserve">, בעמודים 272-271; </w:t>
      </w:r>
      <w:proofErr w:type="spellStart"/>
      <w:r>
        <w:rPr>
          <w:rFonts w:ascii="Century" w:hAnsi="Century" w:cs="Miriam"/>
          <w:b/>
          <w:spacing w:val="0"/>
          <w:sz w:val="22"/>
          <w:szCs w:val="24"/>
          <w:rtl/>
        </w:rPr>
        <w:t>אדרעי</w:t>
      </w:r>
      <w:proofErr w:type="spellEnd"/>
      <w:r>
        <w:rPr>
          <w:rtl/>
        </w:rPr>
        <w:t xml:space="preserve">, בעמוד 157; </w:t>
      </w:r>
      <w:r>
        <w:rPr>
          <w:rFonts w:ascii="Century" w:hAnsi="Century" w:cs="Miriam"/>
          <w:b/>
          <w:spacing w:val="0"/>
          <w:sz w:val="22"/>
          <w:szCs w:val="24"/>
          <w:rtl/>
        </w:rPr>
        <w:t>רובינשטיין</w:t>
      </w:r>
      <w:r>
        <w:rPr>
          <w:rtl/>
        </w:rPr>
        <w:t xml:space="preserve">, בעמוד 4; יחזקאל </w:t>
      </w:r>
      <w:proofErr w:type="spellStart"/>
      <w:r>
        <w:rPr>
          <w:rtl/>
        </w:rPr>
        <w:t>פלומין</w:t>
      </w:r>
      <w:proofErr w:type="spellEnd"/>
      <w:r>
        <w:rPr>
          <w:rtl/>
        </w:rPr>
        <w:t xml:space="preserve"> "ועוד על עסקת הקומבינציה" </w:t>
      </w:r>
      <w:r>
        <w:rPr>
          <w:rFonts w:ascii="Century" w:hAnsi="Century" w:cs="Miriam"/>
          <w:b/>
          <w:spacing w:val="0"/>
          <w:sz w:val="22"/>
          <w:szCs w:val="24"/>
          <w:rtl/>
        </w:rPr>
        <w:t>מיסים</w:t>
      </w:r>
      <w:r>
        <w:rPr>
          <w:rtl/>
        </w:rPr>
        <w:t xml:space="preserve"> י(5) א-1 (1996); אברהם אלתר "חסל סדר 'עסקאות קומבינציה'" </w:t>
      </w:r>
      <w:r>
        <w:rPr>
          <w:rFonts w:ascii="Century" w:hAnsi="Century" w:cs="Miriam"/>
          <w:b/>
          <w:spacing w:val="0"/>
          <w:sz w:val="22"/>
          <w:szCs w:val="24"/>
          <w:rtl/>
        </w:rPr>
        <w:t>מיסים</w:t>
      </w:r>
      <w:r>
        <w:rPr>
          <w:rtl/>
        </w:rPr>
        <w:t xml:space="preserve"> ט(2) א-88 (1995)).</w:t>
      </w:r>
    </w:p>
    <w:p w14:paraId="16CC117B" w14:textId="77777777" w:rsidR="00593A8B" w:rsidRDefault="00593A8B" w:rsidP="000035F9">
      <w:pPr>
        <w:pStyle w:val="Ruller41"/>
        <w:spacing w:line="240" w:lineRule="auto"/>
        <w:rPr>
          <w:rtl/>
        </w:rPr>
      </w:pPr>
    </w:p>
    <w:p w14:paraId="2DC74E69" w14:textId="77777777" w:rsidR="00593A8B" w:rsidRDefault="00593A8B" w:rsidP="00593A8B">
      <w:pPr>
        <w:pStyle w:val="Ruller4"/>
        <w:numPr>
          <w:ilvl w:val="0"/>
          <w:numId w:val="18"/>
        </w:numPr>
        <w:tabs>
          <w:tab w:val="num" w:pos="907"/>
        </w:tabs>
        <w:ind w:left="0"/>
        <w:textAlignment w:val="auto"/>
        <w:rPr>
          <w:rtl/>
        </w:rPr>
      </w:pPr>
      <w:r>
        <w:rPr>
          <w:rtl/>
        </w:rPr>
        <w:t xml:space="preserve">מבין שתי הגישות, דעתי היא שיש לבכּר את הגישה </w:t>
      </w:r>
      <w:proofErr w:type="spellStart"/>
      <w:r>
        <w:rPr>
          <w:rtl/>
        </w:rPr>
        <w:t>השניה</w:t>
      </w:r>
      <w:proofErr w:type="spellEnd"/>
      <w:r>
        <w:rPr>
          <w:rtl/>
        </w:rPr>
        <w:t xml:space="preserve">. גם אם ניתן לקרוא בעניין </w:t>
      </w:r>
      <w:r>
        <w:rPr>
          <w:rFonts w:ascii="Century" w:hAnsi="Century" w:cs="Miriam"/>
          <w:b/>
          <w:spacing w:val="0"/>
          <w:sz w:val="22"/>
          <w:szCs w:val="24"/>
          <w:rtl/>
        </w:rPr>
        <w:t>ברקאי</w:t>
      </w:r>
      <w:r>
        <w:rPr>
          <w:rtl/>
        </w:rPr>
        <w:t xml:space="preserve"> פנים לכאן ולכאן, הרי שההלכה הפסוקה שבאה בעקבותיה שבה וחזרה על ההלכה הידועה לנו מקדמת דנא, כי שווי התמורה הריהו </w:t>
      </w:r>
      <w:r>
        <w:rPr>
          <w:rFonts w:ascii="Century" w:hAnsi="Century" w:cs="Miriam"/>
          <w:b/>
          <w:spacing w:val="0"/>
          <w:sz w:val="22"/>
          <w:szCs w:val="24"/>
          <w:rtl/>
        </w:rPr>
        <w:t>שווי שירותי הבניה</w:t>
      </w:r>
      <w:r>
        <w:rPr>
          <w:rtl/>
        </w:rPr>
        <w:t xml:space="preserve"> שצפויים להינתן לבעל המקרקעין – ולא 'הדירות' (עניין </w:t>
      </w:r>
      <w:proofErr w:type="spellStart"/>
      <w:r>
        <w:rPr>
          <w:rFonts w:ascii="Century" w:hAnsi="Century" w:cs="Miriam"/>
          <w:b/>
          <w:spacing w:val="0"/>
          <w:sz w:val="22"/>
          <w:szCs w:val="24"/>
          <w:rtl/>
        </w:rPr>
        <w:t>חנין</w:t>
      </w:r>
      <w:proofErr w:type="spellEnd"/>
      <w:r>
        <w:rPr>
          <w:rtl/>
        </w:rPr>
        <w:t xml:space="preserve">, פסקה 3; עניין </w:t>
      </w:r>
      <w:r>
        <w:rPr>
          <w:rFonts w:ascii="Century" w:hAnsi="Century" w:cs="Miriam"/>
          <w:b/>
          <w:spacing w:val="0"/>
          <w:sz w:val="22"/>
          <w:szCs w:val="24"/>
          <w:rtl/>
        </w:rPr>
        <w:t>כספי</w:t>
      </w:r>
      <w:r>
        <w:rPr>
          <w:rtl/>
        </w:rPr>
        <w:t xml:space="preserve">, פסקה ט"ו; עניין </w:t>
      </w:r>
      <w:r>
        <w:rPr>
          <w:rFonts w:ascii="Century" w:hAnsi="Century" w:cs="Miriam"/>
          <w:b/>
          <w:spacing w:val="0"/>
          <w:sz w:val="22"/>
          <w:szCs w:val="24"/>
          <w:rtl/>
        </w:rPr>
        <w:t>טובי</w:t>
      </w:r>
      <w:r>
        <w:rPr>
          <w:rtl/>
        </w:rPr>
        <w:t xml:space="preserve">, בעמודים 125 ו-137; עניין </w:t>
      </w:r>
      <w:r>
        <w:rPr>
          <w:rFonts w:ascii="Century" w:hAnsi="Century" w:cs="Miriam"/>
          <w:b/>
          <w:spacing w:val="0"/>
          <w:sz w:val="22"/>
          <w:szCs w:val="24"/>
          <w:rtl/>
        </w:rPr>
        <w:t>שדמי</w:t>
      </w:r>
      <w:r>
        <w:rPr>
          <w:rtl/>
        </w:rPr>
        <w:t xml:space="preserve">, בעמוד 809; עניין </w:t>
      </w:r>
      <w:r>
        <w:rPr>
          <w:rFonts w:ascii="Century" w:hAnsi="Century" w:cs="Miriam"/>
          <w:b/>
          <w:spacing w:val="0"/>
          <w:sz w:val="22"/>
          <w:szCs w:val="24"/>
          <w:rtl/>
        </w:rPr>
        <w:t>אלירם</w:t>
      </w:r>
      <w:r>
        <w:rPr>
          <w:rtl/>
        </w:rPr>
        <w:t xml:space="preserve">, פסקה 10; עניין </w:t>
      </w:r>
      <w:r>
        <w:rPr>
          <w:rFonts w:ascii="Century" w:hAnsi="Century" w:cs="Miriam"/>
          <w:b/>
          <w:spacing w:val="0"/>
          <w:sz w:val="22"/>
          <w:szCs w:val="24"/>
          <w:rtl/>
        </w:rPr>
        <w:t>אופיר</w:t>
      </w:r>
      <w:r>
        <w:rPr>
          <w:rtl/>
        </w:rPr>
        <w:t xml:space="preserve">, בעמוד 511; עניין </w:t>
      </w:r>
      <w:proofErr w:type="spellStart"/>
      <w:r>
        <w:rPr>
          <w:rFonts w:ascii="Century" w:hAnsi="Century" w:cs="Miriam"/>
          <w:b/>
          <w:spacing w:val="0"/>
          <w:sz w:val="22"/>
          <w:szCs w:val="24"/>
          <w:rtl/>
        </w:rPr>
        <w:t>יוניזדה</w:t>
      </w:r>
      <w:proofErr w:type="spellEnd"/>
      <w:r>
        <w:rPr>
          <w:rtl/>
        </w:rPr>
        <w:t xml:space="preserve">, בעמוד 199; ע"א 3678/13 </w:t>
      </w:r>
      <w:r>
        <w:rPr>
          <w:rFonts w:ascii="Century" w:hAnsi="Century" w:cs="Miriam"/>
          <w:b/>
          <w:spacing w:val="0"/>
          <w:sz w:val="22"/>
          <w:szCs w:val="24"/>
          <w:rtl/>
        </w:rPr>
        <w:t xml:space="preserve">פרידמן </w:t>
      </w:r>
      <w:proofErr w:type="spellStart"/>
      <w:r>
        <w:rPr>
          <w:rFonts w:ascii="Century" w:hAnsi="Century" w:cs="Miriam"/>
          <w:b/>
          <w:spacing w:val="0"/>
          <w:sz w:val="22"/>
          <w:szCs w:val="24"/>
          <w:rtl/>
        </w:rPr>
        <w:t>חכשורי</w:t>
      </w:r>
      <w:proofErr w:type="spellEnd"/>
      <w:r>
        <w:rPr>
          <w:rFonts w:ascii="Century" w:hAnsi="Century" w:cs="Miriam"/>
          <w:b/>
          <w:spacing w:val="0"/>
          <w:sz w:val="22"/>
          <w:szCs w:val="24"/>
          <w:rtl/>
        </w:rPr>
        <w:t xml:space="preserve"> חברה להנדסה ולבניה בע"מ נ' מנהל מס ערך מוסף</w:t>
      </w:r>
      <w:r>
        <w:rPr>
          <w:rtl/>
        </w:rPr>
        <w:t xml:space="preserve">, פסקה 27 (16.9.2014); ע"א 10793/08 </w:t>
      </w:r>
      <w:r>
        <w:rPr>
          <w:rFonts w:ascii="Century" w:hAnsi="Century" w:cs="Miriam"/>
          <w:b/>
          <w:spacing w:val="0"/>
          <w:sz w:val="22"/>
          <w:szCs w:val="24"/>
          <w:rtl/>
        </w:rPr>
        <w:t>נאות דברת פיתוח ובניין בע"מ נ' מנהל מיסוי מקרקעין רחובות</w:t>
      </w:r>
      <w:r>
        <w:rPr>
          <w:rtl/>
        </w:rPr>
        <w:t xml:space="preserve">, פסקה 13 (13.02.2012)). הדבר עולה גם מלשון הוראת הביצוע 23/98, המחלקת את שווי התמורה לשני רכיבים עיקריים: </w:t>
      </w:r>
      <w:r>
        <w:rPr>
          <w:rFonts w:ascii="Century" w:hAnsi="Century" w:cs="Miriam"/>
          <w:b/>
          <w:spacing w:val="0"/>
          <w:sz w:val="22"/>
          <w:szCs w:val="24"/>
          <w:rtl/>
        </w:rPr>
        <w:t>"שרותי בניה"</w:t>
      </w:r>
      <w:r>
        <w:rPr>
          <w:rtl/>
        </w:rPr>
        <w:t xml:space="preserve">, שהם התמורה בעין, לצד </w:t>
      </w:r>
      <w:r>
        <w:rPr>
          <w:rFonts w:ascii="Century" w:hAnsi="Century" w:cs="Miriam"/>
          <w:b/>
          <w:spacing w:val="0"/>
          <w:sz w:val="22"/>
          <w:szCs w:val="24"/>
          <w:rtl/>
        </w:rPr>
        <w:t>"תשלומים בכסף או בשווה כסף"</w:t>
      </w:r>
      <w:r>
        <w:rPr>
          <w:rFonts w:ascii="Century" w:hAnsi="Century"/>
          <w:sz w:val="22"/>
          <w:rtl/>
        </w:rPr>
        <w:t>, שהם תמורות במזומ</w:t>
      </w:r>
      <w:r>
        <w:rPr>
          <w:rtl/>
        </w:rPr>
        <w:t xml:space="preserve">ן כחלק מהרכישה, </w:t>
      </w:r>
      <w:r>
        <w:rPr>
          <w:rFonts w:ascii="Century" w:hAnsi="Century"/>
          <w:sz w:val="22"/>
          <w:rtl/>
        </w:rPr>
        <w:t>לשם קיזוז או השלמה</w:t>
      </w:r>
      <w:r>
        <w:rPr>
          <w:rtl/>
        </w:rPr>
        <w:t xml:space="preserve">, </w:t>
      </w:r>
      <w:r>
        <w:rPr>
          <w:rFonts w:ascii="Century" w:hAnsi="Century"/>
          <w:sz w:val="22"/>
          <w:rtl/>
        </w:rPr>
        <w:t>לצד החלפת השירותים והנכסים</w:t>
      </w:r>
      <w:r>
        <w:rPr>
          <w:rtl/>
        </w:rPr>
        <w:t xml:space="preserve"> (שם, בסעיף 2).</w:t>
      </w:r>
    </w:p>
    <w:p w14:paraId="5217EADC" w14:textId="77777777" w:rsidR="00593A8B" w:rsidRDefault="00593A8B" w:rsidP="000035F9">
      <w:pPr>
        <w:pStyle w:val="Ruller41"/>
        <w:spacing w:line="240" w:lineRule="auto"/>
        <w:rPr>
          <w:rtl/>
        </w:rPr>
      </w:pPr>
    </w:p>
    <w:p w14:paraId="7A99D628" w14:textId="77777777" w:rsidR="00593A8B" w:rsidRDefault="00593A8B" w:rsidP="00593A8B">
      <w:pPr>
        <w:pStyle w:val="Ruller4"/>
        <w:numPr>
          <w:ilvl w:val="0"/>
          <w:numId w:val="18"/>
        </w:numPr>
        <w:tabs>
          <w:tab w:val="num" w:pos="907"/>
        </w:tabs>
        <w:ind w:left="0"/>
        <w:textAlignment w:val="auto"/>
        <w:rPr>
          <w:rtl/>
        </w:rPr>
      </w:pPr>
      <w:r>
        <w:rPr>
          <w:rtl/>
        </w:rPr>
        <w:t xml:space="preserve">בהינתן זאת, נמצא כי עמדת המשיב חותרת, הלכה למעשה, תחת ההלכה הפסוקה שהתבססה ברבות השנים, ומיניה וביה תחת הלגיטימיות של מוסד עסקת הקומבינציה על דרך של מכר חלקי. אין לכחד, כפי שצוין לעיל – ניתן להרהר אחר האופן שבו נתפסת עסקת קומבינציה של מכר חלקי. יתכן שמוטב היה אילו דין כל עסקאות הקומבינציה, על סוגיהן, היה זהה. אולם הלכת </w:t>
      </w:r>
      <w:r>
        <w:rPr>
          <w:rFonts w:ascii="Century" w:hAnsi="Century" w:cs="Miriam"/>
          <w:b/>
          <w:spacing w:val="0"/>
          <w:sz w:val="22"/>
          <w:szCs w:val="24"/>
          <w:rtl/>
        </w:rPr>
        <w:t>ברקאי</w:t>
      </w:r>
      <w:r>
        <w:rPr>
          <w:rtl/>
        </w:rPr>
        <w:t xml:space="preserve"> וההלכה הפסוקה </w:t>
      </w:r>
      <w:proofErr w:type="spellStart"/>
      <w:r>
        <w:rPr>
          <w:rtl/>
        </w:rPr>
        <w:lastRenderedPageBreak/>
        <w:t>שנשתרשה</w:t>
      </w:r>
      <w:proofErr w:type="spellEnd"/>
      <w:r>
        <w:rPr>
          <w:rtl/>
        </w:rPr>
        <w:t xml:space="preserve"> בעקבותיה – עומדות על מכונן. הצדדים לא ערערו עליה; גם המחוקק, בחלוף השנים, לא ראה לנכון לשנות ממנה (עניין </w:t>
      </w:r>
      <w:r>
        <w:rPr>
          <w:rFonts w:ascii="Century" w:hAnsi="Century" w:cs="Miriam"/>
          <w:b/>
          <w:spacing w:val="0"/>
          <w:sz w:val="22"/>
          <w:szCs w:val="24"/>
          <w:rtl/>
        </w:rPr>
        <w:t>טובי</w:t>
      </w:r>
      <w:r>
        <w:rPr>
          <w:rtl/>
        </w:rPr>
        <w:t>, בעמודים 127-126). בנסיבות הללו, אינני רואה הצדקה לסטות מהלכה פסוקה זו.</w:t>
      </w:r>
    </w:p>
    <w:p w14:paraId="7AB9AD5F" w14:textId="77777777" w:rsidR="00593A8B" w:rsidRDefault="00593A8B" w:rsidP="000035F9">
      <w:pPr>
        <w:pStyle w:val="Ruller4"/>
        <w:numPr>
          <w:ilvl w:val="0"/>
          <w:numId w:val="0"/>
        </w:numPr>
        <w:spacing w:line="240" w:lineRule="auto"/>
      </w:pPr>
    </w:p>
    <w:p w14:paraId="403D04A1" w14:textId="77777777" w:rsidR="00593A8B" w:rsidRDefault="00593A8B" w:rsidP="00593A8B">
      <w:pPr>
        <w:pStyle w:val="Ruller4"/>
        <w:numPr>
          <w:ilvl w:val="0"/>
          <w:numId w:val="18"/>
        </w:numPr>
        <w:tabs>
          <w:tab w:val="num" w:pos="907"/>
        </w:tabs>
        <w:ind w:left="0"/>
        <w:textAlignment w:val="auto"/>
      </w:pPr>
      <w:r>
        <w:rPr>
          <w:rtl/>
        </w:rPr>
        <w:t xml:space="preserve">אף אם נניח שפסיקתו של בית משפט זה איננה ברורה לחלוטין בלשונה, הרי שהאופן שבו רואים אנו את החליפין בעסקת הקומבינציה של מכר חלקי – ברור, ונטל המס המוטל בגינו – צריך </w:t>
      </w:r>
      <w:proofErr w:type="spellStart"/>
      <w:r>
        <w:rPr>
          <w:rtl/>
        </w:rPr>
        <w:t>להעשות</w:t>
      </w:r>
      <w:proofErr w:type="spellEnd"/>
      <w:r>
        <w:rPr>
          <w:rtl/>
        </w:rPr>
        <w:t xml:space="preserve"> בהתאם להשקפה זו. כפי שהובהר לעיל, על-פי התפיסה הרווחת בהלכה הפסוקה, רואים עסקת קומבינציה של מכר חלקי כעסקה שבה מוכר בעל המקרקעין חלק מזכויותיו בקרקע, </w:t>
      </w:r>
      <w:r>
        <w:rPr>
          <w:rFonts w:ascii="Century" w:hAnsi="Century" w:cs="Miriam"/>
          <w:b/>
          <w:spacing w:val="0"/>
          <w:sz w:val="22"/>
          <w:szCs w:val="24"/>
          <w:rtl/>
        </w:rPr>
        <w:t>לשם בניה ופיתוח של חלק המקרקעין שנותר בידיו</w:t>
      </w:r>
      <w:r>
        <w:rPr>
          <w:rtl/>
        </w:rPr>
        <w:t>. חלק מקרקעין זה – לא נמכר ליזם, ואין לחייב במס שבח ורכישה בגין הבניה עליו. אין חולק: בסופו של דבר מצפה היזם להפיק רווח בגין מכירת דירות לצדדים שלישיים; כך גם בעל המקרקעין, ככל שפניו למכירתן. אולם כל צד מבקש לפתח את חלק המקרקעין שבבעלותו; כל צד נושא בסיכונים ובסיכויים אך ביחס לחלקו-שלו.</w:t>
      </w:r>
    </w:p>
    <w:p w14:paraId="7FE77CB6" w14:textId="77777777" w:rsidR="00593A8B" w:rsidRDefault="00593A8B" w:rsidP="000035F9">
      <w:pPr>
        <w:pStyle w:val="Ruller4"/>
        <w:numPr>
          <w:ilvl w:val="0"/>
          <w:numId w:val="0"/>
        </w:numPr>
        <w:spacing w:line="240" w:lineRule="auto"/>
      </w:pPr>
    </w:p>
    <w:p w14:paraId="6EA8455B" w14:textId="77777777" w:rsidR="00593A8B" w:rsidRDefault="00593A8B" w:rsidP="00593A8B">
      <w:pPr>
        <w:pStyle w:val="Ruller4"/>
        <w:numPr>
          <w:ilvl w:val="0"/>
          <w:numId w:val="18"/>
        </w:numPr>
        <w:tabs>
          <w:tab w:val="num" w:pos="907"/>
        </w:tabs>
        <w:ind w:left="0"/>
        <w:textAlignment w:val="auto"/>
      </w:pPr>
      <w:r>
        <w:rPr>
          <w:rtl/>
        </w:rPr>
        <w:t xml:space="preserve">היזם אינו מצפה אפוא, לרווח ממכירת </w:t>
      </w:r>
      <w:r>
        <w:rPr>
          <w:rFonts w:ascii="Century" w:hAnsi="Century" w:cs="Miriam"/>
          <w:b/>
          <w:spacing w:val="0"/>
          <w:sz w:val="22"/>
          <w:szCs w:val="24"/>
          <w:rtl/>
        </w:rPr>
        <w:t>דירות התמורה</w:t>
      </w:r>
      <w:r>
        <w:rPr>
          <w:rtl/>
        </w:rPr>
        <w:t xml:space="preserve"> לצדדים שלישיים, שכן אלה אינן בבעלותו, ולא היו כן בשום שלב של העסקה. גישה הגורסת שיש להביא בחשבון את הרווח היזמי כחלק מהתמורה, מניחה לכאורה, כי כביכול החזיק היזם בשלב כלשהו של העסקה בזכות לרווח היזמי הצפוי </w:t>
      </w:r>
      <w:r>
        <w:rPr>
          <w:rFonts w:ascii="Century" w:hAnsi="Century" w:cs="Miriam"/>
          <w:b/>
          <w:spacing w:val="0"/>
          <w:sz w:val="22"/>
          <w:szCs w:val="24"/>
          <w:rtl/>
        </w:rPr>
        <w:t>מדירות התמורה</w:t>
      </w:r>
      <w:r>
        <w:rPr>
          <w:rtl/>
        </w:rPr>
        <w:t xml:space="preserve">, ונתן אותו לבעל המקרקעין כחלק מהעסקה. פשיטא כי אין בסיס להנחה שכזו, אשר למעשה מייחסת לצדדים </w:t>
      </w:r>
      <w:r>
        <w:rPr>
          <w:rFonts w:ascii="Century" w:hAnsi="Century" w:cs="Miriam"/>
          <w:b/>
          <w:spacing w:val="0"/>
          <w:sz w:val="22"/>
          <w:szCs w:val="24"/>
          <w:rtl/>
        </w:rPr>
        <w:t>"עסקה שלא עשו ולא התכוונו לעשות"</w:t>
      </w:r>
      <w:r>
        <w:rPr>
          <w:rtl/>
        </w:rPr>
        <w:t xml:space="preserve"> (עניין </w:t>
      </w:r>
      <w:r>
        <w:rPr>
          <w:rFonts w:ascii="Century" w:hAnsi="Century" w:cs="Miriam"/>
          <w:b/>
          <w:spacing w:val="0"/>
          <w:sz w:val="22"/>
          <w:szCs w:val="24"/>
          <w:rtl/>
        </w:rPr>
        <w:t>ברקאי</w:t>
      </w:r>
      <w:r>
        <w:rPr>
          <w:rtl/>
        </w:rPr>
        <w:t>, בעמוד 125).</w:t>
      </w:r>
    </w:p>
    <w:p w14:paraId="48799BFC" w14:textId="77777777" w:rsidR="00593A8B" w:rsidRDefault="00593A8B" w:rsidP="00593A8B">
      <w:pPr>
        <w:pStyle w:val="Ruller41"/>
        <w:rPr>
          <w:rtl/>
        </w:rPr>
      </w:pPr>
    </w:p>
    <w:p w14:paraId="7C61E9FC"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הוראת הביצוע</w:t>
      </w:r>
    </w:p>
    <w:p w14:paraId="535A67C6" w14:textId="77777777" w:rsidR="00593A8B" w:rsidRDefault="00593A8B" w:rsidP="00593A8B">
      <w:pPr>
        <w:pStyle w:val="Ruller4"/>
        <w:numPr>
          <w:ilvl w:val="0"/>
          <w:numId w:val="18"/>
        </w:numPr>
        <w:tabs>
          <w:tab w:val="num" w:pos="907"/>
        </w:tabs>
        <w:ind w:left="0"/>
        <w:textAlignment w:val="auto"/>
        <w:rPr>
          <w:rtl/>
        </w:rPr>
      </w:pPr>
      <w:r>
        <w:rPr>
          <w:rtl/>
        </w:rPr>
        <w:t xml:space="preserve">טרם חתימה, שומה להתייחס ללשון הוראת הביצוע 23/98, שעל פני הדברים אינה מתיישבת עם גישתו של מי מהצדדים. על-פי לשונה, במסגרת חישוב שווי השוק של שירותי הבניה יש להביא בחשבון תוספת בגין </w:t>
      </w:r>
      <w:r>
        <w:rPr>
          <w:rFonts w:ascii="Century" w:hAnsi="Century" w:cs="Miriam"/>
          <w:b/>
          <w:spacing w:val="0"/>
          <w:sz w:val="22"/>
          <w:szCs w:val="24"/>
          <w:rtl/>
        </w:rPr>
        <w:t>"רווח קבלני סביר (20%-15%)"</w:t>
      </w:r>
      <w:r>
        <w:rPr>
          <w:rtl/>
        </w:rPr>
        <w:t xml:space="preserve"> (שם, סעיף 2(א)(3)). נראה כי כל צד מבקש </w:t>
      </w:r>
      <w:proofErr w:type="spellStart"/>
      <w:r>
        <w:rPr>
          <w:rtl/>
        </w:rPr>
        <w:t>להאחז</w:t>
      </w:r>
      <w:proofErr w:type="spellEnd"/>
      <w:r>
        <w:rPr>
          <w:rtl/>
        </w:rPr>
        <w:t xml:space="preserve"> בחצי מביטוי זה: המערערים מדגישים כי עסקינן ברווח </w:t>
      </w:r>
      <w:r>
        <w:rPr>
          <w:rFonts w:ascii="Century" w:hAnsi="Century" w:cs="Miriam"/>
          <w:b/>
          <w:spacing w:val="0"/>
          <w:sz w:val="22"/>
          <w:szCs w:val="24"/>
          <w:rtl/>
        </w:rPr>
        <w:t>קבלני</w:t>
      </w:r>
      <w:r>
        <w:rPr>
          <w:rFonts w:ascii="Century" w:hAnsi="Century"/>
          <w:sz w:val="22"/>
          <w:rtl/>
        </w:rPr>
        <w:t xml:space="preserve">, כאשר שני הצדדים מסכימים כי הוא מגיע לכל היותר לאחוזים בודדים בלבד. לעומת זאת, סבור המשיב כי העיקר טמון בסוגריים, הוא טווח אחוז התוספת הנקוב. לדבריו, השימוש בדיבור </w:t>
      </w:r>
      <w:r>
        <w:rPr>
          <w:rFonts w:ascii="Century" w:hAnsi="Century" w:cs="Miriam"/>
          <w:b/>
          <w:spacing w:val="0"/>
          <w:sz w:val="22"/>
          <w:szCs w:val="24"/>
          <w:rtl/>
        </w:rPr>
        <w:t>"קבלני"</w:t>
      </w:r>
      <w:r>
        <w:rPr>
          <w:rFonts w:ascii="Century" w:hAnsi="Century"/>
          <w:sz w:val="22"/>
          <w:rtl/>
        </w:rPr>
        <w:t xml:space="preserve"> אינו עומד בסתירה לעמדתו, משום שזה נעשה לפי </w:t>
      </w:r>
      <w:r>
        <w:rPr>
          <w:rtl/>
        </w:rPr>
        <w:t>הנהוג בשוק בשלהי שנות ה-90 – כאשר קבלנים חבשו לראשם שני 'כובעים', ומילאו הן את תפקיד היזם, הן את תפקיד קבלן-הביצוע.</w:t>
      </w:r>
    </w:p>
    <w:p w14:paraId="4E4C0141" w14:textId="77777777" w:rsidR="00593A8B" w:rsidRDefault="00593A8B" w:rsidP="00593A8B">
      <w:pPr>
        <w:pStyle w:val="Ruller41"/>
        <w:spacing w:line="240" w:lineRule="auto"/>
        <w:rPr>
          <w:rtl/>
        </w:rPr>
      </w:pPr>
    </w:p>
    <w:p w14:paraId="54D8EAC9" w14:textId="77777777" w:rsidR="00593A8B" w:rsidRDefault="00593A8B" w:rsidP="00593A8B">
      <w:pPr>
        <w:pStyle w:val="Ruller4"/>
        <w:numPr>
          <w:ilvl w:val="0"/>
          <w:numId w:val="18"/>
        </w:numPr>
        <w:tabs>
          <w:tab w:val="num" w:pos="907"/>
        </w:tabs>
        <w:ind w:left="0"/>
        <w:textAlignment w:val="auto"/>
        <w:rPr>
          <w:rtl/>
        </w:rPr>
      </w:pPr>
      <w:r>
        <w:rPr>
          <w:rtl/>
        </w:rPr>
        <w:t xml:space="preserve">ספק אם הניתוח ההיסטורי לגבי הורתה ולידתה של הוראת הביצוע, כפי שהציגוֹ המשיב, אכן נאמן למציאות. חלק מן המלומדים בספרות המשפטית מציגים את סיפור המעשה באופן שונה. כעולה מדבריהם, הוראת ביצוע 23/98 נועדה לתקן את הוראת </w:t>
      </w:r>
      <w:r>
        <w:rPr>
          <w:rtl/>
        </w:rPr>
        <w:lastRenderedPageBreak/>
        <w:t xml:space="preserve">ביצוע 91/1, שנסמכה כאמור על עניין </w:t>
      </w:r>
      <w:r>
        <w:rPr>
          <w:rFonts w:ascii="Century" w:hAnsi="Century" w:cs="Miriam"/>
          <w:b/>
          <w:spacing w:val="0"/>
          <w:sz w:val="22"/>
          <w:szCs w:val="24"/>
          <w:rtl/>
        </w:rPr>
        <w:t>מעוזי רביבים</w:t>
      </w:r>
      <w:r>
        <w:rPr>
          <w:rtl/>
        </w:rPr>
        <w:t xml:space="preserve">, בין השאר משום שהתברר לרשויות המס כי באותו עניין הובא בחשבון רכיב הרווח היזמי, אך זאת שלא בצדק (ראו למשל: </w:t>
      </w:r>
      <w:proofErr w:type="spellStart"/>
      <w:r>
        <w:rPr>
          <w:rFonts w:ascii="Century" w:hAnsi="Century" w:cs="Miriam"/>
          <w:b/>
          <w:spacing w:val="0"/>
          <w:sz w:val="22"/>
          <w:szCs w:val="24"/>
          <w:rtl/>
        </w:rPr>
        <w:t>נמדר</w:t>
      </w:r>
      <w:proofErr w:type="spellEnd"/>
      <w:r>
        <w:rPr>
          <w:rtl/>
        </w:rPr>
        <w:t xml:space="preserve">, בעמודים 272-271; </w:t>
      </w:r>
      <w:r>
        <w:rPr>
          <w:rFonts w:ascii="Century" w:hAnsi="Century" w:cs="Miriam"/>
          <w:b/>
          <w:spacing w:val="0"/>
          <w:sz w:val="22"/>
          <w:szCs w:val="24"/>
          <w:rtl/>
        </w:rPr>
        <w:t>סרוסי</w:t>
      </w:r>
      <w:r>
        <w:rPr>
          <w:rtl/>
        </w:rPr>
        <w:t xml:space="preserve">, בעמודים 432-431; יחזקאל </w:t>
      </w:r>
      <w:proofErr w:type="spellStart"/>
      <w:r>
        <w:rPr>
          <w:rtl/>
        </w:rPr>
        <w:t>פלומין</w:t>
      </w:r>
      <w:proofErr w:type="spellEnd"/>
      <w:r>
        <w:rPr>
          <w:rtl/>
        </w:rPr>
        <w:t xml:space="preserve"> "בעקבות </w:t>
      </w:r>
      <w:proofErr w:type="spellStart"/>
      <w:r>
        <w:rPr>
          <w:rtl/>
        </w:rPr>
        <w:t>אישרור</w:t>
      </w:r>
      <w:proofErr w:type="spellEnd"/>
      <w:r>
        <w:rPr>
          <w:rtl/>
        </w:rPr>
        <w:t xml:space="preserve"> הלכת </w:t>
      </w:r>
      <w:proofErr w:type="spellStart"/>
      <w:r>
        <w:rPr>
          <w:rtl/>
        </w:rPr>
        <w:t>יוניזדה</w:t>
      </w:r>
      <w:proofErr w:type="spellEnd"/>
      <w:r>
        <w:rPr>
          <w:rtl/>
        </w:rPr>
        <w:t xml:space="preserve">" </w:t>
      </w:r>
      <w:r>
        <w:rPr>
          <w:rFonts w:ascii="Century" w:hAnsi="Century" w:cs="Miriam"/>
          <w:b/>
          <w:spacing w:val="0"/>
          <w:sz w:val="22"/>
          <w:szCs w:val="24"/>
          <w:rtl/>
        </w:rPr>
        <w:t>מיסים</w:t>
      </w:r>
      <w:r>
        <w:rPr>
          <w:rtl/>
        </w:rPr>
        <w:t xml:space="preserve"> </w:t>
      </w:r>
      <w:proofErr w:type="spellStart"/>
      <w:r>
        <w:rPr>
          <w:rtl/>
        </w:rPr>
        <w:t>יז</w:t>
      </w:r>
      <w:proofErr w:type="spellEnd"/>
      <w:r>
        <w:rPr>
          <w:rtl/>
        </w:rPr>
        <w:t>(5) א-1 (2003)).</w:t>
      </w:r>
    </w:p>
    <w:p w14:paraId="20B4087F" w14:textId="77777777" w:rsidR="00593A8B" w:rsidRDefault="00593A8B" w:rsidP="00593A8B">
      <w:pPr>
        <w:pStyle w:val="Ruller41"/>
        <w:spacing w:line="240" w:lineRule="auto"/>
        <w:rPr>
          <w:rtl/>
        </w:rPr>
      </w:pPr>
    </w:p>
    <w:p w14:paraId="35B6C40F" w14:textId="77777777" w:rsidR="00593A8B" w:rsidRDefault="00593A8B" w:rsidP="00593A8B">
      <w:pPr>
        <w:pStyle w:val="Ruller4"/>
        <w:numPr>
          <w:ilvl w:val="0"/>
          <w:numId w:val="18"/>
        </w:numPr>
        <w:tabs>
          <w:tab w:val="num" w:pos="907"/>
        </w:tabs>
        <w:ind w:left="0"/>
        <w:textAlignment w:val="auto"/>
        <w:rPr>
          <w:rtl/>
        </w:rPr>
      </w:pPr>
      <w:r>
        <w:rPr>
          <w:rtl/>
        </w:rPr>
        <w:t xml:space="preserve">מכל מקום, אף אם נלך בשיטת המשיב, ונניח כי הכוונה המקורית </w:t>
      </w:r>
      <w:proofErr w:type="spellStart"/>
      <w:r>
        <w:rPr>
          <w:rtl/>
        </w:rPr>
        <w:t>היתה</w:t>
      </w:r>
      <w:proofErr w:type="spellEnd"/>
      <w:r>
        <w:rPr>
          <w:rtl/>
        </w:rPr>
        <w:t xml:space="preserve"> לכלול בדיבור </w:t>
      </w:r>
      <w:r>
        <w:rPr>
          <w:rFonts w:ascii="Century" w:hAnsi="Century" w:cs="Miriam"/>
          <w:b/>
          <w:spacing w:val="0"/>
          <w:sz w:val="22"/>
          <w:szCs w:val="24"/>
          <w:rtl/>
        </w:rPr>
        <w:t>"רווח קבלני סביר"</w:t>
      </w:r>
      <w:r>
        <w:rPr>
          <w:rtl/>
        </w:rPr>
        <w:t xml:space="preserve"> גם את הרווחים שגורף לכיסו היזם בגין שירותי הייזום, הרי שכך או אחרת, כיום השתנה המצב בשוק, שכן היזמים וקבלני-הביצוע נבדלים זה מזה. משכך, נוכח המסקנה שאליה הגעתי בענייננו כאן, שאין צורך לומר כי על הוראות הביצוע לעלות בקנה אחד עמה (ע"א 256/80 </w:t>
      </w:r>
      <w:r>
        <w:rPr>
          <w:rFonts w:ascii="Century" w:hAnsi="Century" w:cs="Miriam"/>
          <w:b/>
          <w:spacing w:val="0"/>
          <w:sz w:val="22"/>
          <w:szCs w:val="24"/>
          <w:rtl/>
        </w:rPr>
        <w:t>לאוב נ' מנהל מס שבח מקרקעין</w:t>
      </w:r>
      <w:r>
        <w:rPr>
          <w:rtl/>
        </w:rPr>
        <w:t xml:space="preserve">, פ"ד </w:t>
      </w:r>
      <w:proofErr w:type="spellStart"/>
      <w:r>
        <w:rPr>
          <w:rtl/>
        </w:rPr>
        <w:t>לז</w:t>
      </w:r>
      <w:proofErr w:type="spellEnd"/>
      <w:r>
        <w:rPr>
          <w:rtl/>
        </w:rPr>
        <w:t xml:space="preserve">(2) 163, 166 (1983); ע"א 3159/19 </w:t>
      </w:r>
      <w:r>
        <w:rPr>
          <w:rFonts w:ascii="Century" w:hAnsi="Century" w:cs="Miriam"/>
          <w:b/>
          <w:spacing w:val="0"/>
          <w:sz w:val="22"/>
          <w:szCs w:val="24"/>
          <w:rtl/>
        </w:rPr>
        <w:t>אבוחצירא נ' פקיד שומה - היחידה הארצית לשומה</w:t>
      </w:r>
      <w:r>
        <w:rPr>
          <w:rtl/>
        </w:rPr>
        <w:t xml:space="preserve">, פסקה 29 (18.10.2020) (להלן: עניין </w:t>
      </w:r>
      <w:r w:rsidRPr="00AB3182">
        <w:rPr>
          <w:rFonts w:ascii="Century" w:hAnsi="Century" w:cs="Miriam"/>
          <w:b/>
          <w:spacing w:val="0"/>
          <w:sz w:val="22"/>
          <w:szCs w:val="24"/>
          <w:rtl/>
        </w:rPr>
        <w:t>אבוחצירא</w:t>
      </w:r>
      <w:r w:rsidRPr="00AB3182">
        <w:rPr>
          <w:rFonts w:ascii="Century" w:hAnsi="Century"/>
          <w:sz w:val="22"/>
          <w:rtl/>
        </w:rPr>
        <w:t>);</w:t>
      </w:r>
      <w:r>
        <w:rPr>
          <w:rtl/>
        </w:rPr>
        <w:t xml:space="preserve"> </w:t>
      </w:r>
      <w:proofErr w:type="spellStart"/>
      <w:r>
        <w:rPr>
          <w:rFonts w:ascii="Century" w:hAnsi="Century" w:cs="Miriam"/>
          <w:b/>
          <w:spacing w:val="0"/>
          <w:sz w:val="22"/>
          <w:szCs w:val="24"/>
          <w:rtl/>
        </w:rPr>
        <w:t>נמדר</w:t>
      </w:r>
      <w:proofErr w:type="spellEnd"/>
      <w:r>
        <w:rPr>
          <w:rtl/>
        </w:rPr>
        <w:t>, בעמודים 51-50), ומשעה שאין מחלוקת בין הצדדים על כך שרווחם של קבלני הביצוע עומד על אחוזים בודדים בלבד, דומה כי לשונה הנוכחית של הוראת הביצוע 23/98 עלולה להטעות נישומים, ולזמֵן ויכוחים מיותרים, שלא לצורך. טוב יעשו אפוא רשויות המס, אם יבהירו את העניין.</w:t>
      </w:r>
    </w:p>
    <w:p w14:paraId="3F8C37B6" w14:textId="77777777" w:rsidR="00593A8B" w:rsidRDefault="00593A8B" w:rsidP="00593A8B">
      <w:pPr>
        <w:pStyle w:val="Ruller41"/>
        <w:rPr>
          <w:rtl/>
        </w:rPr>
      </w:pPr>
    </w:p>
    <w:p w14:paraId="014206CE"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סוף דבר</w:t>
      </w:r>
    </w:p>
    <w:p w14:paraId="5D0BBD77" w14:textId="77777777" w:rsidR="00593A8B" w:rsidRDefault="00593A8B" w:rsidP="00593A8B">
      <w:pPr>
        <w:pStyle w:val="Ruller4"/>
        <w:numPr>
          <w:ilvl w:val="0"/>
          <w:numId w:val="18"/>
        </w:numPr>
        <w:tabs>
          <w:tab w:val="num" w:pos="907"/>
        </w:tabs>
        <w:ind w:left="0"/>
        <w:textAlignment w:val="auto"/>
        <w:rPr>
          <w:rtl/>
        </w:rPr>
      </w:pPr>
      <w:r>
        <w:rPr>
          <w:rtl/>
        </w:rPr>
        <w:t>נמצאנו למדים, כי במסגרת חישוב התמורה עבור מכר זכויות במקרקעין, בעסקת קומבינציה המבוצעת על דרך של מכר חלקי, לצורך חישוב נטל מס השבח והרכישה, אין להביא בחשבון את הרווח היזמי; הוא הרווח שאותו מצפה היזם להפיק מהמיזם בכללותו, עם מכירת הדירות לצדדים שלישיים.</w:t>
      </w:r>
    </w:p>
    <w:p w14:paraId="267053A7" w14:textId="77777777" w:rsidR="00593A8B" w:rsidRDefault="00593A8B" w:rsidP="00593A8B">
      <w:pPr>
        <w:pStyle w:val="Ruller4"/>
        <w:numPr>
          <w:ilvl w:val="0"/>
          <w:numId w:val="0"/>
        </w:numPr>
        <w:spacing w:line="240" w:lineRule="auto"/>
      </w:pPr>
    </w:p>
    <w:p w14:paraId="3E45EF4E" w14:textId="77777777" w:rsidR="00593A8B" w:rsidRDefault="00593A8B" w:rsidP="00593A8B">
      <w:pPr>
        <w:pStyle w:val="Ruller4"/>
        <w:numPr>
          <w:ilvl w:val="0"/>
          <w:numId w:val="18"/>
        </w:numPr>
        <w:tabs>
          <w:tab w:val="num" w:pos="907"/>
        </w:tabs>
        <w:ind w:left="0"/>
        <w:textAlignment w:val="auto"/>
      </w:pPr>
      <w:r>
        <w:rPr>
          <w:rtl/>
        </w:rPr>
        <w:t xml:space="preserve">בפסק הדין קיבלה הוועדה את קביעתו של השמאי </w:t>
      </w:r>
      <w:proofErr w:type="spellStart"/>
      <w:r>
        <w:rPr>
          <w:rtl/>
        </w:rPr>
        <w:t>בוחניק</w:t>
      </w:r>
      <w:proofErr w:type="spellEnd"/>
      <w:r>
        <w:rPr>
          <w:rtl/>
        </w:rPr>
        <w:t xml:space="preserve"> כי יש להוסיף על עלויות הבניה תוספת של 15% בגין רווח יזמי, בהטעימה כי עסקינן הן ברווח שגובה היזם כשכר טרחה עבור שירותי הייזום, הן ב</w:t>
      </w:r>
      <w:r>
        <w:rPr>
          <w:rFonts w:ascii="Century" w:hAnsi="Century" w:cs="Miriam"/>
          <w:b/>
          <w:spacing w:val="0"/>
          <w:sz w:val="22"/>
          <w:szCs w:val="24"/>
          <w:rtl/>
        </w:rPr>
        <w:t>"רווח היזמי של הפרויקט כולו"</w:t>
      </w:r>
      <w:r>
        <w:rPr>
          <w:rFonts w:ascii="Century" w:hAnsi="Century"/>
          <w:sz w:val="22"/>
          <w:rtl/>
        </w:rPr>
        <w:t xml:space="preserve">. דא עקא, </w:t>
      </w:r>
      <w:r>
        <w:rPr>
          <w:rtl/>
        </w:rPr>
        <w:t xml:space="preserve">עיון </w:t>
      </w:r>
      <w:proofErr w:type="spellStart"/>
      <w:r>
        <w:rPr>
          <w:rtl/>
        </w:rPr>
        <w:t>בחוו"ד</w:t>
      </w:r>
      <w:proofErr w:type="spellEnd"/>
      <w:r>
        <w:rPr>
          <w:rtl/>
        </w:rPr>
        <w:t xml:space="preserve"> </w:t>
      </w:r>
      <w:proofErr w:type="spellStart"/>
      <w:r>
        <w:rPr>
          <w:rtl/>
        </w:rPr>
        <w:t>בוחניק</w:t>
      </w:r>
      <w:proofErr w:type="spellEnd"/>
      <w:r>
        <w:rPr>
          <w:rtl/>
        </w:rPr>
        <w:t xml:space="preserve"> מעלה, כי לשיטתו </w:t>
      </w:r>
      <w:r>
        <w:rPr>
          <w:rFonts w:ascii="Century" w:hAnsi="Century" w:cs="Miriam"/>
          <w:b/>
          <w:spacing w:val="0"/>
          <w:sz w:val="22"/>
          <w:szCs w:val="24"/>
          <w:rtl/>
        </w:rPr>
        <w:t>"הרווח היזמי"</w:t>
      </w:r>
      <w:r>
        <w:rPr>
          <w:rFonts w:ascii="Century" w:hAnsi="Century"/>
          <w:sz w:val="22"/>
          <w:rtl/>
        </w:rPr>
        <w:t xml:space="preserve"> הוא אותו רווח ש</w:t>
      </w:r>
      <w:r>
        <w:rPr>
          <w:rFonts w:ascii="Century" w:hAnsi="Century" w:cs="Miriam"/>
          <w:b/>
          <w:spacing w:val="0"/>
          <w:sz w:val="22"/>
          <w:szCs w:val="24"/>
          <w:rtl/>
        </w:rPr>
        <w:t>"</w:t>
      </w:r>
      <w:r>
        <w:rPr>
          <w:rFonts w:ascii="Century" w:hAnsi="Century" w:cs="Miriam"/>
          <w:b/>
          <w:spacing w:val="0"/>
          <w:szCs w:val="24"/>
          <w:rtl/>
        </w:rPr>
        <w:t>אמור לגבות היזם מהבעלים עבור עבודתו</w:t>
      </w:r>
      <w:r>
        <w:rPr>
          <w:rFonts w:ascii="Century" w:hAnsi="Century" w:cs="Miriam"/>
          <w:b/>
          <w:spacing w:val="0"/>
          <w:sz w:val="22"/>
          <w:szCs w:val="24"/>
          <w:rtl/>
        </w:rPr>
        <w:t>"</w:t>
      </w:r>
      <w:r>
        <w:rPr>
          <w:rtl/>
        </w:rPr>
        <w:t xml:space="preserve">; ומנגד, לפי </w:t>
      </w:r>
      <w:proofErr w:type="spellStart"/>
      <w:r>
        <w:rPr>
          <w:rtl/>
        </w:rPr>
        <w:t>חוו"ד</w:t>
      </w:r>
      <w:proofErr w:type="spellEnd"/>
      <w:r>
        <w:rPr>
          <w:rtl/>
        </w:rPr>
        <w:t xml:space="preserve"> סיון, אין לכלול 'רווח יזמי', </w:t>
      </w:r>
      <w:r>
        <w:rPr>
          <w:rFonts w:ascii="Century" w:hAnsi="Century"/>
          <w:sz w:val="22"/>
          <w:rtl/>
        </w:rPr>
        <w:t xml:space="preserve">בדברו על הרווח שיופק ממכירת </w:t>
      </w:r>
      <w:r>
        <w:rPr>
          <w:rFonts w:ascii="Century" w:hAnsi="Century" w:cs="Miriam"/>
          <w:b/>
          <w:spacing w:val="0"/>
          <w:szCs w:val="24"/>
          <w:rtl/>
        </w:rPr>
        <w:t>"הדירות הגמורות בעוד מספר שנים</w:t>
      </w:r>
      <w:r>
        <w:rPr>
          <w:rFonts w:ascii="Century" w:hAnsi="Century" w:cs="Miriam"/>
          <w:b/>
          <w:spacing w:val="0"/>
          <w:sz w:val="22"/>
          <w:szCs w:val="24"/>
          <w:rtl/>
        </w:rPr>
        <w:t>"</w:t>
      </w:r>
      <w:r>
        <w:rPr>
          <w:rtl/>
        </w:rPr>
        <w:t>.</w:t>
      </w:r>
    </w:p>
    <w:p w14:paraId="1BFA61AC" w14:textId="77777777" w:rsidR="00593A8B" w:rsidRDefault="00593A8B" w:rsidP="00593A8B">
      <w:pPr>
        <w:pStyle w:val="Ruller4"/>
        <w:numPr>
          <w:ilvl w:val="0"/>
          <w:numId w:val="0"/>
        </w:numPr>
        <w:spacing w:line="240" w:lineRule="auto"/>
      </w:pPr>
    </w:p>
    <w:p w14:paraId="6F81D142" w14:textId="77777777" w:rsidR="00593A8B" w:rsidRDefault="00593A8B" w:rsidP="00593A8B">
      <w:pPr>
        <w:pStyle w:val="Ruller4"/>
        <w:numPr>
          <w:ilvl w:val="0"/>
          <w:numId w:val="18"/>
        </w:numPr>
        <w:tabs>
          <w:tab w:val="num" w:pos="907"/>
        </w:tabs>
        <w:ind w:left="0"/>
        <w:textAlignment w:val="auto"/>
      </w:pPr>
      <w:r>
        <w:rPr>
          <w:rtl/>
        </w:rPr>
        <w:t xml:space="preserve">הנה כי כן, </w:t>
      </w:r>
      <w:proofErr w:type="spellStart"/>
      <w:r>
        <w:rPr>
          <w:rtl/>
        </w:rPr>
        <w:t>חוו"ד</w:t>
      </w:r>
      <w:proofErr w:type="spellEnd"/>
      <w:r>
        <w:rPr>
          <w:rtl/>
        </w:rPr>
        <w:t xml:space="preserve"> </w:t>
      </w:r>
      <w:proofErr w:type="spellStart"/>
      <w:r>
        <w:rPr>
          <w:rtl/>
        </w:rPr>
        <w:t>בוחניק</w:t>
      </w:r>
      <w:proofErr w:type="spellEnd"/>
      <w:r>
        <w:rPr>
          <w:rtl/>
        </w:rPr>
        <w:t xml:space="preserve"> התייחסה לרווח שמפיק ספק שירותי הבניה עבור שירותי הייזום, </w:t>
      </w:r>
      <w:proofErr w:type="spellStart"/>
      <w:r>
        <w:rPr>
          <w:rtl/>
        </w:rPr>
        <w:t>חוו"ד</w:t>
      </w:r>
      <w:proofErr w:type="spellEnd"/>
      <w:r>
        <w:rPr>
          <w:rtl/>
        </w:rPr>
        <w:t xml:space="preserve"> סיון הִמשׂיגה את הרווח היזמי כפי שהומשג לעיל, ובפסק הדין עירבה הוועדה בין שני המובנים גם יחד. אמנם, על פני הדברים, השמאי </w:t>
      </w:r>
      <w:proofErr w:type="spellStart"/>
      <w:r>
        <w:rPr>
          <w:rtl/>
        </w:rPr>
        <w:t>בוחניק</w:t>
      </w:r>
      <w:proofErr w:type="spellEnd"/>
      <w:r>
        <w:rPr>
          <w:rtl/>
        </w:rPr>
        <w:t xml:space="preserve"> לא הביא בחשבון את הרווח היזמי, כי אם את הרווח המופק משירותי הייזום בלבד. ברם, בהליכים שלפנינו, בפרט נוכח עמדת הצדדים כי רווחו של קבלן-ביצוע עומד על אחוזים בודדים, נתגלעו בקיעים בקביעה כי רכיב זה מאמיר עד כדי תוספת של 15%. העניין דורש אפוא </w:t>
      </w:r>
      <w:r>
        <w:rPr>
          <w:rtl/>
        </w:rPr>
        <w:lastRenderedPageBreak/>
        <w:t>ליבון במישור העובדתי, ובנסיבות הללו, סבורני כי יש לקבל את הערעור, ולהחזיר את התיק לוועדה לבחינת הדברים, בהתאם לתוצאה שאליה הגענו במישור העקרוני.</w:t>
      </w:r>
    </w:p>
    <w:p w14:paraId="6245BFA5" w14:textId="77777777" w:rsidR="00593A8B" w:rsidRDefault="00593A8B" w:rsidP="00593A8B">
      <w:pPr>
        <w:pStyle w:val="Ruller41"/>
        <w:rPr>
          <w:rtl/>
        </w:rPr>
      </w:pPr>
    </w:p>
    <w:p w14:paraId="48655BF1" w14:textId="77777777" w:rsidR="00593A8B" w:rsidRDefault="00593A8B" w:rsidP="00593A8B">
      <w:pPr>
        <w:pStyle w:val="Ruller41"/>
        <w:rPr>
          <w:rFonts w:ascii="Century" w:hAnsi="Century" w:cs="Miriam"/>
          <w:b/>
          <w:spacing w:val="0"/>
          <w:szCs w:val="24"/>
          <w:rtl/>
        </w:rPr>
      </w:pPr>
      <w:r>
        <w:rPr>
          <w:rFonts w:ascii="Century" w:hAnsi="Century" w:cs="Miriam"/>
          <w:b/>
          <w:spacing w:val="0"/>
          <w:szCs w:val="24"/>
          <w:rtl/>
        </w:rPr>
        <w:t>אחר הדברים האלה</w:t>
      </w:r>
    </w:p>
    <w:p w14:paraId="73850B1C" w14:textId="17B5758C" w:rsidR="00593A8B" w:rsidRDefault="00593A8B" w:rsidP="00201E50">
      <w:pPr>
        <w:pStyle w:val="Ruller4"/>
        <w:numPr>
          <w:ilvl w:val="0"/>
          <w:numId w:val="18"/>
        </w:numPr>
        <w:tabs>
          <w:tab w:val="num" w:pos="907"/>
        </w:tabs>
        <w:ind w:left="0"/>
        <w:textAlignment w:val="auto"/>
        <w:rPr>
          <w:rtl/>
        </w:rPr>
      </w:pPr>
      <w:r>
        <w:rPr>
          <w:rtl/>
        </w:rPr>
        <w:t xml:space="preserve">למקרא חוות הדעת של חברתי הנשיאה </w:t>
      </w:r>
      <w:r>
        <w:rPr>
          <w:rFonts w:ascii="Century" w:hAnsi="Century" w:cs="Miriam"/>
          <w:b/>
          <w:spacing w:val="0"/>
          <w:sz w:val="22"/>
          <w:szCs w:val="24"/>
          <w:rtl/>
        </w:rPr>
        <w:t>א' חיות</w:t>
      </w:r>
      <w:r>
        <w:rPr>
          <w:rtl/>
        </w:rPr>
        <w:t xml:space="preserve">, אבקש להעיר הערות אחדות. </w:t>
      </w:r>
    </w:p>
    <w:p w14:paraId="520813DA" w14:textId="77777777" w:rsidR="00593A8B" w:rsidRDefault="00593A8B" w:rsidP="000035F9">
      <w:pPr>
        <w:pStyle w:val="Ruller41"/>
        <w:spacing w:line="240" w:lineRule="auto"/>
        <w:rPr>
          <w:rtl/>
        </w:rPr>
      </w:pPr>
    </w:p>
    <w:p w14:paraId="1AEE7494" w14:textId="77777777" w:rsidR="00593A8B" w:rsidRDefault="00593A8B" w:rsidP="00593A8B">
      <w:pPr>
        <w:pStyle w:val="Ruller4"/>
        <w:numPr>
          <w:ilvl w:val="0"/>
          <w:numId w:val="18"/>
        </w:numPr>
        <w:tabs>
          <w:tab w:val="num" w:pos="907"/>
        </w:tabs>
        <w:ind w:left="0"/>
        <w:textAlignment w:val="auto"/>
        <w:rPr>
          <w:rtl/>
        </w:rPr>
      </w:pPr>
      <w:r>
        <w:rPr>
          <w:rtl/>
        </w:rPr>
        <w:t>חברתי הנשיאה</w:t>
      </w:r>
      <w:r>
        <w:rPr>
          <w:rFonts w:ascii="Century" w:hAnsi="Century" w:cs="Miriam"/>
          <w:b/>
          <w:spacing w:val="0"/>
          <w:sz w:val="22"/>
          <w:szCs w:val="24"/>
          <w:rtl/>
        </w:rPr>
        <w:t xml:space="preserve"> </w:t>
      </w:r>
      <w:r>
        <w:rPr>
          <w:rtl/>
        </w:rPr>
        <w:t xml:space="preserve">גורסת, כי משדיברו הפסיקה והוראת ביצוע </w:t>
      </w:r>
      <w:r>
        <w:rPr>
          <w:rFonts w:ascii="Century" w:hAnsi="Century"/>
          <w:sz w:val="22"/>
          <w:rtl/>
        </w:rPr>
        <w:t>23/98</w:t>
      </w:r>
      <w:r>
        <w:rPr>
          <w:rtl/>
        </w:rPr>
        <w:t xml:space="preserve"> ב</w:t>
      </w:r>
      <w:r>
        <w:rPr>
          <w:rFonts w:ascii="Century" w:hAnsi="Century" w:cs="Miriam"/>
          <w:b/>
          <w:spacing w:val="0"/>
          <w:sz w:val="22"/>
          <w:szCs w:val="24"/>
          <w:rtl/>
        </w:rPr>
        <w:t>"רווח</w:t>
      </w:r>
      <w:r>
        <w:rPr>
          <w:rtl/>
        </w:rPr>
        <w:t xml:space="preserve"> </w:t>
      </w:r>
      <w:r>
        <w:rPr>
          <w:rFonts w:ascii="Century" w:hAnsi="Century" w:cs="Miriam"/>
          <w:b/>
          <w:spacing w:val="0"/>
          <w:sz w:val="22"/>
          <w:szCs w:val="24"/>
          <w:rtl/>
        </w:rPr>
        <w:t xml:space="preserve">קבלני" </w:t>
      </w:r>
      <w:r>
        <w:rPr>
          <w:rtl/>
        </w:rPr>
        <w:t xml:space="preserve">בלבד (ראו למשל: עניין </w:t>
      </w:r>
      <w:proofErr w:type="spellStart"/>
      <w:r>
        <w:rPr>
          <w:rFonts w:ascii="Century" w:hAnsi="Century" w:cs="Miriam"/>
          <w:b/>
          <w:spacing w:val="0"/>
          <w:sz w:val="22"/>
          <w:szCs w:val="24"/>
          <w:rtl/>
        </w:rPr>
        <w:t>חנין</w:t>
      </w:r>
      <w:proofErr w:type="spellEnd"/>
      <w:r>
        <w:rPr>
          <w:rtl/>
        </w:rPr>
        <w:t xml:space="preserve">, פסקה 20; עניין </w:t>
      </w:r>
      <w:r>
        <w:rPr>
          <w:rFonts w:ascii="Century" w:hAnsi="Century" w:cs="Miriam"/>
          <w:b/>
          <w:spacing w:val="0"/>
          <w:sz w:val="22"/>
          <w:szCs w:val="24"/>
          <w:rtl/>
        </w:rPr>
        <w:t>כספי</w:t>
      </w:r>
      <w:r>
        <w:rPr>
          <w:rtl/>
        </w:rPr>
        <w:t xml:space="preserve">, פסקה ט"ו), וכאשר משמעותו של </w:t>
      </w:r>
      <w:r>
        <w:rPr>
          <w:rFonts w:ascii="Century" w:hAnsi="Century" w:cs="Miriam"/>
          <w:b/>
          <w:spacing w:val="0"/>
          <w:sz w:val="22"/>
          <w:szCs w:val="24"/>
          <w:rtl/>
        </w:rPr>
        <w:t>"רווח יזמי"</w:t>
      </w:r>
      <w:r>
        <w:rPr>
          <w:rtl/>
        </w:rPr>
        <w:t xml:space="preserve"> מוכרת וידועה, הרי ש</w:t>
      </w:r>
      <w:r>
        <w:rPr>
          <w:rFonts w:ascii="Century" w:hAnsi="Century" w:cs="Miriam"/>
          <w:b/>
          <w:spacing w:val="0"/>
          <w:sz w:val="22"/>
          <w:szCs w:val="24"/>
          <w:rtl/>
        </w:rPr>
        <w:t>"אין [...] מקום לכלול בשווי התמורה רווח יזמי"</w:t>
      </w:r>
      <w:r>
        <w:rPr>
          <w:rtl/>
        </w:rPr>
        <w:t xml:space="preserve">; יהא זה </w:t>
      </w:r>
      <w:r>
        <w:rPr>
          <w:rFonts w:ascii="Century" w:hAnsi="Century" w:cs="Miriam"/>
          <w:b/>
          <w:spacing w:val="0"/>
          <w:sz w:val="22"/>
          <w:szCs w:val="24"/>
          <w:rtl/>
        </w:rPr>
        <w:t>"רווח בגין שירותי יזמות"</w:t>
      </w:r>
      <w:r>
        <w:rPr>
          <w:rtl/>
        </w:rPr>
        <w:t xml:space="preserve">, או </w:t>
      </w:r>
      <w:r>
        <w:rPr>
          <w:rFonts w:ascii="Century" w:hAnsi="Century" w:cs="Miriam"/>
          <w:b/>
          <w:spacing w:val="0"/>
          <w:sz w:val="22"/>
          <w:szCs w:val="24"/>
          <w:rtl/>
        </w:rPr>
        <w:t>"רווח יזמי הכלול בשווי מכירת הדירות"</w:t>
      </w:r>
      <w:r>
        <w:rPr>
          <w:rFonts w:ascii="Century" w:hAnsi="Century"/>
          <w:sz w:val="22"/>
          <w:rtl/>
        </w:rPr>
        <w:t xml:space="preserve"> </w:t>
      </w:r>
      <w:r>
        <w:rPr>
          <w:rtl/>
        </w:rPr>
        <w:t xml:space="preserve">(פסקה 6). לשיטתה, כל עוד הוראת ביצוע 23/98 עומדת בתוקפה – יש להיצמד ללשונה באופן דווקני; לאמור – יש להוסיף לשווי עלויות הבניה </w:t>
      </w:r>
      <w:r>
        <w:rPr>
          <w:rFonts w:ascii="Century" w:hAnsi="Century" w:cs="Miriam"/>
          <w:b/>
          <w:spacing w:val="0"/>
          <w:sz w:val="22"/>
          <w:szCs w:val="24"/>
          <w:rtl/>
        </w:rPr>
        <w:t>"רווח קבלני"</w:t>
      </w:r>
      <w:r>
        <w:rPr>
          <w:rtl/>
        </w:rPr>
        <w:t xml:space="preserve"> בלבד, בשיעור של </w:t>
      </w:r>
      <w:r>
        <w:rPr>
          <w:rFonts w:ascii="Century" w:hAnsi="Century" w:cs="Miriam"/>
          <w:b/>
          <w:spacing w:val="0"/>
          <w:sz w:val="22"/>
          <w:szCs w:val="24"/>
          <w:rtl/>
        </w:rPr>
        <w:t>"15%-20%"</w:t>
      </w:r>
      <w:r>
        <w:rPr>
          <w:rtl/>
        </w:rPr>
        <w:t>.</w:t>
      </w:r>
    </w:p>
    <w:p w14:paraId="48FB1833" w14:textId="77777777" w:rsidR="00593A8B" w:rsidRDefault="00593A8B" w:rsidP="000035F9">
      <w:pPr>
        <w:pStyle w:val="Ruller41"/>
        <w:spacing w:line="240" w:lineRule="auto"/>
        <w:rPr>
          <w:rtl/>
        </w:rPr>
      </w:pPr>
    </w:p>
    <w:p w14:paraId="63DC2C79" w14:textId="0B57544E" w:rsidR="00593A8B" w:rsidRDefault="00593A8B" w:rsidP="00593A8B">
      <w:pPr>
        <w:pStyle w:val="Ruller4"/>
        <w:numPr>
          <w:ilvl w:val="0"/>
          <w:numId w:val="18"/>
        </w:numPr>
        <w:tabs>
          <w:tab w:val="num" w:pos="907"/>
        </w:tabs>
        <w:ind w:left="0"/>
        <w:textAlignment w:val="auto"/>
        <w:rPr>
          <w:rtl/>
        </w:rPr>
      </w:pPr>
      <w:r>
        <w:rPr>
          <w:rtl/>
        </w:rPr>
        <w:t xml:space="preserve">קביעתה זו של חברתי הנשיאה </w:t>
      </w:r>
      <w:r>
        <w:rPr>
          <w:rFonts w:ascii="Century" w:hAnsi="Century" w:cs="Miriam"/>
          <w:b/>
          <w:spacing w:val="0"/>
          <w:sz w:val="22"/>
          <w:szCs w:val="24"/>
          <w:rtl/>
        </w:rPr>
        <w:t>א' חיות</w:t>
      </w:r>
      <w:r>
        <w:rPr>
          <w:rtl/>
        </w:rPr>
        <w:t xml:space="preserve"> – קשה עלי</w:t>
      </w:r>
      <w:r w:rsidR="009937D3">
        <w:rPr>
          <w:rFonts w:hint="cs"/>
          <w:rtl/>
        </w:rPr>
        <w:t>.</w:t>
      </w:r>
      <w:r>
        <w:rPr>
          <w:rtl/>
        </w:rPr>
        <w:t xml:space="preserve"> כידוע</w:t>
      </w:r>
      <w:r w:rsidR="001F34EF">
        <w:rPr>
          <w:rFonts w:hint="cs"/>
          <w:rtl/>
        </w:rPr>
        <w:t>,</w:t>
      </w:r>
      <w:r>
        <w:rPr>
          <w:rtl/>
        </w:rPr>
        <w:t xml:space="preserve"> אין להטיל מס או לקבוע את שיעורו, </w:t>
      </w:r>
      <w:r>
        <w:rPr>
          <w:rFonts w:ascii="Century" w:hAnsi="Century" w:cs="Miriam"/>
          <w:b/>
          <w:spacing w:val="0"/>
          <w:sz w:val="22"/>
          <w:szCs w:val="24"/>
          <w:rtl/>
        </w:rPr>
        <w:t>"אלא בחוק או על פיו"</w:t>
      </w:r>
      <w:r>
        <w:rPr>
          <w:rtl/>
        </w:rPr>
        <w:t xml:space="preserve"> (סעיף 1(א) לחוק יסוד: משק המדינה); נישום חב במס על סמך פעולות שעשה, ועליהן בלבד (עניין </w:t>
      </w:r>
      <w:proofErr w:type="spellStart"/>
      <w:r>
        <w:rPr>
          <w:rFonts w:ascii="Century" w:hAnsi="Century" w:cs="Miriam"/>
          <w:b/>
          <w:spacing w:val="0"/>
          <w:sz w:val="22"/>
          <w:szCs w:val="24"/>
          <w:rtl/>
        </w:rPr>
        <w:t>ון</w:t>
      </w:r>
      <w:proofErr w:type="spellEnd"/>
      <w:r>
        <w:rPr>
          <w:rFonts w:ascii="Century" w:hAnsi="Century" w:cs="Miriam"/>
          <w:b/>
          <w:spacing w:val="0"/>
          <w:sz w:val="22"/>
          <w:szCs w:val="24"/>
          <w:rtl/>
        </w:rPr>
        <w:t xml:space="preserve"> </w:t>
      </w:r>
      <w:proofErr w:type="spellStart"/>
      <w:r>
        <w:rPr>
          <w:rFonts w:ascii="Century" w:hAnsi="Century" w:cs="Miriam"/>
          <w:b/>
          <w:spacing w:val="0"/>
          <w:sz w:val="22"/>
          <w:szCs w:val="24"/>
          <w:rtl/>
        </w:rPr>
        <w:t>הרטן</w:t>
      </w:r>
      <w:proofErr w:type="spellEnd"/>
      <w:r>
        <w:rPr>
          <w:rFonts w:ascii="Century" w:hAnsi="Century"/>
          <w:sz w:val="22"/>
          <w:rtl/>
        </w:rPr>
        <w:t>, בעמוד 626</w:t>
      </w:r>
      <w:r>
        <w:rPr>
          <w:rtl/>
        </w:rPr>
        <w:t xml:space="preserve">). כפי ששנינו, החוק קובע כי נישומים מתחייבים במס שבח ורכישה לפי שווי התמורה ששולמה עבור מכר הזכויות במקרקעין, והוראת ביצוע 23/98 נועדה אך לקבוע כללים לשם חישוב שווי תמורה זה בעסקאות קומבינציה של מכר חלקי – על מנת שהמס שיוטל, יהא מס אמת. פשיטא, כי הוראת הביצוע צריכה להיות תואמת לאופן שבו נערכות עסקאות קומבינציה של מכר חלקי בחיי המעשה, וכי על הוראותיה לעלות בקנה אחד עם הקבוע בחוק (עניין </w:t>
      </w:r>
      <w:r>
        <w:rPr>
          <w:rFonts w:ascii="Century" w:hAnsi="Century" w:cs="Miriam"/>
          <w:b/>
          <w:spacing w:val="0"/>
          <w:sz w:val="22"/>
          <w:szCs w:val="24"/>
          <w:rtl/>
        </w:rPr>
        <w:t>אבוחצירא</w:t>
      </w:r>
      <w:r>
        <w:rPr>
          <w:rtl/>
        </w:rPr>
        <w:t xml:space="preserve">, פסקה 29; ע"א 3534/07 </w:t>
      </w:r>
      <w:r>
        <w:rPr>
          <w:rFonts w:ascii="Century" w:hAnsi="Century" w:cs="Miriam"/>
          <w:b/>
          <w:spacing w:val="0"/>
          <w:sz w:val="22"/>
          <w:szCs w:val="24"/>
          <w:rtl/>
        </w:rPr>
        <w:t xml:space="preserve">פרידמן </w:t>
      </w:r>
      <w:proofErr w:type="spellStart"/>
      <w:r>
        <w:rPr>
          <w:rFonts w:ascii="Century" w:hAnsi="Century" w:cs="Miriam"/>
          <w:b/>
          <w:spacing w:val="0"/>
          <w:sz w:val="22"/>
          <w:szCs w:val="24"/>
          <w:rtl/>
        </w:rPr>
        <w:t>חכשורי</w:t>
      </w:r>
      <w:proofErr w:type="spellEnd"/>
      <w:r>
        <w:rPr>
          <w:rFonts w:ascii="Century" w:hAnsi="Century" w:cs="Miriam"/>
          <w:b/>
          <w:spacing w:val="0"/>
          <w:sz w:val="22"/>
          <w:szCs w:val="24"/>
          <w:rtl/>
        </w:rPr>
        <w:t xml:space="preserve"> חברה להנדסה ולבניה בע"מ נ' מנהל מיסוי מקרקעין אזור תל אביב</w:t>
      </w:r>
      <w:r>
        <w:rPr>
          <w:rtl/>
        </w:rPr>
        <w:t xml:space="preserve">, פסקה 10 (26.1.2010)). כפועל יוצא, אם הוראת ביצוע 23/98 מעריכה את שיעורו של רכיב כזה או אחר ביתר, מבלי שיש לדבר אחיזה במציאות – הרי שהיא מייחסת לצדדים לעסקת קומבינציה תמורה בשיעור גבוה מזה שניתן עבור הזכויות שנמכרו; הטלת מס על-פיה, למצער לגבי שיעור התמורה העודף – </w:t>
      </w:r>
      <w:proofErr w:type="spellStart"/>
      <w:r>
        <w:rPr>
          <w:rtl/>
        </w:rPr>
        <w:t>הריהי</w:t>
      </w:r>
      <w:proofErr w:type="spellEnd"/>
      <w:r>
        <w:rPr>
          <w:rtl/>
        </w:rPr>
        <w:t xml:space="preserve"> פעולה בחוסר סמכות.</w:t>
      </w:r>
    </w:p>
    <w:p w14:paraId="10A316E5" w14:textId="77777777" w:rsidR="00593A8B" w:rsidRDefault="00593A8B" w:rsidP="000035F9">
      <w:pPr>
        <w:pStyle w:val="Ruller41"/>
        <w:spacing w:line="240" w:lineRule="auto"/>
        <w:rPr>
          <w:rtl/>
        </w:rPr>
      </w:pPr>
    </w:p>
    <w:p w14:paraId="5BB2091C" w14:textId="5CD66038" w:rsidR="00593A8B" w:rsidRDefault="00593A8B" w:rsidP="00593A8B">
      <w:pPr>
        <w:pStyle w:val="Ruller4"/>
        <w:numPr>
          <w:ilvl w:val="0"/>
          <w:numId w:val="18"/>
        </w:numPr>
        <w:tabs>
          <w:tab w:val="num" w:pos="907"/>
        </w:tabs>
        <w:ind w:left="0"/>
        <w:textAlignment w:val="auto"/>
        <w:rPr>
          <w:rtl/>
        </w:rPr>
      </w:pPr>
      <w:r>
        <w:rPr>
          <w:rtl/>
        </w:rPr>
        <w:t xml:space="preserve">על כן, הואיל ואין מחלוקת על כך שהרווח של קבלני ביצוע עומד על </w:t>
      </w:r>
      <w:r>
        <w:rPr>
          <w:rFonts w:ascii="Century" w:hAnsi="Century" w:cs="Miriam"/>
          <w:b/>
          <w:spacing w:val="0"/>
          <w:sz w:val="22"/>
          <w:szCs w:val="24"/>
          <w:rtl/>
        </w:rPr>
        <w:t>אחוזים בודדים</w:t>
      </w:r>
      <w:r>
        <w:rPr>
          <w:rtl/>
        </w:rPr>
        <w:t xml:space="preserve">, על שום מה נייחס לנישומים תוספת של </w:t>
      </w:r>
      <w:r>
        <w:rPr>
          <w:rFonts w:ascii="Century" w:hAnsi="Century" w:cs="Miriam"/>
          <w:b/>
          <w:spacing w:val="0"/>
          <w:sz w:val="22"/>
          <w:szCs w:val="24"/>
          <w:rtl/>
        </w:rPr>
        <w:t>"15%-20%"</w:t>
      </w:r>
      <w:r>
        <w:rPr>
          <w:rtl/>
        </w:rPr>
        <w:t xml:space="preserve"> בגין </w:t>
      </w:r>
      <w:r>
        <w:rPr>
          <w:rFonts w:ascii="Century" w:hAnsi="Century" w:cs="Miriam"/>
          <w:b/>
          <w:spacing w:val="0"/>
          <w:sz w:val="22"/>
          <w:szCs w:val="24"/>
          <w:rtl/>
        </w:rPr>
        <w:t>"ר</w:t>
      </w:r>
      <w:r w:rsidR="0098700A">
        <w:rPr>
          <w:rFonts w:ascii="Century" w:hAnsi="Century" w:cs="Miriam" w:hint="cs"/>
          <w:b/>
          <w:spacing w:val="0"/>
          <w:sz w:val="22"/>
          <w:szCs w:val="24"/>
          <w:rtl/>
        </w:rPr>
        <w:t>ו</w:t>
      </w:r>
      <w:r>
        <w:rPr>
          <w:rFonts w:ascii="Century" w:hAnsi="Century" w:cs="Miriam"/>
          <w:b/>
          <w:spacing w:val="0"/>
          <w:sz w:val="22"/>
          <w:szCs w:val="24"/>
          <w:rtl/>
        </w:rPr>
        <w:t>וח קבלני"</w:t>
      </w:r>
      <w:r>
        <w:rPr>
          <w:rtl/>
        </w:rPr>
        <w:t>? עסקינן בשיעור מופרז, החורג משיעור הרווח הקבלני המשולם ברגיל עבור מכר הזכויות במקרקעין, ומכאן שהטלת מס בגינו – אין לה הצדקה. מסקנתה-זו של חברתי הנשיאה מתירה אפוא לרשויות המס, הלכה למעשה, לגבות מס שבח ורכישה בגין תמורה שלא שולמה עבור מכר הזכויות, בניגוד לחוק ובלי סמכות.</w:t>
      </w:r>
    </w:p>
    <w:p w14:paraId="581460AB" w14:textId="77777777" w:rsidR="00593A8B" w:rsidRDefault="00593A8B" w:rsidP="000035F9">
      <w:pPr>
        <w:pStyle w:val="Ruller41"/>
        <w:spacing w:line="240" w:lineRule="auto"/>
        <w:rPr>
          <w:rtl/>
        </w:rPr>
      </w:pPr>
    </w:p>
    <w:p w14:paraId="20CD76BC" w14:textId="3049E15E" w:rsidR="00593A8B" w:rsidRDefault="00593A8B" w:rsidP="00593A8B">
      <w:pPr>
        <w:pStyle w:val="Ruller4"/>
        <w:numPr>
          <w:ilvl w:val="0"/>
          <w:numId w:val="18"/>
        </w:numPr>
        <w:tabs>
          <w:tab w:val="num" w:pos="907"/>
        </w:tabs>
        <w:ind w:left="0"/>
        <w:textAlignment w:val="auto"/>
        <w:rPr>
          <w:rtl/>
        </w:rPr>
      </w:pPr>
      <w:r>
        <w:rPr>
          <w:rtl/>
        </w:rPr>
        <w:t xml:space="preserve">מטעמים דומים, סבורני גם כי אין מניעה לכלול בחישוב התמורה רכיב של 'רווח בגין שירותי הייזום'. ענייננו כאמור בפרשנות החוק ולא בפרשנות הוראת הביצוע; אם התמורה בעסקת קומבינציה למכר חלקי, על-פי מהותה, כוללת ברגיל גם את שכר טרחתו של היזם, הוא ה'רווח בגין שירותי הייזום' – הרי שגם בגין רכיב זה, כיתר התמורה, מתחייבים הצדדים לעסקה במס שבח ורכישה. אמנם, באופן עקרוני, העובדה שזכרו של מונח זה לא בא בלשון הוראת ביצוע 23/98, </w:t>
      </w:r>
      <w:proofErr w:type="spellStart"/>
      <w:r>
        <w:rPr>
          <w:rtl/>
        </w:rPr>
        <w:t>היתה</w:t>
      </w:r>
      <w:proofErr w:type="spellEnd"/>
      <w:r>
        <w:rPr>
          <w:rtl/>
        </w:rPr>
        <w:t xml:space="preserve"> עשויה להקים לכאורה טענה במישור ההסתמכות, מצד נישומים אשר כלכלו את צעדיהם בהסתמך על לשון הוראת הביצוע. אולם בנסיבות העניין, בהינתן שלשון הוראת ביצוע 23/98 לא מתיישבת עם עמדתם של מי מהצדדים, סבורני כי כשם שאין לאפשר לרשויות המס לגבות מס שבח ורכישה ביתר, על סמך שיעור </w:t>
      </w:r>
      <w:r>
        <w:rPr>
          <w:rFonts w:ascii="Century" w:hAnsi="Century" w:cs="Miriam"/>
          <w:b/>
          <w:spacing w:val="0"/>
          <w:sz w:val="22"/>
          <w:szCs w:val="24"/>
          <w:rtl/>
        </w:rPr>
        <w:t>"רווח קבלני"</w:t>
      </w:r>
      <w:r>
        <w:rPr>
          <w:rtl/>
        </w:rPr>
        <w:t xml:space="preserve"> של </w:t>
      </w:r>
      <w:r>
        <w:rPr>
          <w:rFonts w:ascii="Century" w:hAnsi="Century" w:cs="Miriam"/>
          <w:b/>
          <w:spacing w:val="0"/>
          <w:sz w:val="22"/>
          <w:szCs w:val="24"/>
          <w:rtl/>
        </w:rPr>
        <w:t>"15%-20%"</w:t>
      </w:r>
      <w:r>
        <w:rPr>
          <w:rtl/>
        </w:rPr>
        <w:t>, כך גם אין הצדקה לאפשר לנישומים לחמוק מתשלום מס בגין חלק מהתמורה ש'שולמה' עבור הזכויות הנמכרות.</w:t>
      </w:r>
    </w:p>
    <w:p w14:paraId="0550D262" w14:textId="77777777" w:rsidR="00593A8B" w:rsidRDefault="00593A8B" w:rsidP="000035F9">
      <w:pPr>
        <w:pStyle w:val="Ruller41"/>
        <w:spacing w:line="240" w:lineRule="auto"/>
        <w:rPr>
          <w:rtl/>
        </w:rPr>
      </w:pPr>
    </w:p>
    <w:p w14:paraId="08A3A30A" w14:textId="1D57B35C" w:rsidR="00593A8B" w:rsidRDefault="00593A8B" w:rsidP="00A3415E">
      <w:pPr>
        <w:pStyle w:val="Ruller4"/>
        <w:numPr>
          <w:ilvl w:val="0"/>
          <w:numId w:val="18"/>
        </w:numPr>
        <w:tabs>
          <w:tab w:val="num" w:pos="907"/>
        </w:tabs>
        <w:ind w:left="0"/>
        <w:textAlignment w:val="auto"/>
        <w:rPr>
          <w:rtl/>
        </w:rPr>
      </w:pPr>
      <w:r>
        <w:rPr>
          <w:rtl/>
        </w:rPr>
        <w:t xml:space="preserve">לסיכום, צודקת חברתי הנשיאה </w:t>
      </w:r>
      <w:r>
        <w:rPr>
          <w:rFonts w:ascii="Century" w:hAnsi="Century" w:cs="Miriam"/>
          <w:b/>
          <w:spacing w:val="0"/>
          <w:sz w:val="22"/>
          <w:szCs w:val="24"/>
          <w:rtl/>
        </w:rPr>
        <w:t>א' חיות</w:t>
      </w:r>
      <w:r>
        <w:rPr>
          <w:rtl/>
        </w:rPr>
        <w:t xml:space="preserve">, באומרה כי על רשויות המס להתאים את לשון הוראות הביצוע לשינויים המתרחשים בשוק </w:t>
      </w:r>
      <w:r>
        <w:rPr>
          <w:rFonts w:ascii="Century" w:hAnsi="Century" w:cs="Miriam"/>
          <w:b/>
          <w:spacing w:val="0"/>
          <w:sz w:val="22"/>
          <w:szCs w:val="24"/>
          <w:rtl/>
        </w:rPr>
        <w:t>"בלשון ברורה ומפורשת"</w:t>
      </w:r>
      <w:r>
        <w:rPr>
          <w:rtl/>
        </w:rPr>
        <w:t xml:space="preserve">; על כך הערתי גם אני. אולם אינני תמים-דעים עמה כי עד אשר יֵעשה הדבר, יש לדבוק בלשון הוראת ביצוע 23/98, הקובעת תוספת של </w:t>
      </w:r>
      <w:r>
        <w:rPr>
          <w:rFonts w:ascii="Century" w:hAnsi="Century" w:cs="Miriam"/>
          <w:b/>
          <w:spacing w:val="0"/>
          <w:sz w:val="22"/>
          <w:szCs w:val="24"/>
          <w:rtl/>
        </w:rPr>
        <w:t>"15%-20%"</w:t>
      </w:r>
      <w:r>
        <w:rPr>
          <w:rtl/>
        </w:rPr>
        <w:t xml:space="preserve"> בגין </w:t>
      </w:r>
      <w:r>
        <w:rPr>
          <w:rFonts w:ascii="Century" w:hAnsi="Century" w:cs="Miriam"/>
          <w:b/>
          <w:spacing w:val="0"/>
          <w:sz w:val="22"/>
          <w:szCs w:val="24"/>
          <w:rtl/>
        </w:rPr>
        <w:t>"רווח קבלני סביר"</w:t>
      </w:r>
      <w:r>
        <w:rPr>
          <w:rtl/>
        </w:rPr>
        <w:t xml:space="preserve">. אין הצדקה לכך שעד אשר תוסדר הוראת הביצוע, תוכלנה רשויות המס להמשיך ולהוסיף לשווי עלויות הבניה תוספת של </w:t>
      </w:r>
      <w:r>
        <w:rPr>
          <w:rFonts w:ascii="Century" w:hAnsi="Century" w:cs="Miriam"/>
          <w:b/>
          <w:spacing w:val="0"/>
          <w:sz w:val="22"/>
          <w:szCs w:val="24"/>
          <w:rtl/>
        </w:rPr>
        <w:t>"15%-20%"</w:t>
      </w:r>
      <w:r>
        <w:rPr>
          <w:rtl/>
        </w:rPr>
        <w:t xml:space="preserve">; ומנגד, גם אינני סבור כי הסתמכותם של נישומים על הדיבור </w:t>
      </w:r>
      <w:r>
        <w:rPr>
          <w:rFonts w:ascii="Century" w:hAnsi="Century" w:cs="Miriam"/>
          <w:b/>
          <w:spacing w:val="0"/>
          <w:sz w:val="22"/>
          <w:szCs w:val="24"/>
          <w:rtl/>
        </w:rPr>
        <w:t>"רווח קבלני סביר"</w:t>
      </w:r>
      <w:r>
        <w:rPr>
          <w:rtl/>
        </w:rPr>
        <w:t>, ככל שישנה כזו, מונעת מרשויות המס לכלול בתחשיב שווי התמורה את הרווח שגורף לכיסו היזם בגין שירותי הייזום, שעה שרכיב זה נמנה על רכיבי החליפין בעסקת קומבינציה למכר חלקי.</w:t>
      </w:r>
    </w:p>
    <w:p w14:paraId="01D1016F" w14:textId="69255B02" w:rsidR="00593A8B" w:rsidRDefault="00593A8B" w:rsidP="007118D2">
      <w:pPr>
        <w:pStyle w:val="Ruller41"/>
        <w:spacing w:line="480" w:lineRule="auto"/>
        <w:rPr>
          <w:rtl/>
        </w:rPr>
      </w:pPr>
    </w:p>
    <w:p w14:paraId="59214BE5" w14:textId="33523420" w:rsidR="000035F9" w:rsidRDefault="000035F9" w:rsidP="00AA3008">
      <w:pPr>
        <w:pStyle w:val="Ruller41"/>
        <w:spacing w:line="240" w:lineRule="auto"/>
        <w:rPr>
          <w:rtl/>
        </w:rPr>
      </w:pPr>
    </w:p>
    <w:tbl>
      <w:tblPr>
        <w:bidiVisual/>
        <w:tblW w:w="0" w:type="auto"/>
        <w:tblLook w:val="01E0" w:firstRow="1" w:lastRow="1" w:firstColumn="1" w:lastColumn="1" w:noHBand="0" w:noVBand="0"/>
      </w:tblPr>
      <w:tblGrid>
        <w:gridCol w:w="2769"/>
        <w:gridCol w:w="2769"/>
        <w:gridCol w:w="2774"/>
      </w:tblGrid>
      <w:tr w:rsidR="000035F9" w14:paraId="03AB80D1" w14:textId="77777777">
        <w:tc>
          <w:tcPr>
            <w:tcW w:w="2842" w:type="dxa"/>
            <w:shd w:val="clear" w:color="auto" w:fill="auto"/>
          </w:tcPr>
          <w:p w14:paraId="422DE185" w14:textId="77777777" w:rsidR="000035F9" w:rsidRDefault="000035F9">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14:paraId="7531908B" w14:textId="77777777" w:rsidR="000035F9" w:rsidRDefault="000035F9">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14:paraId="09830D8D" w14:textId="77777777" w:rsidR="000035F9" w:rsidRPr="00A60BAF" w:rsidRDefault="000035F9" w:rsidP="00A60BAF">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14:paraId="73A67B86" w14:textId="689CFB84" w:rsidR="000035F9" w:rsidRDefault="000035F9" w:rsidP="007118D2">
      <w:pPr>
        <w:pStyle w:val="Ruller41"/>
        <w:spacing w:line="480" w:lineRule="auto"/>
        <w:rPr>
          <w:rtl/>
        </w:rPr>
      </w:pPr>
    </w:p>
    <w:p w14:paraId="6969D73C" w14:textId="18DF7DFC" w:rsidR="001B6833" w:rsidRDefault="001B6833" w:rsidP="00593A8B">
      <w:pPr>
        <w:pStyle w:val="Ruller41"/>
        <w:rPr>
          <w:rtl/>
        </w:rPr>
      </w:pPr>
      <w:r w:rsidRPr="001B6833">
        <w:rPr>
          <w:rFonts w:ascii="Century" w:hAnsi="Century" w:cs="Miriam" w:hint="cs"/>
          <w:b/>
          <w:spacing w:val="0"/>
          <w:szCs w:val="24"/>
          <w:u w:val="single"/>
          <w:rtl/>
        </w:rPr>
        <w:t>הנשיאה א' חיות</w:t>
      </w:r>
      <w:r>
        <w:rPr>
          <w:rFonts w:hint="cs"/>
          <w:rtl/>
        </w:rPr>
        <w:t>:</w:t>
      </w:r>
    </w:p>
    <w:p w14:paraId="75DFD84A" w14:textId="77777777" w:rsidR="007118D2" w:rsidRDefault="007118D2" w:rsidP="007118D2">
      <w:pPr>
        <w:pStyle w:val="Ruller41"/>
        <w:rPr>
          <w:rtl/>
        </w:rPr>
      </w:pPr>
    </w:p>
    <w:p w14:paraId="2F730BEE" w14:textId="09C56C7E" w:rsidR="007118D2" w:rsidRDefault="007118D2" w:rsidP="007118D2">
      <w:pPr>
        <w:pStyle w:val="Ruller41"/>
        <w:rPr>
          <w:rtl/>
        </w:rPr>
      </w:pPr>
      <w:r>
        <w:rPr>
          <w:rtl/>
        </w:rPr>
        <w:tab/>
        <w:t xml:space="preserve">עיינתי בחוות דעתו המקיפה של חברי השופט </w:t>
      </w:r>
      <w:r>
        <w:rPr>
          <w:rFonts w:ascii="Century" w:hAnsi="Century" w:cs="Miriam"/>
          <w:b/>
          <w:spacing w:val="0"/>
          <w:szCs w:val="24"/>
          <w:rtl/>
        </w:rPr>
        <w:t>נ' סולברג</w:t>
      </w:r>
      <w:r>
        <w:rPr>
          <w:rtl/>
        </w:rPr>
        <w:t>, אשר קבע כי יש לקבל את הערעור ולהחזיר את התיק לוועדת הערר לקביעת שיעור הרווח היזמי על מנת שיופחת מתוך חישוב שווי התמורה בעסקה שבין הצדדים לערעור.</w:t>
      </w:r>
    </w:p>
    <w:p w14:paraId="6B9D7FED" w14:textId="77777777" w:rsidR="007118D2" w:rsidRDefault="007118D2" w:rsidP="007118D2">
      <w:pPr>
        <w:pStyle w:val="Ruller41"/>
        <w:rPr>
          <w:rtl/>
        </w:rPr>
      </w:pPr>
    </w:p>
    <w:p w14:paraId="14419878" w14:textId="77777777" w:rsidR="007118D2" w:rsidRDefault="007118D2" w:rsidP="007118D2">
      <w:pPr>
        <w:pStyle w:val="Ruller41"/>
        <w:rPr>
          <w:rtl/>
        </w:rPr>
      </w:pPr>
      <w:r>
        <w:rPr>
          <w:rtl/>
        </w:rPr>
        <w:tab/>
        <w:t xml:space="preserve">מן הטעמים שאבאר להלן, דעתי שונה. </w:t>
      </w:r>
    </w:p>
    <w:p w14:paraId="3382E054" w14:textId="77777777" w:rsidR="007118D2" w:rsidRDefault="007118D2" w:rsidP="007118D2">
      <w:pPr>
        <w:pStyle w:val="Ruller41"/>
        <w:rPr>
          <w:rtl/>
        </w:rPr>
      </w:pPr>
    </w:p>
    <w:p w14:paraId="3EE4BADA" w14:textId="77777777" w:rsidR="007118D2" w:rsidRDefault="007118D2" w:rsidP="007118D2">
      <w:pPr>
        <w:pStyle w:val="Ruller41"/>
        <w:rPr>
          <w:rtl/>
        </w:rPr>
      </w:pPr>
      <w:r>
        <w:rPr>
          <w:rtl/>
        </w:rPr>
        <w:lastRenderedPageBreak/>
        <w:t>1.</w:t>
      </w:r>
      <w:r>
        <w:rPr>
          <w:rtl/>
        </w:rPr>
        <w:tab/>
        <w:t xml:space="preserve">עניינו של הערעור בעסקת קומבינציה מסוג מכר חלקי. </w:t>
      </w:r>
      <w:proofErr w:type="spellStart"/>
      <w:r>
        <w:rPr>
          <w:rtl/>
        </w:rPr>
        <w:t>יקותיאלי</w:t>
      </w:r>
      <w:proofErr w:type="spellEnd"/>
      <w:r>
        <w:rPr>
          <w:rtl/>
        </w:rPr>
        <w:t>, המערער 1 (להלן</w:t>
      </w:r>
      <w:r>
        <w:rPr>
          <w:rFonts w:ascii="FrankRuehl" w:hAnsi="FrankRuehl"/>
          <w:sz w:val="24"/>
          <w:rtl/>
        </w:rPr>
        <w:t>:</w:t>
      </w:r>
      <w:r>
        <w:rPr>
          <w:rFonts w:ascii="Miriam" w:hAnsi="Miriam" w:cs="Miriam"/>
          <w:szCs w:val="24"/>
          <w:rtl/>
        </w:rPr>
        <w:t xml:space="preserve"> </w:t>
      </w:r>
      <w:proofErr w:type="spellStart"/>
      <w:r>
        <w:rPr>
          <w:rFonts w:ascii="Miriam" w:hAnsi="Miriam" w:cs="Miriam"/>
          <w:szCs w:val="24"/>
          <w:rtl/>
        </w:rPr>
        <w:t>יקותיאלי</w:t>
      </w:r>
      <w:proofErr w:type="spellEnd"/>
      <w:r>
        <w:rPr>
          <w:rtl/>
        </w:rPr>
        <w:t xml:space="preserve">), העביר למערערת 2, חברת אלומת שושנה בע"מ (להלן: </w:t>
      </w:r>
      <w:r>
        <w:rPr>
          <w:rFonts w:ascii="Century" w:hAnsi="Century" w:cs="Miriam"/>
          <w:b/>
          <w:spacing w:val="0"/>
          <w:szCs w:val="24"/>
          <w:rtl/>
        </w:rPr>
        <w:t>החברה</w:t>
      </w:r>
      <w:r>
        <w:rPr>
          <w:rtl/>
        </w:rPr>
        <w:t xml:space="preserve">) 55% מזכויותיו במקרקעין שבבעלותו תמורת 4 דירות מתוך 12 דירות, בבניין שייבנה על המקרקעין (להלן: </w:t>
      </w:r>
      <w:r>
        <w:rPr>
          <w:rFonts w:ascii="Miriam" w:hAnsi="Miriam" w:cs="Miriam"/>
          <w:szCs w:val="24"/>
          <w:rtl/>
        </w:rPr>
        <w:t>העסקה</w:t>
      </w:r>
      <w:r>
        <w:rPr>
          <w:rtl/>
        </w:rPr>
        <w:t xml:space="preserve">). חישוב התמורה לצורך מס השבח נעשה לפי שווי שירותי הבנייה שניתנו על ידי החברה </w:t>
      </w:r>
      <w:proofErr w:type="spellStart"/>
      <w:r>
        <w:rPr>
          <w:rtl/>
        </w:rPr>
        <w:t>ליקותיאלי</w:t>
      </w:r>
      <w:proofErr w:type="spellEnd"/>
      <w:r>
        <w:rPr>
          <w:rtl/>
        </w:rPr>
        <w:t xml:space="preserve"> ביום המכירה והמחלוקת שבפנינו הצטמצמה לשאלה אחת בלבד והיא - האם לצורך חישוב מס השבח </w:t>
      </w:r>
      <w:r>
        <w:rPr>
          <w:rFonts w:ascii="FrankRuehl" w:hAnsi="FrankRuehl"/>
          <w:sz w:val="28"/>
          <w:rtl/>
        </w:rPr>
        <w:t>יש לכלול בשווי עלויות הבנייה רווח יזמי בנוסף לרווח קבלני (שהיותו כלול בשווי עלויות הבנייה אינו שנוי במחלוקת).</w:t>
      </w:r>
    </w:p>
    <w:p w14:paraId="67E109D8" w14:textId="77777777" w:rsidR="007118D2" w:rsidRDefault="007118D2" w:rsidP="007118D2">
      <w:pPr>
        <w:pStyle w:val="Ruller41"/>
        <w:spacing w:line="240" w:lineRule="auto"/>
        <w:rPr>
          <w:rtl/>
        </w:rPr>
      </w:pPr>
    </w:p>
    <w:p w14:paraId="3F439CB4" w14:textId="77777777" w:rsidR="007118D2" w:rsidRDefault="007118D2" w:rsidP="007118D2">
      <w:pPr>
        <w:pStyle w:val="Ruller4"/>
        <w:numPr>
          <w:ilvl w:val="0"/>
          <w:numId w:val="0"/>
        </w:numPr>
        <w:tabs>
          <w:tab w:val="left" w:pos="720"/>
        </w:tabs>
        <w:ind w:left="4"/>
        <w:rPr>
          <w:rFonts w:ascii="FrankRuehl" w:hAnsi="FrankRuehl"/>
          <w:sz w:val="28"/>
          <w:rtl/>
        </w:rPr>
      </w:pPr>
      <w:r>
        <w:rPr>
          <w:rFonts w:ascii="FrankRuehl" w:hAnsi="FrankRuehl"/>
          <w:sz w:val="28"/>
          <w:rtl/>
        </w:rPr>
        <w:t>2.</w:t>
      </w:r>
      <w:r>
        <w:rPr>
          <w:rFonts w:ascii="FrankRuehl" w:hAnsi="FrankRuehl"/>
          <w:sz w:val="28"/>
          <w:rtl/>
        </w:rPr>
        <w:tab/>
        <w:t xml:space="preserve">קביעתו של חברי השופט </w:t>
      </w:r>
      <w:r>
        <w:rPr>
          <w:rFonts w:ascii="Miriam" w:hAnsi="Miriam" w:cs="Miriam"/>
          <w:szCs w:val="24"/>
          <w:rtl/>
        </w:rPr>
        <w:t>סולברג</w:t>
      </w:r>
      <w:r>
        <w:rPr>
          <w:rFonts w:ascii="FrankRuehl" w:hAnsi="FrankRuehl"/>
          <w:sz w:val="28"/>
          <w:rtl/>
        </w:rPr>
        <w:t xml:space="preserve"> כי אין מקום לכלול רווח יזמי, כמובנו המקובל, בחישוב התמורה שנותן הקבלן לבעל המקרקעין בעסקת קומבינציה, הולכת בתלם ההלכה הפסוקה לפיה בעסקאות קומבינציה מסוג "מכר חלקי":</w:t>
      </w:r>
    </w:p>
    <w:p w14:paraId="1FDF7B30" w14:textId="77777777" w:rsidR="007118D2" w:rsidRDefault="007118D2" w:rsidP="007118D2">
      <w:pPr>
        <w:pStyle w:val="Ruller4"/>
        <w:numPr>
          <w:ilvl w:val="0"/>
          <w:numId w:val="0"/>
        </w:numPr>
        <w:tabs>
          <w:tab w:val="left" w:pos="720"/>
        </w:tabs>
        <w:ind w:left="4"/>
        <w:rPr>
          <w:rFonts w:ascii="FrankRuehl" w:hAnsi="FrankRuehl"/>
          <w:sz w:val="28"/>
          <w:rtl/>
        </w:rPr>
      </w:pPr>
    </w:p>
    <w:p w14:paraId="5B859316" w14:textId="77777777" w:rsidR="007118D2" w:rsidRDefault="007118D2" w:rsidP="007118D2">
      <w:pPr>
        <w:pStyle w:val="Ruller5"/>
        <w:rPr>
          <w:shd w:val="clear" w:color="auto" w:fill="FFFFFF"/>
          <w:rtl/>
        </w:rPr>
      </w:pPr>
      <w:r>
        <w:rPr>
          <w:shd w:val="clear" w:color="auto" w:fill="FFFFFF"/>
          <w:rtl/>
        </w:rPr>
        <w:t xml:space="preserve">"שווי המכירה יהא שווי התמורה המוסכמת, קרי, הבניה; שווי הבניה יחושב כשווי השוק של שירותי הבניה לבעלים בצירוף רווח קבלני מקובל ביום המכירה, אך ללא מרכיב הקרקע" </w:t>
      </w:r>
      <w:r>
        <w:rPr>
          <w:rFonts w:ascii="Century" w:hAnsi="Century"/>
          <w:rtl/>
        </w:rPr>
        <w:t>(ע"א 7759/07</w:t>
      </w:r>
      <w:r>
        <w:rPr>
          <w:rFonts w:ascii="FrankRuehl" w:hAnsi="FrankRuehl"/>
          <w:color w:val="000000"/>
          <w:sz w:val="28"/>
        </w:rPr>
        <w:t> </w:t>
      </w:r>
      <w:r>
        <w:rPr>
          <w:rFonts w:ascii="Century" w:hAnsi="Century" w:cs="Miriam"/>
          <w:b/>
          <w:spacing w:val="0"/>
          <w:szCs w:val="24"/>
          <w:rtl/>
        </w:rPr>
        <w:t>כספי נ' מנהל מס שבח מקרקעין נתניה</w:t>
      </w:r>
      <w:r>
        <w:rPr>
          <w:rFonts w:ascii="FrankRuehl" w:hAnsi="FrankRuehl"/>
          <w:color w:val="000000"/>
          <w:sz w:val="28"/>
        </w:rPr>
        <w:t>,</w:t>
      </w:r>
      <w:r>
        <w:rPr>
          <w:rFonts w:ascii="FrankRuehl" w:hAnsi="FrankRuehl"/>
          <w:color w:val="000000"/>
          <w:sz w:val="28"/>
          <w:rtl/>
        </w:rPr>
        <w:t xml:space="preserve"> פסקה טו </w:t>
      </w:r>
      <w:r>
        <w:rPr>
          <w:rFonts w:ascii="FrankRuehl" w:hAnsi="FrankRuehl"/>
          <w:color w:val="000000"/>
          <w:sz w:val="28"/>
        </w:rPr>
        <w:t>(12.4.2010)</w:t>
      </w:r>
      <w:r>
        <w:rPr>
          <w:rFonts w:ascii="FrankRuehl" w:hAnsi="FrankRuehl"/>
          <w:color w:val="000000"/>
          <w:sz w:val="28"/>
          <w:rtl/>
        </w:rPr>
        <w:t xml:space="preserve"> (להלן: </w:t>
      </w:r>
      <w:r>
        <w:rPr>
          <w:rFonts w:ascii="Century" w:hAnsi="Century" w:cs="Miriam"/>
          <w:b/>
          <w:spacing w:val="0"/>
          <w:szCs w:val="24"/>
          <w:rtl/>
        </w:rPr>
        <w:t>עניין כספי</w:t>
      </w:r>
      <w:r>
        <w:rPr>
          <w:rFonts w:ascii="FrankRuehl" w:hAnsi="FrankRuehl"/>
          <w:color w:val="000000"/>
          <w:sz w:val="28"/>
          <w:rtl/>
        </w:rPr>
        <w:t>).</w:t>
      </w:r>
    </w:p>
    <w:p w14:paraId="2E68AB1B" w14:textId="77777777" w:rsidR="007118D2" w:rsidRDefault="007118D2" w:rsidP="007118D2">
      <w:pPr>
        <w:pStyle w:val="Ruller5"/>
        <w:spacing w:line="480" w:lineRule="auto"/>
        <w:rPr>
          <w:rtl/>
        </w:rPr>
      </w:pPr>
    </w:p>
    <w:p w14:paraId="0078E4CF" w14:textId="77777777" w:rsidR="007118D2" w:rsidRDefault="007118D2" w:rsidP="007118D2">
      <w:pPr>
        <w:pStyle w:val="Ruller4"/>
        <w:numPr>
          <w:ilvl w:val="0"/>
          <w:numId w:val="0"/>
        </w:numPr>
        <w:tabs>
          <w:tab w:val="left" w:pos="720"/>
        </w:tabs>
        <w:ind w:left="4" w:firstLine="716"/>
        <w:rPr>
          <w:rFonts w:ascii="FrankRuehl" w:hAnsi="FrankRuehl"/>
          <w:sz w:val="28"/>
          <w:rtl/>
        </w:rPr>
      </w:pPr>
      <w:r>
        <w:rPr>
          <w:rFonts w:ascii="FrankRuehl" w:hAnsi="FrankRuehl"/>
          <w:sz w:val="28"/>
          <w:rtl/>
        </w:rPr>
        <w:t>על הלכה זו חזר בית המשפט גם לאחרונה (</w:t>
      </w:r>
      <w:r>
        <w:rPr>
          <w:rFonts w:ascii="David" w:hAnsi="David"/>
          <w:color w:val="000000"/>
          <w:sz w:val="28"/>
          <w:rtl/>
        </w:rPr>
        <w:t>ע"א 5738/17</w:t>
      </w:r>
      <w:r>
        <w:rPr>
          <w:rFonts w:ascii="Miriam" w:hAnsi="Miriam" w:cs="Miriam"/>
          <w:color w:val="000000"/>
          <w:szCs w:val="24"/>
          <w:rtl/>
        </w:rPr>
        <w:t xml:space="preserve"> </w:t>
      </w:r>
      <w:proofErr w:type="spellStart"/>
      <w:r>
        <w:rPr>
          <w:rFonts w:ascii="Miriam" w:hAnsi="Miriam" w:cs="Miriam"/>
          <w:color w:val="000000"/>
          <w:szCs w:val="24"/>
          <w:rtl/>
        </w:rPr>
        <w:t>חנין</w:t>
      </w:r>
      <w:proofErr w:type="spellEnd"/>
      <w:r>
        <w:rPr>
          <w:rFonts w:ascii="Miriam" w:hAnsi="Miriam" w:cs="Miriam"/>
          <w:color w:val="000000"/>
          <w:szCs w:val="24"/>
          <w:rtl/>
        </w:rPr>
        <w:t xml:space="preserve"> נ' מנהל מיסוי מקרקעין חיפה</w:t>
      </w:r>
      <w:r>
        <w:rPr>
          <w:rFonts w:ascii="FrankRuehl" w:hAnsi="FrankRuehl"/>
          <w:sz w:val="28"/>
          <w:rtl/>
        </w:rPr>
        <w:t>,</w:t>
      </w:r>
      <w:r>
        <w:rPr>
          <w:rFonts w:ascii="Miriam" w:hAnsi="Miriam" w:cs="Miriam"/>
          <w:color w:val="000000"/>
          <w:szCs w:val="24"/>
          <w:rtl/>
        </w:rPr>
        <w:t xml:space="preserve"> </w:t>
      </w:r>
      <w:r>
        <w:rPr>
          <w:rFonts w:ascii="FrankRuehl" w:hAnsi="FrankRuehl"/>
          <w:color w:val="000000"/>
          <w:sz w:val="28"/>
          <w:rtl/>
        </w:rPr>
        <w:t xml:space="preserve">פסקה 3 (6.12.2020) (להלן: </w:t>
      </w:r>
      <w:r>
        <w:rPr>
          <w:rFonts w:ascii="Miriam" w:hAnsi="Miriam" w:cs="Miriam"/>
          <w:color w:val="000000"/>
          <w:szCs w:val="24"/>
          <w:rtl/>
        </w:rPr>
        <w:t xml:space="preserve">עניין </w:t>
      </w:r>
      <w:proofErr w:type="spellStart"/>
      <w:r>
        <w:rPr>
          <w:rFonts w:ascii="Miriam" w:hAnsi="Miriam" w:cs="Miriam"/>
          <w:color w:val="000000"/>
          <w:szCs w:val="24"/>
          <w:rtl/>
        </w:rPr>
        <w:t>חנין</w:t>
      </w:r>
      <w:proofErr w:type="spellEnd"/>
      <w:r>
        <w:rPr>
          <w:rFonts w:ascii="Century" w:hAnsi="Century"/>
          <w:sz w:val="22"/>
          <w:rtl/>
        </w:rPr>
        <w:t>)</w:t>
      </w:r>
      <w:r>
        <w:rPr>
          <w:rFonts w:ascii="FrankRuehl" w:hAnsi="FrankRuehl"/>
          <w:color w:val="000000"/>
          <w:sz w:val="28"/>
          <w:rtl/>
        </w:rPr>
        <w:t>; כן ראו</w:t>
      </w:r>
      <w:r>
        <w:rPr>
          <w:rFonts w:ascii="FrankRuehl" w:hAnsi="FrankRuehl"/>
          <w:sz w:val="28"/>
          <w:rtl/>
        </w:rPr>
        <w:t xml:space="preserve"> </w:t>
      </w:r>
      <w:r>
        <w:rPr>
          <w:rtl/>
        </w:rPr>
        <w:t xml:space="preserve">אהרן </w:t>
      </w:r>
      <w:proofErr w:type="spellStart"/>
      <w:r>
        <w:rPr>
          <w:rtl/>
        </w:rPr>
        <w:t>נמדר</w:t>
      </w:r>
      <w:proofErr w:type="spellEnd"/>
      <w:r>
        <w:rPr>
          <w:rtl/>
        </w:rPr>
        <w:t xml:space="preserve"> </w:t>
      </w:r>
      <w:r>
        <w:rPr>
          <w:rFonts w:ascii="Miriam" w:hAnsi="Miriam" w:cs="Miriam"/>
          <w:sz w:val="22"/>
          <w:szCs w:val="24"/>
          <w:rtl/>
        </w:rPr>
        <w:t>מס שבח מקרקעין: חישוב המס ותשלומו</w:t>
      </w:r>
      <w:r>
        <w:rPr>
          <w:rtl/>
        </w:rPr>
        <w:t xml:space="preserve"> כרך ב' 271-267 (מהדורה שביעית, 2012) (להלן: </w:t>
      </w:r>
      <w:proofErr w:type="spellStart"/>
      <w:r>
        <w:rPr>
          <w:rFonts w:ascii="Miriam" w:hAnsi="Miriam" w:cs="Miriam"/>
          <w:sz w:val="22"/>
          <w:szCs w:val="24"/>
          <w:rtl/>
        </w:rPr>
        <w:t>נמדר</w:t>
      </w:r>
      <w:proofErr w:type="spellEnd"/>
      <w:r>
        <w:rPr>
          <w:rtl/>
        </w:rPr>
        <w:t xml:space="preserve">); </w:t>
      </w:r>
      <w:r>
        <w:rPr>
          <w:rFonts w:ascii="FrankRuehl" w:hAnsi="FrankRuehl"/>
          <w:sz w:val="28"/>
          <w:rtl/>
        </w:rPr>
        <w:t>יצחק הדרי "</w:t>
      </w:r>
      <w:proofErr w:type="spellStart"/>
      <w:r>
        <w:rPr>
          <w:rFonts w:ascii="FrankRuehl" w:hAnsi="FrankRuehl"/>
          <w:sz w:val="28"/>
          <w:rtl/>
        </w:rPr>
        <w:t>נפקויות</w:t>
      </w:r>
      <w:proofErr w:type="spellEnd"/>
      <w:r>
        <w:rPr>
          <w:rFonts w:ascii="FrankRuehl" w:hAnsi="FrankRuehl"/>
          <w:sz w:val="28"/>
          <w:rtl/>
        </w:rPr>
        <w:t xml:space="preserve"> המס של עסקת קומבינציה של מכר חלקי"</w:t>
      </w:r>
      <w:r>
        <w:rPr>
          <w:sz w:val="28"/>
          <w:rtl/>
        </w:rPr>
        <w:t xml:space="preserve"> </w:t>
      </w:r>
      <w:r>
        <w:rPr>
          <w:rFonts w:ascii="Miriam" w:hAnsi="Miriam" w:cs="Miriam"/>
          <w:color w:val="000000"/>
          <w:szCs w:val="24"/>
          <w:rtl/>
        </w:rPr>
        <w:t>המשפט</w:t>
      </w:r>
      <w:r>
        <w:rPr>
          <w:rtl/>
        </w:rPr>
        <w:t xml:space="preserve"> </w:t>
      </w:r>
      <w:proofErr w:type="spellStart"/>
      <w:r>
        <w:rPr>
          <w:rFonts w:ascii="FrankRuehl" w:hAnsi="FrankRuehl"/>
          <w:sz w:val="28"/>
          <w:rtl/>
        </w:rPr>
        <w:t>יב</w:t>
      </w:r>
      <w:proofErr w:type="spellEnd"/>
      <w:r>
        <w:rPr>
          <w:rFonts w:ascii="FrankRuehl" w:hAnsi="FrankRuehl"/>
          <w:sz w:val="28"/>
          <w:rtl/>
        </w:rPr>
        <w:t xml:space="preserve"> 193, 195 (</w:t>
      </w:r>
      <w:proofErr w:type="spellStart"/>
      <w:r>
        <w:rPr>
          <w:rFonts w:ascii="FrankRuehl" w:hAnsi="FrankRuehl"/>
          <w:sz w:val="28"/>
          <w:rtl/>
        </w:rPr>
        <w:t>התשס"ז</w:t>
      </w:r>
      <w:proofErr w:type="spellEnd"/>
      <w:r>
        <w:rPr>
          <w:rFonts w:ascii="FrankRuehl" w:hAnsi="FrankRuehl"/>
          <w:sz w:val="28"/>
          <w:rtl/>
        </w:rPr>
        <w:t xml:space="preserve">)). כך גם פירשה זאת נציבות מס הכנסה ומיסוי מקרקעין עצמה בהוראת ביצוע מס שבח 23/98 "שווי מכירה </w:t>
      </w:r>
      <w:proofErr w:type="spellStart"/>
      <w:r>
        <w:rPr>
          <w:rFonts w:ascii="FrankRuehl" w:hAnsi="FrankRuehl"/>
          <w:sz w:val="28"/>
          <w:rtl/>
        </w:rPr>
        <w:t>בעיסקת</w:t>
      </w:r>
      <w:proofErr w:type="spellEnd"/>
      <w:r>
        <w:rPr>
          <w:rFonts w:ascii="FrankRuehl" w:hAnsi="FrankRuehl"/>
          <w:sz w:val="28"/>
          <w:rtl/>
        </w:rPr>
        <w:t xml:space="preserve"> אחוזים" מיום 1.11.1998 (להלן: </w:t>
      </w:r>
      <w:r>
        <w:rPr>
          <w:rFonts w:ascii="Century" w:hAnsi="Century" w:cs="Miriam"/>
          <w:b/>
          <w:spacing w:val="0"/>
          <w:sz w:val="22"/>
          <w:szCs w:val="24"/>
          <w:rtl/>
        </w:rPr>
        <w:t>הוראת ביצוע 23/98</w:t>
      </w:r>
      <w:r>
        <w:rPr>
          <w:rFonts w:ascii="FrankRuehl" w:hAnsi="FrankRuehl"/>
          <w:sz w:val="28"/>
          <w:rtl/>
        </w:rPr>
        <w:t>), שם נקבע כי:</w:t>
      </w:r>
    </w:p>
    <w:p w14:paraId="38EE7CF1" w14:textId="77777777" w:rsidR="007118D2" w:rsidRDefault="007118D2" w:rsidP="007118D2">
      <w:pPr>
        <w:pStyle w:val="Ruller41"/>
        <w:rPr>
          <w:rtl/>
        </w:rPr>
      </w:pPr>
    </w:p>
    <w:p w14:paraId="303BF5AE" w14:textId="77777777" w:rsidR="007118D2" w:rsidRDefault="007118D2" w:rsidP="007118D2">
      <w:pPr>
        <w:pStyle w:val="Ruller5"/>
        <w:rPr>
          <w:rFonts w:ascii="Century" w:hAnsi="Century" w:cs="Miriam"/>
          <w:b/>
          <w:spacing w:val="0"/>
          <w:szCs w:val="24"/>
          <w:rtl/>
        </w:rPr>
      </w:pPr>
      <w:r>
        <w:rPr>
          <w:rFonts w:ascii="Century" w:hAnsi="Century" w:cs="Miriam"/>
          <w:b/>
          <w:spacing w:val="0"/>
          <w:szCs w:val="24"/>
          <w:rtl/>
        </w:rPr>
        <w:t>1. כללי</w:t>
      </w:r>
    </w:p>
    <w:p w14:paraId="074CE822" w14:textId="77777777" w:rsidR="007118D2" w:rsidRDefault="007118D2" w:rsidP="007118D2">
      <w:pPr>
        <w:pStyle w:val="Ruller5"/>
        <w:rPr>
          <w:rFonts w:ascii="FrankRuehl" w:hAnsi="FrankRuehl"/>
          <w:sz w:val="28"/>
          <w:rtl/>
        </w:rPr>
      </w:pPr>
      <w:r>
        <w:rPr>
          <w:rFonts w:ascii="FrankRuehl" w:hAnsi="FrankRuehl"/>
          <w:sz w:val="28"/>
          <w:rtl/>
        </w:rPr>
        <w:t>א. ...</w:t>
      </w:r>
    </w:p>
    <w:p w14:paraId="2C72249D" w14:textId="77777777" w:rsidR="007118D2" w:rsidRDefault="007118D2" w:rsidP="007118D2">
      <w:pPr>
        <w:pStyle w:val="Ruller5"/>
        <w:rPr>
          <w:rFonts w:ascii="FrankRuehl" w:hAnsi="FrankRuehl"/>
          <w:sz w:val="28"/>
          <w:rtl/>
        </w:rPr>
      </w:pPr>
      <w:r>
        <w:rPr>
          <w:rFonts w:ascii="FrankRuehl" w:hAnsi="FrankRuehl"/>
          <w:sz w:val="28"/>
          <w:rtl/>
        </w:rPr>
        <w:t>ב. ...</w:t>
      </w:r>
    </w:p>
    <w:p w14:paraId="31F360B8" w14:textId="77777777" w:rsidR="007118D2" w:rsidRDefault="007118D2" w:rsidP="007118D2">
      <w:pPr>
        <w:pStyle w:val="Ruller5"/>
        <w:rPr>
          <w:rFonts w:ascii="FrankRuehl" w:hAnsi="FrankRuehl"/>
          <w:sz w:val="28"/>
          <w:rtl/>
        </w:rPr>
      </w:pPr>
      <w:r>
        <w:rPr>
          <w:rFonts w:ascii="FrankRuehl" w:hAnsi="FrankRuehl"/>
          <w:sz w:val="28"/>
          <w:rtl/>
        </w:rPr>
        <w:t xml:space="preserve">ג. מטרת הוראת ביצוע זו לקבוע עקרון, לפיו יש לקבוע את שווי המכירה עפ"י שווי שירותי הבנייה שמקבל המוכר כמפורט להלן. </w:t>
      </w:r>
    </w:p>
    <w:p w14:paraId="60D249D5" w14:textId="77777777" w:rsidR="007118D2" w:rsidRDefault="007118D2" w:rsidP="007118D2">
      <w:pPr>
        <w:pStyle w:val="Ruller5"/>
        <w:rPr>
          <w:rFonts w:ascii="Century" w:hAnsi="Century" w:cs="Miriam"/>
          <w:b/>
          <w:spacing w:val="0"/>
          <w:szCs w:val="24"/>
          <w:rtl/>
        </w:rPr>
      </w:pPr>
      <w:r>
        <w:rPr>
          <w:rFonts w:ascii="Century" w:hAnsi="Century" w:cs="Miriam"/>
          <w:b/>
          <w:spacing w:val="0"/>
          <w:szCs w:val="24"/>
          <w:rtl/>
        </w:rPr>
        <w:t>2.</w:t>
      </w:r>
      <w:r>
        <w:rPr>
          <w:rFonts w:ascii="Century" w:hAnsi="Century" w:cs="Miriam"/>
          <w:b/>
          <w:spacing w:val="0"/>
          <w:szCs w:val="24"/>
          <w:rtl/>
        </w:rPr>
        <w:tab/>
        <w:t>שווי המכירה</w:t>
      </w:r>
    </w:p>
    <w:p w14:paraId="7E676C28" w14:textId="77777777" w:rsidR="007118D2" w:rsidRDefault="007118D2" w:rsidP="007118D2">
      <w:pPr>
        <w:pStyle w:val="Ruller5"/>
        <w:rPr>
          <w:rFonts w:ascii="FrankRuehl" w:hAnsi="FrankRuehl"/>
          <w:sz w:val="28"/>
          <w:rtl/>
        </w:rPr>
      </w:pPr>
      <w:r>
        <w:rPr>
          <w:rFonts w:ascii="FrankRuehl" w:hAnsi="FrankRuehl"/>
          <w:sz w:val="28"/>
          <w:rtl/>
        </w:rPr>
        <w:t xml:space="preserve">כאמור, שווי המכירה ייקבע, ככלל, כשווי התמורה שמקבל בעל הקרקע מהקבלן, שכוללת את המרכיבים הבאים: </w:t>
      </w:r>
    </w:p>
    <w:p w14:paraId="60AD3D6E" w14:textId="77777777" w:rsidR="007118D2" w:rsidRDefault="007118D2" w:rsidP="007118D2">
      <w:pPr>
        <w:pStyle w:val="Ruller5"/>
        <w:rPr>
          <w:rFonts w:ascii="FrankRuehl" w:hAnsi="FrankRuehl"/>
          <w:sz w:val="28"/>
          <w:rtl/>
        </w:rPr>
      </w:pPr>
      <w:r>
        <w:rPr>
          <w:rFonts w:ascii="FrankRuehl" w:hAnsi="FrankRuehl"/>
          <w:sz w:val="28"/>
          <w:rtl/>
        </w:rPr>
        <w:t>שירותי הבנייה, הכוללים בין השאר:</w:t>
      </w:r>
    </w:p>
    <w:p w14:paraId="711A8B63" w14:textId="77777777" w:rsidR="007118D2" w:rsidRDefault="007118D2" w:rsidP="007118D2">
      <w:pPr>
        <w:pStyle w:val="Ruller5"/>
        <w:rPr>
          <w:rFonts w:ascii="FrankRuehl" w:hAnsi="FrankRuehl"/>
          <w:sz w:val="28"/>
        </w:rPr>
      </w:pPr>
      <w:r>
        <w:rPr>
          <w:rFonts w:ascii="FrankRuehl" w:hAnsi="FrankRuehl"/>
          <w:sz w:val="28"/>
          <w:rtl/>
        </w:rPr>
        <w:t xml:space="preserve">עלויות הבנייה - תשומות בנייה (עלויות חומר ועבודה). </w:t>
      </w:r>
    </w:p>
    <w:p w14:paraId="22623A6B" w14:textId="77777777" w:rsidR="007118D2" w:rsidRDefault="007118D2" w:rsidP="007118D2">
      <w:pPr>
        <w:pStyle w:val="Ruller5"/>
        <w:rPr>
          <w:rFonts w:ascii="FrankRuehl" w:hAnsi="FrankRuehl"/>
          <w:sz w:val="28"/>
        </w:rPr>
      </w:pPr>
      <w:r>
        <w:rPr>
          <w:rFonts w:ascii="FrankRuehl" w:hAnsi="FrankRuehl"/>
          <w:sz w:val="28"/>
          <w:rtl/>
        </w:rPr>
        <w:t xml:space="preserve">עלויות תכנון ופיקוח. </w:t>
      </w:r>
    </w:p>
    <w:p w14:paraId="2D67F29D" w14:textId="77777777" w:rsidR="007118D2" w:rsidRDefault="007118D2" w:rsidP="007118D2">
      <w:pPr>
        <w:pStyle w:val="Ruller5"/>
        <w:rPr>
          <w:rFonts w:ascii="FrankRuehl" w:hAnsi="FrankRuehl"/>
          <w:sz w:val="28"/>
        </w:rPr>
      </w:pPr>
      <w:r>
        <w:rPr>
          <w:rFonts w:ascii="FrankRuehl" w:hAnsi="FrankRuehl"/>
          <w:sz w:val="28"/>
          <w:rtl/>
        </w:rPr>
        <w:lastRenderedPageBreak/>
        <w:t>לאמור לעיל יתווסף</w:t>
      </w:r>
    </w:p>
    <w:p w14:paraId="07D33F6A" w14:textId="77777777" w:rsidR="007118D2" w:rsidRDefault="007118D2" w:rsidP="007118D2">
      <w:pPr>
        <w:pStyle w:val="Ruller5"/>
        <w:rPr>
          <w:rFonts w:ascii="FrankRuehl" w:hAnsi="FrankRuehl"/>
          <w:sz w:val="28"/>
          <w:rtl/>
        </w:rPr>
      </w:pPr>
      <w:r>
        <w:rPr>
          <w:rFonts w:ascii="FrankRuehl" w:hAnsi="FrankRuehl"/>
          <w:sz w:val="28"/>
          <w:rtl/>
        </w:rPr>
        <w:t>רווח קבלני סביר (20%-15%),</w:t>
      </w:r>
    </w:p>
    <w:p w14:paraId="4E3478D5" w14:textId="77777777" w:rsidR="007118D2" w:rsidRDefault="007118D2" w:rsidP="007118D2">
      <w:pPr>
        <w:pStyle w:val="Ruller5"/>
        <w:rPr>
          <w:rFonts w:ascii="FrankRuehl" w:hAnsi="FrankRuehl"/>
          <w:sz w:val="28"/>
        </w:rPr>
      </w:pPr>
      <w:r>
        <w:rPr>
          <w:rFonts w:ascii="FrankRuehl" w:hAnsi="FrankRuehl"/>
          <w:sz w:val="28"/>
          <w:rtl/>
        </w:rPr>
        <w:t xml:space="preserve">מס ערך מוסף. </w:t>
      </w:r>
    </w:p>
    <w:p w14:paraId="4E0C6D7A" w14:textId="77777777" w:rsidR="007118D2" w:rsidRDefault="007118D2" w:rsidP="007118D2">
      <w:pPr>
        <w:pStyle w:val="Ruller5"/>
        <w:rPr>
          <w:rFonts w:ascii="FrankRuehl" w:hAnsi="FrankRuehl"/>
          <w:sz w:val="28"/>
        </w:rPr>
      </w:pPr>
      <w:r>
        <w:rPr>
          <w:rFonts w:ascii="FrankRuehl" w:hAnsi="FrankRuehl"/>
          <w:sz w:val="28"/>
          <w:rtl/>
        </w:rPr>
        <w:t xml:space="preserve">אגרות, מיסים והיטלים שמשלם הקבלן עבור בעל הקרקע כגון: מס שבח, היטל השבחה, דמי היתר </w:t>
      </w:r>
      <w:proofErr w:type="spellStart"/>
      <w:r>
        <w:rPr>
          <w:rFonts w:ascii="FrankRuehl" w:hAnsi="FrankRuehl"/>
          <w:sz w:val="28"/>
          <w:rtl/>
        </w:rPr>
        <w:t>למינהל</w:t>
      </w:r>
      <w:proofErr w:type="spellEnd"/>
      <w:r>
        <w:rPr>
          <w:rFonts w:ascii="FrankRuehl" w:hAnsi="FrankRuehl"/>
          <w:sz w:val="28"/>
          <w:rtl/>
        </w:rPr>
        <w:t xml:space="preserve"> מקרקעי ישראל, אגרות בנייה </w:t>
      </w:r>
      <w:proofErr w:type="spellStart"/>
      <w:r>
        <w:rPr>
          <w:rFonts w:ascii="FrankRuehl" w:hAnsi="FrankRuehl"/>
          <w:sz w:val="28"/>
          <w:rtl/>
        </w:rPr>
        <w:t>וכו</w:t>
      </w:r>
      <w:proofErr w:type="spellEnd"/>
      <w:r>
        <w:rPr>
          <w:rFonts w:ascii="FrankRuehl" w:hAnsi="FrankRuehl"/>
          <w:sz w:val="28"/>
          <w:rtl/>
        </w:rPr>
        <w:t>'.</w:t>
      </w:r>
    </w:p>
    <w:p w14:paraId="4DD0C2F4" w14:textId="77777777" w:rsidR="007118D2" w:rsidRDefault="007118D2" w:rsidP="007118D2">
      <w:pPr>
        <w:pStyle w:val="Ruller5"/>
        <w:rPr>
          <w:rFonts w:ascii="FrankRuehl" w:hAnsi="FrankRuehl"/>
          <w:sz w:val="28"/>
        </w:rPr>
      </w:pPr>
      <w:r>
        <w:rPr>
          <w:rFonts w:ascii="FrankRuehl" w:hAnsi="FrankRuehl"/>
          <w:sz w:val="28"/>
          <w:rtl/>
        </w:rPr>
        <w:t xml:space="preserve">תשלומים בכסף או בשווה כסף. </w:t>
      </w:r>
    </w:p>
    <w:p w14:paraId="5CD3D81D" w14:textId="77777777" w:rsidR="007118D2" w:rsidRDefault="007118D2" w:rsidP="007118D2">
      <w:pPr>
        <w:pStyle w:val="Ruller4"/>
        <w:numPr>
          <w:ilvl w:val="0"/>
          <w:numId w:val="0"/>
        </w:numPr>
        <w:tabs>
          <w:tab w:val="left" w:pos="720"/>
        </w:tabs>
        <w:spacing w:line="480" w:lineRule="auto"/>
        <w:rPr>
          <w:rFonts w:ascii="FrankRuehl" w:hAnsi="FrankRuehl"/>
          <w:sz w:val="28"/>
        </w:rPr>
      </w:pPr>
    </w:p>
    <w:p w14:paraId="4616C9B2" w14:textId="77777777" w:rsidR="007118D2" w:rsidRDefault="007118D2" w:rsidP="007118D2">
      <w:pPr>
        <w:pStyle w:val="Ruller4"/>
        <w:numPr>
          <w:ilvl w:val="0"/>
          <w:numId w:val="0"/>
        </w:numPr>
        <w:tabs>
          <w:tab w:val="left" w:pos="720"/>
        </w:tabs>
        <w:rPr>
          <w:rFonts w:ascii="FrankRuehl" w:hAnsi="FrankRuehl"/>
          <w:sz w:val="28"/>
          <w:rtl/>
        </w:rPr>
      </w:pPr>
      <w:r>
        <w:rPr>
          <w:rFonts w:ascii="FrankRuehl" w:hAnsi="FrankRuehl"/>
          <w:sz w:val="28"/>
          <w:rtl/>
        </w:rPr>
        <w:t xml:space="preserve"> </w:t>
      </w:r>
      <w:r>
        <w:rPr>
          <w:rFonts w:ascii="FrankRuehl" w:hAnsi="FrankRuehl"/>
          <w:sz w:val="28"/>
          <w:rtl/>
        </w:rPr>
        <w:tab/>
        <w:t xml:space="preserve">הנה כי כן, על-פי הוראת הביצוע של המשיב יש להתחשב ברווח הקבלני בלבד ולא ברווח היזמי. </w:t>
      </w:r>
    </w:p>
    <w:p w14:paraId="7344807C" w14:textId="77777777" w:rsidR="007118D2" w:rsidRDefault="007118D2" w:rsidP="007118D2">
      <w:pPr>
        <w:pStyle w:val="Ruller41"/>
        <w:rPr>
          <w:rtl/>
        </w:rPr>
      </w:pPr>
    </w:p>
    <w:p w14:paraId="2602188C" w14:textId="77777777" w:rsidR="007118D2" w:rsidRDefault="007118D2" w:rsidP="007118D2">
      <w:pPr>
        <w:pStyle w:val="Ruller41"/>
        <w:rPr>
          <w:rtl/>
        </w:rPr>
      </w:pPr>
      <w:r>
        <w:rPr>
          <w:rtl/>
        </w:rPr>
        <w:t>3.</w:t>
      </w:r>
      <w:r>
        <w:rPr>
          <w:rtl/>
        </w:rPr>
        <w:tab/>
        <w:t>אף שאין לשלול</w:t>
      </w:r>
      <w:r>
        <w:rPr>
          <w:rFonts w:ascii="FrankRuehl" w:hAnsi="FrankRuehl"/>
          <w:sz w:val="28"/>
          <w:rtl/>
        </w:rPr>
        <w:t xml:space="preserve"> את האפשרות שכתוצאה מפעולות ייזום שנקט היזם </w:t>
      </w:r>
      <w:proofErr w:type="spellStart"/>
      <w:r>
        <w:rPr>
          <w:rFonts w:ascii="FrankRuehl" w:hAnsi="FrankRuehl"/>
          <w:sz w:val="28"/>
          <w:rtl/>
        </w:rPr>
        <w:t>יהנה</w:t>
      </w:r>
      <w:proofErr w:type="spellEnd"/>
      <w:r>
        <w:rPr>
          <w:rFonts w:ascii="FrankRuehl" w:hAnsi="FrankRuehl"/>
          <w:sz w:val="28"/>
          <w:rtl/>
        </w:rPr>
        <w:t xml:space="preserve"> גם בעל המקרקעין מרווח יזמי במכירת דירות התמורה, הטעם המהותי לכך שאין לכלול את הרווח היזמי בגדר שווי שירותי הבנייה, נעוץ בכך שרווח זה נובע למעשה מהדירות שנמכרות בפרויקט, ומכירת הדירות אינה מהווה חלק מעסקת הקומבינציה ואינה חייבת במס במסגרתה. כידוע, עסקת הקומבינציה מורכבת משני אירועי מס: הראשון, עסקה של רכישת שירותי בנייה, שבה בעל המקרקעין שוכר את שירותי החברה הקבלנית כדי שתבנה על חלק מהקרקע. בתמורה לכך הוא מעביר לחברה הקבלנית חלק מהקרקע שבבעלותו. תמורה זו מהווה הכנסה בידי החברה הקבלנית ולכך מתווסף הריווח הקבלני שנוצר לה משירותי הבניה שהתחייבה לספק. אירוע המס השני הוא עסקת מכר מקרקעין שבה בעל המקרקעין מוכר לחברה הקבלנית חלק מהמקרקעין בשווי שירותי הבנייה. המועד הרלוונטי לצורך מיסוי עסקת הקומבינציה –</w:t>
      </w:r>
      <w:r>
        <w:rPr>
          <w:rFonts w:ascii="Miriam" w:hAnsi="Miriam" w:cs="Miriam"/>
          <w:szCs w:val="24"/>
          <w:rtl/>
        </w:rPr>
        <w:t xml:space="preserve"> </w:t>
      </w:r>
      <w:r>
        <w:rPr>
          <w:rFonts w:ascii="FrankRuehl" w:hAnsi="FrankRuehl"/>
          <w:sz w:val="28"/>
          <w:rtl/>
        </w:rPr>
        <w:t xml:space="preserve">על שני מרכיביה – הוא יום חתימת העסקה. על כן, </w:t>
      </w:r>
      <w:r>
        <w:rPr>
          <w:rtl/>
        </w:rPr>
        <w:t xml:space="preserve">הפעולות שעושים הצדדים לעסקה בדירות לאחר מכן, לרבות מכירתן, אינן קשורות לעסקת הקומבינציה ואין בהן כדי להשפיע על שווי המכירה באופן רטרואקטיבי (יוסף </w:t>
      </w:r>
      <w:proofErr w:type="spellStart"/>
      <w:r>
        <w:rPr>
          <w:rtl/>
        </w:rPr>
        <w:t>אדרעי</w:t>
      </w:r>
      <w:proofErr w:type="spellEnd"/>
      <w:r>
        <w:rPr>
          <w:rtl/>
        </w:rPr>
        <w:t xml:space="preserve"> </w:t>
      </w:r>
      <w:r>
        <w:rPr>
          <w:rFonts w:ascii="Miriam" w:hAnsi="Miriam" w:cs="Miriam"/>
          <w:szCs w:val="24"/>
          <w:rtl/>
        </w:rPr>
        <w:t>אירועי מס – עלייתם (ואיבונם?) של דיני מסים בישראל</w:t>
      </w:r>
      <w:r>
        <w:rPr>
          <w:rtl/>
        </w:rPr>
        <w:t xml:space="preserve"> 155-157 (</w:t>
      </w:r>
      <w:proofErr w:type="spellStart"/>
      <w:r>
        <w:rPr>
          <w:rtl/>
        </w:rPr>
        <w:t>התשס"ז</w:t>
      </w:r>
      <w:proofErr w:type="spellEnd"/>
      <w:r>
        <w:rPr>
          <w:rtl/>
        </w:rPr>
        <w:t xml:space="preserve">); </w:t>
      </w:r>
      <w:proofErr w:type="spellStart"/>
      <w:r>
        <w:rPr>
          <w:rFonts w:ascii="Century" w:hAnsi="Century" w:cs="Miriam"/>
          <w:b/>
          <w:spacing w:val="0"/>
          <w:szCs w:val="24"/>
          <w:rtl/>
        </w:rPr>
        <w:t>נמדר</w:t>
      </w:r>
      <w:proofErr w:type="spellEnd"/>
      <w:r>
        <w:rPr>
          <w:rtl/>
        </w:rPr>
        <w:t xml:space="preserve">, בעמ' 268-267). </w:t>
      </w:r>
    </w:p>
    <w:p w14:paraId="3974844F" w14:textId="77777777" w:rsidR="007118D2" w:rsidRDefault="007118D2" w:rsidP="007118D2">
      <w:pPr>
        <w:pStyle w:val="Ruller41"/>
        <w:rPr>
          <w:rtl/>
        </w:rPr>
      </w:pPr>
    </w:p>
    <w:p w14:paraId="46048F2F" w14:textId="77777777" w:rsidR="007118D2" w:rsidRDefault="007118D2" w:rsidP="007118D2">
      <w:pPr>
        <w:pStyle w:val="Ruller41"/>
        <w:rPr>
          <w:rFonts w:ascii="Century" w:hAnsi="Century"/>
          <w:rtl/>
        </w:rPr>
      </w:pPr>
      <w:r>
        <w:rPr>
          <w:rtl/>
        </w:rPr>
        <w:t>4.</w:t>
      </w:r>
      <w:r>
        <w:rPr>
          <w:rtl/>
        </w:rPr>
        <w:tab/>
        <w:t xml:space="preserve">עד כאן תמימת דעים אני עם קביעתו של חברי השופט </w:t>
      </w:r>
      <w:r>
        <w:rPr>
          <w:rFonts w:ascii="Century" w:hAnsi="Century" w:cs="Miriam"/>
          <w:b/>
          <w:spacing w:val="0"/>
          <w:szCs w:val="24"/>
          <w:rtl/>
        </w:rPr>
        <w:t>סולברג</w:t>
      </w:r>
      <w:r>
        <w:rPr>
          <w:rtl/>
        </w:rPr>
        <w:t xml:space="preserve">. ואולם, בחוות דעתו ערך השופט </w:t>
      </w:r>
      <w:r>
        <w:rPr>
          <w:rFonts w:ascii="Century" w:hAnsi="Century" w:cs="Miriam"/>
          <w:b/>
          <w:spacing w:val="0"/>
          <w:szCs w:val="24"/>
          <w:rtl/>
        </w:rPr>
        <w:t>סולברג</w:t>
      </w:r>
      <w:r>
        <w:rPr>
          <w:rtl/>
        </w:rPr>
        <w:t xml:space="preserve"> הבחנה בין שני סוגים של רווח יזמי – את </w:t>
      </w:r>
      <w:r>
        <w:rPr>
          <w:rFonts w:ascii="Century" w:hAnsi="Century" w:cs="Miriam"/>
          <w:b/>
          <w:spacing w:val="0"/>
          <w:szCs w:val="24"/>
          <w:rtl/>
        </w:rPr>
        <w:t>הסוג הראשון</w:t>
      </w:r>
      <w:r>
        <w:rPr>
          <w:rFonts w:ascii="Century" w:hAnsi="Century"/>
          <w:rtl/>
        </w:rPr>
        <w:t xml:space="preserve"> כינה חברי "רווח יזמי בגין שירותי ייזום", קרי - שכר טרחה עבור שירותי היזם שכוללים את תכנון הפרויקט וניהול הליכים מול רגולטורים שונים. לגבי רווח יזמי מסוג זה קבע חברי כי "</w:t>
      </w:r>
      <w:r>
        <w:rPr>
          <w:rFonts w:ascii="Miriam" w:hAnsi="Miriam" w:cs="Miriam"/>
          <w:sz w:val="24"/>
          <w:szCs w:val="24"/>
          <w:rtl/>
        </w:rPr>
        <w:t>עצם הכללתו של רכיב זה בעסקה – 'רווח יזמי בגין שירותי ייזום' – אינו שנוי במחלוקת בין הצדדים. המערערת היא זו שנטלה על עצמה את הטיפול בכל אלה, ואין חולק כי לולא עבודתה-זו, מיזם – לא יקום, ודירות כתמורה – לא תינתנה</w:t>
      </w:r>
      <w:r>
        <w:rPr>
          <w:rFonts w:ascii="Century" w:hAnsi="Century"/>
          <w:rtl/>
        </w:rPr>
        <w:t xml:space="preserve">" (פסקה 26 לחוות דעתו). ובמילים אחרות, לשיטת חברי יש לכלול רכיב זה בשווי עלויות הבניה מכיוון שהוא רכיב הכרחי להקמת הפרויקט והשלמתו. </w:t>
      </w:r>
      <w:r>
        <w:rPr>
          <w:rFonts w:ascii="Century" w:hAnsi="Century" w:cs="Miriam"/>
          <w:b/>
          <w:spacing w:val="0"/>
          <w:szCs w:val="24"/>
          <w:rtl/>
        </w:rPr>
        <w:t>הסוג השני</w:t>
      </w:r>
      <w:r>
        <w:rPr>
          <w:rFonts w:ascii="Century" w:hAnsi="Century"/>
          <w:rtl/>
        </w:rPr>
        <w:t xml:space="preserve"> של הרווח היזמי </w:t>
      </w:r>
      <w:r>
        <w:rPr>
          <w:rFonts w:ascii="Century" w:hAnsi="Century"/>
          <w:rtl/>
        </w:rPr>
        <w:lastRenderedPageBreak/>
        <w:t xml:space="preserve">הוא הרווח שגורף היזם לכיסו ממכירת הדירות ובמילותיו של חברי: </w:t>
      </w:r>
      <w:r>
        <w:rPr>
          <w:rFonts w:ascii="Miriam" w:hAnsi="Miriam" w:cs="Miriam"/>
          <w:sz w:val="20"/>
          <w:szCs w:val="24"/>
          <w:rtl/>
        </w:rPr>
        <w:t>"הרווח הנוצר מן הפער שבין עלויות הקמת המיזם, לבין המחיר שבו תימכרנה הדירות לצדדים שלישיים, לאחר שיקום בניין הדירות ויעמוד על תילו"</w:t>
      </w:r>
      <w:r>
        <w:rPr>
          <w:rFonts w:ascii="Century" w:hAnsi="Century"/>
          <w:rtl/>
        </w:rPr>
        <w:t xml:space="preserve">(פסקה 27 לחוות דעתו). באשר לרווח זה, קובע </w:t>
      </w:r>
      <w:r>
        <w:rPr>
          <w:rFonts w:ascii="FrankRuehl" w:hAnsi="FrankRuehl"/>
          <w:sz w:val="28"/>
          <w:rtl/>
        </w:rPr>
        <w:t xml:space="preserve">חברי כי אין לכלול אותו בחישוב התמורה, בציינו כי </w:t>
      </w:r>
      <w:r>
        <w:rPr>
          <w:rFonts w:ascii="Century" w:hAnsi="Century"/>
          <w:rtl/>
        </w:rPr>
        <w:t>"</w:t>
      </w:r>
      <w:r>
        <w:rPr>
          <w:rFonts w:ascii="Miriam" w:hAnsi="Miriam" w:cs="Miriam"/>
          <w:szCs w:val="24"/>
          <w:rtl/>
        </w:rPr>
        <w:t>היזם אינו מצפה אפוא, לרווח ממכירת דירות התמורה לצדדים שלישיים, שכן אלה אינן בבעלותו, ולא היו כן בשום שלב של העסקה</w:t>
      </w:r>
      <w:r>
        <w:rPr>
          <w:rFonts w:ascii="Century" w:hAnsi="Century"/>
          <w:rtl/>
        </w:rPr>
        <w:t>"</w:t>
      </w:r>
      <w:r>
        <w:rPr>
          <w:rFonts w:ascii="Miriam" w:hAnsi="Miriam" w:cs="Miriam"/>
          <w:szCs w:val="24"/>
          <w:rtl/>
        </w:rPr>
        <w:t xml:space="preserve"> </w:t>
      </w:r>
      <w:r>
        <w:rPr>
          <w:rFonts w:ascii="Century" w:hAnsi="Century"/>
          <w:rtl/>
        </w:rPr>
        <w:t>(פסקה 34 לחוות דעתו).</w:t>
      </w:r>
    </w:p>
    <w:p w14:paraId="37F5D8AA" w14:textId="77777777" w:rsidR="007118D2" w:rsidRDefault="007118D2" w:rsidP="007118D2">
      <w:pPr>
        <w:pStyle w:val="Ruller41"/>
        <w:rPr>
          <w:rFonts w:ascii="Century" w:hAnsi="Century"/>
          <w:rtl/>
        </w:rPr>
      </w:pPr>
    </w:p>
    <w:p w14:paraId="6D85BC62" w14:textId="77777777" w:rsidR="007118D2" w:rsidRDefault="007118D2" w:rsidP="007118D2">
      <w:pPr>
        <w:pStyle w:val="Ruller41"/>
        <w:rPr>
          <w:rFonts w:ascii="Century" w:hAnsi="Century"/>
          <w:rtl/>
        </w:rPr>
      </w:pPr>
      <w:r>
        <w:rPr>
          <w:rFonts w:ascii="Century" w:hAnsi="Century"/>
          <w:rtl/>
        </w:rPr>
        <w:t>5.</w:t>
      </w:r>
      <w:r>
        <w:rPr>
          <w:rFonts w:ascii="Century" w:hAnsi="Century"/>
          <w:rtl/>
        </w:rPr>
        <w:tab/>
      </w:r>
      <w:r>
        <w:rPr>
          <w:rFonts w:ascii="FrankRuehl" w:hAnsi="FrankRuehl"/>
          <w:sz w:val="28"/>
          <w:rtl/>
        </w:rPr>
        <w:t>דא עקא, הבחנה זו בין שני מובנים של רווח יזמי בחישוב מס השבח אינה מוכרת בהנחיות רשויות המס ובפסיקה.</w:t>
      </w:r>
    </w:p>
    <w:p w14:paraId="3E98F882" w14:textId="77777777" w:rsidR="007118D2" w:rsidRDefault="007118D2" w:rsidP="007118D2">
      <w:pPr>
        <w:pStyle w:val="Ruller41"/>
        <w:rPr>
          <w:rtl/>
        </w:rPr>
      </w:pPr>
    </w:p>
    <w:p w14:paraId="0D826547" w14:textId="77777777" w:rsidR="007118D2" w:rsidRDefault="007118D2" w:rsidP="007118D2">
      <w:pPr>
        <w:pStyle w:val="Ruller4"/>
        <w:numPr>
          <w:ilvl w:val="0"/>
          <w:numId w:val="0"/>
        </w:numPr>
        <w:tabs>
          <w:tab w:val="left" w:pos="720"/>
        </w:tabs>
        <w:rPr>
          <w:rFonts w:ascii="FrankRuehl" w:hAnsi="FrankRuehl"/>
          <w:sz w:val="28"/>
          <w:rtl/>
        </w:rPr>
      </w:pPr>
      <w:r>
        <w:rPr>
          <w:rFonts w:ascii="FrankRuehl" w:hAnsi="FrankRuehl"/>
          <w:sz w:val="28"/>
          <w:rtl/>
        </w:rPr>
        <w:tab/>
        <w:t xml:space="preserve">בהוראת ביצוע 23/98 צוין </w:t>
      </w:r>
      <w:proofErr w:type="spellStart"/>
      <w:r>
        <w:rPr>
          <w:rFonts w:ascii="FrankRuehl" w:hAnsi="FrankRuehl"/>
          <w:sz w:val="28"/>
          <w:rtl/>
        </w:rPr>
        <w:t>העקרון</w:t>
      </w:r>
      <w:proofErr w:type="spellEnd"/>
      <w:r>
        <w:rPr>
          <w:rFonts w:ascii="FrankRuehl" w:hAnsi="FrankRuehl"/>
          <w:sz w:val="28"/>
          <w:rtl/>
        </w:rPr>
        <w:t xml:space="preserve"> שלפיו יש לקבוע את שווי המכירה בעסקת קומבינציה על-פי שווי שירותי הבניה שמקבל בעל הקרקע מהקבלן על הקרקע שנותרה בבעלותו ואשר כוללים, כאמור, עלויות בניה, עלויות תכנון ופיקוח, </w:t>
      </w:r>
      <w:r>
        <w:rPr>
          <w:rFonts w:ascii="Miriam" w:hAnsi="Miriam" w:cs="Miriam"/>
          <w:szCs w:val="24"/>
          <w:rtl/>
        </w:rPr>
        <w:t>רווח קבלני</w:t>
      </w:r>
      <w:r>
        <w:rPr>
          <w:rFonts w:ascii="FrankRuehl" w:hAnsi="FrankRuehl"/>
          <w:szCs w:val="24"/>
          <w:rtl/>
        </w:rPr>
        <w:t xml:space="preserve"> </w:t>
      </w:r>
      <w:r>
        <w:rPr>
          <w:rFonts w:ascii="FrankRuehl" w:hAnsi="FrankRuehl"/>
          <w:sz w:val="28"/>
          <w:rtl/>
        </w:rPr>
        <w:t xml:space="preserve">סביר בשיעור של 15%-20%, מס ערך מוסף וכן אגרות, מסים והיטלים שמשלם הקבלן בעבור בעל הקרקע (כגון: מס שבח, היטל השבחה, דמי היתר </w:t>
      </w:r>
      <w:proofErr w:type="spellStart"/>
      <w:r>
        <w:rPr>
          <w:rFonts w:ascii="FrankRuehl" w:hAnsi="FrankRuehl"/>
          <w:sz w:val="28"/>
          <w:rtl/>
        </w:rPr>
        <w:t>למינהל</w:t>
      </w:r>
      <w:proofErr w:type="spellEnd"/>
      <w:r>
        <w:rPr>
          <w:rFonts w:ascii="FrankRuehl" w:hAnsi="FrankRuehl"/>
          <w:sz w:val="28"/>
          <w:rtl/>
        </w:rPr>
        <w:t xml:space="preserve"> מקרקעי ישראל, אגרות בנייה וכו'). עקרון נוסף שנקבע בהוראת ביצוע 23/98 הוא הערכת שווי שירותי הבנייה על כל רכיביהם בהתבסס על המחירים המקובלים בשוק, לרבות שימוש במחירונים קיימים</w:t>
      </w:r>
      <w:r>
        <w:rPr>
          <w:rFonts w:ascii="David" w:hAnsi="David"/>
          <w:color w:val="000000"/>
          <w:sz w:val="28"/>
          <w:rtl/>
        </w:rPr>
        <w:t xml:space="preserve">, תוך בחינת סבירות התמורה באמצעות השוואה </w:t>
      </w:r>
      <w:r>
        <w:rPr>
          <w:rFonts w:ascii="FrankRuehl" w:hAnsi="FrankRuehl"/>
          <w:sz w:val="28"/>
          <w:rtl/>
        </w:rPr>
        <w:t>לעסקאות דומות ולשווי הקרקע הנמכרת מול שווי דירות התמורה.</w:t>
      </w:r>
    </w:p>
    <w:p w14:paraId="5E74044C" w14:textId="77777777" w:rsidR="007118D2" w:rsidRDefault="007118D2" w:rsidP="007118D2">
      <w:pPr>
        <w:pStyle w:val="Ruller4"/>
        <w:numPr>
          <w:ilvl w:val="0"/>
          <w:numId w:val="0"/>
        </w:numPr>
        <w:tabs>
          <w:tab w:val="left" w:pos="720"/>
        </w:tabs>
        <w:ind w:left="720"/>
        <w:rPr>
          <w:rFonts w:ascii="FrankRuehl" w:hAnsi="FrankRuehl"/>
          <w:sz w:val="28"/>
        </w:rPr>
      </w:pPr>
    </w:p>
    <w:p w14:paraId="23D5B798" w14:textId="77777777" w:rsidR="007118D2" w:rsidRDefault="007118D2" w:rsidP="007118D2">
      <w:pPr>
        <w:pStyle w:val="Ruller4"/>
        <w:numPr>
          <w:ilvl w:val="0"/>
          <w:numId w:val="0"/>
        </w:numPr>
        <w:tabs>
          <w:tab w:val="left" w:pos="720"/>
        </w:tabs>
        <w:ind w:firstLine="720"/>
        <w:rPr>
          <w:rFonts w:ascii="FrankRuehl" w:hAnsi="FrankRuehl"/>
          <w:sz w:val="28"/>
        </w:rPr>
      </w:pPr>
      <w:r>
        <w:rPr>
          <w:rtl/>
        </w:rPr>
        <w:t xml:space="preserve">לצד זאת, נשמרה בהוראת ביצוע 23/98 האפשרות לקבוע את שווי התמורה בשיטת החילוץ, שבה מוערך שווי שירותי הבנייה על-פי שווי יחידות התמורה הגמורות בניכוי שווי המקרקעין </w:t>
      </w:r>
      <w:r>
        <w:rPr>
          <w:rFonts w:ascii="FrankRuehl" w:hAnsi="FrankRuehl"/>
          <w:rtl/>
        </w:rPr>
        <w:t>ובניכוי</w:t>
      </w:r>
      <w:r>
        <w:rPr>
          <w:rFonts w:ascii="Miriam" w:hAnsi="Miriam" w:cs="Miriam"/>
          <w:sz w:val="22"/>
          <w:szCs w:val="24"/>
          <w:rtl/>
        </w:rPr>
        <w:t xml:space="preserve"> רווח יזמי</w:t>
      </w:r>
      <w:r>
        <w:rPr>
          <w:sz w:val="22"/>
          <w:szCs w:val="24"/>
          <w:rtl/>
        </w:rPr>
        <w:t xml:space="preserve"> </w:t>
      </w:r>
      <w:r>
        <w:rPr>
          <w:sz w:val="28"/>
          <w:rtl/>
        </w:rPr>
        <w:t xml:space="preserve">– שפירושו </w:t>
      </w:r>
      <w:r>
        <w:rPr>
          <w:rFonts w:ascii="Miriam" w:hAnsi="Miriam" w:cs="Miriam"/>
          <w:szCs w:val="24"/>
          <w:rtl/>
        </w:rPr>
        <w:t>"ההפרש (באחוזים או בערך כספי מוחלט) שבין שווי הנכס כבנוי לבין סכום עלות ההקמה הכוללת ומרכיב הקרקע שעליה הוא נבנה"</w:t>
      </w:r>
      <w:r>
        <w:rPr>
          <w:rFonts w:ascii="FrankRuehl" w:hAnsi="FrankRuehl"/>
          <w:szCs w:val="24"/>
          <w:rtl/>
        </w:rPr>
        <w:t xml:space="preserve"> </w:t>
      </w:r>
      <w:r>
        <w:rPr>
          <w:rFonts w:ascii="FrankRuehl" w:hAnsi="FrankRuehl"/>
          <w:sz w:val="28"/>
          <w:rtl/>
        </w:rPr>
        <w:t>(ראו ההגדרה במסמך מטעם לשכת מנהל אגף שומת מקרקעין במשרד המשפטים שכותרתו "קווים מנחים</w:t>
      </w:r>
      <w:r>
        <w:rPr>
          <w:rFonts w:ascii="FrankRuehl" w:hAnsi="FrankRuehl"/>
          <w:szCs w:val="24"/>
          <w:rtl/>
        </w:rPr>
        <w:t xml:space="preserve"> </w:t>
      </w:r>
      <w:r>
        <w:rPr>
          <w:rFonts w:ascii="FrankRuehl" w:hAnsi="FrankRuehl"/>
          <w:sz w:val="28"/>
          <w:rtl/>
        </w:rPr>
        <w:t xml:space="preserve">פרק </w:t>
      </w:r>
      <w:proofErr w:type="spellStart"/>
      <w:r>
        <w:rPr>
          <w:rFonts w:ascii="FrankRuehl" w:hAnsi="FrankRuehl"/>
          <w:sz w:val="28"/>
          <w:rtl/>
        </w:rPr>
        <w:t>יח</w:t>
      </w:r>
      <w:proofErr w:type="spellEnd"/>
      <w:r>
        <w:rPr>
          <w:rFonts w:ascii="FrankRuehl" w:hAnsi="FrankRuehl"/>
          <w:sz w:val="28"/>
          <w:rtl/>
        </w:rPr>
        <w:t xml:space="preserve">': שימוש בגישת העלות ובחירת 'הרווח היזמי'" (יוני 2010) (להלן: </w:t>
      </w:r>
      <w:r>
        <w:rPr>
          <w:rFonts w:ascii="Century" w:hAnsi="Century" w:cs="Miriam"/>
          <w:b/>
          <w:spacing w:val="0"/>
          <w:sz w:val="22"/>
          <w:szCs w:val="24"/>
          <w:rtl/>
        </w:rPr>
        <w:t>מסמך הקווים המנחים</w:t>
      </w:r>
      <w:r>
        <w:rPr>
          <w:rFonts w:ascii="FrankRuehl" w:hAnsi="FrankRuehl"/>
          <w:sz w:val="28"/>
          <w:rtl/>
        </w:rPr>
        <w:t>)). זוהי, אפוא, משמעותו הרווחת והמקובלת של המונח "רווח יזמי" בעולם מיסוי המקרקעין וזהו ההקשר שבו הוא משמש. ובמילים אחרות, אין מדובר במונח דו-ראשי שכולל רכיב של שכר טרחה יזמי ("</w:t>
      </w:r>
      <w:r>
        <w:rPr>
          <w:rFonts w:ascii="Century" w:hAnsi="Century"/>
          <w:rtl/>
        </w:rPr>
        <w:t>רווח יזמי בגין שירותי ייזום"</w:t>
      </w:r>
      <w:r>
        <w:rPr>
          <w:rFonts w:ascii="FrankRuehl" w:hAnsi="FrankRuehl"/>
          <w:sz w:val="28"/>
          <w:rtl/>
        </w:rPr>
        <w:t xml:space="preserve">) ורכיב רווח שמקורו בהפרש שבין עלות ההקמה ובין שווי המכירה לצדדים שלישיים. לפיכך, </w:t>
      </w:r>
      <w:r>
        <w:rPr>
          <w:rtl/>
        </w:rPr>
        <w:t xml:space="preserve">הפעולות הנכללות במה שהוגדר על ידי חברי השופט </w:t>
      </w:r>
      <w:r>
        <w:rPr>
          <w:rFonts w:ascii="Century" w:hAnsi="Century" w:cs="Miriam"/>
          <w:b/>
          <w:spacing w:val="0"/>
          <w:szCs w:val="24"/>
          <w:rtl/>
        </w:rPr>
        <w:t>סולברג</w:t>
      </w:r>
      <w:r>
        <w:rPr>
          <w:rtl/>
        </w:rPr>
        <w:t xml:space="preserve"> כ"</w:t>
      </w:r>
      <w:r>
        <w:rPr>
          <w:rFonts w:ascii="Century" w:hAnsi="Century"/>
          <w:rtl/>
        </w:rPr>
        <w:t>שירותי ייזום</w:t>
      </w:r>
      <w:r>
        <w:rPr>
          <w:rtl/>
        </w:rPr>
        <w:t>", כלולות למעשה ב"שירותי הבנייה" כהגדרתם בהוראת הביצוע</w:t>
      </w:r>
      <w:r>
        <w:rPr>
          <w:rFonts w:ascii="Century" w:hAnsi="Century"/>
          <w:rtl/>
        </w:rPr>
        <w:t>, והצדדים אינם חלוקים בעניין זה.</w:t>
      </w:r>
    </w:p>
    <w:p w14:paraId="58F10FD8" w14:textId="77777777" w:rsidR="007118D2" w:rsidRDefault="007118D2" w:rsidP="007118D2">
      <w:pPr>
        <w:pStyle w:val="Ruller4"/>
        <w:numPr>
          <w:ilvl w:val="0"/>
          <w:numId w:val="0"/>
        </w:numPr>
        <w:tabs>
          <w:tab w:val="left" w:pos="720"/>
        </w:tabs>
        <w:spacing w:line="240" w:lineRule="auto"/>
        <w:ind w:firstLine="720"/>
        <w:rPr>
          <w:rFonts w:ascii="FrankRuehl" w:hAnsi="FrankRuehl"/>
          <w:sz w:val="28"/>
          <w:rtl/>
        </w:rPr>
      </w:pPr>
    </w:p>
    <w:p w14:paraId="32F9B234" w14:textId="2C066968" w:rsidR="007118D2" w:rsidRDefault="007118D2" w:rsidP="007118D2">
      <w:pPr>
        <w:pStyle w:val="Ruller4"/>
        <w:numPr>
          <w:ilvl w:val="0"/>
          <w:numId w:val="0"/>
        </w:numPr>
        <w:tabs>
          <w:tab w:val="left" w:pos="720"/>
        </w:tabs>
        <w:ind w:firstLine="720"/>
        <w:rPr>
          <w:rFonts w:ascii="FrankRuehl" w:hAnsi="FrankRuehl"/>
          <w:sz w:val="28"/>
          <w:rtl/>
        </w:rPr>
      </w:pPr>
      <w:proofErr w:type="spellStart"/>
      <w:r>
        <w:rPr>
          <w:rFonts w:ascii="FrankRuehl" w:hAnsi="FrankRuehl"/>
          <w:sz w:val="28"/>
          <w:rtl/>
        </w:rPr>
        <w:lastRenderedPageBreak/>
        <w:t>ודוקו</w:t>
      </w:r>
      <w:proofErr w:type="spellEnd"/>
      <w:r>
        <w:rPr>
          <w:rFonts w:ascii="FrankRuehl" w:hAnsi="FrankRuehl"/>
          <w:sz w:val="28"/>
          <w:rtl/>
        </w:rPr>
        <w:t xml:space="preserve"> </w:t>
      </w:r>
      <w:r>
        <w:rPr>
          <w:sz w:val="28"/>
          <w:rtl/>
        </w:rPr>
        <w:t>–</w:t>
      </w:r>
      <w:r>
        <w:rPr>
          <w:rFonts w:ascii="FrankRuehl" w:hAnsi="FrankRuehl"/>
          <w:sz w:val="28"/>
          <w:rtl/>
        </w:rPr>
        <w:t xml:space="preserve"> ההבחנה הברורה בין רווח קבלני המתייחס לביצוע הבנייה ובין רווח יזמי המתייחס למכירת הדירות הגמורות, טבועה בהנחיות נוספות של רשויות המס שעניינן מיסוי עסקאות חליפין, בהן הוראת ביצוע מיסוי מקרקעין 7/2001 "רכישת דירת מגורים המוצגת כרכישת קרקע והזמנת שרותי בניה בנפרד" (</w:t>
      </w:r>
      <w:r>
        <w:rPr>
          <w:rFonts w:ascii="Miriam" w:hAnsi="Miriam" w:cs="Miriam"/>
          <w:szCs w:val="24"/>
          <w:rtl/>
        </w:rPr>
        <w:t xml:space="preserve">מיסים </w:t>
      </w:r>
      <w:proofErr w:type="spellStart"/>
      <w:r>
        <w:rPr>
          <w:rFonts w:ascii="FrankRuehl" w:hAnsi="FrankRuehl"/>
          <w:sz w:val="28"/>
          <w:rtl/>
        </w:rPr>
        <w:t>טז</w:t>
      </w:r>
      <w:proofErr w:type="spellEnd"/>
      <w:r>
        <w:rPr>
          <w:rFonts w:ascii="FrankRuehl" w:hAnsi="FrankRuehl"/>
          <w:sz w:val="28"/>
          <w:rtl/>
        </w:rPr>
        <w:t>/1 ג-69) והוראת ביצוע מיסוי מקרקעין 11/2002 "הרפורמה במיסוי מקרקעין – פינוי ובינוי (הוראת שעה) חישוב 'כלל תמורות' והגדרת שטח דירה" (</w:t>
      </w:r>
      <w:r>
        <w:rPr>
          <w:rFonts w:ascii="Miriam" w:hAnsi="Miriam" w:cs="Miriam"/>
          <w:szCs w:val="24"/>
          <w:rtl/>
        </w:rPr>
        <w:t>מיסים</w:t>
      </w:r>
      <w:r>
        <w:rPr>
          <w:rFonts w:ascii="FrankRuehl" w:hAnsi="FrankRuehl"/>
          <w:sz w:val="28"/>
          <w:rtl/>
        </w:rPr>
        <w:t xml:space="preserve"> כד/4). </w:t>
      </w:r>
    </w:p>
    <w:p w14:paraId="0D067348" w14:textId="77777777" w:rsidR="007118D2" w:rsidRPr="007118D2" w:rsidRDefault="007118D2" w:rsidP="007118D2">
      <w:pPr>
        <w:pStyle w:val="Ruller41"/>
        <w:spacing w:line="240" w:lineRule="auto"/>
        <w:rPr>
          <w:rtl/>
        </w:rPr>
      </w:pPr>
    </w:p>
    <w:p w14:paraId="2B946ED8" w14:textId="1B2346FB" w:rsidR="007118D2" w:rsidRDefault="007118D2" w:rsidP="007118D2">
      <w:pPr>
        <w:pStyle w:val="Ruller4"/>
        <w:numPr>
          <w:ilvl w:val="0"/>
          <w:numId w:val="0"/>
        </w:numPr>
        <w:tabs>
          <w:tab w:val="left" w:pos="720"/>
        </w:tabs>
        <w:spacing w:before="240"/>
        <w:rPr>
          <w:rFonts w:ascii="FrankRuehl" w:hAnsi="FrankRuehl"/>
          <w:sz w:val="28"/>
          <w:rtl/>
        </w:rPr>
      </w:pPr>
      <w:r>
        <w:rPr>
          <w:rFonts w:ascii="Century" w:hAnsi="Century"/>
          <w:rtl/>
        </w:rPr>
        <w:t>6.</w:t>
      </w:r>
      <w:r>
        <w:rPr>
          <w:rFonts w:ascii="Century" w:hAnsi="Century"/>
          <w:rtl/>
        </w:rPr>
        <w:tab/>
      </w:r>
      <w:r>
        <w:rPr>
          <w:rFonts w:ascii="FrankRuehl" w:hAnsi="FrankRuehl"/>
          <w:sz w:val="28"/>
          <w:rtl/>
        </w:rPr>
        <w:t>אוסיף ואציין כי לגישתי, הסתמכותה של ועדת הערר על עניין</w:t>
      </w:r>
      <w:r>
        <w:rPr>
          <w:rFonts w:ascii="Miriam" w:hAnsi="Miriam" w:cs="Miriam"/>
          <w:szCs w:val="24"/>
          <w:rtl/>
        </w:rPr>
        <w:t xml:space="preserve"> כספי </w:t>
      </w:r>
      <w:r>
        <w:rPr>
          <w:rFonts w:ascii="FrankRuehl" w:hAnsi="FrankRuehl"/>
          <w:sz w:val="28"/>
          <w:rtl/>
        </w:rPr>
        <w:t>באשר</w:t>
      </w:r>
      <w:r>
        <w:rPr>
          <w:rFonts w:ascii="Miriam" w:hAnsi="Miriam" w:cs="Miriam"/>
          <w:szCs w:val="24"/>
          <w:rtl/>
        </w:rPr>
        <w:t xml:space="preserve"> </w:t>
      </w:r>
      <w:r>
        <w:rPr>
          <w:rFonts w:ascii="FrankRuehl" w:hAnsi="FrankRuehl"/>
          <w:sz w:val="28"/>
          <w:rtl/>
        </w:rPr>
        <w:t xml:space="preserve">להוספת רווח יזמי לעלויות הבנייה, אין לה מקום. אליבא </w:t>
      </w:r>
      <w:proofErr w:type="spellStart"/>
      <w:r>
        <w:rPr>
          <w:rFonts w:ascii="FrankRuehl" w:hAnsi="FrankRuehl"/>
          <w:sz w:val="28"/>
          <w:rtl/>
        </w:rPr>
        <w:t>דוועדת</w:t>
      </w:r>
      <w:proofErr w:type="spellEnd"/>
      <w:r>
        <w:rPr>
          <w:rFonts w:ascii="FrankRuehl" w:hAnsi="FrankRuehl"/>
          <w:sz w:val="28"/>
          <w:rtl/>
        </w:rPr>
        <w:t xml:space="preserve"> הערר, משלא הבחין בית המשפט בעניין </w:t>
      </w:r>
      <w:r>
        <w:rPr>
          <w:rFonts w:ascii="Miriam" w:hAnsi="Miriam" w:cs="Miriam"/>
          <w:szCs w:val="24"/>
          <w:rtl/>
        </w:rPr>
        <w:t xml:space="preserve">כספי </w:t>
      </w:r>
      <w:r>
        <w:rPr>
          <w:rFonts w:ascii="FrankRuehl" w:hAnsi="FrankRuehl"/>
          <w:sz w:val="28"/>
          <w:rtl/>
        </w:rPr>
        <w:t xml:space="preserve">בין הוספת רווח קבלני לרווח יזמי, יש לכלול את שניהם בשווי שירותי הבנייה. אולם, עיון בפסק הדין בעניין </w:t>
      </w:r>
      <w:r>
        <w:rPr>
          <w:rFonts w:ascii="Miriam" w:hAnsi="Miriam" w:cs="Miriam"/>
          <w:szCs w:val="24"/>
          <w:rtl/>
        </w:rPr>
        <w:t xml:space="preserve">כספי </w:t>
      </w:r>
      <w:r>
        <w:rPr>
          <w:rFonts w:ascii="FrankRuehl" w:hAnsi="FrankRuehl"/>
          <w:sz w:val="28"/>
          <w:rtl/>
        </w:rPr>
        <w:t>אינו מוביל למסקנה זו. כל שנאמר בפסק הדין הוא כי לשווי עלויות הבנייה יש להוסיף רווח קבלני כמקובל, וזאת מבלי להתייחס לשירותי יזמות שניתנו (אם ניתנו) וללא כל דיון בסוגיה של רווח יזמי. עוד יצוין כי ערעור על פסק-דין של הוועדה ב</w:t>
      </w:r>
      <w:r>
        <w:rPr>
          <w:rFonts w:ascii="David" w:hAnsi="David"/>
          <w:color w:val="000000"/>
          <w:sz w:val="28"/>
          <w:rtl/>
        </w:rPr>
        <w:t>-</w:t>
      </w:r>
      <w:proofErr w:type="spellStart"/>
      <w:r>
        <w:rPr>
          <w:rFonts w:ascii="David" w:hAnsi="David"/>
          <w:color w:val="000000"/>
          <w:sz w:val="28"/>
          <w:rtl/>
        </w:rPr>
        <w:t>ו"ע</w:t>
      </w:r>
      <w:proofErr w:type="spellEnd"/>
      <w:r>
        <w:rPr>
          <w:rFonts w:ascii="David" w:hAnsi="David"/>
          <w:color w:val="000000"/>
          <w:sz w:val="28"/>
          <w:rtl/>
        </w:rPr>
        <w:t xml:space="preserve"> (חי') 24859-01-16</w:t>
      </w:r>
      <w:r>
        <w:rPr>
          <w:rFonts w:ascii="David" w:hAnsi="David"/>
          <w:color w:val="000000"/>
          <w:sz w:val="22"/>
          <w:szCs w:val="22"/>
          <w:rtl/>
        </w:rPr>
        <w:t xml:space="preserve"> </w:t>
      </w:r>
      <w:r>
        <w:rPr>
          <w:rFonts w:ascii="Miriam" w:hAnsi="Miriam" w:cs="Miriam"/>
          <w:color w:val="000000"/>
          <w:szCs w:val="24"/>
          <w:rtl/>
        </w:rPr>
        <w:t xml:space="preserve">שוורץ נ' מיסוי מקרקעין חיפה </w:t>
      </w:r>
      <w:r>
        <w:rPr>
          <w:rFonts w:ascii="FrankRuehl" w:hAnsi="FrankRuehl"/>
          <w:color w:val="000000"/>
          <w:sz w:val="28"/>
          <w:rtl/>
        </w:rPr>
        <w:t>(30.11.2017)</w:t>
      </w:r>
      <w:r>
        <w:rPr>
          <w:rFonts w:ascii="FrankRuehl" w:hAnsi="FrankRuehl"/>
          <w:sz w:val="28"/>
          <w:rtl/>
        </w:rPr>
        <w:t>,</w:t>
      </w:r>
      <w:r>
        <w:rPr>
          <w:rFonts w:ascii="Miriam" w:hAnsi="Miriam" w:cs="Miriam"/>
          <w:color w:val="000000"/>
          <w:szCs w:val="24"/>
          <w:rtl/>
        </w:rPr>
        <w:t xml:space="preserve"> </w:t>
      </w:r>
      <w:r>
        <w:rPr>
          <w:rFonts w:ascii="FrankRuehl" w:hAnsi="FrankRuehl"/>
          <w:color w:val="000000"/>
          <w:sz w:val="28"/>
          <w:rtl/>
        </w:rPr>
        <w:t>שבו עלתה טענה דומה</w:t>
      </w:r>
      <w:r>
        <w:rPr>
          <w:rFonts w:ascii="Miriam" w:hAnsi="Miriam" w:cs="Miriam"/>
          <w:color w:val="000000"/>
          <w:szCs w:val="24"/>
          <w:rtl/>
        </w:rPr>
        <w:t xml:space="preserve"> </w:t>
      </w:r>
      <w:r>
        <w:rPr>
          <w:rFonts w:ascii="FrankRuehl" w:hAnsi="FrankRuehl"/>
          <w:color w:val="000000"/>
          <w:sz w:val="28"/>
          <w:rtl/>
        </w:rPr>
        <w:t>בדבר הכללת רווח יזמי</w:t>
      </w:r>
      <w:r>
        <w:rPr>
          <w:rFonts w:ascii="Miriam" w:hAnsi="Miriam" w:cs="Miriam"/>
          <w:color w:val="000000"/>
          <w:sz w:val="28"/>
          <w:rtl/>
        </w:rPr>
        <w:t xml:space="preserve"> </w:t>
      </w:r>
      <w:r>
        <w:rPr>
          <w:rFonts w:ascii="FrankRuehl" w:hAnsi="FrankRuehl"/>
          <w:color w:val="000000"/>
          <w:sz w:val="28"/>
          <w:rtl/>
        </w:rPr>
        <w:t xml:space="preserve">תוך הפנייה לעניין </w:t>
      </w:r>
      <w:r>
        <w:rPr>
          <w:rFonts w:ascii="Miriam" w:hAnsi="Miriam" w:cs="Miriam"/>
          <w:color w:val="000000"/>
          <w:szCs w:val="24"/>
          <w:rtl/>
        </w:rPr>
        <w:t>כספי</w:t>
      </w:r>
      <w:r>
        <w:rPr>
          <w:rFonts w:ascii="Miriam" w:hAnsi="Miriam" w:cs="Miriam"/>
          <w:color w:val="000000"/>
          <w:sz w:val="28"/>
          <w:rtl/>
        </w:rPr>
        <w:t xml:space="preserve"> (</w:t>
      </w:r>
      <w:r>
        <w:rPr>
          <w:rFonts w:ascii="FrankRuehl" w:hAnsi="FrankRuehl"/>
          <w:sz w:val="28"/>
          <w:rtl/>
        </w:rPr>
        <w:t xml:space="preserve">ע"א 1874/18 </w:t>
      </w:r>
      <w:r>
        <w:rPr>
          <w:rFonts w:ascii="Miriam" w:hAnsi="Miriam" w:cs="Miriam"/>
          <w:szCs w:val="24"/>
          <w:rtl/>
        </w:rPr>
        <w:t>שוורץ נ' מיסוי מקרקעין חיפה</w:t>
      </w:r>
      <w:r>
        <w:rPr>
          <w:rtl/>
        </w:rPr>
        <w:t xml:space="preserve"> (7.10.2019))</w:t>
      </w:r>
      <w:r>
        <w:rPr>
          <w:rFonts w:ascii="FrankRuehl" w:hAnsi="FrankRuehl"/>
          <w:sz w:val="28"/>
          <w:rtl/>
        </w:rPr>
        <w:t>, הסתיים לאחר הערות בית המשפט בהסכמת הצדדים על הפחתת תמורת העסקה. הדברים נכונים ביתר שאת בנסיבות המקרה דנן, שבו המערערת מספקת שירותי קבלנות ושירותי ייזום כאחד, ובמסגרת ההסכם שעליו חתמה עם המערער אין הבחנה בין אלה לאלה ושניהם כלולים בתמורה המוסכמת.</w:t>
      </w:r>
    </w:p>
    <w:p w14:paraId="3366CF5F" w14:textId="77777777" w:rsidR="007118D2" w:rsidRPr="007118D2" w:rsidRDefault="007118D2" w:rsidP="007118D2">
      <w:pPr>
        <w:pStyle w:val="Ruller41"/>
        <w:spacing w:line="240" w:lineRule="auto"/>
        <w:rPr>
          <w:rtl/>
        </w:rPr>
      </w:pPr>
    </w:p>
    <w:p w14:paraId="786D1ECB" w14:textId="77777777" w:rsidR="007118D2" w:rsidRDefault="007118D2" w:rsidP="007118D2">
      <w:pPr>
        <w:pStyle w:val="Ruller4"/>
        <w:numPr>
          <w:ilvl w:val="0"/>
          <w:numId w:val="0"/>
        </w:numPr>
        <w:tabs>
          <w:tab w:val="left" w:pos="720"/>
        </w:tabs>
        <w:spacing w:before="240"/>
        <w:ind w:firstLine="720"/>
        <w:rPr>
          <w:rFonts w:ascii="FrankRuehl" w:hAnsi="FrankRuehl"/>
          <w:sz w:val="28"/>
          <w:rtl/>
        </w:rPr>
      </w:pPr>
      <w:r>
        <w:rPr>
          <w:rFonts w:ascii="FrankRuehl" w:hAnsi="FrankRuehl"/>
          <w:sz w:val="28"/>
          <w:rtl/>
        </w:rPr>
        <w:t xml:space="preserve">לגישתי אין, אפוא, מקום לכלול בשווי התמורה רווח יזמי – בין </w:t>
      </w:r>
      <w:r>
        <w:rPr>
          <w:rFonts w:ascii="FrankRuehl" w:hAnsi="FrankRuehl" w:cs="Miriam"/>
          <w:szCs w:val="24"/>
          <w:rtl/>
        </w:rPr>
        <w:t xml:space="preserve">רווח </w:t>
      </w:r>
      <w:r>
        <w:rPr>
          <w:rFonts w:ascii="FrankRuehl" w:hAnsi="FrankRuehl"/>
          <w:sz w:val="28"/>
          <w:rtl/>
        </w:rPr>
        <w:t xml:space="preserve">בגין שירותי יזמות (להבדיל מעלות שירותי היזום עצמם הכלולים, כאמור, בשירותי בנייה), ובין רווח יזמי הכלול בשווי מכירת הדירות. בקווים המנחים הנזכרים לעיל, צוין אמנם כי במקרה שבו הקבלן מספק גם שירותי ייזום, מטשטשת ההבחנה בין רווח קבלני שאותו דורש הקבלן על ביצוע מלאכתו הקבלנית ובין הרווח בגין המלאכוֹת היזמיות. אך ככל שרשויות המס סבורות כי המגמה של פיצול בין קבלן ליזם המסתמנת בשנים האחרונות, מחייבת שינויים והתאמות באשר לאופן חישוב התמורה על-פי הוראת ביצוע 23/98, עליהן לפעול לשינוי המדיניות בעניין זה בצורה גלויה ומפורשת – בשים לב להסתמכות הנישומים על הנחיותיהן –ולא בצורה נקודתית אגב בדיקת שומות של עסקה מסוימת (ראו גם פסקה 37 לחוות דעתו של חברי השופט </w:t>
      </w:r>
      <w:r>
        <w:rPr>
          <w:rFonts w:ascii="Century" w:hAnsi="Century" w:cs="Miriam"/>
          <w:b/>
          <w:spacing w:val="0"/>
          <w:sz w:val="22"/>
          <w:szCs w:val="24"/>
          <w:rtl/>
        </w:rPr>
        <w:t>סולברג</w:t>
      </w:r>
      <w:r>
        <w:rPr>
          <w:rFonts w:ascii="FrankRuehl" w:hAnsi="FrankRuehl"/>
          <w:sz w:val="28"/>
          <w:rtl/>
        </w:rPr>
        <w:t xml:space="preserve">). </w:t>
      </w:r>
    </w:p>
    <w:p w14:paraId="0D435925" w14:textId="77777777" w:rsidR="007118D2" w:rsidRDefault="007118D2" w:rsidP="00AA3008">
      <w:pPr>
        <w:spacing w:line="360" w:lineRule="auto"/>
        <w:rPr>
          <w:rtl/>
        </w:rPr>
      </w:pPr>
    </w:p>
    <w:p w14:paraId="6BBF9C9B" w14:textId="34BA600C" w:rsidR="007118D2" w:rsidRDefault="007118D2" w:rsidP="007118D2">
      <w:pPr>
        <w:pStyle w:val="Ruller4"/>
        <w:numPr>
          <w:ilvl w:val="0"/>
          <w:numId w:val="0"/>
        </w:numPr>
        <w:tabs>
          <w:tab w:val="left" w:pos="720"/>
        </w:tabs>
        <w:ind w:left="4"/>
        <w:rPr>
          <w:rFonts w:ascii="FrankRuehl" w:hAnsi="FrankRuehl"/>
          <w:sz w:val="28"/>
          <w:rtl/>
        </w:rPr>
      </w:pPr>
      <w:r>
        <w:rPr>
          <w:rFonts w:ascii="FrankRuehl" w:hAnsi="FrankRuehl"/>
          <w:sz w:val="28"/>
          <w:rtl/>
        </w:rPr>
        <w:lastRenderedPageBreak/>
        <w:t>7.</w:t>
      </w:r>
      <w:r>
        <w:rPr>
          <w:rFonts w:ascii="FrankRuehl" w:hAnsi="FrankRuehl"/>
          <w:sz w:val="28"/>
          <w:rtl/>
        </w:rPr>
        <w:tab/>
        <w:t xml:space="preserve">נוכח המסקנה כי לא היה מקום להוסיף רווח יזמי לחישוב שווי התמורה בעסקה, עולה השאלה אם ראוי להחזיר את הדיון לוועדה על מנת להפחית רווח זה מן החישוב הנוגע לשווי התמורה שאותו אימצה. לדעתי, התשובה לכך היא שלילית, וזאת מן הטעמים שאפרט להלן. </w:t>
      </w:r>
    </w:p>
    <w:p w14:paraId="6D037F9A" w14:textId="77777777" w:rsidR="007118D2" w:rsidRPr="007118D2" w:rsidRDefault="007118D2" w:rsidP="00AA3008">
      <w:pPr>
        <w:pStyle w:val="Ruller41"/>
        <w:spacing w:line="240" w:lineRule="auto"/>
        <w:rPr>
          <w:rtl/>
        </w:rPr>
      </w:pPr>
    </w:p>
    <w:p w14:paraId="30E7E10B" w14:textId="50399C31" w:rsidR="007118D2" w:rsidRDefault="007118D2" w:rsidP="007118D2">
      <w:pPr>
        <w:pStyle w:val="Ruller4"/>
        <w:numPr>
          <w:ilvl w:val="0"/>
          <w:numId w:val="0"/>
        </w:numPr>
        <w:tabs>
          <w:tab w:val="left" w:pos="720"/>
        </w:tabs>
        <w:spacing w:before="240"/>
        <w:ind w:firstLine="720"/>
        <w:rPr>
          <w:rFonts w:ascii="FrankRuehl" w:hAnsi="FrankRuehl"/>
          <w:sz w:val="28"/>
          <w:rtl/>
        </w:rPr>
      </w:pPr>
      <w:r>
        <w:rPr>
          <w:rFonts w:ascii="FrankRuehl" w:hAnsi="FrankRuehl"/>
          <w:sz w:val="28"/>
          <w:rtl/>
        </w:rPr>
        <w:t xml:space="preserve">חוות הדעת של השמאי </w:t>
      </w:r>
      <w:proofErr w:type="spellStart"/>
      <w:r>
        <w:rPr>
          <w:rFonts w:ascii="FrankRuehl" w:hAnsi="FrankRuehl"/>
          <w:sz w:val="28"/>
          <w:rtl/>
        </w:rPr>
        <w:t>בוחניק</w:t>
      </w:r>
      <w:proofErr w:type="spellEnd"/>
      <w:r>
        <w:rPr>
          <w:rFonts w:ascii="FrankRuehl" w:hAnsi="FrankRuehl"/>
          <w:sz w:val="28"/>
          <w:rtl/>
        </w:rPr>
        <w:t xml:space="preserve"> שהוגשה מטעם המשיב והתקבלה על-ידי ועדת הערר לעניין שווי התמורה, כללה ארבעה תחשיבים שנערכו בשיטות חישוב שונות להערכת שווי עלויות הבנייה ושווי הקרקע, תוך הנחה כי קיימת שקילות בין שווי שירותי הבנייה שהוענקו לבעל הקרקע ובין שווי הקרקע שקיבל הקבלן מידי בעל הקרקע. בתחשיב המבוסס על עלויות הבניה לפי מחירון דקל, כמו גם בתחשיב המבוסס על עלויות הבניה שדווחו לרשות המיסים על-ידי קבלנים בסביבת הנכס, כלל השמאי </w:t>
      </w:r>
      <w:proofErr w:type="spellStart"/>
      <w:r>
        <w:rPr>
          <w:rFonts w:ascii="FrankRuehl" w:hAnsi="FrankRuehl"/>
          <w:sz w:val="28"/>
          <w:rtl/>
        </w:rPr>
        <w:t>בוחניק</w:t>
      </w:r>
      <w:proofErr w:type="spellEnd"/>
      <w:r>
        <w:rPr>
          <w:rFonts w:ascii="FrankRuehl" w:hAnsi="FrankRuehl"/>
          <w:sz w:val="28"/>
          <w:rtl/>
        </w:rPr>
        <w:t xml:space="preserve"> בשווי התמורה רווח יזמי "אותו אמור לגבות היזם מהבעלים עבור עבודתו" בשיעור של 15% בנוסף לרווח הקבלני. בתחשיב השלישי העריך השמאי </w:t>
      </w:r>
      <w:proofErr w:type="spellStart"/>
      <w:r>
        <w:rPr>
          <w:rFonts w:ascii="FrankRuehl" w:hAnsi="FrankRuehl"/>
          <w:sz w:val="28"/>
          <w:rtl/>
        </w:rPr>
        <w:t>בוחניק</w:t>
      </w:r>
      <w:proofErr w:type="spellEnd"/>
      <w:r>
        <w:rPr>
          <w:rFonts w:ascii="FrankRuehl" w:hAnsi="FrankRuehl"/>
          <w:sz w:val="28"/>
          <w:rtl/>
        </w:rPr>
        <w:t xml:space="preserve"> את שווי הקרקע בשיטת החילוץ הנזכרת בהוראת ביצוע 23/98 ובה, כאמור, לא נכלל רווח יזמי במובן המקובל של המונח המגולם במחיר מכירת הדירות. בתחשיב הרביעי והאחרון נטל השמאי </w:t>
      </w:r>
      <w:proofErr w:type="spellStart"/>
      <w:r>
        <w:rPr>
          <w:rFonts w:ascii="FrankRuehl" w:hAnsi="FrankRuehl"/>
          <w:sz w:val="28"/>
          <w:rtl/>
        </w:rPr>
        <w:t>בוחניק</w:t>
      </w:r>
      <w:proofErr w:type="spellEnd"/>
      <w:r>
        <w:rPr>
          <w:rFonts w:ascii="FrankRuehl" w:hAnsi="FrankRuehl"/>
          <w:sz w:val="28"/>
          <w:rtl/>
        </w:rPr>
        <w:t xml:space="preserve"> נתונים מחוות דעת של שמאי מכריע ביחס לשווי הקרקע בנכס אחר באזור, שאינה לוקחת בחשבון רווח יזמי. במילים אחרות, בשניים מתוך ארבעה תחשיבים שערך השמאי </w:t>
      </w:r>
      <w:proofErr w:type="spellStart"/>
      <w:r>
        <w:rPr>
          <w:rFonts w:ascii="FrankRuehl" w:hAnsi="FrankRuehl"/>
          <w:sz w:val="28"/>
          <w:rtl/>
        </w:rPr>
        <w:t>בוחניק</w:t>
      </w:r>
      <w:proofErr w:type="spellEnd"/>
      <w:r>
        <w:rPr>
          <w:rFonts w:ascii="FrankRuehl" w:hAnsi="FrankRuehl"/>
          <w:sz w:val="28"/>
          <w:rtl/>
        </w:rPr>
        <w:t xml:space="preserve">, לא נכלל רווח יזמי. מהשוואת ארבעת התחשיבים מצא השמאי </w:t>
      </w:r>
      <w:proofErr w:type="spellStart"/>
      <w:r>
        <w:rPr>
          <w:rFonts w:ascii="FrankRuehl" w:hAnsi="FrankRuehl"/>
          <w:sz w:val="28"/>
          <w:rtl/>
        </w:rPr>
        <w:t>בוחניק</w:t>
      </w:r>
      <w:proofErr w:type="spellEnd"/>
      <w:r>
        <w:rPr>
          <w:rFonts w:ascii="FrankRuehl" w:hAnsi="FrankRuehl"/>
          <w:sz w:val="28"/>
          <w:rtl/>
        </w:rPr>
        <w:t xml:space="preserve"> כי שווי התמורה והקרקע בעסקה נע בטווח שבין 5,460,000 ש"ח – 5,850,000 ש"ח, ובסופו של דבר העריך את התמורה בעסקה שלפניו ברף הנמוך בסכום של 5,500,000 ש"ח.</w:t>
      </w:r>
    </w:p>
    <w:p w14:paraId="4D29E342" w14:textId="77777777" w:rsidR="007118D2" w:rsidRPr="007118D2" w:rsidRDefault="007118D2" w:rsidP="007118D2">
      <w:pPr>
        <w:pStyle w:val="Ruller41"/>
        <w:spacing w:line="240" w:lineRule="auto"/>
        <w:rPr>
          <w:rtl/>
        </w:rPr>
      </w:pPr>
    </w:p>
    <w:p w14:paraId="4AB12ADA" w14:textId="77777777" w:rsidR="007118D2" w:rsidRDefault="007118D2" w:rsidP="007118D2">
      <w:pPr>
        <w:pStyle w:val="Ruller4"/>
        <w:numPr>
          <w:ilvl w:val="0"/>
          <w:numId w:val="0"/>
        </w:numPr>
        <w:tabs>
          <w:tab w:val="left" w:pos="720"/>
        </w:tabs>
        <w:spacing w:before="240"/>
        <w:rPr>
          <w:rFonts w:ascii="FrankRuehl" w:hAnsi="FrankRuehl"/>
          <w:sz w:val="28"/>
          <w:rtl/>
        </w:rPr>
      </w:pPr>
      <w:r>
        <w:rPr>
          <w:rFonts w:ascii="FrankRuehl" w:hAnsi="FrankRuehl"/>
          <w:sz w:val="28"/>
          <w:rtl/>
        </w:rPr>
        <w:t>8.</w:t>
      </w:r>
      <w:r>
        <w:rPr>
          <w:rFonts w:ascii="FrankRuehl" w:hAnsi="FrankRuehl"/>
          <w:sz w:val="28"/>
          <w:rtl/>
        </w:rPr>
        <w:tab/>
        <w:t xml:space="preserve">מנגד, חוות דעתו של השמאי סיון שהוגשה מטעם המערערים התבססה על השוואה לעלויות בנייה של פרויקט אחר של החברה ברחוב </w:t>
      </w:r>
      <w:proofErr w:type="spellStart"/>
      <w:r>
        <w:rPr>
          <w:rFonts w:ascii="FrankRuehl" w:hAnsi="FrankRuehl"/>
          <w:sz w:val="28"/>
          <w:rtl/>
        </w:rPr>
        <w:t>קדרון</w:t>
      </w:r>
      <w:proofErr w:type="spellEnd"/>
      <w:r>
        <w:rPr>
          <w:rFonts w:ascii="FrankRuehl" w:hAnsi="FrankRuehl"/>
          <w:sz w:val="28"/>
          <w:rtl/>
        </w:rPr>
        <w:t xml:space="preserve"> בחיפה, וקבעה על בסיס השוואה זו כי שווי המכירה בעסקה הנדונה הסתכם בסך של 2,725,000 ש"ח. בחקירה נגדית הסתבר כי השמאי סיון לא בדק את המבנה ברחוב </w:t>
      </w:r>
      <w:proofErr w:type="spellStart"/>
      <w:r>
        <w:rPr>
          <w:rFonts w:ascii="FrankRuehl" w:hAnsi="FrankRuehl"/>
          <w:sz w:val="28"/>
          <w:rtl/>
        </w:rPr>
        <w:t>קדרון</w:t>
      </w:r>
      <w:proofErr w:type="spellEnd"/>
      <w:r>
        <w:rPr>
          <w:rFonts w:ascii="FrankRuehl" w:hAnsi="FrankRuehl"/>
          <w:sz w:val="28"/>
          <w:rtl/>
        </w:rPr>
        <w:t xml:space="preserve"> ולא העריך בעצמו את עלויות הבניה של הפרויקט, אלא הסתפק באימוץ הנתונים שנמסרו לו מפי מנהל החברה ללא בדיקה עצמאית. ועדת הערר קבעה כי נתונים אלו, אשר פורטו בתצהירו של מנהל החברה, לא הוכחו בראיות. מעבר לכך, נקבע כי בעדותו של מנהל החברה עלה פער בלתי סביר בין עלויות הבנייה כפי שהוערכו על-ידי השמאי סיון בסך 6,600 ש"ח ל-מ"ר (לא כולל מע"מ), ובין מחיר דירה בפרויקט שלדברי מנהל החברה עמד על סך של 28,000 ש"ח למ"ר (כולל מע"מ), וזאת מבלי שמנהל החברה ידע לציין מה היה הרווח שלה בעסקאות מכירת הדירות בפרויקט. בנוסף, השמאי סיון לא הוסיף </w:t>
      </w:r>
      <w:r>
        <w:rPr>
          <w:rFonts w:ascii="FrankRuehl" w:hAnsi="FrankRuehl"/>
          <w:sz w:val="28"/>
          <w:rtl/>
        </w:rPr>
        <w:lastRenderedPageBreak/>
        <w:t xml:space="preserve">רווח קבלני לעלויות הבניה, וגם מטעם זה קבעה הוועדה כי לא ניתן לסמוך על חוות דעתו. כך סיכם השופט </w:t>
      </w:r>
      <w:r>
        <w:rPr>
          <w:rFonts w:ascii="Miriam" w:hAnsi="Miriam" w:cs="Miriam"/>
          <w:szCs w:val="24"/>
          <w:rtl/>
        </w:rPr>
        <w:t xml:space="preserve">ר' </w:t>
      </w:r>
      <w:proofErr w:type="spellStart"/>
      <w:r>
        <w:rPr>
          <w:rFonts w:ascii="Miriam" w:hAnsi="Miriam" w:cs="Miriam"/>
          <w:szCs w:val="24"/>
          <w:rtl/>
        </w:rPr>
        <w:t>סוקול</w:t>
      </w:r>
      <w:proofErr w:type="spellEnd"/>
      <w:r>
        <w:rPr>
          <w:rFonts w:ascii="FrankRuehl" w:hAnsi="FrankRuehl"/>
          <w:sz w:val="28"/>
          <w:rtl/>
        </w:rPr>
        <w:t xml:space="preserve"> את ממצאי הוועדה:</w:t>
      </w:r>
    </w:p>
    <w:p w14:paraId="09C5CE75" w14:textId="77777777" w:rsidR="007118D2" w:rsidRDefault="007118D2" w:rsidP="007118D2">
      <w:pPr>
        <w:spacing w:before="240"/>
        <w:ind w:firstLine="720"/>
        <w:jc w:val="both"/>
        <w:rPr>
          <w:rFonts w:ascii="FrankRuehl" w:hAnsi="FrankRuehl"/>
          <w:sz w:val="28"/>
          <w:rtl/>
        </w:rPr>
      </w:pPr>
    </w:p>
    <w:p w14:paraId="048E0924" w14:textId="77777777" w:rsidR="007118D2" w:rsidRDefault="007118D2" w:rsidP="007118D2">
      <w:pPr>
        <w:pStyle w:val="ruller50"/>
        <w:rPr>
          <w:rFonts w:cs="FrankRuehl"/>
          <w:sz w:val="28"/>
          <w:szCs w:val="28"/>
          <w:rtl/>
        </w:rPr>
      </w:pPr>
      <w:r>
        <w:rPr>
          <w:rFonts w:cs="FrankRuehl"/>
          <w:sz w:val="28"/>
          <w:szCs w:val="28"/>
          <w:rtl/>
        </w:rPr>
        <w:t xml:space="preserve">"השמאי </w:t>
      </w:r>
      <w:proofErr w:type="spellStart"/>
      <w:r>
        <w:rPr>
          <w:rFonts w:cs="FrankRuehl"/>
          <w:sz w:val="28"/>
          <w:szCs w:val="28"/>
          <w:rtl/>
        </w:rPr>
        <w:t>בוחניק</w:t>
      </w:r>
      <w:proofErr w:type="spellEnd"/>
      <w:r>
        <w:rPr>
          <w:rFonts w:cs="FrankRuehl"/>
          <w:sz w:val="28"/>
          <w:szCs w:val="28"/>
          <w:rtl/>
        </w:rPr>
        <w:t xml:space="preserve"> ערך את חוות דעתו במספר מסלולים, בהתאם לתכנת מחשב לחישוב עלויות בנייה, תוך השוואה לנתוני אמת של קבלנים אחרים, תוך השוואה להערכות שווי מקרקעין ותוך השוואה להערכות של שמאי מכריע בעסקאות דומות. </w:t>
      </w:r>
    </w:p>
    <w:p w14:paraId="58016B1D" w14:textId="77777777" w:rsidR="007118D2" w:rsidRDefault="007118D2" w:rsidP="007118D2">
      <w:pPr>
        <w:pStyle w:val="ruller50"/>
        <w:rPr>
          <w:rFonts w:cs="FrankRuehl"/>
          <w:sz w:val="28"/>
          <w:szCs w:val="28"/>
          <w:rtl/>
        </w:rPr>
      </w:pPr>
    </w:p>
    <w:p w14:paraId="49772AD9" w14:textId="77777777" w:rsidR="007118D2" w:rsidRDefault="007118D2" w:rsidP="007118D2">
      <w:pPr>
        <w:pStyle w:val="ruller50"/>
        <w:spacing w:after="240"/>
        <w:rPr>
          <w:rFonts w:ascii="Arial" w:hAnsi="Arial"/>
          <w:rtl/>
        </w:rPr>
      </w:pPr>
      <w:r>
        <w:rPr>
          <w:rFonts w:cs="FrankRuehl"/>
          <w:sz w:val="28"/>
          <w:szCs w:val="28"/>
          <w:rtl/>
        </w:rPr>
        <w:t xml:space="preserve">כפי שכבר ציינתי לעיל, הגישה המועדפת להערכות שווי היא גישה השוואתית. העוררים ערכו השוואה לנתוני עסקה אחרת של החברה ללא כל השוואה לעסקאות אחרות ומבלי להביא ראיות לאימות נתוני העסקה הנטענת. לעומת זאת השמאי </w:t>
      </w:r>
      <w:proofErr w:type="spellStart"/>
      <w:r>
        <w:rPr>
          <w:rFonts w:cs="FrankRuehl"/>
          <w:sz w:val="28"/>
          <w:szCs w:val="28"/>
          <w:rtl/>
        </w:rPr>
        <w:t>בוחניק</w:t>
      </w:r>
      <w:proofErr w:type="spellEnd"/>
      <w:r>
        <w:rPr>
          <w:rFonts w:cs="FrankRuehl"/>
          <w:sz w:val="28"/>
          <w:szCs w:val="28"/>
          <w:rtl/>
        </w:rPr>
        <w:t xml:space="preserve"> ביסס הערכותיו גם על השוואה לעסקאות אחרות, גם על תכנת מחשב מקובלת להערכת עלות ממוצעת של עבודת בנייה וגם על השוואה לשיטות הערכה אחרות. גישתו קרובה יותר לגישת ההשוואה המקובלת בפסיקה ועל כן יש להעדיפה" (פסקאות 36-35 לפסק הדין נושא הערעור).</w:t>
      </w:r>
    </w:p>
    <w:p w14:paraId="7BB3B593" w14:textId="77777777" w:rsidR="007118D2" w:rsidRDefault="007118D2" w:rsidP="007118D2">
      <w:pPr>
        <w:pStyle w:val="ruller50"/>
        <w:spacing w:line="480" w:lineRule="auto"/>
        <w:rPr>
          <w:rFonts w:ascii="Arial" w:hAnsi="Arial"/>
          <w:rtl/>
        </w:rPr>
      </w:pPr>
    </w:p>
    <w:p w14:paraId="3849B413" w14:textId="77777777" w:rsidR="007118D2" w:rsidRDefault="007118D2" w:rsidP="007118D2">
      <w:pPr>
        <w:pStyle w:val="Ruller4"/>
        <w:numPr>
          <w:ilvl w:val="0"/>
          <w:numId w:val="0"/>
        </w:numPr>
        <w:tabs>
          <w:tab w:val="left" w:pos="720"/>
        </w:tabs>
        <w:ind w:firstLine="720"/>
        <w:rPr>
          <w:rFonts w:ascii="FrankRuehl" w:hAnsi="FrankRuehl"/>
          <w:sz w:val="28"/>
          <w:rtl/>
        </w:rPr>
      </w:pPr>
      <w:r>
        <w:rPr>
          <w:rFonts w:ascii="FrankRuehl" w:hAnsi="FrankRuehl"/>
          <w:sz w:val="28"/>
          <w:rtl/>
        </w:rPr>
        <w:t xml:space="preserve">נימוקיה של ועדת הערר להעדפת חוות דעתו של השמאי </w:t>
      </w:r>
      <w:proofErr w:type="spellStart"/>
      <w:r>
        <w:rPr>
          <w:rFonts w:ascii="FrankRuehl" w:hAnsi="FrankRuehl"/>
          <w:sz w:val="28"/>
          <w:rtl/>
        </w:rPr>
        <w:t>בוחניק</w:t>
      </w:r>
      <w:proofErr w:type="spellEnd"/>
      <w:r>
        <w:rPr>
          <w:rFonts w:ascii="FrankRuehl" w:hAnsi="FrankRuehl"/>
          <w:sz w:val="28"/>
          <w:rtl/>
        </w:rPr>
        <w:t xml:space="preserve"> על פני חוות דעתו של השמאי סיון מבוססים על ניסיונה ומומחיותה בתחום, ועל התרשמותה מן הראיות ומעדויות המומחים. משכך, עומדים נימוקים אלה בעינם למרות הפגם שנפל בהכללת הרווח היזמי בחלק מהתחשיבים שבחוות דעתו של השמאי </w:t>
      </w:r>
      <w:proofErr w:type="spellStart"/>
      <w:r>
        <w:rPr>
          <w:rFonts w:ascii="FrankRuehl" w:hAnsi="FrankRuehl"/>
          <w:sz w:val="28"/>
          <w:rtl/>
        </w:rPr>
        <w:t>בוחניק</w:t>
      </w:r>
      <w:proofErr w:type="spellEnd"/>
      <w:r>
        <w:rPr>
          <w:rFonts w:ascii="FrankRuehl" w:hAnsi="FrankRuehl"/>
          <w:sz w:val="28"/>
          <w:rtl/>
        </w:rPr>
        <w:t xml:space="preserve">. בהינתן העובדה שכלל התחשיבים שערך, בין היתר, תוך שימוש בשיטת החילוץ הנזכרת בהוראת ביצוע 27/98, הביאו לאותו טווח מחירים; וכן בהינתן שהערכתו הייתה על הצד הנמוך – לא מצאתי מקום להתערב בהחלטתה של ועדת הערר להעדיף את חוות דעתו של השמאי </w:t>
      </w:r>
      <w:proofErr w:type="spellStart"/>
      <w:r>
        <w:rPr>
          <w:rFonts w:ascii="FrankRuehl" w:hAnsi="FrankRuehl"/>
          <w:sz w:val="28"/>
          <w:rtl/>
        </w:rPr>
        <w:t>בוחניק</w:t>
      </w:r>
      <w:proofErr w:type="spellEnd"/>
      <w:r>
        <w:rPr>
          <w:rFonts w:ascii="FrankRuehl" w:hAnsi="FrankRuehl"/>
          <w:sz w:val="28"/>
          <w:rtl/>
        </w:rPr>
        <w:t xml:space="preserve"> על פני זו של השמאי סיון (השוו: ע"א 4861/05 </w:t>
      </w:r>
      <w:r>
        <w:rPr>
          <w:rFonts w:ascii="Miriam" w:hAnsi="Miriam" w:cs="Miriam"/>
          <w:szCs w:val="24"/>
          <w:rtl/>
        </w:rPr>
        <w:t xml:space="preserve">שיכון עובדים בע"מ נ' מנהל מיסוי מקרקעין – </w:t>
      </w:r>
      <w:proofErr w:type="spellStart"/>
      <w:r>
        <w:rPr>
          <w:rFonts w:ascii="Miriam" w:hAnsi="Miriam" w:cs="Miriam"/>
          <w:szCs w:val="24"/>
          <w:rtl/>
        </w:rPr>
        <w:t>איזור</w:t>
      </w:r>
      <w:proofErr w:type="spellEnd"/>
      <w:r>
        <w:rPr>
          <w:rFonts w:ascii="Miriam" w:hAnsi="Miriam" w:cs="Miriam"/>
          <w:szCs w:val="24"/>
          <w:rtl/>
        </w:rPr>
        <w:t xml:space="preserve"> רחובות</w:t>
      </w:r>
      <w:r>
        <w:rPr>
          <w:rFonts w:ascii="FrankRuehl" w:hAnsi="FrankRuehl"/>
          <w:sz w:val="28"/>
          <w:rtl/>
        </w:rPr>
        <w:t xml:space="preserve">, פסקה 9 (11.8.2008); עניין </w:t>
      </w:r>
      <w:proofErr w:type="spellStart"/>
      <w:r>
        <w:rPr>
          <w:rFonts w:ascii="Miriam" w:hAnsi="Miriam" w:cs="Miriam"/>
          <w:szCs w:val="24"/>
          <w:rtl/>
        </w:rPr>
        <w:t>חנין</w:t>
      </w:r>
      <w:proofErr w:type="spellEnd"/>
      <w:r>
        <w:rPr>
          <w:rFonts w:ascii="FrankRuehl" w:hAnsi="FrankRuehl"/>
          <w:sz w:val="28"/>
          <w:rtl/>
        </w:rPr>
        <w:t>, פסקה 14). זאת משום שגם אם יוחזר הדיון לוועדה, לא יהיה בכך כדי לשנות ממסקנתה לפיה לא ניתן לבסס את הערכת שווי התמורה בעסקה על חוות דעתו של השמאי סיון – אלא אם כן תתאפשר הגשת ראיות חדשות, אשר לגישתי אינן נחוצות בנסיבות העניין.</w:t>
      </w:r>
    </w:p>
    <w:p w14:paraId="7E8E177D" w14:textId="77777777" w:rsidR="007118D2" w:rsidRDefault="007118D2" w:rsidP="00AA3008">
      <w:pPr>
        <w:spacing w:line="480" w:lineRule="auto"/>
        <w:rPr>
          <w:rtl/>
        </w:rPr>
      </w:pPr>
      <w:bookmarkStart w:id="5" w:name="_GoBack"/>
      <w:bookmarkEnd w:id="5"/>
    </w:p>
    <w:p w14:paraId="2C280767" w14:textId="77777777" w:rsidR="007118D2" w:rsidRDefault="007118D2" w:rsidP="007118D2">
      <w:pPr>
        <w:pStyle w:val="Ruller4"/>
        <w:numPr>
          <w:ilvl w:val="0"/>
          <w:numId w:val="0"/>
        </w:numPr>
        <w:tabs>
          <w:tab w:val="left" w:pos="720"/>
        </w:tabs>
        <w:ind w:firstLine="720"/>
        <w:rPr>
          <w:rFonts w:ascii="FrankRuehl" w:hAnsi="FrankRuehl"/>
          <w:sz w:val="28"/>
          <w:rtl/>
        </w:rPr>
      </w:pPr>
      <w:r>
        <w:rPr>
          <w:rFonts w:ascii="FrankRuehl" w:hAnsi="FrankRuehl"/>
          <w:sz w:val="28"/>
          <w:rtl/>
        </w:rPr>
        <w:t xml:space="preserve">נוכח כל האמור, לו תישמע דעתי יש לדחות את הערעור, אך בהינתן השאלה המשפטית שנדונה בו אציע שלא לעשות צו להוצאות. </w:t>
      </w:r>
    </w:p>
    <w:p w14:paraId="16B0D0F7" w14:textId="6B8D850A" w:rsidR="007118D2" w:rsidRDefault="007118D2" w:rsidP="007118D2">
      <w:pPr>
        <w:pStyle w:val="BODYVERDICT"/>
        <w:rPr>
          <w:rFonts w:cs="Miriam"/>
          <w:sz w:val="24"/>
          <w:szCs w:val="24"/>
          <w:u w:val="single"/>
          <w:rtl/>
        </w:rPr>
      </w:pPr>
    </w:p>
    <w:p w14:paraId="2F35C1DA" w14:textId="77777777" w:rsidR="007118D2" w:rsidRDefault="007118D2" w:rsidP="007118D2">
      <w:pPr>
        <w:pStyle w:val="BODYVERDICT"/>
        <w:rPr>
          <w:rFonts w:cs="Miriam"/>
          <w:sz w:val="24"/>
          <w:szCs w:val="24"/>
          <w:u w:val="single"/>
        </w:rPr>
      </w:pPr>
    </w:p>
    <w:p w14:paraId="01B32259" w14:textId="77777777" w:rsidR="007118D2" w:rsidRDefault="007118D2" w:rsidP="007118D2">
      <w:pPr>
        <w:pStyle w:val="Ruller38"/>
        <w:rPr>
          <w:rtl/>
        </w:rPr>
      </w:pPr>
    </w:p>
    <w:tbl>
      <w:tblPr>
        <w:bidiVisual/>
        <w:tblW w:w="0" w:type="auto"/>
        <w:tblLook w:val="01E0" w:firstRow="1" w:lastRow="1" w:firstColumn="1" w:lastColumn="1" w:noHBand="0" w:noVBand="0"/>
      </w:tblPr>
      <w:tblGrid>
        <w:gridCol w:w="2769"/>
        <w:gridCol w:w="2769"/>
        <w:gridCol w:w="2774"/>
      </w:tblGrid>
      <w:tr w:rsidR="001B6C83" w14:paraId="19F062D7" w14:textId="77777777" w:rsidTr="007118D2">
        <w:tc>
          <w:tcPr>
            <w:tcW w:w="2769" w:type="dxa"/>
            <w:shd w:val="clear" w:color="auto" w:fill="auto"/>
          </w:tcPr>
          <w:p w14:paraId="5D5F7AA1" w14:textId="77777777" w:rsidR="001B6C83" w:rsidRDefault="001B6C83">
            <w:pPr>
              <w:pStyle w:val="Ruller41"/>
              <w:tabs>
                <w:tab w:val="clear" w:pos="800"/>
                <w:tab w:val="left" w:pos="3209"/>
                <w:tab w:val="left" w:pos="6753"/>
              </w:tabs>
              <w:jc w:val="left"/>
              <w:rPr>
                <w:rFonts w:ascii="Times New Roman" w:hAnsi="Times New Roman"/>
                <w:bCs/>
                <w:rtl/>
              </w:rPr>
            </w:pPr>
          </w:p>
        </w:tc>
        <w:tc>
          <w:tcPr>
            <w:tcW w:w="2769" w:type="dxa"/>
            <w:shd w:val="clear" w:color="auto" w:fill="auto"/>
          </w:tcPr>
          <w:p w14:paraId="32F05F83" w14:textId="77777777" w:rsidR="001B6C83" w:rsidRDefault="001B6C83">
            <w:pPr>
              <w:pStyle w:val="Ruller41"/>
              <w:tabs>
                <w:tab w:val="clear" w:pos="800"/>
                <w:tab w:val="left" w:pos="3209"/>
                <w:tab w:val="left" w:pos="6753"/>
              </w:tabs>
              <w:jc w:val="center"/>
              <w:rPr>
                <w:rFonts w:ascii="Times New Roman" w:hAnsi="Times New Roman"/>
                <w:bCs/>
                <w:rtl/>
              </w:rPr>
            </w:pPr>
          </w:p>
        </w:tc>
        <w:tc>
          <w:tcPr>
            <w:tcW w:w="2774" w:type="dxa"/>
            <w:shd w:val="clear" w:color="auto" w:fill="auto"/>
          </w:tcPr>
          <w:p w14:paraId="4A8CE314" w14:textId="39A6316C" w:rsidR="001B6C83" w:rsidRPr="00A60BAF" w:rsidRDefault="001B6C83" w:rsidP="001B6C83">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ה נ ש י א ה</w:t>
            </w:r>
          </w:p>
        </w:tc>
      </w:tr>
    </w:tbl>
    <w:p w14:paraId="067084FC" w14:textId="79E4E62E" w:rsidR="001B6C83" w:rsidRDefault="001B6C83" w:rsidP="00593A8B">
      <w:pPr>
        <w:pStyle w:val="Ruller41"/>
        <w:rPr>
          <w:rtl/>
        </w:rPr>
      </w:pPr>
    </w:p>
    <w:p w14:paraId="70A0EF2A" w14:textId="0FAE67DC" w:rsidR="001B6833" w:rsidRDefault="001B6833" w:rsidP="00593A8B">
      <w:pPr>
        <w:pStyle w:val="Ruller41"/>
        <w:rPr>
          <w:rFonts w:ascii="Century" w:hAnsi="Century" w:cs="Miriam"/>
          <w:b/>
          <w:spacing w:val="0"/>
          <w:szCs w:val="24"/>
          <w:rtl/>
        </w:rPr>
      </w:pPr>
      <w:r>
        <w:rPr>
          <w:rFonts w:ascii="Century" w:hAnsi="Century" w:cs="Miriam" w:hint="cs"/>
          <w:b/>
          <w:spacing w:val="0"/>
          <w:szCs w:val="24"/>
          <w:u w:val="single"/>
          <w:rtl/>
        </w:rPr>
        <w:t>השופט ג' קרא</w:t>
      </w:r>
      <w:r>
        <w:rPr>
          <w:rFonts w:ascii="Century" w:hAnsi="Century" w:cs="Miriam" w:hint="cs"/>
          <w:b/>
          <w:spacing w:val="0"/>
          <w:szCs w:val="24"/>
          <w:rtl/>
        </w:rPr>
        <w:t>:</w:t>
      </w:r>
    </w:p>
    <w:p w14:paraId="30D31DE4" w14:textId="3042FBCA" w:rsidR="001B6833" w:rsidRDefault="001B6833" w:rsidP="007118D2">
      <w:pPr>
        <w:pStyle w:val="Ruller41"/>
        <w:spacing w:line="240" w:lineRule="auto"/>
        <w:rPr>
          <w:rtl/>
        </w:rPr>
      </w:pPr>
    </w:p>
    <w:p w14:paraId="14C22E9B" w14:textId="1900F5D2" w:rsidR="001B6833" w:rsidRDefault="001B6833" w:rsidP="001B6833">
      <w:pPr>
        <w:pStyle w:val="Ruller41"/>
        <w:rPr>
          <w:rtl/>
        </w:rPr>
      </w:pPr>
      <w:r>
        <w:rPr>
          <w:rtl/>
        </w:rPr>
        <w:tab/>
      </w:r>
      <w:r>
        <w:rPr>
          <w:rFonts w:hint="cs"/>
          <w:rtl/>
        </w:rPr>
        <w:t xml:space="preserve">בנסיבות המסוימות של תיק זה, אני מסכים עם התוצאה אליה הגיעה חברתי, הנשיאה </w:t>
      </w:r>
      <w:r w:rsidRPr="001B6833">
        <w:rPr>
          <w:rFonts w:ascii="Century" w:hAnsi="Century" w:cs="Miriam" w:hint="cs"/>
          <w:b/>
          <w:spacing w:val="0"/>
          <w:szCs w:val="24"/>
          <w:rtl/>
        </w:rPr>
        <w:t>א' חיות</w:t>
      </w:r>
      <w:r>
        <w:rPr>
          <w:rFonts w:hint="cs"/>
          <w:rtl/>
        </w:rPr>
        <w:t xml:space="preserve">. </w:t>
      </w:r>
    </w:p>
    <w:p w14:paraId="54E32D4A" w14:textId="251BA77F" w:rsidR="001B6833" w:rsidRDefault="001B6833" w:rsidP="007118D2">
      <w:pPr>
        <w:pStyle w:val="Ruller41"/>
        <w:spacing w:line="240" w:lineRule="auto"/>
        <w:rPr>
          <w:rtl/>
        </w:rPr>
      </w:pPr>
    </w:p>
    <w:p w14:paraId="30F58602" w14:textId="2A021AEF" w:rsidR="007118D2" w:rsidRDefault="007118D2" w:rsidP="007118D2">
      <w:pPr>
        <w:pStyle w:val="Ruller41"/>
        <w:spacing w:line="240" w:lineRule="auto"/>
        <w:rPr>
          <w:rtl/>
        </w:rPr>
      </w:pPr>
    </w:p>
    <w:p w14:paraId="2DD0024A" w14:textId="77777777" w:rsidR="007118D2" w:rsidRDefault="007118D2" w:rsidP="007118D2">
      <w:pPr>
        <w:pStyle w:val="Ruller41"/>
        <w:spacing w:line="240" w:lineRule="auto"/>
        <w:rPr>
          <w:rtl/>
        </w:rPr>
      </w:pPr>
    </w:p>
    <w:tbl>
      <w:tblPr>
        <w:bidiVisual/>
        <w:tblW w:w="0" w:type="auto"/>
        <w:tblLook w:val="01E0" w:firstRow="1" w:lastRow="1" w:firstColumn="1" w:lastColumn="1" w:noHBand="0" w:noVBand="0"/>
      </w:tblPr>
      <w:tblGrid>
        <w:gridCol w:w="2769"/>
        <w:gridCol w:w="2769"/>
        <w:gridCol w:w="2774"/>
      </w:tblGrid>
      <w:tr w:rsidR="001B6833" w14:paraId="6A0A7231" w14:textId="77777777" w:rsidTr="001B6833">
        <w:tc>
          <w:tcPr>
            <w:tcW w:w="2769" w:type="dxa"/>
            <w:shd w:val="clear" w:color="auto" w:fill="auto"/>
          </w:tcPr>
          <w:p w14:paraId="4BE657CA" w14:textId="77777777" w:rsidR="001B6833" w:rsidRDefault="001B6833">
            <w:pPr>
              <w:pStyle w:val="Ruller41"/>
              <w:tabs>
                <w:tab w:val="clear" w:pos="800"/>
                <w:tab w:val="left" w:pos="3209"/>
                <w:tab w:val="left" w:pos="6753"/>
              </w:tabs>
              <w:jc w:val="left"/>
              <w:rPr>
                <w:rFonts w:ascii="Times New Roman" w:hAnsi="Times New Roman"/>
                <w:bCs/>
                <w:rtl/>
              </w:rPr>
            </w:pPr>
          </w:p>
        </w:tc>
        <w:tc>
          <w:tcPr>
            <w:tcW w:w="2769" w:type="dxa"/>
            <w:shd w:val="clear" w:color="auto" w:fill="auto"/>
          </w:tcPr>
          <w:p w14:paraId="5EC2C41C" w14:textId="77777777" w:rsidR="001B6833" w:rsidRDefault="001B6833">
            <w:pPr>
              <w:pStyle w:val="Ruller41"/>
              <w:tabs>
                <w:tab w:val="clear" w:pos="800"/>
                <w:tab w:val="left" w:pos="3209"/>
                <w:tab w:val="left" w:pos="6753"/>
              </w:tabs>
              <w:jc w:val="center"/>
              <w:rPr>
                <w:rFonts w:ascii="Times New Roman" w:hAnsi="Times New Roman"/>
                <w:bCs/>
                <w:rtl/>
              </w:rPr>
            </w:pPr>
          </w:p>
        </w:tc>
        <w:tc>
          <w:tcPr>
            <w:tcW w:w="2774" w:type="dxa"/>
            <w:shd w:val="clear" w:color="auto" w:fill="auto"/>
          </w:tcPr>
          <w:p w14:paraId="70EA5D4E" w14:textId="77777777" w:rsidR="001B6833" w:rsidRPr="00A60BAF" w:rsidRDefault="001B6833" w:rsidP="00A60BAF">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14:paraId="634FED4C" w14:textId="17EF218A" w:rsidR="001B6833" w:rsidRDefault="001B6833" w:rsidP="001B6833">
      <w:pPr>
        <w:pStyle w:val="Ruller41"/>
        <w:rPr>
          <w:rtl/>
        </w:rPr>
      </w:pPr>
    </w:p>
    <w:p w14:paraId="5E4311D5" w14:textId="77777777" w:rsidR="001B6833" w:rsidRDefault="001B6833" w:rsidP="00C573AC">
      <w:pPr>
        <w:pStyle w:val="Ruller41"/>
        <w:rPr>
          <w:rtl/>
        </w:rPr>
      </w:pPr>
    </w:p>
    <w:p w14:paraId="45452364" w14:textId="4577EB93" w:rsidR="001B6833" w:rsidRDefault="001B6833" w:rsidP="004E0CEA">
      <w:pPr>
        <w:pStyle w:val="Ruller41"/>
        <w:rPr>
          <w:rtl/>
        </w:rPr>
      </w:pPr>
      <w:r>
        <w:rPr>
          <w:rtl/>
        </w:rPr>
        <w:tab/>
      </w:r>
      <w:r>
        <w:rPr>
          <w:rFonts w:hint="cs"/>
          <w:rtl/>
        </w:rPr>
        <w:t>לפיכך הוחלט</w:t>
      </w:r>
      <w:r w:rsidR="006942F3">
        <w:rPr>
          <w:rFonts w:hint="cs"/>
          <w:rtl/>
        </w:rPr>
        <w:t>,</w:t>
      </w:r>
      <w:r>
        <w:rPr>
          <w:rFonts w:hint="cs"/>
          <w:rtl/>
        </w:rPr>
        <w:t xml:space="preserve"> </w:t>
      </w:r>
      <w:r w:rsidR="006942F3">
        <w:rPr>
          <w:rFonts w:hint="cs"/>
          <w:rtl/>
        </w:rPr>
        <w:t xml:space="preserve">ברוב דעות, </w:t>
      </w:r>
      <w:r w:rsidR="00850C1B">
        <w:rPr>
          <w:rFonts w:hint="cs"/>
          <w:rtl/>
        </w:rPr>
        <w:t xml:space="preserve">לדחות את הערעור, </w:t>
      </w:r>
      <w:r>
        <w:rPr>
          <w:rFonts w:hint="cs"/>
          <w:rtl/>
        </w:rPr>
        <w:t>כאמור ב</w:t>
      </w:r>
      <w:r w:rsidR="002B1CB2">
        <w:rPr>
          <w:rFonts w:hint="cs"/>
          <w:rtl/>
        </w:rPr>
        <w:t xml:space="preserve">חוות דעתה של </w:t>
      </w:r>
      <w:r w:rsidR="006942F3">
        <w:rPr>
          <w:rFonts w:hint="cs"/>
          <w:rtl/>
        </w:rPr>
        <w:t xml:space="preserve">הנשיאה </w:t>
      </w:r>
      <w:r w:rsidR="004E0CEA">
        <w:rPr>
          <w:rFonts w:ascii="Century" w:hAnsi="Century" w:cs="Miriam" w:hint="cs"/>
          <w:b/>
          <w:spacing w:val="0"/>
          <w:szCs w:val="24"/>
          <w:rtl/>
        </w:rPr>
        <w:t>א</w:t>
      </w:r>
      <w:r w:rsidR="006942F3" w:rsidRPr="006942F3">
        <w:rPr>
          <w:rFonts w:ascii="Century" w:hAnsi="Century" w:cs="Miriam" w:hint="cs"/>
          <w:b/>
          <w:spacing w:val="0"/>
          <w:szCs w:val="24"/>
          <w:rtl/>
        </w:rPr>
        <w:t>' חיות</w:t>
      </w:r>
      <w:r w:rsidR="006942F3">
        <w:rPr>
          <w:rFonts w:hint="cs"/>
          <w:rtl/>
        </w:rPr>
        <w:t xml:space="preserve">, כנגד דעתו החולקת של </w:t>
      </w:r>
      <w:r>
        <w:rPr>
          <w:rFonts w:hint="cs"/>
          <w:rtl/>
        </w:rPr>
        <w:t xml:space="preserve">השופט </w:t>
      </w:r>
      <w:r w:rsidRPr="00C573AC">
        <w:rPr>
          <w:rFonts w:ascii="Century" w:hAnsi="Century" w:cs="Miriam" w:hint="cs"/>
          <w:b/>
          <w:spacing w:val="0"/>
          <w:szCs w:val="24"/>
          <w:rtl/>
        </w:rPr>
        <w:t>נ</w:t>
      </w:r>
      <w:r w:rsidR="004E0CEA">
        <w:rPr>
          <w:rFonts w:ascii="Century" w:hAnsi="Century" w:cs="Miriam" w:hint="cs"/>
          <w:b/>
          <w:spacing w:val="0"/>
          <w:szCs w:val="24"/>
          <w:rtl/>
        </w:rPr>
        <w:t>'</w:t>
      </w:r>
      <w:r w:rsidRPr="00C573AC">
        <w:rPr>
          <w:rFonts w:ascii="Century" w:hAnsi="Century" w:cs="Miriam" w:hint="cs"/>
          <w:b/>
          <w:spacing w:val="0"/>
          <w:szCs w:val="24"/>
          <w:rtl/>
        </w:rPr>
        <w:t xml:space="preserve"> סולברג</w:t>
      </w:r>
      <w:r>
        <w:rPr>
          <w:rFonts w:hint="cs"/>
          <w:rtl/>
        </w:rPr>
        <w:t xml:space="preserve">. </w:t>
      </w:r>
    </w:p>
    <w:p w14:paraId="475095B3" w14:textId="33555B78" w:rsidR="006942F3" w:rsidRDefault="006942F3" w:rsidP="007118D2">
      <w:pPr>
        <w:pStyle w:val="Ruller41"/>
        <w:spacing w:line="240" w:lineRule="auto"/>
        <w:rPr>
          <w:rtl/>
        </w:rPr>
      </w:pPr>
    </w:p>
    <w:p w14:paraId="6CA2D4B2" w14:textId="77777777" w:rsidR="007118D2" w:rsidRDefault="007118D2" w:rsidP="007118D2">
      <w:pPr>
        <w:pStyle w:val="Ruller41"/>
        <w:spacing w:line="240" w:lineRule="auto"/>
        <w:rPr>
          <w:rtl/>
        </w:rPr>
      </w:pPr>
    </w:p>
    <w:p w14:paraId="1BED65A6" w14:textId="15F706AB" w:rsidR="006942F3" w:rsidRDefault="006942F3" w:rsidP="007118D2">
      <w:pPr>
        <w:pStyle w:val="Ruller41"/>
        <w:rPr>
          <w:rtl/>
        </w:rPr>
      </w:pPr>
      <w:r>
        <w:rPr>
          <w:rtl/>
        </w:rPr>
        <w:tab/>
        <w:t>נית</w:t>
      </w:r>
      <w:r w:rsidR="007118D2">
        <w:rPr>
          <w:rFonts w:hint="cs"/>
          <w:rtl/>
        </w:rPr>
        <w:t>ן</w:t>
      </w:r>
      <w:r w:rsidR="007118D2">
        <w:rPr>
          <w:rtl/>
        </w:rPr>
        <w:t xml:space="preserve"> היום, </w:t>
      </w:r>
      <w:r w:rsidR="007118D2">
        <w:rPr>
          <w:rFonts w:hint="eastAsia"/>
          <w:rtl/>
        </w:rPr>
        <w:t>‏י</w:t>
      </w:r>
      <w:r w:rsidR="007118D2">
        <w:rPr>
          <w:rtl/>
        </w:rPr>
        <w:t xml:space="preserve">"ט בתמוז </w:t>
      </w:r>
      <w:proofErr w:type="spellStart"/>
      <w:r w:rsidR="007118D2">
        <w:rPr>
          <w:rtl/>
        </w:rPr>
        <w:t>התשפ"א</w:t>
      </w:r>
      <w:proofErr w:type="spellEnd"/>
      <w:r w:rsidR="007118D2">
        <w:rPr>
          <w:rtl/>
        </w:rPr>
        <w:t xml:space="preserve"> (</w:t>
      </w:r>
      <w:r w:rsidR="007118D2">
        <w:rPr>
          <w:rFonts w:hint="eastAsia"/>
          <w:rtl/>
        </w:rPr>
        <w:t>‏</w:t>
      </w:r>
      <w:r w:rsidR="007118D2">
        <w:rPr>
          <w:rtl/>
        </w:rPr>
        <w:t>29.6.2021).</w:t>
      </w:r>
    </w:p>
    <w:p w14:paraId="28B05818" w14:textId="77777777" w:rsidR="007118D2" w:rsidRDefault="007118D2" w:rsidP="007118D2">
      <w:pPr>
        <w:pStyle w:val="Ruller41"/>
        <w:rPr>
          <w:rtl/>
        </w:rPr>
      </w:pPr>
    </w:p>
    <w:p w14:paraId="46711FDD" w14:textId="197E787C" w:rsidR="001B6833" w:rsidRDefault="001B6833" w:rsidP="007118D2">
      <w:pPr>
        <w:pStyle w:val="Ruller41"/>
        <w:spacing w:line="480" w:lineRule="auto"/>
        <w:rPr>
          <w:rtl/>
        </w:rPr>
      </w:pPr>
    </w:p>
    <w:p w14:paraId="4084CB52" w14:textId="77777777" w:rsidR="001B6833" w:rsidRDefault="001B6833" w:rsidP="001B6833">
      <w:pPr>
        <w:pStyle w:val="Ruller41"/>
        <w:rPr>
          <w:rtl/>
        </w:rPr>
      </w:pPr>
    </w:p>
    <w:tbl>
      <w:tblPr>
        <w:bidiVisual/>
        <w:tblW w:w="8363" w:type="dxa"/>
        <w:tblLook w:val="01E0" w:firstRow="1" w:lastRow="1" w:firstColumn="1" w:lastColumn="1" w:noHBand="0" w:noVBand="0"/>
      </w:tblPr>
      <w:tblGrid>
        <w:gridCol w:w="2787"/>
        <w:gridCol w:w="2788"/>
        <w:gridCol w:w="2788"/>
      </w:tblGrid>
      <w:tr w:rsidR="00593A8B" w14:paraId="784D3CB3" w14:textId="77777777" w:rsidTr="006942F3">
        <w:tc>
          <w:tcPr>
            <w:tcW w:w="2787" w:type="dxa"/>
          </w:tcPr>
          <w:p w14:paraId="4A30A803" w14:textId="5B895C1C" w:rsidR="00593A8B" w:rsidRDefault="006942F3">
            <w:pPr>
              <w:pStyle w:val="Ruller41"/>
              <w:rPr>
                <w:rtl/>
              </w:rPr>
            </w:pPr>
            <w:r>
              <w:rPr>
                <w:rFonts w:hint="cs"/>
                <w:rtl/>
              </w:rPr>
              <w:t>ה נ ש י א ה</w:t>
            </w:r>
          </w:p>
        </w:tc>
        <w:tc>
          <w:tcPr>
            <w:tcW w:w="2788" w:type="dxa"/>
          </w:tcPr>
          <w:p w14:paraId="47AA46C5" w14:textId="772A198C" w:rsidR="00593A8B" w:rsidRDefault="006942F3">
            <w:pPr>
              <w:pStyle w:val="Ruller41"/>
              <w:rPr>
                <w:rtl/>
              </w:rPr>
            </w:pPr>
            <w:r>
              <w:rPr>
                <w:rFonts w:hint="cs"/>
                <w:rtl/>
              </w:rPr>
              <w:t xml:space="preserve">     ש ו פ ט </w:t>
            </w:r>
          </w:p>
        </w:tc>
        <w:tc>
          <w:tcPr>
            <w:tcW w:w="2788" w:type="dxa"/>
          </w:tcPr>
          <w:p w14:paraId="6A69CF93" w14:textId="1DDCC9B4" w:rsidR="00593A8B" w:rsidRDefault="006942F3" w:rsidP="006942F3">
            <w:pPr>
              <w:pStyle w:val="Ruller41"/>
              <w:rPr>
                <w:rtl/>
              </w:rPr>
            </w:pPr>
            <w:r>
              <w:rPr>
                <w:rFonts w:hint="cs"/>
                <w:rtl/>
              </w:rPr>
              <w:t xml:space="preserve">         ש ו פ ט</w:t>
            </w:r>
          </w:p>
        </w:tc>
      </w:tr>
    </w:tbl>
    <w:p w14:paraId="461E9A5C" w14:textId="77777777" w:rsidR="00593A8B" w:rsidRDefault="00593A8B" w:rsidP="00593A8B">
      <w:pPr>
        <w:pStyle w:val="Ruller41"/>
        <w:rPr>
          <w:rtl/>
        </w:rPr>
      </w:pPr>
    </w:p>
    <w:p w14:paraId="1F1494AA" w14:textId="77777777" w:rsidR="00593A8B" w:rsidRDefault="00593A8B" w:rsidP="00593A8B">
      <w:pPr>
        <w:rPr>
          <w:szCs w:val="16"/>
          <w:rtl/>
        </w:rPr>
      </w:pPr>
      <w:r>
        <w:rPr>
          <w:rFonts w:hint="cs"/>
          <w:szCs w:val="16"/>
          <w:rtl/>
        </w:rPr>
        <w:t>_________________________</w:t>
      </w:r>
    </w:p>
    <w:p w14:paraId="7397FE0B" w14:textId="7CF9807B" w:rsidR="00593A8B" w:rsidRDefault="00593A8B" w:rsidP="00593A8B">
      <w:pPr>
        <w:pStyle w:val="Ruller38"/>
        <w:rPr>
          <w:rtl/>
        </w:rPr>
      </w:pPr>
      <w:r>
        <w:rPr>
          <w:rFonts w:hint="cs"/>
          <w:sz w:val="16"/>
        </w:rPr>
        <w:t xml:space="preserve"> </w:t>
      </w:r>
      <w:r>
        <w:rPr>
          <w:sz w:val="16"/>
        </w:rPr>
        <w:t xml:space="preserve">  19066720_O06.docx   </w:t>
      </w:r>
      <w:r w:rsidR="000D4075">
        <w:rPr>
          <w:rFonts w:hint="cs"/>
          <w:sz w:val="16"/>
          <w:rtl/>
        </w:rPr>
        <w:t>ע</w:t>
      </w:r>
      <w:r w:rsidR="001B6833">
        <w:rPr>
          <w:rFonts w:hint="cs"/>
          <w:sz w:val="16"/>
          <w:rtl/>
        </w:rPr>
        <w:t xml:space="preserve"> </w:t>
      </w:r>
      <w:r w:rsidR="000D4075">
        <w:rPr>
          <w:rFonts w:hint="cs"/>
          <w:sz w:val="16"/>
          <w:rtl/>
        </w:rPr>
        <w:t>ד</w:t>
      </w:r>
    </w:p>
    <w:p w14:paraId="28F9E65B" w14:textId="77777777" w:rsidR="00593A8B" w:rsidRDefault="00593A8B" w:rsidP="00593A8B">
      <w:pPr>
        <w:pStyle w:val="Ruller38"/>
        <w:rPr>
          <w:rtl/>
        </w:rPr>
      </w:pPr>
      <w:r>
        <w:rPr>
          <w:rFonts w:hint="cs"/>
          <w:rtl/>
        </w:rPr>
        <w:t xml:space="preserve">מרכז מידע, טל' 077-2703333, 3852* ; אתר אינטרנט,  </w:t>
      </w:r>
      <w:hyperlink r:id="rId8" w:history="1">
        <w:r>
          <w:rPr>
            <w:rStyle w:val="Hyperlink"/>
            <w:sz w:val="16"/>
          </w:rPr>
          <w:t>http://supreme.court.gov.i</w:t>
        </w:r>
      </w:hyperlink>
      <w:r>
        <w:rPr>
          <w:sz w:val="16"/>
        </w:rPr>
        <w:t>l</w:t>
      </w:r>
    </w:p>
    <w:p w14:paraId="1606FC5D" w14:textId="77777777" w:rsidR="00593A8B" w:rsidRDefault="00593A8B" w:rsidP="00593A8B">
      <w:pPr>
        <w:pStyle w:val="Ruller38"/>
        <w:rPr>
          <w:rtl/>
        </w:rPr>
      </w:pPr>
    </w:p>
    <w:p w14:paraId="1E07D5E0" w14:textId="77777777" w:rsidR="003F1F97" w:rsidRPr="00593A8B" w:rsidRDefault="003F1F97" w:rsidP="00593A8B">
      <w:pPr>
        <w:rPr>
          <w:szCs w:val="20"/>
          <w:rtl/>
        </w:rPr>
      </w:pPr>
    </w:p>
    <w:sectPr w:rsidR="003F1F97" w:rsidRPr="00593A8B"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1406" w14:textId="77777777" w:rsidR="007F7512" w:rsidRDefault="007F7512">
      <w:r>
        <w:separator/>
      </w:r>
    </w:p>
  </w:endnote>
  <w:endnote w:type="continuationSeparator" w:id="0">
    <w:p w14:paraId="38E7E051" w14:textId="77777777"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Arial TUR">
    <w:altName w:val="Microsoft Sans Serif"/>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8E5D" w14:textId="77777777"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14:paraId="13C1379E" w14:textId="77777777" w:rsidR="00377102" w:rsidRDefault="00377102">
    <w:pPr>
      <w:pStyle w:val="a3"/>
      <w:rPr>
        <w:rtl/>
      </w:rPr>
    </w:pPr>
  </w:p>
  <w:p w14:paraId="767F53DB" w14:textId="77777777"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CD86" w14:textId="77777777" w:rsidR="002912D0" w:rsidRDefault="002912D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904A" w14:textId="77777777" w:rsidR="00045B4D" w:rsidRPr="00F959DB" w:rsidRDefault="00045B4D" w:rsidP="00914156">
    <w:pPr>
      <w:pStyle w:val="a3"/>
      <w:bidi w:val="0"/>
      <w:jc w:val="right"/>
      <w:rPr>
        <w:sz w:val="16"/>
        <w:szCs w:val="16"/>
      </w:rPr>
    </w:pPr>
    <w:bookmarkStart w:id="6" w:name="footer_line"/>
    <w:bookmarkEnd w:id="6"/>
  </w:p>
  <w:p w14:paraId="384D3E7A" w14:textId="77777777"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49864" w14:textId="77777777" w:rsidR="007F7512" w:rsidRDefault="007F7512">
      <w:r>
        <w:separator/>
      </w:r>
    </w:p>
  </w:footnote>
  <w:footnote w:type="continuationSeparator" w:id="0">
    <w:p w14:paraId="12D7B491" w14:textId="77777777"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DBFD" w14:textId="77777777"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14:paraId="7F6D3440" w14:textId="77777777" w:rsidR="00377102" w:rsidRDefault="00377102">
    <w:pPr>
      <w:pStyle w:val="a6"/>
      <w:rPr>
        <w:rtl/>
      </w:rPr>
    </w:pPr>
  </w:p>
  <w:p w14:paraId="1B7A760F" w14:textId="77777777"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36B2" w14:textId="023977DA"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AA3008">
      <w:rPr>
        <w:rStyle w:val="a5"/>
        <w:noProof/>
        <w:rtl/>
      </w:rPr>
      <w:t>23</w:t>
    </w:r>
    <w:r>
      <w:rPr>
        <w:rStyle w:val="a5"/>
        <w:rtl/>
      </w:rPr>
      <w:fldChar w:fldCharType="end"/>
    </w:r>
  </w:p>
  <w:p w14:paraId="41702028" w14:textId="77777777" w:rsidR="00377102" w:rsidRDefault="00377102">
    <w:pPr>
      <w:pStyle w:val="a6"/>
      <w:rPr>
        <w:rtl/>
      </w:rPr>
    </w:pPr>
  </w:p>
  <w:p w14:paraId="058E820A" w14:textId="77777777"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14:paraId="2B8ADCAB" w14:textId="77777777" w:rsidTr="00EC23AC">
      <w:trPr>
        <w:trHeight w:val="342"/>
      </w:trPr>
      <w:tc>
        <w:tcPr>
          <w:tcW w:w="9828" w:type="dxa"/>
        </w:tcPr>
        <w:p w14:paraId="3151D5FB" w14:textId="77777777"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14:anchorId="6BC9A121" wp14:editId="313757AA">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094067D6" w14:textId="77777777"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03E"/>
    <w:multiLevelType w:val="hybridMultilevel"/>
    <w:tmpl w:val="7422D552"/>
    <w:lvl w:ilvl="0" w:tplc="4410790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6001B"/>
    <w:multiLevelType w:val="hybridMultilevel"/>
    <w:tmpl w:val="207227A0"/>
    <w:lvl w:ilvl="0" w:tplc="94527568">
      <w:start w:val="1"/>
      <w:numFmt w:val="decimal"/>
      <w:pStyle w:val="Ruller4"/>
      <w:lvlText w:val="%1."/>
      <w:lvlJc w:val="left"/>
      <w:pPr>
        <w:tabs>
          <w:tab w:val="num" w:pos="1191"/>
        </w:tabs>
        <w:ind w:left="284" w:firstLine="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8F2CFF"/>
    <w:multiLevelType w:val="hybridMultilevel"/>
    <w:tmpl w:val="D23E3396"/>
    <w:lvl w:ilvl="0" w:tplc="3C96CC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197B7D"/>
    <w:multiLevelType w:val="hybridMultilevel"/>
    <w:tmpl w:val="0430F582"/>
    <w:lvl w:ilvl="0" w:tplc="6EC4E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96A9F"/>
    <w:multiLevelType w:val="hybridMultilevel"/>
    <w:tmpl w:val="32962D8A"/>
    <w:lvl w:ilvl="0" w:tplc="F24E50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14E35"/>
    <w:multiLevelType w:val="hybridMultilevel"/>
    <w:tmpl w:val="D23AA306"/>
    <w:lvl w:ilvl="0" w:tplc="34727332">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4"/>
  </w:num>
  <w:num w:numId="14">
    <w:abstractNumId w:val="15"/>
  </w:num>
  <w:num w:numId="15">
    <w:abstractNumId w:val="16"/>
  </w:num>
  <w:num w:numId="16">
    <w:abstractNumId w:val="12"/>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35F9"/>
    <w:rsid w:val="00016EF1"/>
    <w:rsid w:val="00020AA9"/>
    <w:rsid w:val="00032036"/>
    <w:rsid w:val="00036227"/>
    <w:rsid w:val="00044953"/>
    <w:rsid w:val="00045B4D"/>
    <w:rsid w:val="00046E48"/>
    <w:rsid w:val="000725F5"/>
    <w:rsid w:val="00072AD2"/>
    <w:rsid w:val="000B1478"/>
    <w:rsid w:val="000C4690"/>
    <w:rsid w:val="000D25C4"/>
    <w:rsid w:val="000D4075"/>
    <w:rsid w:val="00134A67"/>
    <w:rsid w:val="001A0164"/>
    <w:rsid w:val="001B6833"/>
    <w:rsid w:val="001B6C83"/>
    <w:rsid w:val="001F34EF"/>
    <w:rsid w:val="00200D6B"/>
    <w:rsid w:val="00201B64"/>
    <w:rsid w:val="00201E50"/>
    <w:rsid w:val="00265F6E"/>
    <w:rsid w:val="002876BF"/>
    <w:rsid w:val="002912D0"/>
    <w:rsid w:val="002A2327"/>
    <w:rsid w:val="002A4A7A"/>
    <w:rsid w:val="002A4BF3"/>
    <w:rsid w:val="002B1CB2"/>
    <w:rsid w:val="002C7CB3"/>
    <w:rsid w:val="002F7BB6"/>
    <w:rsid w:val="003448B2"/>
    <w:rsid w:val="00361DB2"/>
    <w:rsid w:val="0037622E"/>
    <w:rsid w:val="00377102"/>
    <w:rsid w:val="0039709B"/>
    <w:rsid w:val="003A4C4E"/>
    <w:rsid w:val="003D72DA"/>
    <w:rsid w:val="003F1F97"/>
    <w:rsid w:val="0041048F"/>
    <w:rsid w:val="00437D59"/>
    <w:rsid w:val="00446F05"/>
    <w:rsid w:val="004610A4"/>
    <w:rsid w:val="00473470"/>
    <w:rsid w:val="00483A49"/>
    <w:rsid w:val="004B0513"/>
    <w:rsid w:val="004B29FF"/>
    <w:rsid w:val="004C7868"/>
    <w:rsid w:val="004E0CEA"/>
    <w:rsid w:val="00503A3E"/>
    <w:rsid w:val="00527F02"/>
    <w:rsid w:val="0053077C"/>
    <w:rsid w:val="005803E2"/>
    <w:rsid w:val="0058440A"/>
    <w:rsid w:val="00591983"/>
    <w:rsid w:val="00593A8B"/>
    <w:rsid w:val="005A7097"/>
    <w:rsid w:val="005E0038"/>
    <w:rsid w:val="00624A42"/>
    <w:rsid w:val="0065522F"/>
    <w:rsid w:val="006942F3"/>
    <w:rsid w:val="006A30F7"/>
    <w:rsid w:val="006C42AD"/>
    <w:rsid w:val="007118D2"/>
    <w:rsid w:val="00725345"/>
    <w:rsid w:val="00741CC0"/>
    <w:rsid w:val="007B512F"/>
    <w:rsid w:val="007F7512"/>
    <w:rsid w:val="00810894"/>
    <w:rsid w:val="008143AB"/>
    <w:rsid w:val="00814557"/>
    <w:rsid w:val="0083345F"/>
    <w:rsid w:val="00836667"/>
    <w:rsid w:val="00850C1B"/>
    <w:rsid w:val="00866D0F"/>
    <w:rsid w:val="008A59C8"/>
    <w:rsid w:val="008B11DF"/>
    <w:rsid w:val="008C2F11"/>
    <w:rsid w:val="008D78B9"/>
    <w:rsid w:val="008E3F85"/>
    <w:rsid w:val="009051E8"/>
    <w:rsid w:val="00914156"/>
    <w:rsid w:val="00916FF8"/>
    <w:rsid w:val="00922093"/>
    <w:rsid w:val="00930C85"/>
    <w:rsid w:val="00955773"/>
    <w:rsid w:val="0098700A"/>
    <w:rsid w:val="009937D3"/>
    <w:rsid w:val="009B38DA"/>
    <w:rsid w:val="009F2F53"/>
    <w:rsid w:val="009F4187"/>
    <w:rsid w:val="00A12E0F"/>
    <w:rsid w:val="00A3415E"/>
    <w:rsid w:val="00A44048"/>
    <w:rsid w:val="00A51FAE"/>
    <w:rsid w:val="00A80845"/>
    <w:rsid w:val="00AA3008"/>
    <w:rsid w:val="00AB3182"/>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A13AF"/>
    <w:rsid w:val="00CA1444"/>
    <w:rsid w:val="00CB1590"/>
    <w:rsid w:val="00CB61EB"/>
    <w:rsid w:val="00CB7600"/>
    <w:rsid w:val="00CC0E9D"/>
    <w:rsid w:val="00CC3639"/>
    <w:rsid w:val="00D00B1D"/>
    <w:rsid w:val="00D00CB7"/>
    <w:rsid w:val="00D06B51"/>
    <w:rsid w:val="00D25F16"/>
    <w:rsid w:val="00DF53C1"/>
    <w:rsid w:val="00E07100"/>
    <w:rsid w:val="00E21CA9"/>
    <w:rsid w:val="00E31063"/>
    <w:rsid w:val="00E34737"/>
    <w:rsid w:val="00E36FE9"/>
    <w:rsid w:val="00E73E98"/>
    <w:rsid w:val="00E75223"/>
    <w:rsid w:val="00E90D72"/>
    <w:rsid w:val="00EA0BE1"/>
    <w:rsid w:val="00EC23AC"/>
    <w:rsid w:val="00EC2992"/>
    <w:rsid w:val="00ED46A4"/>
    <w:rsid w:val="00ED6FD9"/>
    <w:rsid w:val="00EE3810"/>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6058D"/>
  <w15:chartTrackingRefBased/>
  <w15:docId w15:val="{C5B1C96B-A876-4C5F-92CC-09847E1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A44048"/>
    <w:rPr>
      <w:rFonts w:cs="David"/>
      <w:szCs w:val="24"/>
    </w:rPr>
  </w:style>
  <w:style w:type="character" w:customStyle="1" w:styleId="a7">
    <w:name w:val="כותרת עליונה תו"/>
    <w:basedOn w:val="a0"/>
    <w:link w:val="a6"/>
    <w:rsid w:val="00A44048"/>
    <w:rPr>
      <w:rFonts w:cs="David"/>
      <w:szCs w:val="24"/>
    </w:rPr>
  </w:style>
  <w:style w:type="paragraph" w:customStyle="1" w:styleId="Ruller4">
    <w:name w:val="Ruller 4 ממוספר"/>
    <w:basedOn w:val="Ruller41"/>
    <w:next w:val="Ruller41"/>
    <w:link w:val="Ruller43"/>
    <w:rsid w:val="00A44048"/>
    <w:pPr>
      <w:numPr>
        <w:numId w:val="11"/>
      </w:numPr>
      <w:tabs>
        <w:tab w:val="clear" w:pos="1191"/>
        <w:tab w:val="num" w:pos="907"/>
      </w:tabs>
      <w:ind w:left="0"/>
    </w:pPr>
    <w:rPr>
      <w:rFonts w:ascii="Garamond" w:hAnsi="Garamond"/>
      <w:sz w:val="24"/>
    </w:rPr>
  </w:style>
  <w:style w:type="paragraph" w:customStyle="1" w:styleId="Ruller40">
    <w:name w:val="Ruller4 אלפביתי"/>
    <w:basedOn w:val="Ruller41"/>
    <w:next w:val="Ruller41"/>
    <w:rsid w:val="00A44048"/>
    <w:pPr>
      <w:numPr>
        <w:numId w:val="12"/>
      </w:numPr>
    </w:pPr>
  </w:style>
  <w:style w:type="paragraph" w:styleId="af0">
    <w:name w:val="List Paragraph"/>
    <w:basedOn w:val="a"/>
    <w:uiPriority w:val="34"/>
    <w:qFormat/>
    <w:rsid w:val="00A44048"/>
    <w:pPr>
      <w:spacing w:line="360" w:lineRule="auto"/>
      <w:ind w:left="720"/>
      <w:contextualSpacing/>
    </w:pPr>
    <w:rPr>
      <w:rFonts w:ascii="Century" w:hAnsi="Century" w:cs="FrankRuehl"/>
      <w:spacing w:val="10"/>
      <w:szCs w:val="28"/>
    </w:rPr>
  </w:style>
  <w:style w:type="character" w:customStyle="1" w:styleId="Ruller42">
    <w:name w:val="Ruller4 תו"/>
    <w:link w:val="Ruller41"/>
    <w:locked/>
    <w:rsid w:val="000035F9"/>
    <w:rPr>
      <w:rFonts w:ascii="Arial TUR" w:hAnsi="Arial TUR" w:cs="FrankRuehl"/>
      <w:spacing w:val="10"/>
      <w:sz w:val="22"/>
      <w:szCs w:val="28"/>
    </w:rPr>
  </w:style>
  <w:style w:type="character" w:customStyle="1" w:styleId="Ruller43">
    <w:name w:val="Ruller 4 ממוספר תו"/>
    <w:link w:val="Ruller4"/>
    <w:locked/>
    <w:rsid w:val="007118D2"/>
    <w:rPr>
      <w:rFonts w:ascii="Garamond" w:hAnsi="Garamond" w:cs="FrankRuehl"/>
      <w:spacing w:val="10"/>
      <w:sz w:val="24"/>
      <w:szCs w:val="28"/>
    </w:rPr>
  </w:style>
  <w:style w:type="paragraph" w:customStyle="1" w:styleId="ruller50">
    <w:name w:val="ruller5"/>
    <w:basedOn w:val="a"/>
    <w:rsid w:val="007118D2"/>
    <w:pPr>
      <w:adjustRightInd/>
      <w:ind w:left="1642" w:right="1282"/>
      <w:jc w:val="both"/>
      <w:textAlignment w:val="auto"/>
    </w:pPr>
    <w:rPr>
      <w:rFonts w:ascii="Arial TUR" w:hAnsi="Arial TUR" w:cs="Arial TUR"/>
      <w:spacing w:val="10"/>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06800">
      <w:bodyDiv w:val="1"/>
      <w:marLeft w:val="0"/>
      <w:marRight w:val="0"/>
      <w:marTop w:val="0"/>
      <w:marBottom w:val="0"/>
      <w:divBdr>
        <w:top w:val="none" w:sz="0" w:space="0" w:color="auto"/>
        <w:left w:val="none" w:sz="0" w:space="0" w:color="auto"/>
        <w:bottom w:val="none" w:sz="0" w:space="0" w:color="auto"/>
        <w:right w:val="none" w:sz="0" w:space="0" w:color="auto"/>
      </w:divBdr>
    </w:div>
    <w:div w:id="13912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7751</Words>
  <Characters>37022</Characters>
  <Application>Microsoft Office Word</Application>
  <DocSecurity>0</DocSecurity>
  <Lines>308</Lines>
  <Paragraphs>89</Paragraphs>
  <ScaleCrop>false</ScaleCrop>
  <HeadingPairs>
    <vt:vector size="2" baseType="variant">
      <vt:variant>
        <vt:lpstr>שם</vt:lpstr>
      </vt:variant>
      <vt:variant>
        <vt:i4>1</vt:i4>
      </vt:variant>
    </vt:vector>
  </HeadingPairs>
  <TitlesOfParts>
    <vt:vector size="1" baseType="lpstr">
      <vt:lpstr>פסק-דין בתיק ע"א  6672/19</vt:lpstr>
    </vt:vector>
  </TitlesOfParts>
  <Company/>
  <LinksUpToDate>false</LinksUpToDate>
  <CharactersWithSpaces>44684</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2021-06-29T12:15:27Z</cp:lastPrinted>
  <dcterms:created xsi:type="dcterms:W3CDTF">2021-06-29T12:15:27Z</dcterms:created>
  <dcterms:modified xsi:type="dcterms:W3CDTF">2021-06-29T12:15:27Z</dcterms:modified>
</cp:coreProperties>
</file>